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540385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189" w:lineRule="exact"/>
        <w:rPr>
          <w:sz w:val="24"/>
          <w:szCs w:val="24"/>
          <w:color w:val="auto"/>
        </w:rPr>
      </w:pPr>
    </w:p>
    <w:p>
      <w:pPr>
        <w:ind w:right="2340"/>
        <w:spacing w:after="0" w:line="461" w:lineRule="auto"/>
        <w:rPr>
          <w:sz w:val="20"/>
          <w:szCs w:val="20"/>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8"/>
          <w:szCs w:val="18"/>
          <w:color w:val="auto"/>
        </w:rPr>
        <w:t>QUARTERLY REPORT PURSUANT TO SECTION 13 OR 15(d) OF THE SECURITIES EXCHANGE ACT OF 1934</w:t>
      </w:r>
      <w:r>
        <w:rPr>
          <w:rFonts w:ascii="Wingdings" w:cs="Wingdings" w:eastAsia="Wingdings" w:hAnsi="Wingdings"/>
          <w:sz w:val="18"/>
          <w:szCs w:val="18"/>
          <w:b w:val="1"/>
          <w:bCs w:val="1"/>
          <w:color w:val="auto"/>
        </w:rPr>
        <w:t xml:space="preserve"> </w:t>
      </w:r>
      <w:r>
        <w:rPr>
          <w:rFonts w:ascii="Times New Roman" w:cs="Times New Roman" w:eastAsia="Times New Roman" w:hAnsi="Times New Roman"/>
          <w:sz w:val="18"/>
          <w:szCs w:val="18"/>
          <w:color w:val="auto"/>
        </w:rPr>
        <w:t>For the quarterly period ended March 31, 2024</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or</w:t>
      </w:r>
    </w:p>
    <w:p>
      <w:pPr>
        <w:spacing w:after="0" w:line="185" w:lineRule="exact"/>
        <w:rPr>
          <w:sz w:val="24"/>
          <w:szCs w:val="24"/>
          <w:color w:val="auto"/>
        </w:rPr>
      </w:pPr>
    </w:p>
    <w:p>
      <w:pPr>
        <w:ind w:right="2360"/>
        <w:spacing w:after="0" w:line="459" w:lineRule="auto"/>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TRANSITION REPORT PURSUANT TO SECTION 13 OR 15(d) OF THE SECURITIES EXCHANGE ACT OF 1934</w:t>
      </w:r>
      <w:r>
        <w:rPr>
          <w:rFonts w:ascii="Wingdings" w:cs="Wingdings" w:eastAsia="Wingdings" w:hAnsi="Wingdings"/>
          <w:sz w:val="18"/>
          <w:szCs w:val="18"/>
          <w:b w:val="1"/>
          <w:bCs w:val="1"/>
          <w:color w:val="auto"/>
        </w:rPr>
        <w:t xml:space="preserve"> </w:t>
      </w:r>
      <w:r>
        <w:rPr>
          <w:rFonts w:ascii="Times New Roman" w:cs="Times New Roman" w:eastAsia="Times New Roman" w:hAnsi="Times New Roman"/>
          <w:sz w:val="18"/>
          <w:szCs w:val="18"/>
          <w:color w:val="auto"/>
        </w:rPr>
        <w:t>For the transition period from ______________________ to ______________________</w:t>
      </w:r>
    </w:p>
    <w:p>
      <w:pPr>
        <w:spacing w:after="0" w:line="1" w:lineRule="exact"/>
        <w:rPr>
          <w:sz w:val="24"/>
          <w:szCs w:val="24"/>
          <w:color w:val="auto"/>
        </w:rPr>
      </w:pPr>
    </w:p>
    <w:tbl>
      <w:tblPr>
        <w:tblLayout w:type="fixed"/>
        <w:tblInd w:w="10" w:type="dxa"/>
        <w:tblCellMar>
          <w:top w:w="0" w:type="dxa"/>
          <w:left w:w="0" w:type="dxa"/>
          <w:bottom w:w="0" w:type="dxa"/>
          <w:right w:w="0" w:type="dxa"/>
        </w:tblCellMar>
      </w:tblPr>
      <w:tr>
        <w:trPr>
          <w:trHeight w:val="238"/>
        </w:trPr>
        <w:tc>
          <w:tcPr>
            <w:tcW w:w="2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90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rPr>
              <w:t>Commission File Number 000-23186</w:t>
            </w:r>
          </w:p>
        </w:tc>
        <w:tc>
          <w:tcPr>
            <w:tcW w:w="4140" w:type="dxa"/>
            <w:vAlign w:val="bottom"/>
          </w:tcPr>
          <w:p>
            <w:pPr>
              <w:spacing w:after="0"/>
              <w:rPr>
                <w:sz w:val="20"/>
                <w:szCs w:val="20"/>
                <w:color w:val="auto"/>
              </w:rPr>
            </w:pPr>
          </w:p>
        </w:tc>
      </w:tr>
      <w:tr>
        <w:trPr>
          <w:trHeight w:val="373"/>
        </w:trPr>
        <w:tc>
          <w:tcPr>
            <w:tcW w:w="2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40" w:type="dxa"/>
            <w:vAlign w:val="bottom"/>
            <w:gridSpan w:val="3"/>
          </w:tcPr>
          <w:p>
            <w:pPr>
              <w:jc w:val="center"/>
              <w:ind w:right="3130"/>
              <w:spacing w:after="0"/>
              <w:rPr>
                <w:sz w:val="20"/>
                <w:szCs w:val="20"/>
                <w:color w:val="auto"/>
              </w:rPr>
            </w:pPr>
            <w:r>
              <w:rPr>
                <w:rFonts w:ascii="Times New Roman" w:cs="Times New Roman" w:eastAsia="Times New Roman" w:hAnsi="Times New Roman"/>
                <w:sz w:val="18"/>
                <w:szCs w:val="18"/>
                <w:b w:val="1"/>
                <w:bCs w:val="1"/>
                <w:color w:val="auto"/>
                <w:w w:val="99"/>
              </w:rPr>
              <w:t>BIOCRYST PHARMACEUTICALS, INC.</w:t>
            </w:r>
          </w:p>
        </w:tc>
      </w:tr>
      <w:tr>
        <w:trPr>
          <w:trHeight w:val="234"/>
        </w:trPr>
        <w:tc>
          <w:tcPr>
            <w:tcW w:w="2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40" w:type="dxa"/>
            <w:vAlign w:val="bottom"/>
            <w:gridSpan w:val="3"/>
          </w:tcPr>
          <w:p>
            <w:pPr>
              <w:jc w:val="center"/>
              <w:ind w:right="315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446"/>
        </w:trPr>
        <w:tc>
          <w:tcPr>
            <w:tcW w:w="2280" w:type="dxa"/>
            <w:vAlign w:val="bottom"/>
          </w:tcPr>
          <w:p>
            <w:pPr>
              <w:spacing w:after="0"/>
              <w:rPr>
                <w:sz w:val="24"/>
                <w:szCs w:val="24"/>
                <w:color w:val="auto"/>
              </w:rPr>
            </w:pPr>
          </w:p>
        </w:tc>
        <w:tc>
          <w:tcPr>
            <w:tcW w:w="4840" w:type="dxa"/>
            <w:vAlign w:val="bottom"/>
            <w:gridSpan w:val="3"/>
          </w:tcPr>
          <w:p>
            <w:pPr>
              <w:jc w:val="center"/>
              <w:ind w:right="24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140" w:type="dxa"/>
            <w:vAlign w:val="bottom"/>
          </w:tcPr>
          <w:p>
            <w:pPr>
              <w:jc w:val="right"/>
              <w:ind w:right="1650"/>
              <w:spacing w:after="0"/>
              <w:rPr>
                <w:sz w:val="20"/>
                <w:szCs w:val="20"/>
                <w:color w:val="auto"/>
              </w:rPr>
            </w:pPr>
            <w:r>
              <w:rPr>
                <w:rFonts w:ascii="Times New Roman" w:cs="Times New Roman" w:eastAsia="Times New Roman" w:hAnsi="Times New Roman"/>
                <w:sz w:val="18"/>
                <w:szCs w:val="18"/>
                <w:b w:val="1"/>
                <w:bCs w:val="1"/>
                <w:color w:val="auto"/>
              </w:rPr>
              <w:t>62-1413174</w:t>
            </w:r>
          </w:p>
        </w:tc>
      </w:tr>
      <w:tr>
        <w:trPr>
          <w:trHeight w:val="256"/>
        </w:trPr>
        <w:tc>
          <w:tcPr>
            <w:tcW w:w="2280" w:type="dxa"/>
            <w:vAlign w:val="bottom"/>
          </w:tcPr>
          <w:p>
            <w:pPr>
              <w:spacing w:after="0"/>
              <w:rPr>
                <w:sz w:val="22"/>
                <w:szCs w:val="22"/>
                <w:color w:val="auto"/>
              </w:rPr>
            </w:pPr>
          </w:p>
        </w:tc>
        <w:tc>
          <w:tcPr>
            <w:tcW w:w="4840" w:type="dxa"/>
            <w:vAlign w:val="bottom"/>
            <w:gridSpan w:val="3"/>
          </w:tcPr>
          <w:p>
            <w:pPr>
              <w:jc w:val="center"/>
              <w:ind w:right="246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41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57"/>
        </w:trPr>
        <w:tc>
          <w:tcPr>
            <w:tcW w:w="2280" w:type="dxa"/>
            <w:vAlign w:val="bottom"/>
          </w:tcPr>
          <w:p>
            <w:pPr>
              <w:spacing w:after="0"/>
              <w:rPr>
                <w:sz w:val="22"/>
                <w:szCs w:val="22"/>
                <w:color w:val="auto"/>
              </w:rPr>
            </w:pPr>
          </w:p>
        </w:tc>
        <w:tc>
          <w:tcPr>
            <w:tcW w:w="4840" w:type="dxa"/>
            <w:vAlign w:val="bottom"/>
            <w:gridSpan w:val="3"/>
          </w:tcPr>
          <w:p>
            <w:pPr>
              <w:jc w:val="center"/>
              <w:ind w:right="246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41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527"/>
        </w:trPr>
        <w:tc>
          <w:tcPr>
            <w:tcW w:w="2280" w:type="dxa"/>
            <w:vAlign w:val="bottom"/>
          </w:tcPr>
          <w:p>
            <w:pPr>
              <w:spacing w:after="0"/>
              <w:rPr>
                <w:sz w:val="24"/>
                <w:szCs w:val="24"/>
                <w:color w:val="auto"/>
              </w:rPr>
            </w:pPr>
          </w:p>
        </w:tc>
        <w:tc>
          <w:tcPr>
            <w:tcW w:w="4840" w:type="dxa"/>
            <w:vAlign w:val="bottom"/>
            <w:gridSpan w:val="3"/>
          </w:tcPr>
          <w:p>
            <w:pPr>
              <w:jc w:val="center"/>
              <w:ind w:right="2460"/>
              <w:spacing w:after="0"/>
              <w:rPr>
                <w:sz w:val="20"/>
                <w:szCs w:val="20"/>
                <w:color w:val="auto"/>
              </w:rPr>
            </w:pPr>
            <w:r>
              <w:rPr>
                <w:rFonts w:ascii="Times New Roman" w:cs="Times New Roman" w:eastAsia="Times New Roman" w:hAnsi="Times New Roman"/>
                <w:sz w:val="18"/>
                <w:szCs w:val="18"/>
                <w:b w:val="1"/>
                <w:bCs w:val="1"/>
                <w:color w:val="auto"/>
                <w:w w:val="99"/>
              </w:rPr>
              <w:t>4505 Emperor Blvd., Suite 200</w:t>
            </w:r>
          </w:p>
        </w:tc>
        <w:tc>
          <w:tcPr>
            <w:tcW w:w="4140" w:type="dxa"/>
            <w:vAlign w:val="bottom"/>
          </w:tcPr>
          <w:p>
            <w:pPr>
              <w:spacing w:after="0"/>
              <w:rPr>
                <w:sz w:val="24"/>
                <w:szCs w:val="24"/>
                <w:color w:val="auto"/>
              </w:rPr>
            </w:pPr>
          </w:p>
        </w:tc>
      </w:tr>
      <w:tr>
        <w:trPr>
          <w:trHeight w:val="256"/>
        </w:trPr>
        <w:tc>
          <w:tcPr>
            <w:tcW w:w="2280" w:type="dxa"/>
            <w:vAlign w:val="bottom"/>
          </w:tcPr>
          <w:p>
            <w:pPr>
              <w:spacing w:after="0"/>
              <w:rPr>
                <w:sz w:val="22"/>
                <w:szCs w:val="22"/>
                <w:color w:val="auto"/>
              </w:rPr>
            </w:pPr>
          </w:p>
        </w:tc>
        <w:tc>
          <w:tcPr>
            <w:tcW w:w="4840" w:type="dxa"/>
            <w:vAlign w:val="bottom"/>
            <w:gridSpan w:val="3"/>
          </w:tcPr>
          <w:p>
            <w:pPr>
              <w:jc w:val="center"/>
              <w:ind w:right="2440"/>
              <w:spacing w:after="0"/>
              <w:rPr>
                <w:sz w:val="20"/>
                <w:szCs w:val="20"/>
                <w:color w:val="auto"/>
              </w:rPr>
            </w:pPr>
            <w:r>
              <w:rPr>
                <w:rFonts w:ascii="Times New Roman" w:cs="Times New Roman" w:eastAsia="Times New Roman" w:hAnsi="Times New Roman"/>
                <w:sz w:val="18"/>
                <w:szCs w:val="18"/>
                <w:b w:val="1"/>
                <w:bCs w:val="1"/>
                <w:color w:val="auto"/>
                <w:w w:val="99"/>
              </w:rPr>
              <w:t>Durham, North Carolina</w:t>
            </w:r>
          </w:p>
        </w:tc>
        <w:tc>
          <w:tcPr>
            <w:tcW w:w="4140" w:type="dxa"/>
            <w:vAlign w:val="bottom"/>
          </w:tcPr>
          <w:p>
            <w:pPr>
              <w:jc w:val="right"/>
              <w:ind w:right="1850"/>
              <w:spacing w:after="0"/>
              <w:rPr>
                <w:sz w:val="20"/>
                <w:szCs w:val="20"/>
                <w:color w:val="auto"/>
              </w:rPr>
            </w:pPr>
            <w:r>
              <w:rPr>
                <w:rFonts w:ascii="Times New Roman" w:cs="Times New Roman" w:eastAsia="Times New Roman" w:hAnsi="Times New Roman"/>
                <w:sz w:val="18"/>
                <w:szCs w:val="18"/>
                <w:b w:val="1"/>
                <w:bCs w:val="1"/>
                <w:color w:val="auto"/>
              </w:rPr>
              <w:t>27703</w:t>
            </w:r>
          </w:p>
        </w:tc>
      </w:tr>
      <w:tr>
        <w:trPr>
          <w:trHeight w:val="257"/>
        </w:trPr>
        <w:tc>
          <w:tcPr>
            <w:tcW w:w="712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1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(Zip Code)</w:t>
            </w:r>
          </w:p>
        </w:tc>
      </w:tr>
      <w:tr>
        <w:trPr>
          <w:trHeight w:val="481"/>
        </w:trPr>
        <w:tc>
          <w:tcPr>
            <w:tcW w:w="2280" w:type="dxa"/>
            <w:vAlign w:val="bottom"/>
          </w:tcPr>
          <w:p>
            <w:pPr>
              <w:spacing w:after="0"/>
              <w:rPr>
                <w:sz w:val="24"/>
                <w:szCs w:val="24"/>
                <w:color w:val="auto"/>
              </w:rPr>
            </w:pPr>
          </w:p>
        </w:tc>
        <w:tc>
          <w:tcPr>
            <w:tcW w:w="4140" w:type="dxa"/>
            <w:vAlign w:val="bottom"/>
            <w:gridSpan w:val="2"/>
          </w:tcPr>
          <w:p>
            <w:pPr>
              <w:jc w:val="center"/>
              <w:ind w:left="2450"/>
              <w:spacing w:after="0"/>
              <w:rPr>
                <w:sz w:val="20"/>
                <w:szCs w:val="20"/>
                <w:color w:val="auto"/>
              </w:rPr>
            </w:pPr>
            <w:r>
              <w:rPr>
                <w:rFonts w:ascii="Times New Roman" w:cs="Times New Roman" w:eastAsia="Times New Roman" w:hAnsi="Times New Roman"/>
                <w:sz w:val="18"/>
                <w:szCs w:val="18"/>
                <w:b w:val="1"/>
                <w:bCs w:val="1"/>
                <w:color w:val="auto"/>
              </w:rPr>
              <w:t>+1-919-859-1302</w:t>
            </w:r>
          </w:p>
        </w:tc>
        <w:tc>
          <w:tcPr>
            <w:tcW w:w="70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234"/>
        </w:trPr>
        <w:tc>
          <w:tcPr>
            <w:tcW w:w="2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40" w:type="dxa"/>
            <w:vAlign w:val="bottom"/>
            <w:gridSpan w:val="3"/>
          </w:tcPr>
          <w:p>
            <w:pPr>
              <w:jc w:val="center"/>
              <w:ind w:right="315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r>
        <w:trPr>
          <w:trHeight w:val="405"/>
        </w:trPr>
        <w:tc>
          <w:tcPr>
            <w:tcW w:w="7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4140" w:type="dxa"/>
            <w:vAlign w:val="bottom"/>
          </w:tcPr>
          <w:p>
            <w:pPr>
              <w:spacing w:after="0"/>
              <w:rPr>
                <w:sz w:val="24"/>
                <w:szCs w:val="24"/>
                <w:color w:val="auto"/>
              </w:rPr>
            </w:pPr>
          </w:p>
        </w:tc>
      </w:tr>
      <w:tr>
        <w:trPr>
          <w:trHeight w:val="202"/>
        </w:trPr>
        <w:tc>
          <w:tcPr>
            <w:tcW w:w="2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4140" w:type="dxa"/>
            <w:vAlign w:val="bottom"/>
            <w:tcBorders>
              <w:bottom w:val="single" w:sz="8" w:color="auto"/>
            </w:tcBorders>
          </w:tcPr>
          <w:p>
            <w:pPr>
              <w:spacing w:after="0"/>
              <w:rPr>
                <w:sz w:val="17"/>
                <w:szCs w:val="17"/>
                <w:color w:val="auto"/>
              </w:rPr>
            </w:pPr>
          </w:p>
        </w:tc>
      </w:tr>
      <w:tr>
        <w:trPr>
          <w:trHeight w:val="244"/>
        </w:trPr>
        <w:tc>
          <w:tcPr>
            <w:tcW w:w="2280" w:type="dxa"/>
            <w:vAlign w:val="bottom"/>
            <w:tcBorders>
              <w:left w:val="single" w:sz="8" w:color="auto"/>
              <w:bottom w:val="single" w:sz="8" w:color="auto"/>
            </w:tcBorders>
          </w:tcPr>
          <w:p>
            <w:pPr>
              <w:jc w:val="center"/>
              <w:ind w:left="85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940" w:type="dxa"/>
            <w:vAlign w:val="bottom"/>
            <w:tcBorders>
              <w:bottom w:val="single" w:sz="8" w:color="auto"/>
              <w:right w:val="single" w:sz="8" w:color="auto"/>
            </w:tcBorders>
          </w:tcPr>
          <w:p>
            <w:pPr>
              <w:spacing w:after="0"/>
              <w:rPr>
                <w:sz w:val="21"/>
                <w:szCs w:val="21"/>
                <w:color w:val="auto"/>
              </w:rPr>
            </w:pPr>
          </w:p>
        </w:tc>
        <w:tc>
          <w:tcPr>
            <w:tcW w:w="3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700" w:type="dxa"/>
            <w:vAlign w:val="bottom"/>
            <w:tcBorders>
              <w:bottom w:val="single" w:sz="8" w:color="auto"/>
            </w:tcBorders>
          </w:tcPr>
          <w:p>
            <w:pPr>
              <w:spacing w:after="0"/>
              <w:rPr>
                <w:sz w:val="21"/>
                <w:szCs w:val="21"/>
                <w:color w:val="auto"/>
              </w:rPr>
            </w:pPr>
          </w:p>
        </w:tc>
        <w:tc>
          <w:tcPr>
            <w:tcW w:w="4140" w:type="dxa"/>
            <w:vAlign w:val="bottom"/>
            <w:tcBorders>
              <w:bottom w:val="single" w:sz="8" w:color="auto"/>
              <w:right w:val="single" w:sz="8" w:color="auto"/>
            </w:tcBorders>
          </w:tcPr>
          <w:p>
            <w:pPr>
              <w:jc w:val="center"/>
              <w:ind w:right="63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50"/>
        </w:trPr>
        <w:tc>
          <w:tcPr>
            <w:tcW w:w="2280" w:type="dxa"/>
            <w:vAlign w:val="bottom"/>
            <w:tcBorders>
              <w:left w:val="single" w:sz="8" w:color="auto"/>
              <w:bottom w:val="single" w:sz="8" w:color="auto"/>
            </w:tcBorders>
          </w:tcPr>
          <w:p>
            <w:pPr>
              <w:jc w:val="center"/>
              <w:ind w:left="870"/>
              <w:spacing w:after="0"/>
              <w:rPr>
                <w:sz w:val="20"/>
                <w:szCs w:val="20"/>
                <w:color w:val="auto"/>
              </w:rPr>
            </w:pPr>
            <w:r>
              <w:rPr>
                <w:rFonts w:ascii="Times New Roman" w:cs="Times New Roman" w:eastAsia="Times New Roman" w:hAnsi="Times New Roman"/>
                <w:sz w:val="18"/>
                <w:szCs w:val="18"/>
                <w:color w:val="auto"/>
                <w:w w:val="99"/>
              </w:rPr>
              <w:t>Common Stock</w:t>
            </w:r>
          </w:p>
        </w:tc>
        <w:tc>
          <w:tcPr>
            <w:tcW w:w="940" w:type="dxa"/>
            <w:vAlign w:val="bottom"/>
            <w:tcBorders>
              <w:bottom w:val="single" w:sz="8" w:color="auto"/>
              <w:right w:val="single" w:sz="8" w:color="auto"/>
            </w:tcBorders>
          </w:tcPr>
          <w:p>
            <w:pPr>
              <w:spacing w:after="0"/>
              <w:rPr>
                <w:sz w:val="21"/>
                <w:szCs w:val="21"/>
                <w:color w:val="auto"/>
              </w:rPr>
            </w:pPr>
          </w:p>
        </w:tc>
        <w:tc>
          <w:tcPr>
            <w:tcW w:w="3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BCRX</w:t>
            </w:r>
          </w:p>
        </w:tc>
        <w:tc>
          <w:tcPr>
            <w:tcW w:w="700" w:type="dxa"/>
            <w:vAlign w:val="bottom"/>
            <w:tcBorders>
              <w:bottom w:val="single" w:sz="8" w:color="auto"/>
            </w:tcBorders>
          </w:tcPr>
          <w:p>
            <w:pPr>
              <w:spacing w:after="0"/>
              <w:rPr>
                <w:sz w:val="21"/>
                <w:szCs w:val="21"/>
                <w:color w:val="auto"/>
              </w:rPr>
            </w:pPr>
          </w:p>
        </w:tc>
        <w:tc>
          <w:tcPr>
            <w:tcW w:w="4140" w:type="dxa"/>
            <w:vAlign w:val="bottom"/>
            <w:tcBorders>
              <w:bottom w:val="single" w:sz="8" w:color="auto"/>
              <w:right w:val="single" w:sz="8" w:color="auto"/>
            </w:tcBorders>
          </w:tcPr>
          <w:p>
            <w:pPr>
              <w:jc w:val="center"/>
              <w:ind w:right="630"/>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252" w:lineRule="exact"/>
        <w:rPr>
          <w:sz w:val="24"/>
          <w:szCs w:val="24"/>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35" w:lineRule="exact"/>
        <w:rPr>
          <w:sz w:val="24"/>
          <w:szCs w:val="24"/>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49" w:lineRule="exact"/>
        <w:rPr>
          <w:sz w:val="24"/>
          <w:szCs w:val="24"/>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6" w:lineRule="exact"/>
        <w:rPr>
          <w:sz w:val="24"/>
          <w:szCs w:val="24"/>
          <w:color w:val="auto"/>
        </w:rPr>
      </w:pPr>
    </w:p>
    <w:tbl>
      <w:tblPr>
        <w:tblLayout w:type="fixed"/>
        <w:tblInd w:w="20" w:type="dxa"/>
        <w:tblCellMar>
          <w:top w:w="0" w:type="dxa"/>
          <w:left w:w="0" w:type="dxa"/>
          <w:bottom w:w="0" w:type="dxa"/>
          <w:right w:w="0" w:type="dxa"/>
        </w:tblCellMar>
      </w:tblPr>
      <w:tr>
        <w:trPr>
          <w:trHeight w:val="207"/>
        </w:trPr>
        <w:tc>
          <w:tcPr>
            <w:tcW w:w="27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552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Accelerated filer</w:t>
            </w:r>
          </w:p>
        </w:tc>
      </w:tr>
      <w:tr>
        <w:trPr>
          <w:trHeight w:val="243"/>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800" w:type="dxa"/>
            <w:vAlign w:val="bottom"/>
          </w:tcPr>
          <w:p>
            <w:pPr>
              <w:ind w:left="1100"/>
              <w:spacing w:after="0" w:line="198" w:lineRule="exact"/>
              <w:rPr>
                <w:sz w:val="20"/>
                <w:szCs w:val="20"/>
                <w:color w:val="auto"/>
              </w:rPr>
            </w:pPr>
            <w:r>
              <w:rPr>
                <w:rFonts w:ascii="Wingdings" w:cs="Wingdings" w:eastAsia="Wingdings" w:hAnsi="Wingdings"/>
                <w:sz w:val="18"/>
                <w:szCs w:val="18"/>
                <w:b w:val="1"/>
                <w:bCs w:val="1"/>
                <w:color w:val="auto"/>
              </w:rPr>
              <w:t>x</w:t>
            </w:r>
          </w:p>
        </w:tc>
        <w:tc>
          <w:tcPr>
            <w:tcW w:w="5520" w:type="dxa"/>
            <w:vAlign w:val="bottom"/>
          </w:tcPr>
          <w:p>
            <w:pPr>
              <w:ind w:left="5360"/>
              <w:spacing w:after="0" w:line="198" w:lineRule="exact"/>
              <w:rPr>
                <w:sz w:val="20"/>
                <w:szCs w:val="20"/>
                <w:color w:val="auto"/>
              </w:rPr>
            </w:pPr>
            <w:r>
              <w:rPr>
                <w:rFonts w:ascii="Wingdings" w:cs="Wingdings" w:eastAsia="Wingdings" w:hAnsi="Wingdings"/>
                <w:sz w:val="18"/>
                <w:szCs w:val="18"/>
                <w:b w:val="1"/>
                <w:bCs w:val="1"/>
                <w:color w:val="auto"/>
                <w:w w:val="86"/>
              </w:rPr>
              <w:t>o</w:t>
            </w:r>
          </w:p>
        </w:tc>
      </w:tr>
      <w:tr>
        <w:trPr>
          <w:trHeight w:val="203"/>
        </w:trPr>
        <w:tc>
          <w:tcPr>
            <w:tcW w:w="27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Non-accelerated filer</w:t>
            </w:r>
          </w:p>
        </w:tc>
        <w:tc>
          <w:tcPr>
            <w:tcW w:w="2800" w:type="dxa"/>
            <w:vAlign w:val="bottom"/>
          </w:tcPr>
          <w:p>
            <w:pPr>
              <w:spacing w:after="0"/>
              <w:rPr>
                <w:sz w:val="17"/>
                <w:szCs w:val="17"/>
                <w:color w:val="auto"/>
              </w:rPr>
            </w:pPr>
          </w:p>
        </w:tc>
        <w:tc>
          <w:tcPr>
            <w:tcW w:w="5520" w:type="dxa"/>
            <w:vAlign w:val="bottom"/>
          </w:tcPr>
          <w:p>
            <w:pPr>
              <w:ind w:left="1520"/>
              <w:spacing w:after="0" w:line="203" w:lineRule="exact"/>
              <w:rPr>
                <w:sz w:val="20"/>
                <w:szCs w:val="20"/>
                <w:color w:val="auto"/>
              </w:rPr>
            </w:pPr>
            <w:r>
              <w:rPr>
                <w:rFonts w:ascii="Times New Roman" w:cs="Times New Roman" w:eastAsia="Times New Roman" w:hAnsi="Times New Roman"/>
                <w:sz w:val="18"/>
                <w:szCs w:val="18"/>
                <w:color w:val="auto"/>
              </w:rPr>
              <w:t>Smaller reporting company</w:t>
            </w:r>
          </w:p>
        </w:tc>
      </w:tr>
      <w:tr>
        <w:trPr>
          <w:trHeight w:val="198"/>
        </w:trPr>
        <w:tc>
          <w:tcPr>
            <w:tcW w:w="2720" w:type="dxa"/>
            <w:vAlign w:val="bottom"/>
          </w:tcPr>
          <w:p>
            <w:pPr>
              <w:spacing w:after="0"/>
              <w:rPr>
                <w:sz w:val="17"/>
                <w:szCs w:val="17"/>
                <w:color w:val="auto"/>
              </w:rPr>
            </w:pPr>
          </w:p>
        </w:tc>
        <w:tc>
          <w:tcPr>
            <w:tcW w:w="2800" w:type="dxa"/>
            <w:vAlign w:val="bottom"/>
          </w:tcPr>
          <w:p>
            <w:pPr>
              <w:ind w:left="1100"/>
              <w:spacing w:after="0" w:line="198" w:lineRule="exact"/>
              <w:rPr>
                <w:sz w:val="20"/>
                <w:szCs w:val="20"/>
                <w:color w:val="auto"/>
              </w:rPr>
            </w:pPr>
            <w:r>
              <w:rPr>
                <w:rFonts w:ascii="Wingdings" w:cs="Wingdings" w:eastAsia="Wingdings" w:hAnsi="Wingdings"/>
                <w:sz w:val="18"/>
                <w:szCs w:val="18"/>
                <w:b w:val="1"/>
                <w:bCs w:val="1"/>
                <w:color w:val="auto"/>
              </w:rPr>
              <w:t>o</w:t>
            </w:r>
          </w:p>
        </w:tc>
        <w:tc>
          <w:tcPr>
            <w:tcW w:w="5520" w:type="dxa"/>
            <w:vAlign w:val="bottom"/>
          </w:tcPr>
          <w:p>
            <w:pPr>
              <w:ind w:left="5360"/>
              <w:spacing w:after="0" w:line="198" w:lineRule="exact"/>
              <w:rPr>
                <w:sz w:val="20"/>
                <w:szCs w:val="20"/>
                <w:color w:val="auto"/>
              </w:rPr>
            </w:pPr>
            <w:r>
              <w:rPr>
                <w:rFonts w:ascii="Wingdings" w:cs="Wingdings" w:eastAsia="Wingdings" w:hAnsi="Wingdings"/>
                <w:sz w:val="18"/>
                <w:szCs w:val="18"/>
                <w:b w:val="1"/>
                <w:bCs w:val="1"/>
                <w:color w:val="auto"/>
                <w:w w:val="86"/>
              </w:rPr>
              <w:t>o</w:t>
            </w:r>
          </w:p>
        </w:tc>
      </w:tr>
      <w:tr>
        <w:trPr>
          <w:trHeight w:val="248"/>
        </w:trPr>
        <w:tc>
          <w:tcPr>
            <w:tcW w:w="272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552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Emerging growth company</w:t>
            </w:r>
          </w:p>
        </w:tc>
      </w:tr>
      <w:tr>
        <w:trPr>
          <w:trHeight w:val="198"/>
        </w:trPr>
        <w:tc>
          <w:tcPr>
            <w:tcW w:w="27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5520" w:type="dxa"/>
            <w:vAlign w:val="bottom"/>
          </w:tcPr>
          <w:p>
            <w:pPr>
              <w:ind w:left="5360"/>
              <w:spacing w:after="0" w:line="198" w:lineRule="exact"/>
              <w:rPr>
                <w:sz w:val="20"/>
                <w:szCs w:val="20"/>
                <w:color w:val="auto"/>
              </w:rPr>
            </w:pPr>
            <w:r>
              <w:rPr>
                <w:rFonts w:ascii="Wingdings" w:cs="Wingdings" w:eastAsia="Wingdings" w:hAnsi="Wingdings"/>
                <w:sz w:val="18"/>
                <w:szCs w:val="18"/>
                <w:b w:val="1"/>
                <w:bCs w:val="1"/>
                <w:color w:val="auto"/>
                <w:w w:val="86"/>
              </w:rPr>
              <w:t>o</w:t>
            </w:r>
          </w:p>
        </w:tc>
      </w:tr>
    </w:tbl>
    <w:p>
      <w:pPr>
        <w:spacing w:after="0" w:line="297" w:lineRule="exact"/>
        <w:rPr>
          <w:sz w:val="24"/>
          <w:szCs w:val="24"/>
          <w:color w:val="auto"/>
        </w:rPr>
      </w:pPr>
    </w:p>
    <w:p>
      <w:pPr>
        <w:jc w:val="both"/>
        <w:ind w:right="18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Common Stock, par value $0.01, of the Registrant outstanding as of April 30, 2024 was 206,377,088.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775970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229"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0" w:type="dxa"/>
            <w:vAlign w:val="bottom"/>
            <w:gridSpan w:val="8"/>
          </w:tcPr>
          <w:p>
            <w:pPr>
              <w:jc w:val="center"/>
              <w:ind w:right="1420"/>
              <w:spacing w:after="0"/>
              <w:rPr>
                <w:sz w:val="20"/>
                <w:szCs w:val="20"/>
                <w:color w:val="auto"/>
              </w:rPr>
            </w:pPr>
            <w:r>
              <w:rPr>
                <w:rFonts w:ascii="Times New Roman" w:cs="Times New Roman" w:eastAsia="Times New Roman" w:hAnsi="Times New Roman"/>
                <w:sz w:val="18"/>
                <w:szCs w:val="18"/>
                <w:b w:val="1"/>
                <w:bCs w:val="1"/>
                <w:color w:val="auto"/>
                <w:w w:val="99"/>
              </w:rPr>
              <w:t>BIOCRYST PHARMACEUTICALS, INC.</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05"/>
        </w:trPr>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0" w:type="dxa"/>
            <w:vAlign w:val="bottom"/>
            <w:gridSpan w:val="5"/>
          </w:tcPr>
          <w:p>
            <w:pPr>
              <w:jc w:val="center"/>
              <w:ind w:right="402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3"/>
        </w:trPr>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90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Page No.</w:t>
            </w:r>
          </w:p>
        </w:tc>
      </w:tr>
      <w:tr>
        <w:trPr>
          <w:trHeight w:val="459"/>
        </w:trPr>
        <w:tc>
          <w:tcPr>
            <w:tcW w:w="41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Cautionary Note Regarding Forward-Looking Statements</w:t>
            </w:r>
          </w:p>
        </w:tc>
        <w:tc>
          <w:tcPr>
            <w:tcW w:w="6160" w:type="dxa"/>
            <w:vAlign w:val="bottom"/>
            <w:gridSpan w:val="6"/>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u w:val="single" w:color="auto"/>
                <w:color w:val="0000FF"/>
              </w:rPr>
              <w:t>i</w:t>
            </w:r>
          </w:p>
        </w:tc>
      </w:tr>
      <w:tr>
        <w:trPr>
          <w:trHeight w:val="237"/>
        </w:trPr>
        <w:tc>
          <w:tcPr>
            <w:tcW w:w="103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Risk Factor Summary</w:t>
            </w:r>
          </w:p>
        </w:tc>
        <w:tc>
          <w:tcPr>
            <w:tcW w:w="700" w:type="dxa"/>
            <w:vAlign w:val="bottom"/>
          </w:tcPr>
          <w:p>
            <w:pPr>
              <w:spacing w:after="0"/>
              <w:rPr>
                <w:sz w:val="20"/>
                <w:szCs w:val="20"/>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ii</w:t>
            </w:r>
          </w:p>
        </w:tc>
      </w:tr>
      <w:tr>
        <w:trPr>
          <w:trHeight w:val="20"/>
        </w:trPr>
        <w:tc>
          <w:tcPr>
            <w:tcW w:w="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103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Part I. Financial Information</w:t>
            </w: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1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9"/>
              </w:rPr>
              <w:t>Item 1. Financial Statements:</w:t>
            </w:r>
          </w:p>
        </w:tc>
        <w:tc>
          <w:tcPr>
            <w:tcW w:w="8200" w:type="dxa"/>
            <w:vAlign w:val="bottom"/>
            <w:gridSpan w:val="9"/>
          </w:tcPr>
          <w:p>
            <w:pPr>
              <w:spacing w:after="0"/>
              <w:rPr>
                <w:sz w:val="20"/>
                <w:szCs w:val="20"/>
                <w:color w:val="auto"/>
              </w:rPr>
            </w:pP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60" w:type="dxa"/>
            <w:vAlign w:val="bottom"/>
          </w:tcPr>
          <w:p>
            <w:pPr>
              <w:spacing w:after="0"/>
              <w:rPr>
                <w:sz w:val="20"/>
                <w:szCs w:val="20"/>
                <w:color w:val="auto"/>
              </w:rPr>
            </w:pPr>
          </w:p>
        </w:tc>
        <w:tc>
          <w:tcPr>
            <w:tcW w:w="101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March 31, 2024 and December 31, 2023</w:t>
            </w: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1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160" w:type="dxa"/>
            <w:vAlign w:val="bottom"/>
          </w:tcPr>
          <w:p>
            <w:pPr>
              <w:spacing w:after="0"/>
              <w:rPr>
                <w:sz w:val="20"/>
                <w:szCs w:val="20"/>
                <w:color w:val="auto"/>
              </w:rPr>
            </w:pPr>
          </w:p>
        </w:tc>
        <w:tc>
          <w:tcPr>
            <w:tcW w:w="83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Loss for the Three Months Ended March 31, 2024 and 2023</w:t>
            </w:r>
          </w:p>
        </w:tc>
        <w:tc>
          <w:tcPr>
            <w:tcW w:w="1780" w:type="dxa"/>
            <w:vAlign w:val="bottom"/>
          </w:tcPr>
          <w:p>
            <w:pPr>
              <w:spacing w:after="0"/>
              <w:rPr>
                <w:sz w:val="20"/>
                <w:szCs w:val="20"/>
                <w:color w:val="auto"/>
              </w:rPr>
            </w:pP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w:t>
            </w:r>
          </w:p>
        </w:tc>
      </w:tr>
      <w:tr>
        <w:trPr>
          <w:trHeight w:val="20"/>
        </w:trPr>
        <w:tc>
          <w:tcPr>
            <w:tcW w:w="1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60" w:type="dxa"/>
            <w:vAlign w:val="bottom"/>
          </w:tcPr>
          <w:p>
            <w:pPr>
              <w:spacing w:after="0"/>
              <w:rPr>
                <w:sz w:val="20"/>
                <w:szCs w:val="20"/>
                <w:color w:val="auto"/>
              </w:rPr>
            </w:pPr>
          </w:p>
        </w:tc>
        <w:tc>
          <w:tcPr>
            <w:tcW w:w="83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Three Months Ended March 31, 2024 and 2023</w:t>
            </w:r>
          </w:p>
        </w:tc>
        <w:tc>
          <w:tcPr>
            <w:tcW w:w="1780" w:type="dxa"/>
            <w:vAlign w:val="bottom"/>
          </w:tcPr>
          <w:p>
            <w:pPr>
              <w:spacing w:after="0"/>
              <w:rPr>
                <w:sz w:val="20"/>
                <w:szCs w:val="20"/>
                <w:color w:val="auto"/>
              </w:rPr>
            </w:pP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1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60" w:type="dxa"/>
            <w:vAlign w:val="bottom"/>
          </w:tcPr>
          <w:p>
            <w:pPr>
              <w:spacing w:after="0"/>
              <w:rPr>
                <w:sz w:val="20"/>
                <w:szCs w:val="20"/>
                <w:color w:val="auto"/>
              </w:rPr>
            </w:pPr>
          </w:p>
        </w:tc>
        <w:tc>
          <w:tcPr>
            <w:tcW w:w="101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Deficit for the Three Months Ended March 31, 2024 and 2023</w:t>
            </w: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1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780" w:type="dxa"/>
            <w:vAlign w:val="bottom"/>
            <w:tcBorders>
              <w:left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40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6320" w:type="dxa"/>
            <w:vAlign w:val="bottom"/>
            <w:gridSpan w:val="7"/>
          </w:tcPr>
          <w:p>
            <w:pPr>
              <w:spacing w:after="0"/>
              <w:rPr>
                <w:sz w:val="20"/>
                <w:szCs w:val="20"/>
                <w:color w:val="auto"/>
              </w:rPr>
            </w:pP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6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30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702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Item 2. Management’s Discussion and Analysis of Financial Condition and Results of Operations</w:t>
            </w:r>
          </w:p>
        </w:tc>
        <w:tc>
          <w:tcPr>
            <w:tcW w:w="3300" w:type="dxa"/>
            <w:vAlign w:val="bottom"/>
            <w:gridSpan w:val="3"/>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29</w:t>
            </w:r>
          </w:p>
        </w:tc>
        <w:tc>
          <w:tcPr>
            <w:tcW w:w="20" w:type="dxa"/>
            <w:vAlign w:val="bottom"/>
          </w:tcPr>
          <w:p>
            <w:pPr>
              <w:spacing w:after="0"/>
              <w:rPr>
                <w:sz w:val="20"/>
                <w:szCs w:val="20"/>
                <w:color w:val="auto"/>
              </w:rPr>
            </w:pPr>
          </w:p>
        </w:tc>
      </w:tr>
      <w:tr>
        <w:trPr>
          <w:trHeight w:val="236"/>
        </w:trPr>
        <w:tc>
          <w:tcPr>
            <w:tcW w:w="49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5400" w:type="dxa"/>
            <w:vAlign w:val="bottom"/>
            <w:gridSpan w:val="5"/>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40</w:t>
            </w:r>
          </w:p>
        </w:tc>
        <w:tc>
          <w:tcPr>
            <w:tcW w:w="20" w:type="dxa"/>
            <w:vAlign w:val="bottom"/>
          </w:tcPr>
          <w:p>
            <w:pPr>
              <w:spacing w:after="0"/>
              <w:rPr>
                <w:sz w:val="20"/>
                <w:szCs w:val="20"/>
                <w:color w:val="auto"/>
              </w:rPr>
            </w:pPr>
          </w:p>
        </w:tc>
      </w:tr>
      <w:tr>
        <w:trPr>
          <w:trHeight w:val="237"/>
        </w:trPr>
        <w:tc>
          <w:tcPr>
            <w:tcW w:w="103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4. Controls and Procedures</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41</w:t>
            </w:r>
          </w:p>
        </w:tc>
        <w:tc>
          <w:tcPr>
            <w:tcW w:w="20" w:type="dxa"/>
            <w:vAlign w:val="bottom"/>
          </w:tcPr>
          <w:p>
            <w:pPr>
              <w:spacing w:after="0"/>
              <w:rPr>
                <w:sz w:val="20"/>
                <w:szCs w:val="20"/>
                <w:color w:val="auto"/>
              </w:rPr>
            </w:pPr>
          </w:p>
        </w:tc>
      </w:tr>
      <w:tr>
        <w:trPr>
          <w:trHeight w:val="237"/>
        </w:trPr>
        <w:tc>
          <w:tcPr>
            <w:tcW w:w="232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Part II. Other Information</w:t>
            </w:r>
          </w:p>
        </w:tc>
        <w:tc>
          <w:tcPr>
            <w:tcW w:w="8000" w:type="dxa"/>
            <w:vAlign w:val="bottom"/>
            <w:gridSpan w:val="8"/>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43</w:t>
            </w:r>
          </w:p>
        </w:tc>
        <w:tc>
          <w:tcPr>
            <w:tcW w:w="20" w:type="dxa"/>
            <w:vAlign w:val="bottom"/>
          </w:tcPr>
          <w:p>
            <w:pPr>
              <w:spacing w:after="0"/>
              <w:rPr>
                <w:sz w:val="20"/>
                <w:szCs w:val="20"/>
                <w:color w:val="auto"/>
              </w:rPr>
            </w:pPr>
          </w:p>
        </w:tc>
      </w:tr>
      <w:tr>
        <w:trPr>
          <w:trHeight w:val="237"/>
        </w:trPr>
        <w:tc>
          <w:tcPr>
            <w:tcW w:w="160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Item 1A. Risk Factors</w:t>
            </w:r>
          </w:p>
        </w:tc>
        <w:tc>
          <w:tcPr>
            <w:tcW w:w="260" w:type="dxa"/>
            <w:vAlign w:val="bottom"/>
            <w:tcBorders>
              <w:top w:val="single" w:sz="8" w:color="0000FF"/>
            </w:tcBorders>
          </w:tcPr>
          <w:p>
            <w:pPr>
              <w:spacing w:after="0"/>
              <w:rPr>
                <w:sz w:val="20"/>
                <w:szCs w:val="20"/>
                <w:color w:val="auto"/>
              </w:rPr>
            </w:pPr>
          </w:p>
        </w:tc>
        <w:tc>
          <w:tcPr>
            <w:tcW w:w="8460" w:type="dxa"/>
            <w:vAlign w:val="bottom"/>
            <w:gridSpan w:val="12"/>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43</w:t>
            </w:r>
          </w:p>
        </w:tc>
        <w:tc>
          <w:tcPr>
            <w:tcW w:w="20" w:type="dxa"/>
            <w:vAlign w:val="bottom"/>
          </w:tcPr>
          <w:p>
            <w:pPr>
              <w:spacing w:after="0"/>
              <w:rPr>
                <w:sz w:val="20"/>
                <w:szCs w:val="20"/>
                <w:color w:val="auto"/>
              </w:rPr>
            </w:pPr>
          </w:p>
        </w:tc>
      </w:tr>
      <w:tr>
        <w:trPr>
          <w:trHeight w:val="237"/>
        </w:trPr>
        <w:tc>
          <w:tcPr>
            <w:tcW w:w="18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Item 5. Other Information</w:t>
            </w:r>
          </w:p>
        </w:tc>
        <w:tc>
          <w:tcPr>
            <w:tcW w:w="8440" w:type="dxa"/>
            <w:vAlign w:val="bottom"/>
            <w:gridSpan w:val="11"/>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71</w:t>
            </w:r>
          </w:p>
        </w:tc>
        <w:tc>
          <w:tcPr>
            <w:tcW w:w="20" w:type="dxa"/>
            <w:vAlign w:val="bottom"/>
          </w:tcPr>
          <w:p>
            <w:pPr>
              <w:spacing w:after="0"/>
              <w:rPr>
                <w:sz w:val="20"/>
                <w:szCs w:val="20"/>
                <w:color w:val="auto"/>
              </w:rPr>
            </w:pPr>
          </w:p>
        </w:tc>
      </w:tr>
      <w:tr>
        <w:trPr>
          <w:trHeight w:val="236"/>
        </w:trPr>
        <w:tc>
          <w:tcPr>
            <w:tcW w:w="103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6. Exhibits</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72</w:t>
            </w:r>
          </w:p>
        </w:tc>
        <w:tc>
          <w:tcPr>
            <w:tcW w:w="20" w:type="dxa"/>
            <w:vAlign w:val="bottom"/>
          </w:tcPr>
          <w:p>
            <w:pPr>
              <w:spacing w:after="0"/>
              <w:rPr>
                <w:sz w:val="20"/>
                <w:szCs w:val="20"/>
                <w:color w:val="auto"/>
              </w:rPr>
            </w:pPr>
          </w:p>
        </w:tc>
      </w:tr>
      <w:tr>
        <w:trPr>
          <w:trHeight w:val="237"/>
        </w:trPr>
        <w:tc>
          <w:tcPr>
            <w:tcW w:w="116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9160" w:type="dxa"/>
            <w:vAlign w:val="bottom"/>
            <w:gridSpan w:val="15"/>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73</w:t>
            </w:r>
          </w:p>
        </w:tc>
        <w:tc>
          <w:tcPr>
            <w:tcW w:w="20" w:type="dxa"/>
            <w:vAlign w:val="bottom"/>
          </w:tcPr>
          <w:p>
            <w:pPr>
              <w:spacing w:after="0"/>
              <w:rPr>
                <w:sz w:val="20"/>
                <w:szCs w:val="20"/>
                <w:color w:val="auto"/>
              </w:rPr>
            </w:pPr>
          </w:p>
        </w:tc>
      </w:tr>
      <w:tr>
        <w:trPr>
          <w:trHeight w:val="507"/>
        </w:trPr>
        <w:tc>
          <w:tcPr>
            <w:tcW w:w="76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EX-31.1</w:t>
            </w:r>
          </w:p>
        </w:tc>
        <w:tc>
          <w:tcPr>
            <w:tcW w:w="9560" w:type="dxa"/>
            <w:vAlign w:val="bottom"/>
            <w:gridSpan w:val="16"/>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620" w:type="dxa"/>
            <w:vAlign w:val="bottom"/>
            <w:gridSpan w:val="2"/>
            <w:shd w:val="clear" w:color="auto" w:fill="0000FF"/>
          </w:tcPr>
          <w:p>
            <w:pPr>
              <w:spacing w:after="0" w:line="20" w:lineRule="exact"/>
              <w:rPr>
                <w:sz w:val="1"/>
                <w:szCs w:val="1"/>
                <w:color w:val="auto"/>
              </w:rPr>
            </w:pPr>
          </w:p>
        </w:tc>
        <w:tc>
          <w:tcPr>
            <w:tcW w:w="9700" w:type="dxa"/>
            <w:vAlign w:val="bottom"/>
            <w:gridSpan w:val="17"/>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103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EX-31.2</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EX-32.1</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EX-32.2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655955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 xml:space="preserve">When used in this report, unless otherwise indicated,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BioCryst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refer to BioCryst Pharmaceuticals,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and, where appropriate, its subsidiaries.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89"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(this “report”) includes forward-looking statements within the meaning of Section 21E of the Securities Exchange Act of 1934, as amended (the “Exchange Act”), which are subject to the “safe harbor” created in Section 21E. In particular, statements about our expectations, beliefs, plans, objectives or assumptions of future events or performance are contained or incorporated by reference in this report. All statements other than statements of historical facts contained herein are forward-looking statements. These forward-looking statements can generally be identified by the use of words such as “may,” “will,” “intends,” “plans,” “believes,” “anticipates,” “expects,” “estimates,” “predicts,” “potential,” the negative of these words or similar expressions. Statements that describe our future plans, strategies, intentions, expectations, objectives, goals or prospects are also forward-looking statements. Discussions containing these forward-looking statements are principally contained in the “Risk Factors” and “Management’s Discussion and Analysis of Financial Condition and Results of Operations” sections of this report, as well as any amendments we make to those sections in filings with the Securities and Exchange Commission (“SEC”). These forward-looking statements include, but are not limited to, statements about:</w:t>
      </w:r>
    </w:p>
    <w:p>
      <w:pPr>
        <w:spacing w:after="0" w:line="154" w:lineRule="exact"/>
        <w:rPr>
          <w:sz w:val="20"/>
          <w:szCs w:val="20"/>
          <w:color w:val="auto"/>
        </w:rPr>
      </w:pPr>
    </w:p>
    <w:p>
      <w:pPr>
        <w:ind w:left="820" w:hanging="326"/>
        <w:spacing w:after="0" w:line="266" w:lineRule="auto"/>
        <w:tabs>
          <w:tab w:leader="none" w:pos="8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preclinical development, clinical development, commercialization, or post-marketing studies of our products and product candidates, including ORLADEYO® (berotralstat), BCX10013, and early-stage discovery programs (including BCX17725, avoralstat, and our complement inhibitors), and our plans regarding the same;</w:t>
      </w:r>
    </w:p>
    <w:p>
      <w:pPr>
        <w:spacing w:after="0" w:line="148"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out-licensing of late-stage development and commercialization of BCX10013;</w:t>
      </w:r>
    </w:p>
    <w:p>
      <w:pPr>
        <w:spacing w:after="0" w:line="184"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discovery and commercialization of best-in-class and first-in-class medicines;</w:t>
      </w:r>
    </w:p>
    <w:p>
      <w:pPr>
        <w:spacing w:after="0" w:line="184" w:lineRule="exact"/>
        <w:rPr>
          <w:rFonts w:ascii="Times New Roman" w:cs="Times New Roman" w:eastAsia="Times New Roman" w:hAnsi="Times New Roman"/>
          <w:sz w:val="18"/>
          <w:szCs w:val="18"/>
          <w:color w:val="auto"/>
        </w:rPr>
      </w:pPr>
    </w:p>
    <w:p>
      <w:pPr>
        <w:ind w:left="820" w:right="20" w:hanging="326"/>
        <w:spacing w:after="0" w:line="282" w:lineRule="auto"/>
        <w:tabs>
          <w:tab w:leader="none" w:pos="8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our commercialization of ORLADEYO in the United States and elsewhere and expectations regarding the commercial market for ORLADEYO;</w:t>
      </w:r>
    </w:p>
    <w:p>
      <w:pPr>
        <w:spacing w:after="0" w:line="134"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regulatory approvals, or milestones, royalties or profit from sales of our products by us or our partners;</w:t>
      </w:r>
    </w:p>
    <w:p>
      <w:pPr>
        <w:spacing w:after="0" w:line="184"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strategic plans for our business, products, product candidates and technology;</w:t>
      </w:r>
    </w:p>
    <w:p>
      <w:pPr>
        <w:spacing w:after="0" w:line="184"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collaborations or out-license rights to our products and product candidates;</w:t>
      </w:r>
    </w:p>
    <w:p>
      <w:pPr>
        <w:spacing w:after="0" w:line="198" w:lineRule="exact"/>
        <w:rPr>
          <w:rFonts w:ascii="Times New Roman" w:cs="Times New Roman" w:eastAsia="Times New Roman" w:hAnsi="Times New Roman"/>
          <w:sz w:val="18"/>
          <w:szCs w:val="18"/>
          <w:color w:val="auto"/>
        </w:rPr>
      </w:pPr>
    </w:p>
    <w:p>
      <w:pPr>
        <w:ind w:left="820" w:right="120" w:hanging="326"/>
        <w:spacing w:after="0" w:line="282" w:lineRule="auto"/>
        <w:tabs>
          <w:tab w:leader="none" w:pos="8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plans, programs, progress and potential success of our collaborations, including with Torii Pharmaceutical Co., Ltd. (“Torii”) for ORLADEYO in Japan and Shionogi &amp; Co., Ltd. (“Shionogi”) and Green Cross Corporation (“Green Cross”) for peramivir in their territories;</w:t>
      </w:r>
    </w:p>
    <w:p>
      <w:pPr>
        <w:spacing w:after="0" w:line="121" w:lineRule="exact"/>
        <w:rPr>
          <w:rFonts w:ascii="Times New Roman" w:cs="Times New Roman" w:eastAsia="Times New Roman" w:hAnsi="Times New Roman"/>
          <w:sz w:val="18"/>
          <w:szCs w:val="18"/>
          <w:color w:val="auto"/>
        </w:rPr>
      </w:pPr>
    </w:p>
    <w:p>
      <w:pPr>
        <w:ind w:left="820" w:right="220" w:hanging="326"/>
        <w:spacing w:after="0" w:line="282" w:lineRule="auto"/>
        <w:tabs>
          <w:tab w:leader="none" w:pos="8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subsidiary guarantors’ ability to satisfy obligations under the Pharmakon Loan Agreement (as defined below) and to comply with the covenants as set forth in the agreements governing our debt obligations;</w:t>
      </w:r>
    </w:p>
    <w:p>
      <w:pPr>
        <w:spacing w:after="0" w:line="121" w:lineRule="exact"/>
        <w:rPr>
          <w:rFonts w:ascii="Times New Roman" w:cs="Times New Roman" w:eastAsia="Times New Roman" w:hAnsi="Times New Roman"/>
          <w:sz w:val="18"/>
          <w:szCs w:val="18"/>
          <w:color w:val="auto"/>
        </w:rPr>
      </w:pPr>
    </w:p>
    <w:p>
      <w:pPr>
        <w:ind w:left="820" w:right="440" w:hanging="326"/>
        <w:spacing w:after="0" w:line="282" w:lineRule="auto"/>
        <w:tabs>
          <w:tab w:leader="none" w:pos="8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products, product candidates, and technology;</w:t>
      </w:r>
    </w:p>
    <w:p>
      <w:pPr>
        <w:spacing w:after="0" w:line="134"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our business without infringing the intellectual property rights of others;</w:t>
      </w:r>
    </w:p>
    <w:p>
      <w:pPr>
        <w:spacing w:after="0" w:line="184"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revenues, expenses, capital requirements, annual cash utilization, and our needs for additional capital or financing;</w:t>
      </w:r>
    </w:p>
    <w:p>
      <w:pPr>
        <w:spacing w:after="0" w:line="184"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likelihood of regulatory filings or regulatory agreements, deferrals, approvals, and other decisions;</w:t>
      </w:r>
    </w:p>
    <w:p>
      <w:pPr>
        <w:spacing w:after="0" w:line="198"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liquidity needs to fund our operations or repay our recourse debt obligations;</w:t>
      </w:r>
    </w:p>
    <w:p>
      <w:pPr>
        <w:spacing w:after="0" w:line="184"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84"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and projections regarding financial goals, including timing for achieving profitability or positive cash flow;</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820" w:hanging="326"/>
        <w:spacing w:after="0"/>
        <w:tabs>
          <w:tab w:leader="none" w:pos="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remediate any material weakness in our internal control over financial reporting; and</w:t>
      </w:r>
    </w:p>
    <w:p>
      <w:pPr>
        <w:spacing w:after="0" w:line="198"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companies, technologies, and our industry.</w:t>
      </w:r>
    </w:p>
    <w:p>
      <w:pPr>
        <w:spacing w:after="0" w:line="185"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We have based any forward-looking statements on our current expectations about future events or performance. While we believe these expectations are reasonable, forward-looking statements are inherently subject to known and unknown risks and uncertainties, many of which are beyond our control. Actual results may differ materially from those suggested or implied by these forward-looking statements for various reasons, including those discussed in this report under the heading “Risk Factors” in Part II, Item 1A, some of which are summarized in the “Risk Factor Summary” below. Any forward-looking statement is subject to these and other risks, uncertainties, and assumptions relating to our operations, results of operations, industry, and future growth. Given these risks and uncertainties, you are cautioned not to place undue reliance on our forward-looking statements. The forward-looking statements included in this report are made only as of the date hereof. We do not undertake, and specifically decline, any obligation to update any of these statements or to publicly announce the results of any revisions to any forward-looking statements to reflect future events or developments, except as may be required by U.S. federal securities laws.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02"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An investment in the Company involves risks. You should carefully read this entire report and consider the uncertainties and risks discussed in the “Risk Factors” section in Part II, Item 1A of this report, which may adversely affect our business, financial condition, or results of operations, along with the other information included in our other filings with the SEC, before making an investment decision in the Company. A summary of the principal factors that make an investment in the Company speculative or risky is set forth below.</w:t>
      </w:r>
    </w:p>
    <w:p>
      <w:pPr>
        <w:spacing w:after="0" w:line="139" w:lineRule="exact"/>
        <w:rPr>
          <w:sz w:val="20"/>
          <w:szCs w:val="20"/>
          <w:color w:val="auto"/>
        </w:rPr>
      </w:pPr>
    </w:p>
    <w:p>
      <w:pPr>
        <w:ind w:left="820" w:hanging="326"/>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losses since our inception and may never be profitable.</w:t>
      </w:r>
    </w:p>
    <w:p>
      <w:pPr>
        <w:spacing w:after="0" w:line="184"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raise additional capital in the future. If we are unable to raise capital if and when needed, we may need to adjust our operations.</w:t>
      </w:r>
    </w:p>
    <w:p>
      <w:pPr>
        <w:spacing w:after="0" w:line="198" w:lineRule="exact"/>
        <w:rPr>
          <w:rFonts w:ascii="Times New Roman" w:cs="Times New Roman" w:eastAsia="Times New Roman" w:hAnsi="Times New Roman"/>
          <w:sz w:val="18"/>
          <w:szCs w:val="18"/>
          <w:color w:val="auto"/>
        </w:rPr>
      </w:pPr>
    </w:p>
    <w:p>
      <w:pPr>
        <w:ind w:left="820" w:hanging="326"/>
        <w:spacing w:after="0" w:line="255" w:lineRule="auto"/>
        <w:tabs>
          <w:tab w:leader="none" w:pos="81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Our success depends upon our ability to manage our product candidate pipeline, advance our product candidates through the various stages of development, especially through the clinical trial process, and to receive and maintain regulatory approvals for the commercial sale of our product candidates. The development process and related regulatory processes are complex and uncertain, may be lengthy and expensive, and require, among other things, an indication that our products and product candidates are safe and effective. For example, applicable regulatory agencies could refuse to approve, or impose restrictions or warnings on, our product candidates, require us to conduct additional studies or adopt study designs that differ from our planned development strategies, suspend or terminate our clinical trials, withdraw approval for our products, or take other actions that could materially impact the cost, timing, and success of our planned development and commercialization strategies.</w:t>
      </w:r>
    </w:p>
    <w:p>
      <w:pPr>
        <w:spacing w:after="0" w:line="148" w:lineRule="exact"/>
        <w:rPr>
          <w:rFonts w:ascii="Times New Roman" w:cs="Times New Roman" w:eastAsia="Times New Roman" w:hAnsi="Times New Roman"/>
          <w:sz w:val="18"/>
          <w:szCs w:val="18"/>
          <w:i w:val="1"/>
          <w:iCs w:val="1"/>
          <w:color w:val="auto"/>
        </w:rPr>
      </w:pPr>
    </w:p>
    <w:p>
      <w:pPr>
        <w:ind w:left="820" w:right="80" w:hanging="326"/>
        <w:spacing w:after="0" w:line="258" w:lineRule="auto"/>
        <w:tabs>
          <w:tab w:leader="none" w:pos="8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heavily upon third parties, including development partners, contractors, contract research organizations, and third-party suppliers, manufacturers, and distributors, for many important stages of our product candidate development and in the commercialization of certain of our products and product candidates. Our failure to establish and maintain these relationships, the failure of any such third party to perform its obligations under agreements with us, or the failure of such a relationship to meet our expectations could have a material adverse impact on our business, financial condition, and results of operations.</w:t>
      </w:r>
    </w:p>
    <w:p>
      <w:pPr>
        <w:spacing w:after="0" w:line="142" w:lineRule="exact"/>
        <w:rPr>
          <w:rFonts w:ascii="Times New Roman" w:cs="Times New Roman" w:eastAsia="Times New Roman" w:hAnsi="Times New Roman"/>
          <w:sz w:val="18"/>
          <w:szCs w:val="18"/>
          <w:color w:val="auto"/>
        </w:rPr>
      </w:pPr>
    </w:p>
    <w:p>
      <w:pPr>
        <w:ind w:left="820" w:right="740" w:hanging="326"/>
        <w:spacing w:after="0" w:line="282" w:lineRule="auto"/>
        <w:tabs>
          <w:tab w:leader="none" w:pos="8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obtain additional financing or acceptable partnership arrangements if and when needed, we may be unable to complete the development and commercialization of our products and product candidates or continue operations.</w:t>
      </w:r>
    </w:p>
    <w:p>
      <w:pPr>
        <w:spacing w:after="0" w:line="134" w:lineRule="exact"/>
        <w:rPr>
          <w:rFonts w:ascii="Times New Roman" w:cs="Times New Roman" w:eastAsia="Times New Roman" w:hAnsi="Times New Roman"/>
          <w:sz w:val="18"/>
          <w:szCs w:val="18"/>
          <w:color w:val="auto"/>
        </w:rPr>
      </w:pPr>
    </w:p>
    <w:p>
      <w:pPr>
        <w:ind w:left="820" w:right="280" w:hanging="326"/>
        <w:spacing w:after="0" w:line="282" w:lineRule="auto"/>
        <w:tabs>
          <w:tab w:leader="none" w:pos="8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FDA or comparable foreign regulatory authorities approve generic versions of any of our products that receive marketing approval, the sales of our products could be adversely affected.</w:t>
      </w:r>
    </w:p>
    <w:p>
      <w:pPr>
        <w:spacing w:after="0" w:line="121" w:lineRule="exact"/>
        <w:rPr>
          <w:rFonts w:ascii="Times New Roman" w:cs="Times New Roman" w:eastAsia="Times New Roman" w:hAnsi="Times New Roman"/>
          <w:sz w:val="18"/>
          <w:szCs w:val="18"/>
          <w:color w:val="auto"/>
        </w:rPr>
      </w:pPr>
    </w:p>
    <w:p>
      <w:pPr>
        <w:ind w:left="820" w:right="140" w:hanging="326"/>
        <w:spacing w:after="0" w:line="266" w:lineRule="auto"/>
        <w:tabs>
          <w:tab w:leader="none" w:pos="8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viability of any approved product could be compromised if the product is less effective than expected, causes undesirable side effects that either were not previously identified or were worse than expected, or fails to achieve market acceptance by physicians, patients, third-party payors, health authorities, and others.</w:t>
      </w:r>
    </w:p>
    <w:p>
      <w:pPr>
        <w:spacing w:after="0" w:line="135" w:lineRule="exact"/>
        <w:rPr>
          <w:rFonts w:ascii="Times New Roman" w:cs="Times New Roman" w:eastAsia="Times New Roman" w:hAnsi="Times New Roman"/>
          <w:sz w:val="18"/>
          <w:szCs w:val="18"/>
          <w:color w:val="auto"/>
        </w:rPr>
      </w:pPr>
    </w:p>
    <w:p>
      <w:pPr>
        <w:ind w:left="820" w:right="420" w:hanging="326"/>
        <w:spacing w:after="0" w:line="282" w:lineRule="auto"/>
        <w:tabs>
          <w:tab w:leader="none" w:pos="8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can be no assurance that our or our partners’ commercialization efforts, methods, and strategies for our products or technologies will succeed, and our future revenue generation is uncertain.</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820" w:right="480" w:hanging="326"/>
        <w:spacing w:after="0" w:line="282" w:lineRule="auto"/>
        <w:tabs>
          <w:tab w:leader="none" w:pos="8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expanded, and may continue expanding, our development and regulatory capabilities and are implementing sales, marketing, and distribution capabilities, and as a result, we may encounter difficulties managing our growth, which could disrupt our operations.</w:t>
      </w:r>
    </w:p>
    <w:p>
      <w:pPr>
        <w:spacing w:after="0" w:line="134" w:lineRule="exact"/>
        <w:rPr>
          <w:rFonts w:ascii="Times New Roman" w:cs="Times New Roman" w:eastAsia="Times New Roman" w:hAnsi="Times New Roman"/>
          <w:sz w:val="18"/>
          <w:szCs w:val="18"/>
          <w:color w:val="auto"/>
        </w:rPr>
      </w:pPr>
    </w:p>
    <w:p>
      <w:pPr>
        <w:ind w:left="820" w:right="960" w:hanging="326"/>
        <w:spacing w:after="0" w:line="282" w:lineRule="auto"/>
        <w:tabs>
          <w:tab w:leader="none" w:pos="8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intense competition, and if we are unable to compete effectively, the demand for our products may be reduced. In addition, developments by others may render our products, product candidates, or technologies obsolete or noncompetitive.</w:t>
      </w:r>
    </w:p>
    <w:p>
      <w:pPr>
        <w:spacing w:after="0" w:line="121" w:lineRule="exact"/>
        <w:rPr>
          <w:rFonts w:ascii="Times New Roman" w:cs="Times New Roman" w:eastAsia="Times New Roman" w:hAnsi="Times New Roman"/>
          <w:sz w:val="18"/>
          <w:szCs w:val="18"/>
          <w:color w:val="auto"/>
        </w:rPr>
      </w:pPr>
    </w:p>
    <w:p>
      <w:pPr>
        <w:ind w:left="820" w:right="80" w:hanging="326"/>
        <w:spacing w:after="0" w:line="261" w:lineRule="auto"/>
        <w:tabs>
          <w:tab w:leader="none" w:pos="8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various laws and regulations related to our products and product candidates, and if we or our employees, consultants, or partners do not comply with these laws and regulations, we could face substantial penalties and our reputation could be harmed. In addition, we and our partners may be subject to new legislation, regulatory proposals, and healthcare payor initiatives that may increase our costs of compliance and adversely affect our or our partners’ ability to market our products or develop our product candidates.</w:t>
      </w:r>
    </w:p>
    <w:p>
      <w:pPr>
        <w:spacing w:after="0" w:line="139" w:lineRule="exact"/>
        <w:rPr>
          <w:rFonts w:ascii="Times New Roman" w:cs="Times New Roman" w:eastAsia="Times New Roman" w:hAnsi="Times New Roman"/>
          <w:sz w:val="18"/>
          <w:szCs w:val="18"/>
          <w:color w:val="auto"/>
        </w:rPr>
      </w:pPr>
    </w:p>
    <w:p>
      <w:pPr>
        <w:ind w:left="820" w:right="60" w:hanging="326"/>
        <w:spacing w:after="0" w:line="266" w:lineRule="auto"/>
        <w:tabs>
          <w:tab w:leader="none" w:pos="8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adequately protect or enforce our intellectual property rights, the value of those rights would diminish. Legal proceedings to protect or enforce our patents, the patents of our partners, or our other intellectual property rights could be expensive, time consuming, and unsuccessful. If we fail to secure the rights to patents of others, this could adversely affect our business.</w:t>
      </w:r>
    </w:p>
    <w:p>
      <w:pPr>
        <w:spacing w:after="0" w:line="148" w:lineRule="exact"/>
        <w:rPr>
          <w:rFonts w:ascii="Times New Roman" w:cs="Times New Roman" w:eastAsia="Times New Roman" w:hAnsi="Times New Roman"/>
          <w:sz w:val="18"/>
          <w:szCs w:val="18"/>
          <w:color w:val="auto"/>
        </w:rPr>
      </w:pPr>
    </w:p>
    <w:p>
      <w:pPr>
        <w:ind w:left="820" w:right="160" w:hanging="326"/>
        <w:spacing w:after="0" w:line="282" w:lineRule="auto"/>
        <w:tabs>
          <w:tab w:leader="none" w:pos="8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an inherent risk of liability in the event that the use or misuse of our products or product candidates results in personal injury or death, and our product liability insurance coverage may be insufficient.</w:t>
      </w:r>
    </w:p>
    <w:p>
      <w:pPr>
        <w:spacing w:after="0" w:line="121" w:lineRule="exact"/>
        <w:rPr>
          <w:rFonts w:ascii="Times New Roman" w:cs="Times New Roman" w:eastAsia="Times New Roman" w:hAnsi="Times New Roman"/>
          <w:sz w:val="18"/>
          <w:szCs w:val="18"/>
          <w:color w:val="auto"/>
        </w:rPr>
      </w:pPr>
    </w:p>
    <w:p>
      <w:pPr>
        <w:ind w:left="820" w:right="440" w:hanging="326"/>
        <w:spacing w:after="0" w:line="282" w:lineRule="auto"/>
        <w:tabs>
          <w:tab w:leader="none" w:pos="8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reach milestones or to make annual minimum payments or otherwise breach our obligations under our license agreements, our licensors may terminate our agreements with them and/or seek additional remedies.</w:t>
      </w:r>
    </w:p>
    <w:p>
      <w:pPr>
        <w:spacing w:after="0" w:line="121" w:lineRule="exact"/>
        <w:rPr>
          <w:rFonts w:ascii="Times New Roman" w:cs="Times New Roman" w:eastAsia="Times New Roman" w:hAnsi="Times New Roman"/>
          <w:sz w:val="18"/>
          <w:szCs w:val="18"/>
          <w:color w:val="auto"/>
        </w:rPr>
      </w:pPr>
    </w:p>
    <w:p>
      <w:pPr>
        <w:ind w:left="820" w:hanging="326"/>
        <w:spacing w:after="0" w:line="289" w:lineRule="auto"/>
        <w:tabs>
          <w:tab w:leader="none" w:pos="81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Pharmakon Loan Agreement contains conditions and restrictions that limit our flexibility in operating our business. We may be required to make a prepayment or repay our outstanding indebtedness under the Pharmakon Loan Agreement earlier than we expect if a prepayment event or an event of default occurs, including a material adverse change with respect to us, which could have a material adverse effect on our business.</w:t>
      </w:r>
    </w:p>
    <w:p>
      <w:pPr>
        <w:spacing w:after="0" w:line="130" w:lineRule="exact"/>
        <w:rPr>
          <w:rFonts w:ascii="Times New Roman" w:cs="Times New Roman" w:eastAsia="Times New Roman" w:hAnsi="Times New Roman"/>
          <w:sz w:val="17"/>
          <w:szCs w:val="17"/>
          <w:color w:val="auto"/>
        </w:rPr>
      </w:pPr>
    </w:p>
    <w:p>
      <w:pPr>
        <w:ind w:left="820" w:right="220" w:hanging="326"/>
        <w:spacing w:after="0" w:line="258" w:lineRule="auto"/>
        <w:tabs>
          <w:tab w:leader="none" w:pos="8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expansion of our business exposes us to business, legal, regulatory, political, operational, financial, and economic risks. For example, our actual or perceived failure to comply with European governmental laws and regulations and other obligations related to privacy, data protection, and information security could harm our business. In addition, the United Kingdom’s withdrawal from the European Union could result in increased regulatory and legal complexity, which may make it more difficult for us to do business in Europe and impose additional challenges in securing regulatory approval of our product candidates in Europe.</w:t>
      </w:r>
    </w:p>
    <w:p>
      <w:pPr>
        <w:spacing w:after="0" w:line="14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facilities incur damage or power is lost for a significant length of time, our business will suffer.</w:t>
      </w:r>
    </w:p>
    <w:p>
      <w:pPr>
        <w:spacing w:after="0" w:line="184"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 incidents and related disruptions in our or our third-party vendors’ information technology systems could adversely affect our business.</w:t>
      </w:r>
    </w:p>
    <w:p>
      <w:pPr>
        <w:spacing w:after="0" w:line="198" w:lineRule="exact"/>
        <w:rPr>
          <w:rFonts w:ascii="Times New Roman" w:cs="Times New Roman" w:eastAsia="Times New Roman" w:hAnsi="Times New Roman"/>
          <w:sz w:val="18"/>
          <w:szCs w:val="18"/>
          <w:color w:val="auto"/>
        </w:rPr>
      </w:pPr>
    </w:p>
    <w:p>
      <w:pPr>
        <w:ind w:left="820" w:right="240" w:hanging="326"/>
        <w:spacing w:after="0" w:line="282" w:lineRule="auto"/>
        <w:tabs>
          <w:tab w:leader="none" w:pos="8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operations, clinical development or commercialization plans and timelines, and access to capital could be adversely affected by unpredictable and unstable market and economic conditions.</w:t>
      </w:r>
    </w:p>
    <w:p>
      <w:pPr>
        <w:spacing w:after="0" w:line="121" w:lineRule="exact"/>
        <w:rPr>
          <w:rFonts w:ascii="Times New Roman" w:cs="Times New Roman" w:eastAsia="Times New Roman" w:hAnsi="Times New Roman"/>
          <w:sz w:val="18"/>
          <w:szCs w:val="18"/>
          <w:color w:val="auto"/>
        </w:rPr>
      </w:pPr>
    </w:p>
    <w:p>
      <w:pPr>
        <w:ind w:left="820" w:right="240" w:hanging="326"/>
        <w:spacing w:after="0" w:line="282" w:lineRule="auto"/>
        <w:tabs>
          <w:tab w:leader="none" w:pos="8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retain our existing key personnel or fail to attract and retain additional key personnel, the development of our product candidates, the commercialization of our products, and the related expansion of our business will be delayed or stopped.</w:t>
      </w:r>
    </w:p>
    <w:p>
      <w:pPr>
        <w:spacing w:after="0" w:line="121" w:lineRule="exact"/>
        <w:rPr>
          <w:rFonts w:ascii="Times New Roman" w:cs="Times New Roman" w:eastAsia="Times New Roman" w:hAnsi="Times New Roman"/>
          <w:sz w:val="18"/>
          <w:szCs w:val="18"/>
          <w:color w:val="auto"/>
        </w:rPr>
      </w:pPr>
    </w:p>
    <w:p>
      <w:pPr>
        <w:ind w:left="820" w:right="140" w:hanging="326"/>
        <w:spacing w:after="0" w:line="282" w:lineRule="auto"/>
        <w:tabs>
          <w:tab w:leader="none" w:pos="8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acquisitions, strategic investments, partnerships, alliances, or divestitures could fail to meet our expectations and/or adversely affect our operating results and financial condition.</w:t>
      </w:r>
    </w:p>
    <w:p>
      <w:pPr>
        <w:spacing w:after="0" w:line="134" w:lineRule="exact"/>
        <w:rPr>
          <w:rFonts w:ascii="Times New Roman" w:cs="Times New Roman" w:eastAsia="Times New Roman" w:hAnsi="Times New Roman"/>
          <w:sz w:val="18"/>
          <w:szCs w:val="18"/>
          <w:color w:val="auto"/>
        </w:rPr>
      </w:pPr>
    </w:p>
    <w:p>
      <w:pPr>
        <w:ind w:left="820" w:right="20" w:hanging="326"/>
        <w:spacing w:after="0" w:line="282" w:lineRule="auto"/>
        <w:tabs>
          <w:tab w:leader="none" w:pos="8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existing principal stockholders hold a substantial amount of our common stock and may be able to influence significant corporate decisions, which may conflict with the interests of other stockholders.</w:t>
      </w:r>
    </w:p>
    <w:p>
      <w:pPr>
        <w:spacing w:after="0" w:line="121" w:lineRule="exact"/>
        <w:rPr>
          <w:rFonts w:ascii="Times New Roman" w:cs="Times New Roman" w:eastAsia="Times New Roman" w:hAnsi="Times New Roman"/>
          <w:sz w:val="18"/>
          <w:szCs w:val="18"/>
          <w:color w:val="auto"/>
        </w:rPr>
      </w:pPr>
    </w:p>
    <w:p>
      <w:pPr>
        <w:ind w:left="820" w:right="180" w:hanging="326"/>
        <w:spacing w:after="0" w:line="282" w:lineRule="auto"/>
        <w:tabs>
          <w:tab w:leader="none" w:pos="8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has been, and is likely to continue to be, highly volatile, which could cause the value of an investment in our common stock to decline significantly.</w:t>
      </w:r>
    </w:p>
    <w:p>
      <w:pPr>
        <w:spacing w:after="0" w:line="121" w:lineRule="exact"/>
        <w:rPr>
          <w:rFonts w:ascii="Times New Roman" w:cs="Times New Roman" w:eastAsia="Times New Roman" w:hAnsi="Times New Roman"/>
          <w:sz w:val="18"/>
          <w:szCs w:val="18"/>
          <w:color w:val="auto"/>
        </w:rPr>
      </w:pPr>
    </w:p>
    <w:p>
      <w:pPr>
        <w:ind w:left="820" w:right="440" w:hanging="326"/>
        <w:spacing w:after="0" w:line="282" w:lineRule="auto"/>
        <w:tabs>
          <w:tab w:leader="none" w:pos="8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a material weakness in our internal control over financial reporting. This material weakness could divert management’s attention and adversely affect our ability to produce accurate and timely financial</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820"/>
        <w:spacing w:after="0" w:line="282" w:lineRule="auto"/>
        <w:rPr>
          <w:sz w:val="20"/>
          <w:szCs w:val="20"/>
          <w:color w:val="auto"/>
        </w:rPr>
      </w:pPr>
      <w:r>
        <w:rPr>
          <w:rFonts w:ascii="Times New Roman" w:cs="Times New Roman" w:eastAsia="Times New Roman" w:hAnsi="Times New Roman"/>
          <w:sz w:val="18"/>
          <w:szCs w:val="18"/>
          <w:color w:val="auto"/>
        </w:rPr>
        <w:t>statements, which may adversely affect investor confidence in us and our financial reporting, adversely affect our business and operating results and may negatively impact the trading price of our common stock.</w:t>
      </w:r>
    </w:p>
    <w:p>
      <w:pPr>
        <w:spacing w:after="0" w:line="135" w:lineRule="exact"/>
        <w:rPr>
          <w:sz w:val="20"/>
          <w:szCs w:val="20"/>
          <w:color w:val="auto"/>
        </w:rPr>
      </w:pPr>
    </w:p>
    <w:p>
      <w:pPr>
        <w:ind w:left="820" w:right="60" w:hanging="326"/>
        <w:spacing w:after="0" w:line="266" w:lineRule="auto"/>
        <w:tabs>
          <w:tab w:leader="none" w:pos="8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epidemic or pandemic disease outbreaks, trade wars, armed conflicts, political unrest, or other events could disrupt our business or operations or those of our development partners, manufacturers, regulators, or third parties with whom we conduct business now or in the future.</w:t>
      </w:r>
    </w:p>
    <w:p>
      <w:pPr>
        <w:spacing w:after="0" w:line="13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legal proceedings, which could harm our reputation or result in other losses or unexpected expenditure of time and resources.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jc w:val="center"/>
              <w:ind w:left="299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3"/>
        </w:trPr>
        <w:tc>
          <w:tcPr>
            <w:tcW w:w="8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180" w:type="dxa"/>
            <w:vAlign w:val="bottom"/>
          </w:tcPr>
          <w:p>
            <w:pPr>
              <w:jc w:val="center"/>
              <w:ind w:left="2990"/>
              <w:spacing w:after="0"/>
              <w:rPr>
                <w:sz w:val="20"/>
                <w:szCs w:val="20"/>
                <w:color w:val="auto"/>
              </w:rPr>
            </w:pPr>
            <w:r>
              <w:rPr>
                <w:rFonts w:ascii="Times New Roman" w:cs="Times New Roman" w:eastAsia="Times New Roman" w:hAnsi="Times New Roman"/>
                <w:sz w:val="18"/>
                <w:szCs w:val="18"/>
                <w:b w:val="1"/>
                <w:bCs w:val="1"/>
                <w:color w:val="auto"/>
                <w:w w:val="99"/>
              </w:rPr>
              <w:t>BIOCRYST PHARMACEUTICALS, INC.</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tcPr>
          <w:p>
            <w:pPr>
              <w:jc w:val="center"/>
              <w:ind w:left="297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180" w:type="dxa"/>
            <w:vAlign w:val="bottom"/>
          </w:tcPr>
          <w:p>
            <w:pPr>
              <w:jc w:val="center"/>
              <w:ind w:left="2970"/>
              <w:spacing w:after="0"/>
              <w:rPr>
                <w:sz w:val="20"/>
                <w:szCs w:val="20"/>
                <w:color w:val="auto"/>
              </w:rPr>
            </w:pPr>
            <w:r>
              <w:rPr>
                <w:rFonts w:ascii="Times New Roman" w:cs="Times New Roman" w:eastAsia="Times New Roman" w:hAnsi="Times New Roman"/>
                <w:sz w:val="18"/>
                <w:szCs w:val="18"/>
                <w:b w:val="1"/>
                <w:bCs w:val="1"/>
                <w:color w:val="auto"/>
              </w:rPr>
              <w:t>(In thousands, except par value amounts, Unaudited)</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60" w:type="dxa"/>
            <w:vAlign w:val="bottom"/>
          </w:tcPr>
          <w:p>
            <w:pPr>
              <w:spacing w:after="0"/>
              <w:rPr>
                <w:sz w:val="24"/>
                <w:szCs w:val="24"/>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8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9"/>
        </w:trPr>
        <w:tc>
          <w:tcPr>
            <w:tcW w:w="8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84,333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110,643</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252,221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278,344</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receivables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56,950</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 net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29,781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28,683</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19,542</w:t>
            </w:r>
          </w:p>
        </w:tc>
        <w:tc>
          <w:tcPr>
            <w:tcW w:w="0" w:type="dxa"/>
            <w:vAlign w:val="bottom"/>
          </w:tcPr>
          <w:p>
            <w:pPr>
              <w:spacing w:after="0"/>
              <w:rPr>
                <w:sz w:val="1"/>
                <w:szCs w:val="1"/>
                <w:color w:val="auto"/>
              </w:rPr>
            </w:pPr>
          </w:p>
        </w:tc>
      </w:tr>
      <w:tr>
        <w:trPr>
          <w:trHeight w:val="22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447,100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495,966</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7,910</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13,084</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467,892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516,960</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20,893</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102,882</w:t>
            </w:r>
          </w:p>
        </w:tc>
        <w:tc>
          <w:tcPr>
            <w:tcW w:w="0" w:type="dxa"/>
            <w:vAlign w:val="bottom"/>
          </w:tcPr>
          <w:p>
            <w:pPr>
              <w:spacing w:after="0"/>
              <w:rPr>
                <w:sz w:val="1"/>
                <w:szCs w:val="1"/>
                <w:color w:val="auto"/>
              </w:rPr>
            </w:pPr>
          </w:p>
        </w:tc>
      </w:tr>
      <w:tr>
        <w:trPr>
          <w:trHeight w:val="25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0" w:type="dxa"/>
            <w:vAlign w:val="bottom"/>
          </w:tcPr>
          <w:p>
            <w:pPr>
              <w:spacing w:after="0"/>
              <w:rPr>
                <w:sz w:val="1"/>
                <w:szCs w:val="1"/>
                <w:color w:val="auto"/>
              </w:rPr>
            </w:pPr>
          </w:p>
        </w:tc>
      </w:tr>
      <w:tr>
        <w:trPr>
          <w:trHeight w:val="256"/>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Royalty financing obligations</w:t>
            </w: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26,022</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23,565</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149,988</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8,390</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Royalty financing obligations</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504,552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508,034</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Secured term loan</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308,484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303,231</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deficit:</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18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Preferred stock, $0.01 par value; shares authorized - 5,000; no shares issued and outstanding at March 31,</w:t>
            </w: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2024 and December 31, 2023</w:t>
            </w:r>
          </w:p>
        </w:tc>
        <w:tc>
          <w:tcPr>
            <w:tcW w:w="12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81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$0.01 par value; shares authorized - 450,000; shares issued and outstanding – 206,347 at</w:t>
            </w: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31, 2024 and 205,771 at December 31, 2023</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1,237,537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1,222,236</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(1,716,538)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(1,681,159)</w:t>
            </w:r>
          </w:p>
        </w:tc>
        <w:tc>
          <w:tcPr>
            <w:tcW w:w="0" w:type="dxa"/>
            <w:vAlign w:val="bottom"/>
          </w:tcPr>
          <w:p>
            <w:pPr>
              <w:spacing w:after="0"/>
              <w:rPr>
                <w:sz w:val="1"/>
                <w:szCs w:val="1"/>
                <w:color w:val="auto"/>
              </w:rPr>
            </w:pPr>
          </w:p>
        </w:tc>
      </w:tr>
      <w:tr>
        <w:trPr>
          <w:trHeight w:val="223"/>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(476,167)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(455,528)</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467,892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516,960</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808"/>
        </w:trPr>
        <w:tc>
          <w:tcPr>
            <w:tcW w:w="1280" w:type="dxa"/>
            <w:vAlign w:val="bottom"/>
            <w:tcBorders>
              <w:top w:val="single" w:sz="8" w:color="0000FF"/>
            </w:tcBorders>
          </w:tcPr>
          <w:p>
            <w:pPr>
              <w:spacing w:after="0"/>
              <w:rPr>
                <w:sz w:val="24"/>
                <w:szCs w:val="24"/>
                <w:color w:val="auto"/>
              </w:rPr>
            </w:pPr>
          </w:p>
        </w:tc>
        <w:tc>
          <w:tcPr>
            <w:tcW w:w="6900" w:type="dxa"/>
            <w:vAlign w:val="bottom"/>
          </w:tcPr>
          <w:p>
            <w:pPr>
              <w:jc w:val="center"/>
              <w:ind w:left="1710"/>
              <w:spacing w:after="0"/>
              <w:rPr>
                <w:sz w:val="20"/>
                <w:szCs w:val="20"/>
                <w:color w:val="auto"/>
              </w:rPr>
            </w:pPr>
            <w:r>
              <w:rPr>
                <w:rFonts w:ascii="Times New Roman" w:cs="Times New Roman" w:eastAsia="Times New Roman" w:hAnsi="Times New Roman"/>
                <w:sz w:val="18"/>
                <w:szCs w:val="18"/>
                <w:b w:val="1"/>
                <w:bCs w:val="1"/>
                <w:color w:val="auto"/>
                <w:w w:val="99"/>
              </w:rPr>
              <w:t>BIOCRYST PHARMACEUTICALS, INC.</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8480" w:type="dxa"/>
            <w:vAlign w:val="bottom"/>
            <w:gridSpan w:val="4"/>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COMPREHENSIVE LOSS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6900" w:type="dxa"/>
            <w:vAlign w:val="bottom"/>
          </w:tcPr>
          <w:p>
            <w:pPr>
              <w:jc w:val="center"/>
              <w:ind w:left="171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amounts, Unaudited)</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1280" w:type="dxa"/>
            <w:vAlign w:val="bottom"/>
            <w:tcBorders>
              <w:bottom w:val="single" w:sz="8" w:color="CCEEFF"/>
            </w:tcBorders>
          </w:tcPr>
          <w:p>
            <w:pPr>
              <w:spacing w:after="0"/>
              <w:rPr>
                <w:sz w:val="19"/>
                <w:szCs w:val="19"/>
                <w:color w:val="auto"/>
              </w:rPr>
            </w:pPr>
          </w:p>
        </w:tc>
        <w:tc>
          <w:tcPr>
            <w:tcW w:w="69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68,778</w:t>
            </w:r>
          </w:p>
        </w:tc>
      </w:tr>
      <w:tr>
        <w:trPr>
          <w:trHeight w:val="22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8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product sales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r>
      <w:tr>
        <w:trPr>
          <w:trHeight w:val="230"/>
        </w:trPr>
        <w:tc>
          <w:tcPr>
            <w:tcW w:w="8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48,388</w:t>
            </w:r>
          </w:p>
        </w:tc>
      </w:tr>
      <w:tr>
        <w:trPr>
          <w:trHeight w:val="229"/>
        </w:trPr>
        <w:tc>
          <w:tcPr>
            <w:tcW w:w="8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47,867</w:t>
            </w:r>
          </w:p>
        </w:tc>
      </w:tr>
      <w:tr>
        <w:trPr>
          <w:trHeight w:val="229"/>
        </w:trPr>
        <w:tc>
          <w:tcPr>
            <w:tcW w:w="81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Royalty</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8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107,249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97,193</w:t>
            </w:r>
          </w:p>
        </w:tc>
      </w:tr>
      <w:tr>
        <w:trPr>
          <w:trHeight w:val="22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(28,415)</w:t>
            </w:r>
          </w:p>
        </w:tc>
      </w:tr>
      <w:tr>
        <w:trPr>
          <w:trHeight w:val="22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3,378</w:t>
            </w:r>
          </w:p>
        </w:tc>
      </w:tr>
      <w:tr>
        <w:trPr>
          <w:trHeight w:val="22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(27,396)</w:t>
            </w: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losses, net</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2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(52,662)</w:t>
            </w: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r>
      <w:tr>
        <w:trPr>
          <w:trHeight w:val="22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(35,379)</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(53,333)</w:t>
            </w: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9"/>
        </w:trPr>
        <w:tc>
          <w:tcPr>
            <w:tcW w:w="8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Unrealized (loss) gain on available for sale investments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48"/>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comprehensive loss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(52,774)</w:t>
            </w:r>
          </w:p>
        </w:tc>
      </w:tr>
      <w:tr>
        <w:trPr>
          <w:trHeight w:val="20"/>
        </w:trPr>
        <w:tc>
          <w:tcPr>
            <w:tcW w:w="81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128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5"/>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(0.28)</w:t>
            </w:r>
          </w:p>
        </w:tc>
      </w:tr>
      <w:tr>
        <w:trPr>
          <w:trHeight w:val="20"/>
        </w:trPr>
        <w:tc>
          <w:tcPr>
            <w:tcW w:w="81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18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Weighted average shares outstanding</w:t>
            </w: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206,064</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188,509</w:t>
            </w:r>
          </w:p>
        </w:tc>
      </w:tr>
      <w:tr>
        <w:trPr>
          <w:trHeight w:val="20"/>
        </w:trPr>
        <w:tc>
          <w:tcPr>
            <w:tcW w:w="128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808"/>
        </w:trPr>
        <w:tc>
          <w:tcPr>
            <w:tcW w:w="1280" w:type="dxa"/>
            <w:vAlign w:val="bottom"/>
            <w:tcBorders>
              <w:top w:val="single" w:sz="8" w:color="0000FF"/>
            </w:tcBorders>
          </w:tcPr>
          <w:p>
            <w:pPr>
              <w:spacing w:after="0"/>
              <w:rPr>
                <w:sz w:val="24"/>
                <w:szCs w:val="24"/>
                <w:color w:val="auto"/>
              </w:rPr>
            </w:pPr>
          </w:p>
        </w:tc>
        <w:tc>
          <w:tcPr>
            <w:tcW w:w="6900" w:type="dxa"/>
            <w:vAlign w:val="bottom"/>
          </w:tcPr>
          <w:p>
            <w:pPr>
              <w:jc w:val="center"/>
              <w:ind w:left="1710"/>
              <w:spacing w:after="0"/>
              <w:rPr>
                <w:sz w:val="20"/>
                <w:szCs w:val="20"/>
                <w:color w:val="auto"/>
              </w:rPr>
            </w:pPr>
            <w:r>
              <w:rPr>
                <w:rFonts w:ascii="Times New Roman" w:cs="Times New Roman" w:eastAsia="Times New Roman" w:hAnsi="Times New Roman"/>
                <w:sz w:val="18"/>
                <w:szCs w:val="18"/>
                <w:b w:val="1"/>
                <w:bCs w:val="1"/>
                <w:color w:val="auto"/>
                <w:w w:val="99"/>
              </w:rPr>
              <w:t>BIOCRYST PHARMACEUTICALS, INC.</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120" w:type="dxa"/>
            <w:vAlign w:val="bottom"/>
            <w:gridSpan w:val="2"/>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6900" w:type="dxa"/>
            <w:vAlign w:val="bottom"/>
          </w:tcPr>
          <w:p>
            <w:pPr>
              <w:jc w:val="center"/>
              <w:ind w:left="1710"/>
              <w:spacing w:after="0"/>
              <w:rPr>
                <w:sz w:val="20"/>
                <w:szCs w:val="20"/>
                <w:color w:val="auto"/>
              </w:rPr>
            </w:pPr>
            <w:r>
              <w:rPr>
                <w:rFonts w:ascii="Times New Roman" w:cs="Times New Roman" w:eastAsia="Times New Roman" w:hAnsi="Times New Roman"/>
                <w:sz w:val="18"/>
                <w:szCs w:val="18"/>
                <w:b w:val="1"/>
                <w:bCs w:val="1"/>
                <w:color w:val="auto"/>
              </w:rPr>
              <w:t>(In thousands, Unaudited)</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1280" w:type="dxa"/>
            <w:vAlign w:val="bottom"/>
            <w:tcBorders>
              <w:bottom w:val="single" w:sz="8" w:color="CCEEFF"/>
            </w:tcBorders>
          </w:tcPr>
          <w:p>
            <w:pPr>
              <w:spacing w:after="0"/>
              <w:rPr>
                <w:sz w:val="19"/>
                <w:szCs w:val="19"/>
                <w:color w:val="auto"/>
              </w:rPr>
            </w:pPr>
          </w:p>
        </w:tc>
        <w:tc>
          <w:tcPr>
            <w:tcW w:w="69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(35,379)</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(53,333)</w:t>
            </w:r>
          </w:p>
        </w:tc>
      </w:tr>
      <w:tr>
        <w:trPr>
          <w:trHeight w:val="22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r>
      <w:tr>
        <w:trPr>
          <w:trHeight w:val="230"/>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 obsolescence</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29"/>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14,007</w:t>
            </w:r>
          </w:p>
        </w:tc>
      </w:tr>
      <w:tr>
        <w:trPr>
          <w:trHeight w:val="184"/>
        </w:trPr>
        <w:tc>
          <w:tcPr>
            <w:tcW w:w="8180" w:type="dxa"/>
            <w:vAlign w:val="bottom"/>
            <w:gridSpan w:val="2"/>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Non-cash interest expense on royalty financing obligations and secured term loan and amortization of debt</w:t>
            </w: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34"/>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costs</w:t>
            </w: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20,216</w:t>
            </w:r>
          </w:p>
        </w:tc>
      </w:tr>
      <w:tr>
        <w:trPr>
          <w:trHeight w:val="230"/>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Amortization of premium/discount on investments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w:t>
            </w:r>
          </w:p>
        </w:tc>
      </w:tr>
      <w:tr>
        <w:trPr>
          <w:trHeight w:val="22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Receivables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w:t>
            </w:r>
          </w:p>
        </w:tc>
      </w:tr>
      <w:tr>
        <w:trPr>
          <w:trHeight w:val="229"/>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29"/>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(2,547)</w:t>
            </w:r>
          </w:p>
        </w:tc>
      </w:tr>
      <w:tr>
        <w:trPr>
          <w:trHeight w:val="230"/>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(27,226)</w:t>
            </w:r>
          </w:p>
        </w:tc>
      </w:tr>
      <w:tr>
        <w:trPr>
          <w:trHeight w:val="229"/>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3"/>
        </w:trPr>
        <w:tc>
          <w:tcPr>
            <w:tcW w:w="818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22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(53,684)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(47,512)</w:t>
            </w:r>
          </w:p>
        </w:tc>
      </w:tr>
      <w:tr>
        <w:trPr>
          <w:trHeight w:val="22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Acquisitions of property and equipment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Purchase of investments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(148,637)</w:t>
            </w:r>
          </w:p>
        </w:tc>
      </w:tr>
      <w:tr>
        <w:trPr>
          <w:trHeight w:val="22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maturities of investments</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41,688</w:t>
            </w:r>
          </w:p>
        </w:tc>
      </w:tr>
      <w:tr>
        <w:trPr>
          <w:trHeight w:val="223"/>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28,756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(107,109)</w:t>
            </w: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proceeds from common stock issued under stock-based compensation plans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5,077</w:t>
            </w: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proceeds from common stock issued to directors in lieu of cash retainer</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Withholding taxes paid on stock-based awards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payments on finance lease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Net cash (used in) provided by financing activities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5,077</w:t>
            </w: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on cash, cash equivalents, and restricted cash</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2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Decrease in cash, cash equivalents and restricted cash</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(149,640)</w:t>
            </w: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112,447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306,239</w:t>
            </w:r>
          </w:p>
        </w:tc>
      </w:tr>
      <w:tr>
        <w:trPr>
          <w:trHeight w:val="22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period</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86,131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156,599</w:t>
            </w: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69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7"/>
        </w:trPr>
        <w:tc>
          <w:tcPr>
            <w:tcW w:w="818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cash flow disclosure:</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56"/>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4,987</w:t>
            </w:r>
          </w:p>
        </w:tc>
        <w:tc>
          <w:tcPr>
            <w:tcW w:w="10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7,142</w:t>
            </w:r>
          </w:p>
        </w:tc>
      </w:tr>
      <w:tr>
        <w:trPr>
          <w:trHeight w:val="257"/>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taxes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57"/>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Taxes withheld on stock-based awards included in accrued expenses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10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w:t>
            </w: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8"/>
        </w:trPr>
        <w:tc>
          <w:tcPr>
            <w:tcW w:w="1280" w:type="dxa"/>
            <w:vAlign w:val="bottom"/>
            <w:tcBorders>
              <w:top w:val="single" w:sz="8" w:color="0000FF"/>
            </w:tcBorders>
          </w:tcPr>
          <w:p>
            <w:pPr>
              <w:spacing w:after="0"/>
              <w:rPr>
                <w:sz w:val="24"/>
                <w:szCs w:val="24"/>
                <w:color w:val="auto"/>
              </w:rPr>
            </w:pPr>
          </w:p>
        </w:tc>
        <w:tc>
          <w:tcPr>
            <w:tcW w:w="2360" w:type="dxa"/>
            <w:vAlign w:val="bottom"/>
          </w:tcPr>
          <w:p>
            <w:pPr>
              <w:spacing w:after="0"/>
              <w:rPr>
                <w:sz w:val="24"/>
                <w:szCs w:val="24"/>
                <w:color w:val="auto"/>
              </w:rPr>
            </w:pPr>
          </w:p>
        </w:tc>
        <w:tc>
          <w:tcPr>
            <w:tcW w:w="3800" w:type="dxa"/>
            <w:vAlign w:val="bottom"/>
            <w:gridSpan w:val="8"/>
          </w:tcPr>
          <w:p>
            <w:pPr>
              <w:ind w:left="340"/>
              <w:spacing w:after="0"/>
              <w:rPr>
                <w:sz w:val="20"/>
                <w:szCs w:val="20"/>
                <w:color w:val="auto"/>
              </w:rPr>
            </w:pPr>
            <w:r>
              <w:rPr>
                <w:rFonts w:ascii="Times New Roman" w:cs="Times New Roman" w:eastAsia="Times New Roman" w:hAnsi="Times New Roman"/>
                <w:sz w:val="18"/>
                <w:szCs w:val="18"/>
                <w:b w:val="1"/>
                <w:bCs w:val="1"/>
                <w:color w:val="auto"/>
              </w:rPr>
              <w:t>BIOCRYST PHARMACEUTICALS, INC.</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720" w:type="dxa"/>
            <w:vAlign w:val="bottom"/>
            <w:gridSpan w:val="13"/>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STOCKHOLDERS</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 xml:space="preserve"> DEFICIT</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3800" w:type="dxa"/>
            <w:vAlign w:val="bottom"/>
            <w:gridSpan w:val="8"/>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(In thousands, Unaudited)</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2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0" w:type="dxa"/>
            <w:vAlign w:val="bottom"/>
          </w:tcPr>
          <w:p>
            <w:pPr>
              <w:spacing w:after="0"/>
              <w:rPr>
                <w:sz w:val="24"/>
                <w:szCs w:val="24"/>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2440" w:type="dxa"/>
            <w:vAlign w:val="bottom"/>
            <w:gridSpan w:val="4"/>
            <w:vMerge w:val="restart"/>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2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12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2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2440" w:type="dxa"/>
            <w:vAlign w:val="bottom"/>
            <w:tcBorders>
              <w:bottom w:val="single" w:sz="8" w:color="auto"/>
            </w:tcBorders>
            <w:gridSpan w:val="4"/>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center"/>
              <w:ind w:right="260"/>
              <w:spacing w:after="0" w:line="157"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1320" w:type="dxa"/>
            <w:vAlign w:val="bottom"/>
            <w:gridSpan w:val="3"/>
          </w:tcPr>
          <w:p>
            <w:pPr>
              <w:ind w:left="20"/>
              <w:spacing w:after="0" w:line="157" w:lineRule="exact"/>
              <w:rPr>
                <w:sz w:val="20"/>
                <w:szCs w:val="20"/>
                <w:color w:val="auto"/>
              </w:rPr>
            </w:pPr>
            <w:r>
              <w:rPr>
                <w:rFonts w:ascii="Times New Roman" w:cs="Times New Roman" w:eastAsia="Times New Roman" w:hAnsi="Times New Roman"/>
                <w:sz w:val="18"/>
                <w:szCs w:val="18"/>
                <w:b w:val="1"/>
                <w:bCs w:val="1"/>
                <w:color w:val="auto"/>
              </w:rPr>
              <w:t>Comprehensive</w:t>
            </w:r>
          </w:p>
        </w:tc>
        <w:tc>
          <w:tcPr>
            <w:tcW w:w="1280" w:type="dxa"/>
            <w:vAlign w:val="bottom"/>
            <w:gridSpan w:val="3"/>
            <w:vMerge w:val="continue"/>
          </w:tcPr>
          <w:p>
            <w:pPr>
              <w:spacing w:after="0"/>
              <w:rPr>
                <w:sz w:val="13"/>
                <w:szCs w:val="13"/>
                <w:color w:val="auto"/>
              </w:rPr>
            </w:pPr>
          </w:p>
        </w:tc>
        <w:tc>
          <w:tcPr>
            <w:tcW w:w="1200" w:type="dxa"/>
            <w:vAlign w:val="bottom"/>
            <w:gridSpan w:val="2"/>
          </w:tcPr>
          <w:p>
            <w:pPr>
              <w:jc w:val="center"/>
              <w:spacing w:after="0" w:line="157" w:lineRule="exact"/>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26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Pr>
          <w:p>
            <w:pPr>
              <w:spacing w:after="0"/>
              <w:rPr>
                <w:sz w:val="20"/>
                <w:szCs w:val="20"/>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00" w:type="dxa"/>
            <w:vAlign w:val="bottom"/>
          </w:tcPr>
          <w:p>
            <w:pPr>
              <w:spacing w:after="0"/>
              <w:rPr>
                <w:sz w:val="20"/>
                <w:szCs w:val="20"/>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240" w:type="dxa"/>
            <w:vAlign w:val="bottom"/>
          </w:tcPr>
          <w:p>
            <w:pPr>
              <w:spacing w:after="0"/>
              <w:rPr>
                <w:sz w:val="20"/>
                <w:szCs w:val="20"/>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20"/>
                <w:szCs w:val="20"/>
                <w:color w:val="auto"/>
              </w:rPr>
            </w:pPr>
          </w:p>
        </w:tc>
        <w:tc>
          <w:tcPr>
            <w:tcW w:w="9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0" w:type="dxa"/>
            <w:vAlign w:val="bottom"/>
          </w:tcPr>
          <w:p>
            <w:pPr>
              <w:spacing w:after="0"/>
              <w:rPr>
                <w:sz w:val="1"/>
                <w:szCs w:val="1"/>
                <w:color w:val="auto"/>
              </w:rPr>
            </w:pPr>
          </w:p>
        </w:tc>
      </w:tr>
      <w:tr>
        <w:trPr>
          <w:trHeight w:val="223"/>
        </w:trPr>
        <w:tc>
          <w:tcPr>
            <w:tcW w:w="36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205,771</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2,058</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1,222,236</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1,337</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(1,681,159)</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(455,528)</w:t>
            </w:r>
          </w:p>
        </w:tc>
        <w:tc>
          <w:tcPr>
            <w:tcW w:w="0" w:type="dxa"/>
            <w:vAlign w:val="bottom"/>
          </w:tcPr>
          <w:p>
            <w:pPr>
              <w:spacing w:after="0"/>
              <w:rPr>
                <w:sz w:val="1"/>
                <w:szCs w:val="1"/>
                <w:color w:val="auto"/>
              </w:rPr>
            </w:pPr>
          </w:p>
        </w:tc>
      </w:tr>
      <w:tr>
        <w:trPr>
          <w:trHeight w:val="223"/>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(35,379)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(35,379)</w:t>
            </w:r>
          </w:p>
        </w:tc>
        <w:tc>
          <w:tcPr>
            <w:tcW w:w="0" w:type="dxa"/>
            <w:vAlign w:val="bottom"/>
          </w:tcPr>
          <w:p>
            <w:pPr>
              <w:spacing w:after="0"/>
              <w:rPr>
                <w:sz w:val="1"/>
                <w:szCs w:val="1"/>
                <w:color w:val="auto"/>
              </w:rPr>
            </w:pPr>
          </w:p>
        </w:tc>
      </w:tr>
      <w:tr>
        <w:trPr>
          <w:trHeight w:val="229"/>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0" w:type="dxa"/>
            <w:vAlign w:val="bottom"/>
          </w:tcPr>
          <w:p>
            <w:pPr>
              <w:spacing w:after="0"/>
              <w:rPr>
                <w:sz w:val="1"/>
                <w:szCs w:val="1"/>
                <w:color w:val="auto"/>
              </w:rPr>
            </w:pPr>
          </w:p>
        </w:tc>
      </w:tr>
      <w:tr>
        <w:trPr>
          <w:trHeight w:val="257"/>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Exercise of stock options, net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0" w:type="dxa"/>
            <w:vAlign w:val="bottom"/>
          </w:tcPr>
          <w:p>
            <w:pPr>
              <w:spacing w:after="0"/>
              <w:rPr>
                <w:sz w:val="1"/>
                <w:szCs w:val="1"/>
                <w:color w:val="auto"/>
              </w:rPr>
            </w:pPr>
          </w:p>
        </w:tc>
      </w:tr>
      <w:tr>
        <w:trPr>
          <w:trHeight w:val="257"/>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Shares withheld for taxes for vesting of restricted</w:t>
            </w: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 units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56"/>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stock purchase plan sales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0" w:type="dxa"/>
            <w:vAlign w:val="bottom"/>
          </w:tcPr>
          <w:p>
            <w:pPr>
              <w:spacing w:after="0"/>
              <w:rPr>
                <w:sz w:val="1"/>
                <w:szCs w:val="1"/>
                <w:color w:val="auto"/>
              </w:rPr>
            </w:pPr>
          </w:p>
        </w:tc>
      </w:tr>
      <w:tr>
        <w:trPr>
          <w:trHeight w:val="225"/>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Issuance of shares to directors in lieu of cash</w:t>
            </w: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retainer</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13,652</w:t>
            </w:r>
          </w:p>
        </w:tc>
        <w:tc>
          <w:tcPr>
            <w:tcW w:w="0" w:type="dxa"/>
            <w:vAlign w:val="bottom"/>
          </w:tcPr>
          <w:p>
            <w:pPr>
              <w:spacing w:after="0"/>
              <w:rPr>
                <w:sz w:val="1"/>
                <w:szCs w:val="1"/>
                <w:color w:val="auto"/>
              </w:rPr>
            </w:pPr>
          </w:p>
        </w:tc>
      </w:tr>
      <w:tr>
        <w:trPr>
          <w:trHeight w:val="223"/>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206,347</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2,063</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1,237,537</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771</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(1,716,538)</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(476,167)</w:t>
            </w:r>
          </w:p>
        </w:tc>
        <w:tc>
          <w:tcPr>
            <w:tcW w:w="0" w:type="dxa"/>
            <w:vAlign w:val="bottom"/>
          </w:tcPr>
          <w:p>
            <w:pPr>
              <w:spacing w:after="0"/>
              <w:rPr>
                <w:sz w:val="1"/>
                <w:szCs w:val="1"/>
                <w:color w:val="auto"/>
              </w:rPr>
            </w:pPr>
          </w:p>
        </w:tc>
      </w:tr>
      <w:tr>
        <w:trPr>
          <w:trHeight w:val="21"/>
        </w:trPr>
        <w:tc>
          <w:tcPr>
            <w:tcW w:w="12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8"/>
        </w:trPr>
        <w:tc>
          <w:tcPr>
            <w:tcW w:w="12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0" w:type="dxa"/>
            <w:vAlign w:val="bottom"/>
          </w:tcPr>
          <w:p>
            <w:pPr>
              <w:spacing w:after="0"/>
              <w:rPr>
                <w:sz w:val="24"/>
                <w:szCs w:val="24"/>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84"/>
        </w:trPr>
        <w:tc>
          <w:tcPr>
            <w:tcW w:w="12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440" w:type="dxa"/>
            <w:vAlign w:val="bottom"/>
            <w:gridSpan w:val="4"/>
            <w:vMerge w:val="restart"/>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0" w:type="dxa"/>
            <w:vAlign w:val="bottom"/>
            <w:vMerge w:val="restart"/>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200"/>
              <w:spacing w:after="0" w:line="184"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12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2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440" w:type="dxa"/>
            <w:vAlign w:val="bottom"/>
            <w:tcBorders>
              <w:bottom w:val="single" w:sz="8" w:color="auto"/>
            </w:tcBorders>
            <w:gridSpan w:val="4"/>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7"/>
                <w:szCs w:val="17"/>
                <w:b w:val="1"/>
                <w:bCs w:val="1"/>
                <w:color w:val="auto"/>
              </w:rPr>
              <w:t>Paid-In</w:t>
            </w:r>
          </w:p>
        </w:tc>
        <w:tc>
          <w:tcPr>
            <w:tcW w:w="13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7"/>
                <w:szCs w:val="17"/>
                <w:b w:val="1"/>
                <w:bCs w:val="1"/>
                <w:color w:val="auto"/>
              </w:rPr>
              <w:t>Comprehensive</w:t>
            </w:r>
          </w:p>
        </w:tc>
        <w:tc>
          <w:tcPr>
            <w:tcW w:w="1280" w:type="dxa"/>
            <w:vAlign w:val="bottom"/>
            <w:gridSpan w:val="3"/>
            <w:vMerge w:val="continue"/>
          </w:tcPr>
          <w:p>
            <w:pPr>
              <w:spacing w:after="0"/>
              <w:rPr>
                <w:sz w:val="12"/>
                <w:szCs w:val="12"/>
                <w:color w:val="auto"/>
              </w:rPr>
            </w:pPr>
          </w:p>
        </w:tc>
        <w:tc>
          <w:tcPr>
            <w:tcW w:w="12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7"/>
                <w:szCs w:val="17"/>
                <w:b w:val="1"/>
                <w:bCs w:val="1"/>
                <w:color w:val="auto"/>
              </w:rPr>
              <w:t>Stockholders’</w:t>
            </w: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26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Pr>
          <w:p>
            <w:pPr>
              <w:spacing w:after="0"/>
              <w:rPr>
                <w:sz w:val="20"/>
                <w:szCs w:val="20"/>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00" w:type="dxa"/>
            <w:vAlign w:val="bottom"/>
          </w:tcPr>
          <w:p>
            <w:pPr>
              <w:spacing w:after="0"/>
              <w:rPr>
                <w:sz w:val="20"/>
                <w:szCs w:val="20"/>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240" w:type="dxa"/>
            <w:vAlign w:val="bottom"/>
          </w:tcPr>
          <w:p>
            <w:pPr>
              <w:spacing w:after="0"/>
              <w:rPr>
                <w:sz w:val="20"/>
                <w:szCs w:val="20"/>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20"/>
                <w:szCs w:val="20"/>
                <w:color w:val="auto"/>
              </w:rPr>
            </w:pPr>
          </w:p>
        </w:tc>
        <w:tc>
          <w:tcPr>
            <w:tcW w:w="9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0" w:type="dxa"/>
            <w:vAlign w:val="bottom"/>
          </w:tcPr>
          <w:p>
            <w:pPr>
              <w:spacing w:after="0"/>
              <w:rPr>
                <w:sz w:val="1"/>
                <w:szCs w:val="1"/>
                <w:color w:val="auto"/>
              </w:rPr>
            </w:pPr>
          </w:p>
        </w:tc>
      </w:tr>
      <w:tr>
        <w:trPr>
          <w:trHeight w:val="223"/>
        </w:trPr>
        <w:tc>
          <w:tcPr>
            <w:tcW w:w="36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187,906</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1,879</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1,158,118</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(1,454,620)</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(294,597)</w:t>
            </w:r>
          </w:p>
        </w:tc>
        <w:tc>
          <w:tcPr>
            <w:tcW w:w="0" w:type="dxa"/>
            <w:vAlign w:val="bottom"/>
          </w:tcPr>
          <w:p>
            <w:pPr>
              <w:spacing w:after="0"/>
              <w:rPr>
                <w:sz w:val="1"/>
                <w:szCs w:val="1"/>
                <w:color w:val="auto"/>
              </w:rPr>
            </w:pPr>
          </w:p>
        </w:tc>
      </w:tr>
      <w:tr>
        <w:trPr>
          <w:trHeight w:val="223"/>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(53,333)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(53,333)</w:t>
            </w:r>
          </w:p>
        </w:tc>
        <w:tc>
          <w:tcPr>
            <w:tcW w:w="0" w:type="dxa"/>
            <w:vAlign w:val="bottom"/>
          </w:tcPr>
          <w:p>
            <w:pPr>
              <w:spacing w:after="0"/>
              <w:rPr>
                <w:sz w:val="1"/>
                <w:szCs w:val="1"/>
                <w:color w:val="auto"/>
              </w:rPr>
            </w:pPr>
          </w:p>
        </w:tc>
      </w:tr>
      <w:tr>
        <w:trPr>
          <w:trHeight w:val="230"/>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0" w:type="dxa"/>
            <w:vAlign w:val="bottom"/>
          </w:tcPr>
          <w:p>
            <w:pPr>
              <w:spacing w:after="0"/>
              <w:rPr>
                <w:sz w:val="1"/>
                <w:szCs w:val="1"/>
                <w:color w:val="auto"/>
              </w:rPr>
            </w:pPr>
          </w:p>
        </w:tc>
      </w:tr>
      <w:tr>
        <w:trPr>
          <w:trHeight w:val="257"/>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Exercise of stock options, net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3,495</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3,502</w:t>
            </w:r>
          </w:p>
        </w:tc>
        <w:tc>
          <w:tcPr>
            <w:tcW w:w="0" w:type="dxa"/>
            <w:vAlign w:val="bottom"/>
          </w:tcPr>
          <w:p>
            <w:pPr>
              <w:spacing w:after="0"/>
              <w:rPr>
                <w:sz w:val="1"/>
                <w:szCs w:val="1"/>
                <w:color w:val="auto"/>
              </w:rPr>
            </w:pPr>
          </w:p>
        </w:tc>
      </w:tr>
      <w:tr>
        <w:trPr>
          <w:trHeight w:val="256"/>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Employee stock purchase plan sales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0" w:type="dxa"/>
            <w:vAlign w:val="bottom"/>
          </w:tcPr>
          <w:p>
            <w:pPr>
              <w:spacing w:after="0"/>
              <w:rPr>
                <w:sz w:val="1"/>
                <w:szCs w:val="1"/>
                <w:color w:val="auto"/>
              </w:rPr>
            </w:pPr>
          </w:p>
        </w:tc>
      </w:tr>
      <w:tr>
        <w:trPr>
          <w:trHeight w:val="229"/>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14,007</w:t>
            </w:r>
          </w:p>
        </w:tc>
        <w:tc>
          <w:tcPr>
            <w:tcW w:w="0" w:type="dxa"/>
            <w:vAlign w:val="bottom"/>
          </w:tcPr>
          <w:p>
            <w:pPr>
              <w:spacing w:after="0"/>
              <w:rPr>
                <w:sz w:val="1"/>
                <w:szCs w:val="1"/>
                <w:color w:val="auto"/>
              </w:rPr>
            </w:pPr>
          </w:p>
        </w:tc>
      </w:tr>
      <w:tr>
        <w:trPr>
          <w:trHeight w:val="223"/>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2023</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188,883</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1,889</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1,177,192</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585</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(1,507,953)</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(328,287)</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line="265" w:lineRule="auto"/>
        <w:rPr>
          <w:sz w:val="20"/>
          <w:szCs w:val="20"/>
          <w:color w:val="auto"/>
        </w:rPr>
      </w:pPr>
      <w:r>
        <w:rPr>
          <w:rFonts w:ascii="Times New Roman" w:cs="Times New Roman" w:eastAsia="Times New Roman" w:hAnsi="Times New Roman"/>
          <w:sz w:val="18"/>
          <w:szCs w:val="18"/>
          <w:b w:val="1"/>
          <w:bCs w:val="1"/>
          <w:color w:val="auto"/>
        </w:rPr>
        <w:t>BIOCRYST PHARMACEUTICALS, INC. NOTES TO CONDENSED CONSOLIDATED FINANCIAL STATEMENTS (In thousands, except per share amounts) (Unaudited)</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Significant Accounting Policies and Concentrations of Risk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w:t>
      </w:r>
    </w:p>
    <w:p>
      <w:pPr>
        <w:spacing w:after="0" w:line="189"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BioCryst Pharmaceuticals, Inc. (the “Company”) is a global biotechnology company with a deep commitment to improving the lives of people living with complement-mediated and other rare diseases. The Company leverages its expertise in structure-guided drug design with the goal of developing first-in-class or best-in-class oral small-molecule and protein therapeutics to target difficult-to-treat diseases. The Company was founded in 1986 and incorporated in Delaware in 1991, and its headquarters is located in Durham, North Carolina. The Company integrates the disciplines of biology, crystallography, medicinal chemistry and computer modeling to discover and develop small molecule and protein therapeutics through the process known as structure-guided drug design.</w:t>
      </w:r>
    </w:p>
    <w:p>
      <w:pPr>
        <w:spacing w:after="0" w:line="160"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The Company’s marketed products include oral, once-daily ORLADEYO® for the prevention of hereditary angioedema (“HAE”) attacks and RAPIVAB® (peramivir injection) for the treatment of acute uncomplicated influenza in the United States. ORLADEYO received regulatory approval in the United States in December 2020. ORLADEYO has also received regulatory approvals in multiple global markets. The Company is commercializing ORLADEYO in each of these territories directly or through distributors, except in Japan where Torii Pharmaceutical Co., Ltd. (“Torii”), the Company’s collaborative partner, conducts certain commercialization activities with respect to ORLADEYO for the prevention of HAE attacks in exchange for certain royalty payments to the Company. In addition to its approval in the United States, peramivir injection has received regulatory approvals in Canada, Australia, Japan, Taiwan and Korea.</w:t>
      </w:r>
    </w:p>
    <w:p>
      <w:pPr>
        <w:spacing w:after="0" w:line="148" w:lineRule="exact"/>
        <w:rPr>
          <w:sz w:val="20"/>
          <w:szCs w:val="20"/>
          <w:color w:val="auto"/>
        </w:rPr>
      </w:pPr>
    </w:p>
    <w:p>
      <w:pPr>
        <w:ind w:right="60" w:firstLine="486"/>
        <w:spacing w:after="0" w:line="252" w:lineRule="auto"/>
        <w:rPr>
          <w:sz w:val="20"/>
          <w:szCs w:val="20"/>
          <w:color w:val="auto"/>
        </w:rPr>
      </w:pPr>
      <w:r>
        <w:rPr>
          <w:rFonts w:ascii="Times New Roman" w:cs="Times New Roman" w:eastAsia="Times New Roman" w:hAnsi="Times New Roman"/>
          <w:sz w:val="18"/>
          <w:szCs w:val="18"/>
          <w:color w:val="auto"/>
        </w:rPr>
        <w:t>Based on the Company’s expectations for revenue and operating expenses, the Company believes its financial resources available at March 31, 2024 will be sufficient to fund its operations for at least the next 12 months. The Company has sustained operating losses for the majority of its corporate history and expects that its total 2024 expenses (including stock-based compensation expense) will exceed its total 2024 revenues. The Company expects to continue to incur operating losses and negative cash flows until revenues reach a level sufficient to support ongoing operations. The Company’s liquidity needs will be largely determined by the success of operations in regard to the successful commercialization of its products and the progression of its product candidates in the future. The Company regularly evaluates other opportunities to fund future operations, including: (1) out-licensing rights to certain of its products or product candidates, pursuant to which the Company would receive cash milestone payments; (2) royalty or other monetization transactions; (3) obtaining additional product candidate regulatory approvals, which would generate revenue, milestone payments and cash flow; (4) reducing spending on one or more research and development programs, including by discontinuing development; (5) restructuring operations to change its overhead structure; and/or (6) securing U.S. Government funding of its programs, including obtaining procurement contracts. The Company may, in the future, issue securities, including common stock, preferred stock, depositary shares, purchase contracts, warrants, debt securities and units, through private placement transactions or registered public offerings. The Company’s future liquidity needs, and ability to address those needs, will largely be determined by the success of its products and product candidates; the timing, scope and magnitude of its research and development and commercial expenses; and key developments and regulatory events and its decisions in the future.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02" w:lineRule="exact"/>
        <w:rPr>
          <w:sz w:val="20"/>
          <w:szCs w:val="20"/>
          <w:color w:val="auto"/>
        </w:rPr>
      </w:pPr>
    </w:p>
    <w:p>
      <w:pPr>
        <w:ind w:right="540" w:firstLine="486"/>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its subsidiaries. All intercompany transactions and balances among the consolidated entities have been eliminated from the condensed consolidated financial statements.</w:t>
      </w:r>
    </w:p>
    <w:p>
      <w:pPr>
        <w:spacing w:after="0" w:line="121"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The Company’s condensed consolidated financial statements have been prepared in accordance with accounting principles generally accepted in the United States (“U.S. GAAP”) for interim financial reporting and the instructions to Form 10-Q and do not include all of the information and footnotes required by U.S. GAAP for complete financial statements. Such financial statements reflect all adjustments that are, in management’s opinion, necessary to present fairly, in all material respects, the Company’s condensed consolidated financial position, results of operations, and cash flows. There were no adjustments other than normal recurring adjustments. Certain prior year amounts have been reclassified to conform to the current year presentation.</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These financial statements should be read in conjunction with the financial statements for the year ended December 31, 2023 and the notes thereto included in the Company’s 2023 Annual Report on Form 10-K. Interim operating results are not necessarily indicative of operating results for the full year. The condensed consolidated balance sheet as of December 31, 2023 has been derived from the audited consolidated financial statements included in the Company’s most recent Annual Report on Form 10-K.</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89" w:lineRule="exact"/>
        <w:rPr>
          <w:sz w:val="20"/>
          <w:szCs w:val="20"/>
          <w:color w:val="auto"/>
        </w:rPr>
      </w:pPr>
    </w:p>
    <w:p>
      <w:pPr>
        <w:ind w:right="260" w:firstLine="486"/>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liabilities, revenues and expenses, and related disclosure of contingent assets and liabilities. Significant estimates in the Company’s condensed consolidated financial statements have been made relative to the calculation of net product sales, the ORLADEYO and Factor D inhibitors royalty financing obligations, inventory reserves, certain accruals, primarily related to the Company’s research and development expenses, the valuation of stock options and the valuation allowance for deferred tax assets resulting from net operating losses. These estimates are 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could differ from those estimates.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0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recorded the following revenues for the three months ended March 31, 2024 and 2023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1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sales, net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68,166</w:t>
            </w:r>
          </w:p>
        </w:tc>
      </w:tr>
      <w:tr>
        <w:trPr>
          <w:trHeight w:val="22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Collaborative and other revenues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w:t>
            </w: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68,778</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Pursuant to Accounting Standards Codification (“ASC”) Topic 606, the Company recognizes revenue to depict the transfer of promised goods or services to customers in an amount that reflects the consideration to which the entity expects to be entitled in exchange for those goods or services. To achieve this core principle, Topic 606 includes provisions within a five step model that includes (i) identifying the contract with a customer, (ii) identifying the performance obligations in the contract, (iii) determining the transaction price, (iv) allocating the transaction price to the performance obligations, and (v) recognizing revenue when, or as, an entity satisfies a performance obligation.</w:t>
      </w:r>
    </w:p>
    <w:p>
      <w:pPr>
        <w:spacing w:after="0" w:line="143" w:lineRule="exact"/>
        <w:rPr>
          <w:sz w:val="20"/>
          <w:szCs w:val="20"/>
          <w:color w:val="auto"/>
        </w:rPr>
      </w:pPr>
    </w:p>
    <w:p>
      <w:pPr>
        <w:jc w:val="both"/>
        <w:ind w:right="140" w:firstLine="486"/>
        <w:spacing w:after="0" w:line="266" w:lineRule="auto"/>
        <w:rPr>
          <w:sz w:val="20"/>
          <w:szCs w:val="20"/>
          <w:color w:val="auto"/>
        </w:rPr>
      </w:pPr>
      <w:r>
        <w:rPr>
          <w:rFonts w:ascii="Times New Roman" w:cs="Times New Roman" w:eastAsia="Times New Roman" w:hAnsi="Times New Roman"/>
          <w:sz w:val="18"/>
          <w:szCs w:val="18"/>
          <w:color w:val="auto"/>
        </w:rPr>
        <w:t>At contract inception, the Company identifies the goods or services promised within each contract, assesses whether each promised good or service is distinct and determines those that are performance obligations. The Company recognizes as revenue the amount of the transaction price that is allocated to the respective performance obligation when the performance obligation is satisfied.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Sales, Net</w:t>
      </w:r>
    </w:p>
    <w:p>
      <w:pPr>
        <w:spacing w:after="0" w:line="187"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The Company’s principal sources of product sales are sales of ORLADEYO, which the Company began shipping to patients in December 2020, and sales of peramivir. In the United States, the Company ships ORLADEYO directly to patients through a single specialty pharmacy, which is considered its customer. In the European Union, United Kingdom and elsewhere, the Company sells ORLADEYO to specialty distributors as well as hospitals and pharmacies, which collectively are considered its customers.</w:t>
      </w:r>
    </w:p>
    <w:p>
      <w:pPr>
        <w:spacing w:after="0" w:line="139" w:lineRule="exact"/>
        <w:rPr>
          <w:sz w:val="20"/>
          <w:szCs w:val="20"/>
          <w:color w:val="auto"/>
        </w:rPr>
      </w:pPr>
    </w:p>
    <w:p>
      <w:pPr>
        <w:ind w:right="320" w:firstLine="486"/>
        <w:spacing w:after="0" w:line="266" w:lineRule="auto"/>
        <w:rPr>
          <w:sz w:val="20"/>
          <w:szCs w:val="20"/>
          <w:color w:val="auto"/>
        </w:rPr>
      </w:pPr>
      <w:r>
        <w:rPr>
          <w:rFonts w:ascii="Times New Roman" w:cs="Times New Roman" w:eastAsia="Times New Roman" w:hAnsi="Times New Roman"/>
          <w:sz w:val="18"/>
          <w:szCs w:val="18"/>
          <w:color w:val="auto"/>
        </w:rPr>
        <w:t>The Company recognizes revenue for sales when its customers obtain control of the product, which generally occurs upon delivery. For ORLADEYO, the Company classifies payments to its specialty pharmacy customer for certain services provided by its customer as selling, general and administrative expenses to the extent such services provided are determined to be distinct from the sale of ORLADEYO.</w:t>
      </w:r>
    </w:p>
    <w:p>
      <w:pPr>
        <w:spacing w:after="0" w:line="149" w:lineRule="exact"/>
        <w:rPr>
          <w:sz w:val="20"/>
          <w:szCs w:val="20"/>
          <w:color w:val="auto"/>
        </w:rPr>
      </w:pPr>
    </w:p>
    <w:p>
      <w:pPr>
        <w:ind w:right="140" w:firstLine="486"/>
        <w:spacing w:after="0" w:line="281" w:lineRule="auto"/>
        <w:rPr>
          <w:sz w:val="20"/>
          <w:szCs w:val="20"/>
          <w:color w:val="auto"/>
        </w:rPr>
      </w:pPr>
      <w:r>
        <w:rPr>
          <w:rFonts w:ascii="Times New Roman" w:cs="Times New Roman" w:eastAsia="Times New Roman" w:hAnsi="Times New Roman"/>
          <w:sz w:val="17"/>
          <w:szCs w:val="17"/>
          <w:color w:val="auto"/>
        </w:rPr>
        <w:t>Net revenue from sales of ORLADEYO is recorded at net selling price (transaction price), which includes estimates of variable consideration for which reserves are established for (i) estimated government rebates, such as Medicaid and Medicare Part D reimbursements, and estimated managed care rebates, (ii) estimated chargebacks, (iii) estimated costs of co-payment assistance programs and (iv) product returns. These reserves are based on the amounts earned or to be claimed on the related sales and are classified as reductions of accounts receivable or as a current liability. Overall, these reserves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reflect the Company’s best estimates of the amount of consideration to which it is entitled based on the terms of the applicable contract. The amount of variable consideration included in the transaction price may be constrained and is included in the net sales price only to the extent that it is probable that a significant reversal in the amount of the cumulative revenue recognized will not occur in a future period. Actual amounts of consideration ultimately received may differ from the Company’s estimates. If actual results in the future vary from estimates, the Company adjusts these estimates, which would affect net product revenue and earnings in the period such variances become known.</w:t>
      </w:r>
    </w:p>
    <w:p>
      <w:pPr>
        <w:spacing w:after="0" w:line="154"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i w:val="1"/>
          <w:iCs w:val="1"/>
          <w:color w:val="auto"/>
        </w:rPr>
        <w:t>Government and Managed Care Rebates</w:t>
      </w:r>
      <w:r>
        <w:rPr>
          <w:rFonts w:ascii="Times New Roman" w:cs="Times New Roman" w:eastAsia="Times New Roman" w:hAnsi="Times New Roman"/>
          <w:sz w:val="18"/>
          <w:szCs w:val="18"/>
          <w:color w:val="auto"/>
        </w:rPr>
        <w:t>. The Company contracts with government agencies and managed care organizations or, collectively, third-party payors, so that ORLADEYO will be eligible for purchase by, or partial or full reimbursement from, such third-party payors. The Company estimates the rebates it will provide to third-party payors and deducts these estimated amounts from total gross product revenues at the time the revenues are recognized. These reserves are recorded in the same period in which the revenue is recognized, resulting in a reduction of product revenue and the establishment of a current liability. The Company estimates the rebates that it will provide to third-party payors based upon (i) the Company’s contracts with these third-party payors, (ii) the government mandated discounts applicable to government-funded programs, (iii) a range of possible outcomes that are probability-weighted for the estimated payor mix, and (iv) product distribution information obtained from the Company’s specialty pharmacy.</w:t>
      </w:r>
    </w:p>
    <w:p>
      <w:pPr>
        <w:spacing w:after="0" w:line="142" w:lineRule="exact"/>
        <w:rPr>
          <w:sz w:val="20"/>
          <w:szCs w:val="20"/>
          <w:color w:val="auto"/>
        </w:rPr>
      </w:pPr>
    </w:p>
    <w:p>
      <w:pPr>
        <w:ind w:right="20"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Chargebacks</w:t>
      </w:r>
      <w:r>
        <w:rPr>
          <w:rFonts w:ascii="Times New Roman" w:cs="Times New Roman" w:eastAsia="Times New Roman" w:hAnsi="Times New Roman"/>
          <w:sz w:val="18"/>
          <w:szCs w:val="18"/>
          <w:color w:val="auto"/>
        </w:rPr>
        <w:t>. Chargebacks are discounts that occur when certain contracted customers, pharmacy benefit managers, insurance companies,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 programs purchase directly from the Company’s specialty pharmacy. These customers purchase the Company’s product under contracts negotiated between them and the Company’s specialty pharmacy. The specialty pharmacy, in turn, charges back to the Company the difference between the price the specialty pharmacy paid and the negotiated price paid by the contracted customers, which may be higher or lower than the specialty pharmacy’s purchase price from the Company. The Company estimates chargebacks and adjusts gross product revenues and accounts receivable based on the estimates at the time revenues are recognized.</w:t>
      </w:r>
    </w:p>
    <w:p>
      <w:pPr>
        <w:spacing w:after="0" w:line="142" w:lineRule="exact"/>
        <w:rPr>
          <w:sz w:val="20"/>
          <w:szCs w:val="20"/>
          <w:color w:val="auto"/>
        </w:rPr>
      </w:pPr>
    </w:p>
    <w:p>
      <w:pPr>
        <w:ind w:right="80"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Co-payment assistance and patient assistance programs</w:t>
      </w:r>
      <w:r>
        <w:rPr>
          <w:rFonts w:ascii="Times New Roman" w:cs="Times New Roman" w:eastAsia="Times New Roman" w:hAnsi="Times New Roman"/>
          <w:sz w:val="18"/>
          <w:szCs w:val="18"/>
          <w:color w:val="auto"/>
        </w:rPr>
        <w:t>. Patients who have commercial insurance and meet certain eligibility requirements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 co-payment assistance. Based upon the terms of the program and co-payment assistance utilization reports received from the specialty pharmacy, the Company is able to estimate the co-payment assistance amounts, which are recorded in the same period in which the related revenue is recognized, resulting in a reduction of product revenue. The Company also offers a patient assistance program that provides free drug product, for a limited period of time, to allow a patient’s insurance coverage to be established. Based on patient assistance program utilization reports provided by the specialty pharmacy, the Company records gross revenue of the product provided and a full reduction of the revenue amount for the free drug discount.</w:t>
      </w:r>
    </w:p>
    <w:p>
      <w:pPr>
        <w:spacing w:after="0" w:line="155" w:lineRule="exact"/>
        <w:rPr>
          <w:sz w:val="20"/>
          <w:szCs w:val="20"/>
          <w:color w:val="auto"/>
        </w:rPr>
      </w:pPr>
    </w:p>
    <w:p>
      <w:pPr>
        <w:ind w:right="280"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Product returns</w:t>
      </w:r>
      <w:r>
        <w:rPr>
          <w:rFonts w:ascii="Times New Roman" w:cs="Times New Roman" w:eastAsia="Times New Roman" w:hAnsi="Times New Roman"/>
          <w:sz w:val="18"/>
          <w:szCs w:val="18"/>
          <w:color w:val="auto"/>
        </w:rPr>
        <w:t>. The Company does not provide contractual return rights to its customers, except in instances where the product is damaged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defective. Non-acceptance by the patient of shipped drug product by the specialty pharmacy is reflected as a reversal of sales in the period in which the sales were originally recorded. Reserves for estimated non-acceptances by patients are recorded as a reduction of revenue in the period that the related revenue is recognized, as well as a reduction to accounts receivable. Estimates of non-acceptance are based on quantitative information provided by the specialty pharmacy.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Collaborative and Other Revenues</w:t>
      </w:r>
    </w:p>
    <w:p>
      <w:pPr>
        <w:spacing w:after="0" w:line="187" w:lineRule="exact"/>
        <w:rPr>
          <w:sz w:val="20"/>
          <w:szCs w:val="20"/>
          <w:color w:val="auto"/>
        </w:rPr>
      </w:pPr>
    </w:p>
    <w:p>
      <w:pPr>
        <w:ind w:right="440" w:firstLine="486"/>
        <w:spacing w:after="0" w:line="282" w:lineRule="auto"/>
        <w:rPr>
          <w:sz w:val="20"/>
          <w:szCs w:val="20"/>
          <w:color w:val="auto"/>
        </w:rPr>
      </w:pPr>
      <w:r>
        <w:rPr>
          <w:rFonts w:ascii="Times New Roman" w:cs="Times New Roman" w:eastAsia="Times New Roman" w:hAnsi="Times New Roman"/>
          <w:sz w:val="18"/>
          <w:szCs w:val="18"/>
          <w:color w:val="auto"/>
        </w:rPr>
        <w:t>The Company has collaboration and license agreements with a number of third parties. The Company’s primary sources of revenue from these collaborative and other research and development arrangements are license, service and royalty revenues.</w:t>
      </w:r>
    </w:p>
    <w:p>
      <w:pPr>
        <w:spacing w:after="0" w:line="13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Revenue from license fees, royalty payments, milestone payments, and research and development fees are recognized as revenue when the earnings process is complete and the Company has no further continuing performance obligations or the Company has completed the performance obligations under the terms of the agreement.</w:t>
      </w:r>
    </w:p>
    <w:p>
      <w:pPr>
        <w:spacing w:after="0" w:line="135"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Arrangements that involve the delivery of more than one performance obligation are initially evaluated as to whether the intellectual property licenses granted by the Company represent distinct performance obligations. If they are determined to be distinct, the value of the intellectual property licenses would be recognized up-front while the research and development service fees would be recognized as the performance obligations are satisfied. For performance obligations based on services performed, the Company measures progress using an input method based on the effort it expends or costs it incurs toward the satisfaction of the performance obligation in relation to the total estimated effort or costs. Variable consideration is assessed at each reporting period as to whether it is not subject to significant future reversal and, therefore, should be included in the transaction price at the inception of the contract. If a contract includes a fixed or minimum amount of research and development support, this also would be included in the transaction price. Changes to</w:t>
      </w:r>
    </w:p>
    <w:p>
      <w:pPr>
        <w:spacing w:after="0" w:line="200" w:lineRule="exact"/>
        <w:rPr>
          <w:sz w:val="20"/>
          <w:szCs w:val="20"/>
          <w:color w:val="auto"/>
        </w:rPr>
      </w:pPr>
    </w:p>
    <w:p>
      <w:pPr>
        <w:spacing w:after="0" w:line="3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collaborations, such as the extensions of the research term or increasing the number of targets or technology covered under an existing agreement, are assessed for whether they represent a modification or should be accounted for as a new contract. For contracts with multiple performance obligations, revenue is allocated to each performance obligation based on its relative standalone selling price. Standalone selling prices are based on observable prices at which the Company separately sells the products or services. If a standalone selling price is not directly observable, then the Company estimates the standalone selling price using either an adjusted market assessment approach or an expected cost plus margin approach, representing the amount that the Company believes the market is willing to pay for the product or service. Analyzing the arrangement to identify performance obligations requires the use of judgment, and each may be an obligation to deliver services, a right or license to use an asset, or another performance obligation.</w:t>
      </w:r>
    </w:p>
    <w:p>
      <w:pPr>
        <w:spacing w:after="0" w:line="162"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Under certain of the Company’s license agreements, the Company receives royalty payments based upon its licensees’ net sales of covered products. Royalties are recognized at the later of when (i) the subsequent sale or usage occurs, or (ii) the performance obligation to which some or all of the sales-based or usage-based royalty has been satisfied.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89" w:lineRule="exact"/>
        <w:rPr>
          <w:sz w:val="20"/>
          <w:szCs w:val="20"/>
          <w:color w:val="auto"/>
        </w:rPr>
      </w:pPr>
    </w:p>
    <w:p>
      <w:pPr>
        <w:jc w:val="both"/>
        <w:ind w:right="100" w:firstLine="486"/>
        <w:spacing w:after="0" w:line="266" w:lineRule="auto"/>
        <w:rPr>
          <w:sz w:val="20"/>
          <w:szCs w:val="20"/>
          <w:color w:val="auto"/>
        </w:rPr>
      </w:pPr>
      <w:r>
        <w:rPr>
          <w:rFonts w:ascii="Times New Roman" w:cs="Times New Roman" w:eastAsia="Times New Roman" w:hAnsi="Times New Roman"/>
          <w:sz w:val="18"/>
          <w:szCs w:val="18"/>
          <w:color w:val="auto"/>
        </w:rPr>
        <w:t>The Company generally considers cash equivalents to be all cash held in commercial checking accounts, money market accounts, or investments in debt instruments and certificates of deposit with maturities of three months or less at the time of purchase. The carrying value of cash and cash equivalents approximates fair value due to the short-term nature of these items.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89" w:lineRule="exact"/>
        <w:rPr>
          <w:sz w:val="20"/>
          <w:szCs w:val="20"/>
          <w:color w:val="auto"/>
        </w:rPr>
      </w:pPr>
    </w:p>
    <w:p>
      <w:pPr>
        <w:ind w:right="480" w:firstLine="486"/>
        <w:spacing w:after="0" w:line="266" w:lineRule="auto"/>
        <w:rPr>
          <w:sz w:val="20"/>
          <w:szCs w:val="20"/>
          <w:color w:val="auto"/>
        </w:rPr>
      </w:pPr>
      <w:r>
        <w:rPr>
          <w:rFonts w:ascii="Times New Roman" w:cs="Times New Roman" w:eastAsia="Times New Roman" w:hAnsi="Times New Roman"/>
          <w:sz w:val="18"/>
          <w:szCs w:val="18"/>
          <w:color w:val="auto"/>
        </w:rPr>
        <w:t>Total restricted cash was $1,798 and $1,804 as of March 31, 2024 and December 31, 2023, respectively, and primarily consisted of $1,501 and $1,493 as of March 31, 2024 and December 31, 2023, respectively, for a letter of credit the Company is required to maintain associated with its Birmingham lease.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202"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The Company invests in high credit quality investments in accordance with its investment policy, which is designed to minimize the possibility of loss. The objective of the Company’s investment policy is to ensure the safety and preservation of invested funds, as well as maintaining liquidity sufficient to meet cash flow requirements. The Company places its excess cash with high credit quality financial institutions, commercial companies, and government agencies in order to limit the amount of its credit exposure. In accordance with its policy, the Company is able to invest in marketable debt securities that may consist of U.S. Government and government agency securities, money market and mutual fund investments, certificates of deposits, municipal and corporate notes and bonds, and commercial paper, among others. The Company’s investment policy requires it to purchase high-quality marketable securities with a maximum individual maturity of three years and requires an average portfolio maturity of no more than 12 months. Some of the securities in which the Company invests may have market risk. This means that a change in prevailing interest rates may cause the principal amount of the investment to fluctuate. To minimize this risk, the Company schedules its investments with maturities that coincide with expected cash flow needs, thus avoiding the need to redeem an investment prior to its maturity date. Accordingly, the Company does not believe it has a material exposure to interest rate risk arising from its investments. Generally, the Company’s investments are not collateralized. The Company has not realized any significant losses from its investments.</w:t>
      </w:r>
    </w:p>
    <w:p>
      <w:pPr>
        <w:spacing w:after="0" w:line="149"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The Company classifies all of its investments as available-for-sale. Available-for-sale investments are reported at fair value at each balance sheet date, and include any unrealized holding gains and losses in accumulated other comprehensive income, unless an unrealized loss is considered to be other than temporary, in which case the unrealized loss is charged to operations. The Company reviews its investments for other than temporary declines in fair value below cost basis at the end of each reporting period and whenever events or changes in circumstances indicate that the carrying amount of an asset may not be recoverable. Factors considered to determine whether an unrealized loss is temporary include whether a decline in fair value below the amortized cost basis is due to credit-related factors or non-credit-related factors, the financial condition and near-term prospects of the Company, and the Company’s intent and ability to hold the investment to allow for an anticipated recovery in fair value. A credit-related impairment is recognized as an allowance on the balance sheet with a corresponding adjustment to earnings. Any impairment that is not credit-related is recognized in other comprehensive income, net of applicable taxes unless deemed other than temporary. Realized gains and losses are reflected in interest and other income in the Condensed Consolidated Statements of Comprehensive Loss and are determined using the specific identification method with transactions recorded on a settlement date basis. Investments with original maturities at date of purchase beyond three months and which mature at or less than 12 months from the balance</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sheet date are classified as current. Investments with a maturity beyond 12 months from the balance sheet date are classified as long-term.</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89"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Assets and liabilities recorded at fair value on a recurring basis on the Condensed Consolidated Balance Sheets are categorized based upon the level of judgment associated with the inputs used to measure their fair values.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p>
    <w:p>
      <w:pPr>
        <w:spacing w:after="0" w:line="143"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Assets measured at fair value on a recurring basis include investments (Note 3). There were no liabilities measured at fair value on a recurring basis as of March 31, 2024 and December 31, 2023. The carrying amounts reflected in the Condensed Consolidated Balance Sheets for cash and cash equivalents, trade receivables, prepaid expenses and other current assets, accounts payable and accrued expenses approximate their fair values due to the short-term nature of these assets and liabilities.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Receivables</w:t>
      </w:r>
    </w:p>
    <w:p>
      <w:pPr>
        <w:spacing w:after="0" w:line="189"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The majority of the Company’s trade receivables arise from product sales and primarily represent amounts due from its specialty pharmacy customer in the United States and other third-party distributors, hospitals and pharmacies in the European Union, United Kingdom and elsewhere and have standard payment terms that generally require payment within 30 to 90 days.</w:t>
      </w:r>
    </w:p>
    <w:p>
      <w:pPr>
        <w:spacing w:after="0" w:line="135"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Receivables from collaborations are recorded for amounts due to the Company related to royalty receivables from the Company’s partners, including Shionogi &amp; Co., Ltd., Green Cross, and Torii (Note 11).</w:t>
      </w:r>
    </w:p>
    <w:p>
      <w:pPr>
        <w:spacing w:after="0" w:line="135" w:lineRule="exact"/>
        <w:rPr>
          <w:sz w:val="20"/>
          <w:szCs w:val="20"/>
          <w:color w:val="auto"/>
        </w:rPr>
      </w:pPr>
    </w:p>
    <w:p>
      <w:pPr>
        <w:ind w:right="420" w:firstLine="486"/>
        <w:spacing w:after="0" w:line="282" w:lineRule="auto"/>
        <w:rPr>
          <w:sz w:val="20"/>
          <w:szCs w:val="20"/>
          <w:color w:val="auto"/>
        </w:rPr>
      </w:pPr>
      <w:r>
        <w:rPr>
          <w:rFonts w:ascii="Times New Roman" w:cs="Times New Roman" w:eastAsia="Times New Roman" w:hAnsi="Times New Roman"/>
          <w:sz w:val="18"/>
          <w:szCs w:val="18"/>
          <w:color w:val="auto"/>
        </w:rPr>
        <w:t>The Company does not adjust its receivables for the effects of a significant financing component at contract inception if it expects to collect the receivables in one year or less from the time of sale.</w:t>
      </w:r>
    </w:p>
    <w:p>
      <w:pPr>
        <w:spacing w:after="0" w:line="121"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The Company provides reserves against trade receivables for estimated losses that may result from a customer’s inability to pay. Receivables are evaluated to determine if any reserve or allowance should be recorded based on consideration of the current economic environment, expectations of future economic conditions, specific circumstances and the Company’s own historical collection experience. Amounts determined to be uncollectible are charged or written-off against the reserve.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0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Company’s inventories primarily relate to ORLADEYO. Additionally, the Company’s inventories include RAPIVAB and peramivir.</w:t>
      </w:r>
    </w:p>
    <w:p>
      <w:pPr>
        <w:spacing w:after="0" w:line="185"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The Company values its inventories at the lower of cost or estimated net realizable value. The Company determines the cost of its inventories, which includes amounts related to materials, labor, manufacturing overhead and shipping and handling costs on a first-in, first-out (FIFO) basis. Raw materials and work-in-process include all inventory costs prior to packaging and labeling, including raw material, active product ingredient, and the drug product. Finished goods include packaged and labeled products.</w:t>
      </w:r>
    </w:p>
    <w:p>
      <w:pPr>
        <w:spacing w:after="0" w:line="139"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The Company’s inventories are subject to expiration dating. At each reporting date, the Company evaluates the carrying value of its inventories and provides valuation reserves for any estimated obsolete, short-dated or unmarketable inventories. In addition, the Company may experience spoilage of its raw materials and supplies. The Company’s determination that a valuation reserve might be required, in addition to the quantification of such reserve, requires it to utilize significant judgment.</w:t>
      </w:r>
    </w:p>
    <w:p>
      <w:pPr>
        <w:spacing w:after="0" w:line="15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expenses costs related to the production of inventories as research and development expenses in the period incurred until such time it is believed that future economic benefit is expected to be recognized, which generally is reliant upon receipt of regulatory approval. Upon regulatory approval, the Company capitalizes subsequent costs related to the production of inventories.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02"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Property and equipment are recorded at cost. Depreciation is computed using the straight-line method over the estimated useful lives of the assets. Computer equipment and office equipment is depreciated over a life of three years. Laboratory equipment, software, and furniture and fixtures are depreciated over a life of five years. Leasehold improvements are amortized over their estimated useful lives or the expected lease term, whichever is less.</w:t>
      </w:r>
    </w:p>
    <w:p>
      <w:pPr>
        <w:spacing w:after="0" w:line="135"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The Company periodically reviews its property and equipment for impairment when events or changes in circumstances indicate that the carrying amount of such assets may not be recoverable. Determination of recoverability is based on an estimate of undiscounted future cash flows resulting from the use of the asset and its eventual disposition. In the event that such cash flows are not expected to be sufficient to recover the carrying amount of the assets, the assets are written down to their estimated fair values. Property and equipment to be disposed of are reported at the lower of carrying amount or fair value less cost to sell.</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w:t>
      </w:r>
    </w:p>
    <w:p>
      <w:pPr>
        <w:spacing w:after="0" w:line="202" w:lineRule="exact"/>
        <w:rPr>
          <w:sz w:val="20"/>
          <w:szCs w:val="20"/>
          <w:color w:val="auto"/>
        </w:rPr>
      </w:pPr>
    </w:p>
    <w:p>
      <w:pPr>
        <w:ind w:right="80" w:firstLine="486"/>
        <w:spacing w:after="0" w:line="253" w:lineRule="auto"/>
        <w:rPr>
          <w:sz w:val="20"/>
          <w:szCs w:val="20"/>
          <w:color w:val="auto"/>
        </w:rPr>
      </w:pPr>
      <w:r>
        <w:rPr>
          <w:rFonts w:ascii="Times New Roman" w:cs="Times New Roman" w:eastAsia="Times New Roman" w:hAnsi="Times New Roman"/>
          <w:sz w:val="18"/>
          <w:szCs w:val="18"/>
          <w:color w:val="auto"/>
        </w:rPr>
        <w:t>The Company enters into contractual agreements with third-party vendors who provide research and development, manufacturing, distribution, and other services in the ordinary course of business. Some of these contracts are subject to milestone-based invoicing, and services are completed over an extended period of time. The Company records liabilities under these contractual commitments when it determines an obligation has been incurred, regardless of the timing of the invoice. This process involves reviewing open contracts and purchase orders, communicating with applicable Company personnel to identify services that have been performed on its behalf and estimating the level of service performed and the associated cost incurred for the service when the Company has not yet been invoiced or otherwise notified of actual cost. The majority of service providers invoice the Company monthly in arrears for services performed. The Company makes estimates of accrued expenses as of each balance sheet date in its financial statements based on the facts and circumstances, which can include assumptions such as expected patient enrollment, site activation and estimated project duration. The Company periodically confirms the accuracy of its estimates with the service providers and makes adjustments if necessary. Examples of estimated accrued expenses include (i) fees paid to clinical research organizations (“CROs”) in connection with preclinical and toxicology studies and clinical trials; (ii) fees paid to investigative sites in connection with clinical trials; (iii) fees paid to contract manufacturers in connection with the production of the Company’s raw materials, drug substance, drug products, and product candidates; and (iv) professional fees.</w:t>
      </w:r>
    </w:p>
    <w:p>
      <w:pPr>
        <w:spacing w:after="0" w:line="14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The Company bases its expenses related to clinical trials on its estimates of the services received and efforts expended pursuant to contracts with multiple research institutions and CROs that conduct and manage clinical trials on the Company’s behalf. The financial terms of these agreements are subject to negotiation, vary from contract to contract and may result in uneven payment flows. Payments under some of these contracts depend on factors such as the successful enrollment of patients and the completion of clinical trial milestones. In accruing service fees, the Company estimates the time period over which services will be performed and the level of effort expended in each period. If the actual timing of the performance of services or the level of effort varies from the estimate, the Company will adjust the accrual accordingly. If the Company underestimates or overestimates the level of these costs, actual expenses could differ from such estimates. As of March 31, 2024 and December 31, 2023, the carrying value of accrued expenses approximates their fair value due to their short-term settlement.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Sales</w:t>
      </w:r>
    </w:p>
    <w:p>
      <w:pPr>
        <w:spacing w:after="0" w:line="202" w:lineRule="exact"/>
        <w:rPr>
          <w:sz w:val="20"/>
          <w:szCs w:val="20"/>
          <w:color w:val="auto"/>
        </w:rPr>
      </w:pPr>
    </w:p>
    <w:p>
      <w:pPr>
        <w:ind w:right="240" w:firstLine="486"/>
        <w:spacing w:after="0" w:line="266" w:lineRule="auto"/>
        <w:rPr>
          <w:sz w:val="20"/>
          <w:szCs w:val="20"/>
          <w:color w:val="auto"/>
        </w:rPr>
      </w:pPr>
      <w:r>
        <w:rPr>
          <w:rFonts w:ascii="Times New Roman" w:cs="Times New Roman" w:eastAsia="Times New Roman" w:hAnsi="Times New Roman"/>
          <w:sz w:val="18"/>
          <w:szCs w:val="18"/>
          <w:color w:val="auto"/>
        </w:rPr>
        <w:t>Cost of product sales includes the cost of producing and distributing inventories that are related to product revenue during the respective period, including freight. In addition, shipping and handling costs for product shipments are recorded as incurred. Finally, cost of product sales may also include costs related to excess or obsolete inventory adjustment charges.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89"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The Company’s research and development costs are expensed when incurred. Research and development expenses include all direct and indirect development costs related to the development of the Company’s portfolio of product candidates. Advance payments for goods or services that will be used or rendered for future research and development activities are deferred and capitalized. Such amounts are recognized as expense when the related goods are delivered or the related services are performed. Research and development expenses include, among other items, personnel costs, including salaries and benefits, manufacturing costs, clinical, regulatory, and toxicology services performed by CROs, materials and supplies, and overhead allocations consisting of various administrative and facilities related costs, as well as termination fees and other commitments associated with discontinued programs. Most of the Company’s manufacturing and clinical and preclinical studies are performed by third-party CROs. Costs for studies performed by CROs are accrued by the</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Company over the service periods specified in the contracts, and estimates are adjusted based upon the Company’s ongoing review of the level of services actually performed.</w:t>
      </w:r>
    </w:p>
    <w:p>
      <w:pPr>
        <w:spacing w:after="0" w:line="135"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Additionally, the Company has license agreements with third parties, such as Albert Einstein College of Medicine of Yeshiva University, Industrial Research, Ltd., and the University of Alabama at Birmingham (“UAB”), which require fees related to sublicense agreements. The Company expenses sublicense payments as incurred.</w:t>
      </w:r>
    </w:p>
    <w:p>
      <w:pPr>
        <w:spacing w:after="0" w:line="135"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The Company groups its research and development expenses into two major categories: direct expenses and indirect expenses. Direct expenses consist of compensation for research and development personnel and costs of outside parties to conduct laboratory studies, develop manufacturing processes and manufacture the product candidate, conduct and manage clinical trials, as well as other costs related to the Company’s clinical and preclinical studies. Additionally, direct expenses consist of those costs necessary to discontinue and close out a development program, including termination fees and other commitments. These costs are accumulated and tracked by active program. Indirect expenses consist of lab supplies and services, facility expenses, depreciation of development equipment and other overhead of the Company’s research and development efforts. These costs apply to work on non-active product candidates and the Company’s discovery research efforts.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02" w:lineRule="exact"/>
        <w:rPr>
          <w:sz w:val="20"/>
          <w:szCs w:val="20"/>
          <w:color w:val="auto"/>
        </w:rPr>
      </w:pPr>
    </w:p>
    <w:p>
      <w:pPr>
        <w:ind w:right="300" w:firstLine="486"/>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are primarily comprised of compensation and benefits associated with sales and marketing, finance, human resources, legal, information technology and other administrative personnel. Additionally, selling, general and administrative expenses are comprised of market research, marketing, advertising and legal expenses, including patent costs, licenses and other general and administrative costs.</w:t>
      </w:r>
    </w:p>
    <w:p>
      <w:pPr>
        <w:spacing w:after="0" w:line="135" w:lineRule="exact"/>
        <w:rPr>
          <w:sz w:val="20"/>
          <w:szCs w:val="20"/>
          <w:color w:val="auto"/>
        </w:rPr>
      </w:pPr>
    </w:p>
    <w:p>
      <w:pPr>
        <w:ind w:right="680" w:firstLine="486"/>
        <w:spacing w:after="0" w:line="282" w:lineRule="auto"/>
        <w:rPr>
          <w:sz w:val="20"/>
          <w:szCs w:val="20"/>
          <w:color w:val="auto"/>
        </w:rPr>
      </w:pPr>
      <w:r>
        <w:rPr>
          <w:rFonts w:ascii="Times New Roman" w:cs="Times New Roman" w:eastAsia="Times New Roman" w:hAnsi="Times New Roman"/>
          <w:sz w:val="18"/>
          <w:szCs w:val="18"/>
          <w:color w:val="auto"/>
        </w:rPr>
        <w:t>All patent related costs are expensed to selling, general and administrative expenses when incurred as recoverability of such expenditures is uncertain.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02"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 xml:space="preserve">The Company leases certain assets, under operating and finance leases, which consist of real estate leases, laboratory equipment leases and office equipment leases as of March 31, 2024. The Company accounts for lease obligations in accordance with ASU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which requires a lessee to recognize a right-of-use asset and a lease liability on its balance sheet for most leases.</w:t>
      </w:r>
    </w:p>
    <w:p>
      <w:pPr>
        <w:spacing w:after="0" w:line="135" w:lineRule="exact"/>
        <w:rPr>
          <w:sz w:val="20"/>
          <w:szCs w:val="20"/>
          <w:color w:val="auto"/>
        </w:rPr>
      </w:pPr>
    </w:p>
    <w:p>
      <w:pPr>
        <w:ind w:right="160" w:firstLine="486"/>
        <w:spacing w:after="0" w:line="256" w:lineRule="auto"/>
        <w:rPr>
          <w:sz w:val="20"/>
          <w:szCs w:val="20"/>
          <w:color w:val="auto"/>
        </w:rPr>
      </w:pPr>
      <w:r>
        <w:rPr>
          <w:rFonts w:ascii="Times New Roman" w:cs="Times New Roman" w:eastAsia="Times New Roman" w:hAnsi="Times New Roman"/>
          <w:sz w:val="18"/>
          <w:szCs w:val="18"/>
          <w:color w:val="auto"/>
        </w:rPr>
        <w:t>Certain of the Company’s operating leases provide for renewal options, which can vary by lease. The right-of-use asset and lease liabilities on the Company’s Condensed Consolidated Balance Sheets represent payments over the lease term, which includes renewal options for certain real estate leases that the Company is likely to exercise. As part of the Company’s assessment of the lease term, the Company elected the hindsight practical expedient, which allows companies to use current knowledge and expectations when determining the likelihood to extend lease options. Certain operating leases include rent escalation provisions, which the Company recognizes as expense on a straight-line basis. Lease expense for leases with an initial term of twelve months or less was not material.</w:t>
      </w:r>
    </w:p>
    <w:p>
      <w:pPr>
        <w:spacing w:after="0" w:line="147"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The discount rate used in the calculation of the Company’s right-of-use asset and lease liability was determined based on the stated rate within each contract when available, or the Company’s collateralized borrowing rate from lending institutions.</w:t>
      </w:r>
    </w:p>
    <w:p>
      <w:pPr>
        <w:spacing w:after="0" w:line="135"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The Company has not made any residual value guarantees related to its leases; therefore, the Company has no corresponding liability recorded on its Condensed Consolidated Balance Sheets.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89" w:lineRule="exact"/>
        <w:rPr>
          <w:sz w:val="20"/>
          <w:szCs w:val="20"/>
          <w:color w:val="auto"/>
        </w:rPr>
      </w:pPr>
    </w:p>
    <w:p>
      <w:pPr>
        <w:ind w:right="140" w:firstLine="486"/>
        <w:spacing w:after="0" w:line="254" w:lineRule="auto"/>
        <w:rPr>
          <w:sz w:val="20"/>
          <w:szCs w:val="20"/>
          <w:color w:val="auto"/>
        </w:rPr>
      </w:pPr>
      <w:r>
        <w:rPr>
          <w:rFonts w:ascii="Times New Roman" w:cs="Times New Roman" w:eastAsia="Times New Roman" w:hAnsi="Times New Roman"/>
          <w:sz w:val="18"/>
          <w:szCs w:val="18"/>
          <w:color w:val="auto"/>
        </w:rPr>
        <w:t>All share-based payments, including grants of stock option awards and restricted stock unit awards, are recognized in the Company’s Condensed Consolidated Statements of Comprehensive Loss based on their fair values. Stock-based compensation cost is estimated at the grant date based on the fair value of the award and is recognized as expense on a straight-line basis over the requisite service period of the award. Determining the appropriate fair value model and the related assumptions for the model requires judgment, including estimating the life of an award, the stock price volatility, and the expected term. The Company utilizes the Black-Scholes option-pricing model to value its stock option awards and recognize compensation expense on a straight-line basis over the vesting periods. The Company reduces stock-based compensation expense for estimated forfeitures. The estimation of share-based payment awards that will ultimately vest requires judgment, and to the extent actual results or updated estimates differ from the Company’s current estimates, such</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amounts will be recorded as a cumulative adjustment in the period estimates are revised. In addition, the Company has outstanding performance-based stock options and restricted stock units for which no compensation expense is recognized until “performance” is deemed to have occurred. Significant management judgment is also required in determining estimates of future stock price volatility to be used in the valuation of the options. Actual results, and future changes in estimates, may differ substantially from the Company’s current estimates.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Deferred Financing Costs and Royalty Financing Obligations</w:t>
      </w:r>
    </w:p>
    <w:p>
      <w:pPr>
        <w:spacing w:after="0" w:line="18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Interest expense primarily relates to the royalty financing obligations (Note 6) and the term loan borrowings under the Pharmakon Loan Agreement (Note 7) during the three months ended March 31, 2024 and to the secured term loan borrowings under the Athyrium Credit Agreement (Note 7) during the three months ended March 31, 2023.</w:t>
      </w:r>
    </w:p>
    <w:p>
      <w:pPr>
        <w:spacing w:after="0" w:line="135" w:lineRule="exact"/>
        <w:rPr>
          <w:sz w:val="20"/>
          <w:szCs w:val="20"/>
          <w:color w:val="auto"/>
        </w:rPr>
      </w:pPr>
    </w:p>
    <w:p>
      <w:pPr>
        <w:ind w:right="240" w:firstLine="486"/>
        <w:spacing w:after="0" w:line="261" w:lineRule="auto"/>
        <w:rPr>
          <w:sz w:val="20"/>
          <w:szCs w:val="20"/>
          <w:color w:val="auto"/>
        </w:rPr>
      </w:pPr>
      <w:r>
        <w:rPr>
          <w:rFonts w:ascii="Times New Roman" w:cs="Times New Roman" w:eastAsia="Times New Roman" w:hAnsi="Times New Roman"/>
          <w:sz w:val="18"/>
          <w:szCs w:val="18"/>
          <w:color w:val="auto"/>
        </w:rPr>
        <w:t>Costs directly associated with the borrowings have been capitalized and are netted against the corresponding debt liabilities on the Condensed Consolidated Balance Sheets. These costs are being amortized to interest expense over the terms of the corresponding borrowings using the effective interest rate method. When utilizing the effective interest method, in periods in which payment-in-kind (“PIK”) interest was designated and added to the outstanding principal balance of the borrowing, the amortization of the deferred debt fees and issuance costs was accretive.</w:t>
      </w:r>
    </w:p>
    <w:p>
      <w:pPr>
        <w:spacing w:after="0" w:line="153"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The royalty financing obligations are eligible to be repaid based on royalties from net sales of ORLADEYO and BCX10013. Interest expense is accrued using the effective interest rate method over the estimated period each of the related liabilities will be paid. This requires the Company to estimate the total amount of future royalty payments to be generated from product sales over the life of the agreement. The Company imputes interest on the carrying value of each of the royalty financing obligations and records interest expense using an imputed effective interest rate. The Company reassesses the expected royalty payments each reporting period and accounts for any changes through an adjustment to the effective interest rate on a prospective basis. The assumptions used in determining the expected repayment term of the debt and amortization period of the issuance costs require that the Company make estimates that could impact the carrying value of each of the liabilities, as well as the periods over which associated issuance costs will be amortized. A significant increase or decrease in forecasted net sales could materially impact each of the liability balances, interest expense and the time periods for repayment.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89" w:lineRule="exact"/>
        <w:rPr>
          <w:sz w:val="20"/>
          <w:szCs w:val="20"/>
          <w:color w:val="auto"/>
        </w:rPr>
      </w:pPr>
    </w:p>
    <w:p>
      <w:pPr>
        <w:ind w:right="340" w:firstLine="486"/>
        <w:spacing w:after="0" w:line="266" w:lineRule="auto"/>
        <w:rPr>
          <w:sz w:val="20"/>
          <w:szCs w:val="20"/>
          <w:color w:val="auto"/>
        </w:rPr>
      </w:pPr>
      <w:r>
        <w:rPr>
          <w:rFonts w:ascii="Times New Roman" w:cs="Times New Roman" w:eastAsia="Times New Roman" w:hAnsi="Times New Roman"/>
          <w:sz w:val="18"/>
          <w:szCs w:val="18"/>
          <w:color w:val="auto"/>
        </w:rPr>
        <w:t>The liability method is used in the Company’s accounting for income taxes. Under this method, deferred tax assets and liabilities are determined based on differences between financial reporting and tax bases of assets and liabilities and are measured using the enacted tax rates and laws that are expected to be in effect when the differences are expected to reverse.</w:t>
      </w:r>
    </w:p>
    <w:p>
      <w:pPr>
        <w:spacing w:after="0" w:line="149"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The Company accounts for uncertain tax positions in accordance with U.S. GAAP. Significant management judgment is required in determining the Company’s provision for income taxes, deferred tax assets and liabilities and any valuation allowance recorded against net deferred tax assets. The Company has recorded a valuation allowance against substantially all potential tax assets, due to uncertainties in its ability to utilize deferred tax assets, primarily consisting of certain net operating losses carried forward, before they expire. The valuation allowance is based on estimates of taxable income in each of the jurisdictions in which the Company operates and the period over which its deferred tax assets will be recoverable.</w:t>
      </w:r>
    </w:p>
    <w:p>
      <w:pPr>
        <w:spacing w:after="0" w:line="1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Beginning in fiscal year 2021, the Company began accruing for U.S. state taxes and foreign income taxes as a result of increased nexus in both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 and foreign jurisdictions where historically the Company had no presence.</w:t>
      </w:r>
    </w:p>
    <w:p>
      <w:pPr>
        <w:spacing w:after="0" w:line="166"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In addition, starting in 2022, amendments to Section 174 of the Internal Revenue Code of 1986, as amended (“IRC”), no longer permit an immediate deduction for research and development expenditures in the tax year that such costs are incurred. Instead, these IRC Section 174 development costs must now be capitalized and amortized over either a five- or 15-year period, depending on the location of the activities performed. The new amortization period begins with the midpoint of any taxable year that IRC Section 174 costs are first incurred, regardless of whether the expenditures were made prior to or after July 1, and runs until the midpoint of year five for activities conducted in the United States or year fifteen in the case of development conducted on foreign soil.</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89"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The functional currency of each of the Company’s foreign subsidiaries is primarily the local currency of the country in which the subsidiary operates. The Company’s asset and liability accounts are translated at the current exchange rate as of the balance sheet date. Revenue and expense accounts are translated at the average exchange rate over the period.</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Adjustments resulting from the translation of the financial statements of the Company’s foreign subsidiaries into U.S. dollars are accumulated as a separate component of stockholders’ equity within accumulated other comprehensive income. Gains or losses resulting from transactions denominated in foreign currencies are included in foreign currency losses, net, within the Condensed Consolidated Statement of Comprehensive Loss.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89"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Basic net loss per share is based upon the weighted average number of common shares outstanding during the period. Diluted net loss per share is computed by dividing net loss by the weighted average number of common shares outstanding during the period, after giving consideration to the dilutive effect of potentially dilutive common shares. The Company has generated a net loss in all periods presented, so the diluted net loss per share is equivalent to basic net loss per share for all periods presented herein because common equivalent shares from unexercised stock options, warrants and common shares expected to be issued under the Company’s equity compensation plans would be anti-dilutive. The Company excluded the following potential common shares, presented based on amounts outstanding as of March 31, 2024 and March 31, 2023, from the computation of diluted net loss per share attributable to common stockholders because including them would have had an anti-dilutive effect:</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p>
        </w:tc>
        <w:tc>
          <w:tcPr>
            <w:tcW w:w="2020" w:type="dxa"/>
            <w:vAlign w:val="bottom"/>
            <w:tcBorders>
              <w:bottom w:val="single" w:sz="8" w:color="auto"/>
            </w:tcBorders>
            <w:gridSpan w:val="3"/>
          </w:tcPr>
          <w:p>
            <w:pPr>
              <w:ind w:left="1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40" w:type="dxa"/>
            <w:vAlign w:val="bottom"/>
            <w:tcBorders>
              <w:bottom w:val="single" w:sz="8" w:color="auto"/>
            </w:tcBorders>
          </w:tcPr>
          <w:p>
            <w:pPr>
              <w:spacing w:after="0"/>
              <w:rPr>
                <w:sz w:val="20"/>
                <w:szCs w:val="20"/>
                <w:color w:val="auto"/>
              </w:rPr>
            </w:pPr>
          </w:p>
        </w:tc>
      </w:tr>
      <w:tr>
        <w:trPr>
          <w:trHeight w:val="223"/>
        </w:trPr>
        <w:tc>
          <w:tcPr>
            <w:tcW w:w="818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stock options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39,580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35,858</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restricted stock unit awards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4,654</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202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15,023</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45,704</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55,535</w:t>
            </w:r>
          </w:p>
        </w:tc>
      </w:tr>
      <w:tr>
        <w:trPr>
          <w:trHeight w:val="20"/>
        </w:trPr>
        <w:tc>
          <w:tcPr>
            <w:tcW w:w="81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Income</w:t>
      </w:r>
    </w:p>
    <w:p>
      <w:pPr>
        <w:spacing w:after="0" w:line="189" w:lineRule="exact"/>
        <w:rPr>
          <w:sz w:val="20"/>
          <w:szCs w:val="20"/>
          <w:color w:val="auto"/>
        </w:rPr>
      </w:pPr>
    </w:p>
    <w:p>
      <w:pPr>
        <w:ind w:right="180" w:firstLine="486"/>
        <w:spacing w:after="0" w:line="258" w:lineRule="auto"/>
        <w:rPr>
          <w:sz w:val="20"/>
          <w:szCs w:val="20"/>
          <w:color w:val="auto"/>
        </w:rPr>
      </w:pPr>
      <w:r>
        <w:rPr>
          <w:rFonts w:ascii="Times New Roman" w:cs="Times New Roman" w:eastAsia="Times New Roman" w:hAnsi="Times New Roman"/>
          <w:sz w:val="18"/>
          <w:szCs w:val="18"/>
          <w:color w:val="auto"/>
        </w:rPr>
        <w:t>Accumulated other comprehensive income is comprised of cumulative foreign currency translation adjustments and unrealized gains and losses on available-for-sale investments and is disclosed as a separate component of stockholders’ equity. Realized gain and loss amounts on available-for-sale investments are reclassified from accumulated other comprehensive income and recorded as interest and other income on the Condensed Consolidated Statements of Comprehensive Loss. There were no realized gains or losses reclassified out of accumulated other comprehensive income for the three months ended March 31, 2024 and 2023.</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Customers and Other Risks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Customers</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Company’s primary source of revenue and cash flow are the sales of ORLADEYO in the United States and other global markets.</w:t>
      </w:r>
    </w:p>
    <w:p>
      <w:pPr>
        <w:spacing w:after="0" w:line="198"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ORLADEYO is distributed through an arrangement with a single specialty pharmacy in the United States, which represents the substantial majority of the ORLADEYO net product sales. The specialty pharmacy subsequently sells ORLADEYO to its customers (pharmacy benefit managers, insurance companies, government programs and group purchasing organizations) and dispenses product to patients. The specialty pharmacy’s inability or unwillingness to continue these distribution activities could adversely impact the Company’s business, results of operations and financial condition.</w:t>
      </w:r>
    </w:p>
    <w:p>
      <w:pPr>
        <w:spacing w:after="0" w:line="139" w:lineRule="exact"/>
        <w:rPr>
          <w:sz w:val="20"/>
          <w:szCs w:val="20"/>
          <w:color w:val="auto"/>
        </w:rPr>
      </w:pPr>
    </w:p>
    <w:p>
      <w:pPr>
        <w:ind w:right="420" w:firstLine="486"/>
        <w:spacing w:after="0" w:line="282" w:lineRule="auto"/>
        <w:rPr>
          <w:sz w:val="20"/>
          <w:szCs w:val="20"/>
          <w:color w:val="auto"/>
        </w:rPr>
      </w:pPr>
      <w:r>
        <w:rPr>
          <w:rFonts w:ascii="Times New Roman" w:cs="Times New Roman" w:eastAsia="Times New Roman" w:hAnsi="Times New Roman"/>
          <w:sz w:val="18"/>
          <w:szCs w:val="18"/>
          <w:color w:val="auto"/>
        </w:rPr>
        <w:t>The Company is distributing ORLADEYO in other global markets directly or through distributors, except in Japan where Torii, the Company’s collaborative partner, has the exclusive right to commercialize ORLADEYO.</w:t>
      </w:r>
    </w:p>
    <w:p>
      <w:pPr>
        <w:spacing w:after="0" w:line="121"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Further, the Company’s drug development activities are performed by a limited group of third-party vendors. If any of these vendors were unable to perform its services, this could significantly impact the Company’s ability to complete its drug development activities.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from Third-Party Manufacturing and Distribution Concentration</w:t>
      </w:r>
    </w:p>
    <w:p>
      <w:pPr>
        <w:spacing w:after="0" w:line="187" w:lineRule="exact"/>
        <w:rPr>
          <w:sz w:val="20"/>
          <w:szCs w:val="20"/>
          <w:color w:val="auto"/>
        </w:rPr>
      </w:pPr>
    </w:p>
    <w:p>
      <w:pPr>
        <w:ind w:right="520" w:firstLine="486"/>
        <w:spacing w:after="0" w:line="282" w:lineRule="auto"/>
        <w:rPr>
          <w:sz w:val="20"/>
          <w:szCs w:val="20"/>
          <w:color w:val="auto"/>
        </w:rPr>
      </w:pPr>
      <w:r>
        <w:rPr>
          <w:rFonts w:ascii="Times New Roman" w:cs="Times New Roman" w:eastAsia="Times New Roman" w:hAnsi="Times New Roman"/>
          <w:sz w:val="18"/>
          <w:szCs w:val="18"/>
          <w:color w:val="auto"/>
        </w:rPr>
        <w:t>The Company relies on a single source manufacturer for active pharmaceutical ingredient and finished drug product manufacturing of product candidates in development and on a single specialty pharmacy for distribution of approved drug</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product in the United States. Delays or disruption in the manufacture or distribution of any product could adversely impact the future procurement stockpiling of the Company’s commercial product, commercial revenue and product candidates.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Risk</w:t>
      </w:r>
    </w:p>
    <w:p>
      <w:pPr>
        <w:spacing w:after="0" w:line="187"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Cash equivalents and investments are financial instruments that potentially subject the Company to concentration of risk to the extent recorded on the Condensed Consolidated Balance Sheets. The Company deposits excess cash with major financial institutions in the United States. Balances may exceed the amount of insurance provided on such deposits. The Company believes it has established guidelines for investment of its excess cash relative to diversification and maturities that maintain safety and liquidity. To minimize the exposure due to adverse shifts in interest rates, the Company maintains a portfolio of investments with an average maturity of approximately 12 months or less.</w:t>
      </w:r>
    </w:p>
    <w:p>
      <w:pPr>
        <w:spacing w:after="0" w:line="143" w:lineRule="exact"/>
        <w:rPr>
          <w:sz w:val="20"/>
          <w:szCs w:val="20"/>
          <w:color w:val="auto"/>
        </w:rPr>
      </w:pPr>
    </w:p>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The Company’s receivables from sales of ORLADEYO are primarily due from one customer, resulting in a concentration of credit risk. Sales of ORLADEYO from the Company to the specialty pharmacy only occur once an order of product has been received by the specialty pharmacy from one of its customers, which include pharmacy benefit managers, insurance companies, government programs and group purchasing organizations.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have been no new accounting pronouncements adopted by the Company during the three months ended March 31,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 Not Yet Adopted</w:t>
      </w:r>
    </w:p>
    <w:p>
      <w:pPr>
        <w:spacing w:after="0" w:line="202"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In December 2023, the Financial Accounting Standards Board issued Accounting Standards Update (“ASU”) 2023-09, Income Taxes (Topic 740): Improvements to Income Tax Disclosures, which requires public entities, on an annual basis, to provide disclosure of specific categories in the rate reconciliation, as well as disclosure of income taxes paid disaggregated by jurisdiction. ASU 2023-09 is effective for fiscal years beginning after December 15, 2024, with early adoption permitted. The Company is currently evaluating the impact of adopting ASU 2023-09.</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Revenue</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recorded the following revenues for the three months ended March 31, 2024 and 2023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1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ORLADEYO:</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79,966</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60,849</w:t>
            </w:r>
          </w:p>
        </w:tc>
      </w:tr>
      <w:tr>
        <w:trPr>
          <w:trHeight w:val="23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Outside of U.S.</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7,565</w:t>
            </w:r>
          </w:p>
        </w:tc>
      </w:tr>
      <w:tr>
        <w:trPr>
          <w:trHeight w:val="22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ORLADEYO</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88,867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68,414</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92,761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68,778</w:t>
            </w:r>
          </w:p>
        </w:tc>
      </w:tr>
      <w:tr>
        <w:trPr>
          <w:trHeight w:val="21"/>
        </w:trPr>
        <w:tc>
          <w:tcPr>
            <w:tcW w:w="8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460" w:firstLine="486"/>
        <w:spacing w:after="0" w:line="282" w:lineRule="auto"/>
        <w:rPr>
          <w:sz w:val="20"/>
          <w:szCs w:val="20"/>
          <w:color w:val="auto"/>
        </w:rPr>
      </w:pPr>
      <w:r>
        <w:rPr>
          <w:rFonts w:ascii="Times New Roman" w:cs="Times New Roman" w:eastAsia="Times New Roman" w:hAnsi="Times New Roman"/>
          <w:sz w:val="18"/>
          <w:szCs w:val="18"/>
          <w:color w:val="auto"/>
        </w:rPr>
        <w:t>ORLADEYO revenues represent total revenues from product sales, collaborative revenues and royalties. Other revenues primarily relate to the Company’s product sales and royalties for peramivir injection (RAPIVAB/RAPIACTA/PERAMIFLU).</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Investments</w:t>
      </w:r>
    </w:p>
    <w:p>
      <w:pPr>
        <w:spacing w:after="0" w:line="189"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Fair value is an exit price, representing the amount that would be received from the sale of an asset or paid to transfer a liability in an orderly transaction between market participants. Fair value is determined based on observable and unobservable inputs. Observable inputs reflect readily obtainable data from independent sources, while unobservable inputs reflect certain market assumptions. As a basis for considering such assumptions, U.S. GAAP establishes a three-tier value hierarchy, which prioritizes the inputs used to develop the assumptions and for measuring fair value as follows: (Level 1) observable inputs such as quoted prices in active markets for identical assets; (Level 2) inputs other than the quoted prices in active markets that are observable either directly or indirectly; and (Level 3) unobservable inputs for which there is little</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or no market data, which requires the Company to develop its own assumptions. This hierarchy requires the Company to use observable market data, when available, and to minimize the use of unobservable inputs when determining fair value.</w:t>
      </w:r>
    </w:p>
    <w:p>
      <w:pPr>
        <w:spacing w:after="0" w:line="135"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that are measured at fair value on a recurring basis consist of fixed income investments. These valuations are based on observable direct and indirect inputs, primarily quoted prices of similar, but not identical, instruments in active markets or quoted prices for identical or similar instruments in markets that are not active. These fair values are obtained from independent pricing services.</w:t>
      </w:r>
    </w:p>
    <w:p>
      <w:pPr>
        <w:spacing w:after="0" w:line="1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Assets measured at fair value on a recurring basis were as follows (in thousands):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Assets:</w:t>
      </w:r>
    </w:p>
    <w:p>
      <w:pPr>
        <w:spacing w:after="0" w:line="27" w:lineRule="exact"/>
        <w:rPr>
          <w:sz w:val="20"/>
          <w:szCs w:val="20"/>
          <w:color w:val="auto"/>
        </w:rPr>
      </w:pPr>
    </w:p>
    <w:p>
      <w:pPr>
        <w:ind w:left="20"/>
        <w:spacing w:after="0" w:line="286" w:lineRule="auto"/>
        <w:rPr>
          <w:sz w:val="20"/>
          <w:szCs w:val="20"/>
          <w:color w:val="auto"/>
        </w:rPr>
      </w:pPr>
      <w:r>
        <w:rPr>
          <w:rFonts w:ascii="Times New Roman" w:cs="Times New Roman" w:eastAsia="Times New Roman" w:hAnsi="Times New Roman"/>
          <w:sz w:val="18"/>
          <w:szCs w:val="18"/>
          <w:color w:val="auto"/>
        </w:rPr>
        <w:t>Obligations of U.S. Government and its agencies Certificates of deposit</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Assets:</w:t>
      </w:r>
    </w:p>
    <w:p>
      <w:pPr>
        <w:spacing w:after="0" w:line="27" w:lineRule="exact"/>
        <w:rPr>
          <w:sz w:val="20"/>
          <w:szCs w:val="20"/>
          <w:color w:val="auto"/>
        </w:rPr>
      </w:pPr>
    </w:p>
    <w:p>
      <w:pPr>
        <w:ind w:left="20"/>
        <w:spacing w:after="0" w:line="286" w:lineRule="auto"/>
        <w:rPr>
          <w:sz w:val="20"/>
          <w:szCs w:val="20"/>
          <w:color w:val="auto"/>
        </w:rPr>
      </w:pPr>
      <w:r>
        <w:rPr>
          <w:rFonts w:ascii="Times New Roman" w:cs="Times New Roman" w:eastAsia="Times New Roman" w:hAnsi="Times New Roman"/>
          <w:sz w:val="18"/>
          <w:szCs w:val="18"/>
          <w:color w:val="auto"/>
        </w:rPr>
        <w:t>Obligations of U.S. Government and its agencies Certificates of deposit</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assets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8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gridSpan w:val="2"/>
          </w:tcPr>
          <w:p>
            <w:pPr>
              <w:jc w:val="center"/>
              <w:ind w:right="260"/>
              <w:spacing w:after="0" w:line="174" w:lineRule="exact"/>
              <w:rPr>
                <w:sz w:val="20"/>
                <w:szCs w:val="20"/>
                <w:color w:val="auto"/>
              </w:rPr>
            </w:pPr>
            <w:r>
              <w:rPr>
                <w:rFonts w:ascii="Times New Roman" w:cs="Times New Roman" w:eastAsia="Times New Roman" w:hAnsi="Times New Roman"/>
                <w:sz w:val="18"/>
                <w:szCs w:val="18"/>
                <w:b w:val="1"/>
                <w:bCs w:val="1"/>
                <w:color w:val="auto"/>
              </w:rPr>
              <w:t>Quoted Price in</w:t>
            </w:r>
          </w:p>
        </w:tc>
        <w:tc>
          <w:tcPr>
            <w:tcW w:w="14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gridSpan w:val="2"/>
          </w:tcPr>
          <w:p>
            <w:pPr>
              <w:jc w:val="center"/>
              <w:ind w:right="220"/>
              <w:spacing w:after="0" w:line="174" w:lineRule="exact"/>
              <w:rPr>
                <w:sz w:val="20"/>
                <w:szCs w:val="20"/>
                <w:color w:val="auto"/>
              </w:rPr>
            </w:pPr>
            <w:r>
              <w:rPr>
                <w:rFonts w:ascii="Times New Roman" w:cs="Times New Roman" w:eastAsia="Times New Roman" w:hAnsi="Times New Roman"/>
                <w:sz w:val="18"/>
                <w:szCs w:val="18"/>
                <w:b w:val="1"/>
                <w:bCs w:val="1"/>
                <w:color w:val="auto"/>
                <w:w w:val="98"/>
              </w:rPr>
              <w:t>Significant Other</w:t>
            </w:r>
          </w:p>
        </w:tc>
        <w:tc>
          <w:tcPr>
            <w:tcW w:w="180" w:type="dxa"/>
            <w:vAlign w:val="bottom"/>
            <w:tcBorders>
              <w:top w:val="single" w:sz="8" w:color="auto"/>
            </w:tcBorders>
          </w:tcPr>
          <w:p>
            <w:pPr>
              <w:spacing w:after="0"/>
              <w:rPr>
                <w:sz w:val="15"/>
                <w:szCs w:val="15"/>
                <w:color w:val="auto"/>
              </w:rPr>
            </w:pPr>
          </w:p>
        </w:tc>
        <w:tc>
          <w:tcPr>
            <w:tcW w:w="1620" w:type="dxa"/>
            <w:vAlign w:val="bottom"/>
            <w:tcBorders>
              <w:top w:val="single" w:sz="8" w:color="auto"/>
            </w:tcBorders>
            <w:gridSpan w:val="2"/>
          </w:tcPr>
          <w:p>
            <w:pPr>
              <w:jc w:val="center"/>
              <w:ind w:right="280"/>
              <w:spacing w:after="0" w:line="174" w:lineRule="exact"/>
              <w:rPr>
                <w:sz w:val="20"/>
                <w:szCs w:val="20"/>
                <w:color w:val="auto"/>
              </w:rPr>
            </w:pPr>
            <w:r>
              <w:rPr>
                <w:rFonts w:ascii="Times New Roman" w:cs="Times New Roman" w:eastAsia="Times New Roman" w:hAnsi="Times New Roman"/>
                <w:sz w:val="18"/>
                <w:szCs w:val="18"/>
                <w:b w:val="1"/>
                <w:bCs w:val="1"/>
                <w:color w:val="auto"/>
                <w:w w:val="98"/>
              </w:rPr>
              <w:t>Significant</w:t>
            </w:r>
          </w:p>
        </w:tc>
        <w:tc>
          <w:tcPr>
            <w:tcW w:w="38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80" w:type="dxa"/>
            <w:vAlign w:val="bottom"/>
          </w:tcPr>
          <w:p>
            <w:pPr>
              <w:spacing w:after="0"/>
              <w:rPr>
                <w:sz w:val="16"/>
                <w:szCs w:val="16"/>
                <w:color w:val="auto"/>
              </w:rPr>
            </w:pPr>
          </w:p>
        </w:tc>
        <w:tc>
          <w:tcPr>
            <w:tcW w:w="1600" w:type="dxa"/>
            <w:vAlign w:val="bottom"/>
            <w:gridSpan w:val="2"/>
          </w:tcPr>
          <w:p>
            <w:pPr>
              <w:jc w:val="center"/>
              <w:ind w:right="260"/>
              <w:spacing w:after="0" w:line="184" w:lineRule="exact"/>
              <w:rPr>
                <w:sz w:val="20"/>
                <w:szCs w:val="20"/>
                <w:color w:val="auto"/>
              </w:rPr>
            </w:pPr>
            <w:r>
              <w:rPr>
                <w:rFonts w:ascii="Times New Roman" w:cs="Times New Roman" w:eastAsia="Times New Roman" w:hAnsi="Times New Roman"/>
                <w:sz w:val="18"/>
                <w:szCs w:val="18"/>
                <w:b w:val="1"/>
                <w:bCs w:val="1"/>
                <w:color w:val="auto"/>
                <w:w w:val="99"/>
              </w:rPr>
              <w:t>Active Markets</w:t>
            </w:r>
          </w:p>
        </w:tc>
        <w:tc>
          <w:tcPr>
            <w:tcW w:w="140" w:type="dxa"/>
            <w:vAlign w:val="bottom"/>
          </w:tcPr>
          <w:p>
            <w:pPr>
              <w:spacing w:after="0"/>
              <w:rPr>
                <w:sz w:val="16"/>
                <w:szCs w:val="16"/>
                <w:color w:val="auto"/>
              </w:rPr>
            </w:pPr>
          </w:p>
        </w:tc>
        <w:tc>
          <w:tcPr>
            <w:tcW w:w="1660" w:type="dxa"/>
            <w:vAlign w:val="bottom"/>
            <w:gridSpan w:val="2"/>
          </w:tcPr>
          <w:p>
            <w:pPr>
              <w:jc w:val="center"/>
              <w:ind w:right="220"/>
              <w:spacing w:after="0" w:line="184" w:lineRule="exact"/>
              <w:rPr>
                <w:sz w:val="20"/>
                <w:szCs w:val="20"/>
                <w:color w:val="auto"/>
              </w:rPr>
            </w:pPr>
            <w:r>
              <w:rPr>
                <w:rFonts w:ascii="Times New Roman" w:cs="Times New Roman" w:eastAsia="Times New Roman" w:hAnsi="Times New Roman"/>
                <w:sz w:val="18"/>
                <w:szCs w:val="18"/>
                <w:b w:val="1"/>
                <w:bCs w:val="1"/>
                <w:color w:val="auto"/>
              </w:rPr>
              <w:t>Observable Inputs</w:t>
            </w:r>
          </w:p>
        </w:tc>
        <w:tc>
          <w:tcPr>
            <w:tcW w:w="180" w:type="dxa"/>
            <w:vAlign w:val="bottom"/>
          </w:tcPr>
          <w:p>
            <w:pPr>
              <w:spacing w:after="0"/>
              <w:rPr>
                <w:sz w:val="16"/>
                <w:szCs w:val="16"/>
                <w:color w:val="auto"/>
              </w:rPr>
            </w:pPr>
          </w:p>
        </w:tc>
        <w:tc>
          <w:tcPr>
            <w:tcW w:w="1620" w:type="dxa"/>
            <w:vAlign w:val="bottom"/>
            <w:gridSpan w:val="2"/>
          </w:tcPr>
          <w:p>
            <w:pPr>
              <w:jc w:val="center"/>
              <w:ind w:right="280"/>
              <w:spacing w:after="0" w:line="184" w:lineRule="exact"/>
              <w:rPr>
                <w:sz w:val="20"/>
                <w:szCs w:val="20"/>
                <w:color w:val="auto"/>
              </w:rPr>
            </w:pPr>
            <w:r>
              <w:rPr>
                <w:rFonts w:ascii="Times New Roman" w:cs="Times New Roman" w:eastAsia="Times New Roman" w:hAnsi="Times New Roman"/>
                <w:sz w:val="18"/>
                <w:szCs w:val="18"/>
                <w:b w:val="1"/>
                <w:bCs w:val="1"/>
                <w:color w:val="auto"/>
                <w:w w:val="99"/>
              </w:rPr>
              <w:t>Unobservable</w:t>
            </w:r>
          </w:p>
        </w:tc>
        <w:tc>
          <w:tcPr>
            <w:tcW w:w="380" w:type="dxa"/>
            <w:vAlign w:val="bottom"/>
          </w:tcPr>
          <w:p>
            <w:pPr>
              <w:spacing w:after="0"/>
              <w:rPr>
                <w:sz w:val="16"/>
                <w:szCs w:val="16"/>
                <w:color w:val="auto"/>
              </w:rPr>
            </w:pPr>
          </w:p>
        </w:tc>
        <w:tc>
          <w:tcPr>
            <w:tcW w:w="1320" w:type="dxa"/>
            <w:vAlign w:val="bottom"/>
            <w:vMerge w:val="restart"/>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9"/>
        </w:trPr>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(Level 1)</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Inputs (Level 3)</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34"/>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251,240</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251,240</w:t>
            </w: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160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0" w:type="dxa"/>
            <w:vAlign w:val="bottom"/>
          </w:tcPr>
          <w:p>
            <w:pPr>
              <w:spacing w:after="0"/>
              <w:rPr>
                <w:sz w:val="1"/>
                <w:szCs w:val="1"/>
                <w:color w:val="auto"/>
              </w:rPr>
            </w:pPr>
          </w:p>
        </w:tc>
      </w:tr>
      <w:tr>
        <w:trPr>
          <w:trHeight w:val="223"/>
        </w:trPr>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252,221</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252,221</w:t>
            </w:r>
          </w:p>
        </w:tc>
        <w:tc>
          <w:tcPr>
            <w:tcW w:w="0" w:type="dxa"/>
            <w:vAlign w:val="bottom"/>
          </w:tcPr>
          <w:p>
            <w:pPr>
              <w:spacing w:after="0"/>
              <w:rPr>
                <w:sz w:val="1"/>
                <w:szCs w:val="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5"/>
          </w:tcPr>
          <w:p>
            <w:pPr>
              <w:ind w:left="90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3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80" w:type="dxa"/>
            <w:vAlign w:val="bottom"/>
          </w:tcPr>
          <w:p>
            <w:pPr>
              <w:spacing w:after="0"/>
              <w:rPr>
                <w:sz w:val="15"/>
                <w:szCs w:val="15"/>
                <w:color w:val="auto"/>
              </w:rPr>
            </w:pPr>
          </w:p>
        </w:tc>
        <w:tc>
          <w:tcPr>
            <w:tcW w:w="1600" w:type="dxa"/>
            <w:vAlign w:val="bottom"/>
            <w:gridSpan w:val="2"/>
          </w:tcPr>
          <w:p>
            <w:pPr>
              <w:jc w:val="center"/>
              <w:ind w:right="260"/>
              <w:spacing w:after="0" w:line="174" w:lineRule="exact"/>
              <w:rPr>
                <w:sz w:val="20"/>
                <w:szCs w:val="20"/>
                <w:color w:val="auto"/>
              </w:rPr>
            </w:pPr>
            <w:r>
              <w:rPr>
                <w:rFonts w:ascii="Times New Roman" w:cs="Times New Roman" w:eastAsia="Times New Roman" w:hAnsi="Times New Roman"/>
                <w:sz w:val="18"/>
                <w:szCs w:val="18"/>
                <w:b w:val="1"/>
                <w:bCs w:val="1"/>
                <w:color w:val="auto"/>
              </w:rPr>
              <w:t>Quoted Price in</w:t>
            </w:r>
          </w:p>
        </w:tc>
        <w:tc>
          <w:tcPr>
            <w:tcW w:w="140" w:type="dxa"/>
            <w:vAlign w:val="bottom"/>
          </w:tcPr>
          <w:p>
            <w:pPr>
              <w:spacing w:after="0"/>
              <w:rPr>
                <w:sz w:val="15"/>
                <w:szCs w:val="15"/>
                <w:color w:val="auto"/>
              </w:rPr>
            </w:pPr>
          </w:p>
        </w:tc>
        <w:tc>
          <w:tcPr>
            <w:tcW w:w="1660" w:type="dxa"/>
            <w:vAlign w:val="bottom"/>
            <w:gridSpan w:val="2"/>
          </w:tcPr>
          <w:p>
            <w:pPr>
              <w:jc w:val="center"/>
              <w:ind w:right="220"/>
              <w:spacing w:after="0" w:line="174" w:lineRule="exact"/>
              <w:rPr>
                <w:sz w:val="20"/>
                <w:szCs w:val="20"/>
                <w:color w:val="auto"/>
              </w:rPr>
            </w:pPr>
            <w:r>
              <w:rPr>
                <w:rFonts w:ascii="Times New Roman" w:cs="Times New Roman" w:eastAsia="Times New Roman" w:hAnsi="Times New Roman"/>
                <w:sz w:val="18"/>
                <w:szCs w:val="18"/>
                <w:b w:val="1"/>
                <w:bCs w:val="1"/>
                <w:color w:val="auto"/>
                <w:w w:val="98"/>
              </w:rPr>
              <w:t>Significant Other</w:t>
            </w:r>
          </w:p>
        </w:tc>
        <w:tc>
          <w:tcPr>
            <w:tcW w:w="180" w:type="dxa"/>
            <w:vAlign w:val="bottom"/>
          </w:tcPr>
          <w:p>
            <w:pPr>
              <w:spacing w:after="0"/>
              <w:rPr>
                <w:sz w:val="15"/>
                <w:szCs w:val="15"/>
                <w:color w:val="auto"/>
              </w:rPr>
            </w:pPr>
          </w:p>
        </w:tc>
        <w:tc>
          <w:tcPr>
            <w:tcW w:w="1620" w:type="dxa"/>
            <w:vAlign w:val="bottom"/>
            <w:gridSpan w:val="2"/>
          </w:tcPr>
          <w:p>
            <w:pPr>
              <w:jc w:val="center"/>
              <w:ind w:right="280"/>
              <w:spacing w:after="0" w:line="174" w:lineRule="exact"/>
              <w:rPr>
                <w:sz w:val="20"/>
                <w:szCs w:val="20"/>
                <w:color w:val="auto"/>
              </w:rPr>
            </w:pPr>
            <w:r>
              <w:rPr>
                <w:rFonts w:ascii="Times New Roman" w:cs="Times New Roman" w:eastAsia="Times New Roman" w:hAnsi="Times New Roman"/>
                <w:sz w:val="18"/>
                <w:szCs w:val="18"/>
                <w:b w:val="1"/>
                <w:bCs w:val="1"/>
                <w:color w:val="auto"/>
                <w:w w:val="98"/>
              </w:rPr>
              <w:t>Significant</w:t>
            </w:r>
          </w:p>
        </w:tc>
        <w:tc>
          <w:tcPr>
            <w:tcW w:w="3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80" w:type="dxa"/>
            <w:vAlign w:val="bottom"/>
          </w:tcPr>
          <w:p>
            <w:pPr>
              <w:spacing w:after="0"/>
              <w:rPr>
                <w:sz w:val="16"/>
                <w:szCs w:val="16"/>
                <w:color w:val="auto"/>
              </w:rPr>
            </w:pPr>
          </w:p>
        </w:tc>
        <w:tc>
          <w:tcPr>
            <w:tcW w:w="1600" w:type="dxa"/>
            <w:vAlign w:val="bottom"/>
            <w:gridSpan w:val="2"/>
          </w:tcPr>
          <w:p>
            <w:pPr>
              <w:jc w:val="center"/>
              <w:ind w:right="260"/>
              <w:spacing w:after="0" w:line="184" w:lineRule="exact"/>
              <w:rPr>
                <w:sz w:val="20"/>
                <w:szCs w:val="20"/>
                <w:color w:val="auto"/>
              </w:rPr>
            </w:pPr>
            <w:r>
              <w:rPr>
                <w:rFonts w:ascii="Times New Roman" w:cs="Times New Roman" w:eastAsia="Times New Roman" w:hAnsi="Times New Roman"/>
                <w:sz w:val="18"/>
                <w:szCs w:val="18"/>
                <w:b w:val="1"/>
                <w:bCs w:val="1"/>
                <w:color w:val="auto"/>
                <w:w w:val="99"/>
              </w:rPr>
              <w:t>Active Markets</w:t>
            </w:r>
          </w:p>
        </w:tc>
        <w:tc>
          <w:tcPr>
            <w:tcW w:w="140" w:type="dxa"/>
            <w:vAlign w:val="bottom"/>
          </w:tcPr>
          <w:p>
            <w:pPr>
              <w:spacing w:after="0"/>
              <w:rPr>
                <w:sz w:val="16"/>
                <w:szCs w:val="16"/>
                <w:color w:val="auto"/>
              </w:rPr>
            </w:pPr>
          </w:p>
        </w:tc>
        <w:tc>
          <w:tcPr>
            <w:tcW w:w="1660" w:type="dxa"/>
            <w:vAlign w:val="bottom"/>
            <w:gridSpan w:val="2"/>
          </w:tcPr>
          <w:p>
            <w:pPr>
              <w:jc w:val="center"/>
              <w:ind w:right="220"/>
              <w:spacing w:after="0" w:line="184" w:lineRule="exact"/>
              <w:rPr>
                <w:sz w:val="20"/>
                <w:szCs w:val="20"/>
                <w:color w:val="auto"/>
              </w:rPr>
            </w:pPr>
            <w:r>
              <w:rPr>
                <w:rFonts w:ascii="Times New Roman" w:cs="Times New Roman" w:eastAsia="Times New Roman" w:hAnsi="Times New Roman"/>
                <w:sz w:val="18"/>
                <w:szCs w:val="18"/>
                <w:b w:val="1"/>
                <w:bCs w:val="1"/>
                <w:color w:val="auto"/>
              </w:rPr>
              <w:t>Observable Inputs</w:t>
            </w:r>
          </w:p>
        </w:tc>
        <w:tc>
          <w:tcPr>
            <w:tcW w:w="180" w:type="dxa"/>
            <w:vAlign w:val="bottom"/>
          </w:tcPr>
          <w:p>
            <w:pPr>
              <w:spacing w:after="0"/>
              <w:rPr>
                <w:sz w:val="16"/>
                <w:szCs w:val="16"/>
                <w:color w:val="auto"/>
              </w:rPr>
            </w:pPr>
          </w:p>
        </w:tc>
        <w:tc>
          <w:tcPr>
            <w:tcW w:w="1620" w:type="dxa"/>
            <w:vAlign w:val="bottom"/>
            <w:gridSpan w:val="2"/>
          </w:tcPr>
          <w:p>
            <w:pPr>
              <w:jc w:val="center"/>
              <w:ind w:right="280"/>
              <w:spacing w:after="0" w:line="184" w:lineRule="exact"/>
              <w:rPr>
                <w:sz w:val="20"/>
                <w:szCs w:val="20"/>
                <w:color w:val="auto"/>
              </w:rPr>
            </w:pPr>
            <w:r>
              <w:rPr>
                <w:rFonts w:ascii="Times New Roman" w:cs="Times New Roman" w:eastAsia="Times New Roman" w:hAnsi="Times New Roman"/>
                <w:sz w:val="18"/>
                <w:szCs w:val="18"/>
                <w:b w:val="1"/>
                <w:bCs w:val="1"/>
                <w:color w:val="auto"/>
                <w:w w:val="99"/>
              </w:rPr>
              <w:t>Unobservable</w:t>
            </w:r>
          </w:p>
        </w:tc>
        <w:tc>
          <w:tcPr>
            <w:tcW w:w="380" w:type="dxa"/>
            <w:vAlign w:val="bottom"/>
          </w:tcPr>
          <w:p>
            <w:pPr>
              <w:spacing w:after="0"/>
              <w:rPr>
                <w:sz w:val="16"/>
                <w:szCs w:val="16"/>
                <w:color w:val="auto"/>
              </w:rPr>
            </w:pPr>
          </w:p>
        </w:tc>
        <w:tc>
          <w:tcPr>
            <w:tcW w:w="1320" w:type="dxa"/>
            <w:vAlign w:val="bottom"/>
            <w:vMerge w:val="restart"/>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9"/>
        </w:trPr>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(Level 1)</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Inputs (Level 3)</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34"/>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277,358</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277,358</w:t>
            </w: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160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0" w:type="dxa"/>
            <w:vAlign w:val="bottom"/>
          </w:tcPr>
          <w:p>
            <w:pPr>
              <w:spacing w:after="0"/>
              <w:rPr>
                <w:sz w:val="1"/>
                <w:szCs w:val="1"/>
                <w:color w:val="auto"/>
              </w:rPr>
            </w:pPr>
          </w:p>
        </w:tc>
      </w:tr>
      <w:tr>
        <w:trPr>
          <w:trHeight w:val="223"/>
        </w:trPr>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278,344</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278,344</w:t>
            </w:r>
          </w:p>
        </w:tc>
        <w:tc>
          <w:tcPr>
            <w:tcW w:w="0" w:type="dxa"/>
            <w:vAlign w:val="bottom"/>
          </w:tcPr>
          <w:p>
            <w:pPr>
              <w:spacing w:after="0"/>
              <w:rPr>
                <w:sz w:val="1"/>
                <w:szCs w:val="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-1971040</wp:posOffset>
            </wp:positionV>
            <wp:extent cx="7132320" cy="145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-1679575</wp:posOffset>
            </wp:positionV>
            <wp:extent cx="7132320"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-624840</wp:posOffset>
            </wp:positionV>
            <wp:extent cx="7132320"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-333375</wp:posOffset>
            </wp:positionV>
            <wp:extent cx="713232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60" w:space="600"/>
            <w:col w:w="7080"/>
          </w:cols>
          <w:pgMar w:left="320" w:top="121" w:right="339" w:bottom="1440" w:gutter="0" w:footer="0" w:header="0"/>
          <w:type w:val="continuous"/>
        </w:sectPr>
      </w:pPr>
    </w:p>
    <w:p>
      <w:pPr>
        <w:spacing w:after="0" w:line="52"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As of March 31, 2024, the Company had 14 securities with a total estimated fair market value of $171,437 in an unrealized loss position. The Company believes the individual unrealized losses represent temporary declines primarily resulting from interest rate changes. The Company does not have intent to sell these investments, and it is more likely than not that the investments will be held until recovery of their amortized cost basis. As such, no allowance was recognized.</w:t>
      </w:r>
    </w:p>
    <w:p>
      <w:pPr>
        <w:spacing w:after="0" w:line="15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tables summarize the fair value of the Company’s investments by type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March 31, 2024</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260" w:type="dxa"/>
            <w:vAlign w:val="bottom"/>
          </w:tcPr>
          <w:p>
            <w:pPr>
              <w:spacing w:after="0"/>
              <w:rPr>
                <w:sz w:val="14"/>
                <w:szCs w:val="14"/>
                <w:color w:val="auto"/>
              </w:rPr>
            </w:pPr>
          </w:p>
        </w:tc>
        <w:tc>
          <w:tcPr>
            <w:tcW w:w="13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Accrued</w:t>
            </w:r>
          </w:p>
        </w:tc>
        <w:tc>
          <w:tcPr>
            <w:tcW w:w="140" w:type="dxa"/>
            <w:vAlign w:val="bottom"/>
          </w:tcPr>
          <w:p>
            <w:pPr>
              <w:spacing w:after="0"/>
              <w:rPr>
                <w:sz w:val="14"/>
                <w:szCs w:val="14"/>
                <w:color w:val="auto"/>
              </w:rPr>
            </w:pPr>
          </w:p>
        </w:tc>
        <w:tc>
          <w:tcPr>
            <w:tcW w:w="1420" w:type="dxa"/>
            <w:vAlign w:val="bottom"/>
            <w:gridSpan w:val="2"/>
          </w:tcPr>
          <w:p>
            <w:pPr>
              <w:jc w:val="center"/>
              <w:ind w:right="220"/>
              <w:spacing w:after="0" w:line="169"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20" w:type="dxa"/>
            <w:vAlign w:val="bottom"/>
          </w:tcPr>
          <w:p>
            <w:pPr>
              <w:spacing w:after="0"/>
              <w:rPr>
                <w:sz w:val="14"/>
                <w:szCs w:val="14"/>
                <w:color w:val="auto"/>
              </w:rPr>
            </w:pPr>
          </w:p>
        </w:tc>
        <w:tc>
          <w:tcPr>
            <w:tcW w:w="1360" w:type="dxa"/>
            <w:vAlign w:val="bottom"/>
            <w:gridSpan w:val="2"/>
          </w:tcPr>
          <w:p>
            <w:pPr>
              <w:jc w:val="center"/>
              <w:ind w:right="300"/>
              <w:spacing w:after="0" w:line="169" w:lineRule="exact"/>
              <w:rPr>
                <w:sz w:val="20"/>
                <w:szCs w:val="20"/>
                <w:color w:val="auto"/>
              </w:rPr>
            </w:pPr>
            <w:r>
              <w:rPr>
                <w:rFonts w:ascii="Times New Roman" w:cs="Times New Roman" w:eastAsia="Times New Roman" w:hAnsi="Times New Roman"/>
                <w:sz w:val="18"/>
                <w:szCs w:val="18"/>
                <w:b w:val="1"/>
                <w:bCs w:val="1"/>
                <w:color w:val="auto"/>
              </w:rPr>
              <w:t>Gross</w:t>
            </w:r>
          </w:p>
        </w:tc>
        <w:tc>
          <w:tcPr>
            <w:tcW w:w="220" w:type="dxa"/>
            <w:vAlign w:val="bottom"/>
          </w:tcPr>
          <w:p>
            <w:pPr>
              <w:spacing w:after="0"/>
              <w:rPr>
                <w:sz w:val="14"/>
                <w:szCs w:val="14"/>
                <w:color w:val="auto"/>
              </w:rPr>
            </w:pPr>
          </w:p>
        </w:tc>
        <w:tc>
          <w:tcPr>
            <w:tcW w:w="126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0" w:type="dxa"/>
            <w:vAlign w:val="bottom"/>
          </w:tcPr>
          <w:p>
            <w:pPr>
              <w:spacing w:after="0"/>
              <w:rPr>
                <w:sz w:val="1"/>
                <w:szCs w:val="1"/>
                <w:color w:val="auto"/>
              </w:rPr>
            </w:pPr>
          </w:p>
        </w:tc>
      </w:tr>
      <w:tr>
        <w:trPr>
          <w:trHeight w:val="175"/>
        </w:trPr>
        <w:tc>
          <w:tcPr>
            <w:tcW w:w="3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5"/>
                <w:szCs w:val="15"/>
                <w:color w:val="auto"/>
              </w:rPr>
            </w:pPr>
          </w:p>
        </w:tc>
        <w:tc>
          <w:tcPr>
            <w:tcW w:w="136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b w:val="1"/>
                <w:bCs w:val="1"/>
                <w:color w:val="auto"/>
                <w:w w:val="97"/>
              </w:rPr>
              <w:t>Unrealized</w:t>
            </w:r>
          </w:p>
        </w:tc>
        <w:tc>
          <w:tcPr>
            <w:tcW w:w="22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260" w:type="dxa"/>
            <w:vAlign w:val="bottom"/>
          </w:tcPr>
          <w:p>
            <w:pPr>
              <w:spacing w:after="0"/>
              <w:rPr>
                <w:sz w:val="21"/>
                <w:szCs w:val="21"/>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40" w:type="dxa"/>
            <w:vAlign w:val="bottom"/>
          </w:tcPr>
          <w:p>
            <w:pPr>
              <w:spacing w:after="0"/>
              <w:rPr>
                <w:sz w:val="21"/>
                <w:szCs w:val="21"/>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220" w:type="dxa"/>
            <w:vAlign w:val="bottom"/>
          </w:tcPr>
          <w:p>
            <w:pPr>
              <w:spacing w:after="0"/>
              <w:rPr>
                <w:sz w:val="21"/>
                <w:szCs w:val="21"/>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20" w:type="dxa"/>
            <w:vAlign w:val="bottom"/>
          </w:tcPr>
          <w:p>
            <w:pPr>
              <w:spacing w:after="0"/>
              <w:rPr>
                <w:sz w:val="21"/>
                <w:szCs w:val="21"/>
                <w:color w:val="auto"/>
              </w:rPr>
            </w:pP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155"/>
        </w:trPr>
        <w:tc>
          <w:tcPr>
            <w:tcW w:w="350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Obligations of U.S. Government and its</w:t>
            </w:r>
          </w:p>
        </w:tc>
        <w:tc>
          <w:tcPr>
            <w:tcW w:w="20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3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agencies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251,425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251,240</w:t>
            </w:r>
          </w:p>
        </w:tc>
        <w:tc>
          <w:tcPr>
            <w:tcW w:w="0" w:type="dxa"/>
            <w:vAlign w:val="bottom"/>
          </w:tcPr>
          <w:p>
            <w:pPr>
              <w:spacing w:after="0"/>
              <w:rPr>
                <w:sz w:val="1"/>
                <w:szCs w:val="1"/>
                <w:color w:val="auto"/>
              </w:rPr>
            </w:pPr>
          </w:p>
        </w:tc>
      </w:tr>
      <w:tr>
        <w:trPr>
          <w:trHeight w:val="229"/>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0" w:type="dxa"/>
            <w:vAlign w:val="bottom"/>
          </w:tcPr>
          <w:p>
            <w:pPr>
              <w:spacing w:after="0"/>
              <w:rPr>
                <w:sz w:val="1"/>
                <w:szCs w:val="1"/>
                <w:color w:val="auto"/>
              </w:rPr>
            </w:pPr>
          </w:p>
        </w:tc>
      </w:tr>
      <w:tr>
        <w:trPr>
          <w:trHeight w:val="248"/>
        </w:trPr>
        <w:tc>
          <w:tcPr>
            <w:tcW w:w="3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252,405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252,221</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3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3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260" w:type="dxa"/>
            <w:vAlign w:val="bottom"/>
          </w:tcPr>
          <w:p>
            <w:pPr>
              <w:spacing w:after="0"/>
              <w:rPr>
                <w:sz w:val="15"/>
                <w:szCs w:val="15"/>
                <w:color w:val="auto"/>
              </w:rPr>
            </w:pPr>
          </w:p>
        </w:tc>
        <w:tc>
          <w:tcPr>
            <w:tcW w:w="13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Accrued</w:t>
            </w:r>
          </w:p>
        </w:tc>
        <w:tc>
          <w:tcPr>
            <w:tcW w:w="220" w:type="dxa"/>
            <w:vAlign w:val="bottom"/>
          </w:tcPr>
          <w:p>
            <w:pPr>
              <w:spacing w:after="0"/>
              <w:rPr>
                <w:sz w:val="15"/>
                <w:szCs w:val="15"/>
                <w:color w:val="auto"/>
              </w:rPr>
            </w:pPr>
          </w:p>
        </w:tc>
        <w:tc>
          <w:tcPr>
            <w:tcW w:w="1340" w:type="dxa"/>
            <w:vAlign w:val="bottom"/>
            <w:gridSpan w:val="2"/>
          </w:tcPr>
          <w:p>
            <w:pPr>
              <w:jc w:val="center"/>
              <w:ind w:right="300"/>
              <w:spacing w:after="0" w:line="17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20" w:type="dxa"/>
            <w:vAlign w:val="bottom"/>
          </w:tcPr>
          <w:p>
            <w:pPr>
              <w:spacing w:after="0"/>
              <w:rPr>
                <w:sz w:val="15"/>
                <w:szCs w:val="15"/>
                <w:color w:val="auto"/>
              </w:rPr>
            </w:pPr>
          </w:p>
        </w:tc>
        <w:tc>
          <w:tcPr>
            <w:tcW w:w="1360" w:type="dxa"/>
            <w:vAlign w:val="bottom"/>
            <w:gridSpan w:val="2"/>
          </w:tcPr>
          <w:p>
            <w:pPr>
              <w:jc w:val="center"/>
              <w:ind w:right="300"/>
              <w:spacing w:after="0" w:line="174" w:lineRule="exact"/>
              <w:rPr>
                <w:sz w:val="20"/>
                <w:szCs w:val="20"/>
                <w:color w:val="auto"/>
              </w:rPr>
            </w:pPr>
            <w:r>
              <w:rPr>
                <w:rFonts w:ascii="Times New Roman" w:cs="Times New Roman" w:eastAsia="Times New Roman" w:hAnsi="Times New Roman"/>
                <w:sz w:val="18"/>
                <w:szCs w:val="18"/>
                <w:b w:val="1"/>
                <w:bCs w:val="1"/>
                <w:color w:val="auto"/>
              </w:rPr>
              <w:t>Gross</w:t>
            </w:r>
          </w:p>
        </w:tc>
        <w:tc>
          <w:tcPr>
            <w:tcW w:w="220" w:type="dxa"/>
            <w:vAlign w:val="bottom"/>
          </w:tcPr>
          <w:p>
            <w:pPr>
              <w:spacing w:after="0"/>
              <w:rPr>
                <w:sz w:val="15"/>
                <w:szCs w:val="15"/>
                <w:color w:val="auto"/>
              </w:rPr>
            </w:pPr>
          </w:p>
        </w:tc>
        <w:tc>
          <w:tcPr>
            <w:tcW w:w="126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0" w:type="dxa"/>
            <w:vAlign w:val="bottom"/>
          </w:tcPr>
          <w:p>
            <w:pPr>
              <w:spacing w:after="0"/>
              <w:rPr>
                <w:sz w:val="1"/>
                <w:szCs w:val="1"/>
                <w:color w:val="auto"/>
              </w:rPr>
            </w:pPr>
          </w:p>
        </w:tc>
      </w:tr>
      <w:tr>
        <w:trPr>
          <w:trHeight w:val="184"/>
        </w:trPr>
        <w:tc>
          <w:tcPr>
            <w:tcW w:w="3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jc w:val="center"/>
              <w:ind w:right="300"/>
              <w:spacing w:after="0" w:line="18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6"/>
                <w:szCs w:val="16"/>
                <w:color w:val="auto"/>
              </w:rPr>
            </w:pPr>
          </w:p>
        </w:tc>
        <w:tc>
          <w:tcPr>
            <w:tcW w:w="1360" w:type="dxa"/>
            <w:vAlign w:val="bottom"/>
            <w:gridSpan w:val="2"/>
          </w:tcPr>
          <w:p>
            <w:pPr>
              <w:jc w:val="center"/>
              <w:ind w:right="300"/>
              <w:spacing w:after="0" w:line="184" w:lineRule="exact"/>
              <w:rPr>
                <w:sz w:val="20"/>
                <w:szCs w:val="20"/>
                <w:color w:val="auto"/>
              </w:rPr>
            </w:pPr>
            <w:r>
              <w:rPr>
                <w:rFonts w:ascii="Times New Roman" w:cs="Times New Roman" w:eastAsia="Times New Roman" w:hAnsi="Times New Roman"/>
                <w:sz w:val="18"/>
                <w:szCs w:val="18"/>
                <w:b w:val="1"/>
                <w:bCs w:val="1"/>
                <w:color w:val="auto"/>
                <w:w w:val="97"/>
              </w:rPr>
              <w:t>Unrealized</w:t>
            </w:r>
          </w:p>
        </w:tc>
        <w:tc>
          <w:tcPr>
            <w:tcW w:w="22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260" w:type="dxa"/>
            <w:vAlign w:val="bottom"/>
          </w:tcPr>
          <w:p>
            <w:pPr>
              <w:spacing w:after="0"/>
              <w:rPr>
                <w:sz w:val="19"/>
                <w:szCs w:val="19"/>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220" w:type="dxa"/>
            <w:vAlign w:val="bottom"/>
          </w:tcPr>
          <w:p>
            <w:pPr>
              <w:spacing w:after="0"/>
              <w:rPr>
                <w:sz w:val="19"/>
                <w:szCs w:val="19"/>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220" w:type="dxa"/>
            <w:vAlign w:val="bottom"/>
          </w:tcPr>
          <w:p>
            <w:pPr>
              <w:spacing w:after="0"/>
              <w:rPr>
                <w:sz w:val="19"/>
                <w:szCs w:val="19"/>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20" w:type="dxa"/>
            <w:vAlign w:val="bottom"/>
          </w:tcPr>
          <w:p>
            <w:pPr>
              <w:spacing w:after="0"/>
              <w:rPr>
                <w:sz w:val="19"/>
                <w:szCs w:val="19"/>
                <w:color w:val="auto"/>
              </w:rPr>
            </w:pP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164"/>
        </w:trPr>
        <w:tc>
          <w:tcPr>
            <w:tcW w:w="3500" w:type="dxa"/>
            <w:vAlign w:val="bottom"/>
            <w:tcBorders>
              <w:top w:val="single" w:sz="8" w:color="CCEEFF"/>
            </w:tcBorders>
            <w:shd w:val="clear" w:color="auto" w:fill="CCEEFF"/>
          </w:tcPr>
          <w:p>
            <w:pPr>
              <w:ind w:left="20"/>
              <w:spacing w:after="0" w:line="164" w:lineRule="exact"/>
              <w:rPr>
                <w:sz w:val="20"/>
                <w:szCs w:val="20"/>
                <w:color w:val="auto"/>
              </w:rPr>
            </w:pPr>
            <w:r>
              <w:rPr>
                <w:rFonts w:ascii="Times New Roman" w:cs="Times New Roman" w:eastAsia="Times New Roman" w:hAnsi="Times New Roman"/>
                <w:sz w:val="18"/>
                <w:szCs w:val="18"/>
                <w:color w:val="auto"/>
              </w:rPr>
              <w:t>Obligations of U.S. Government and its</w:t>
            </w:r>
          </w:p>
        </w:tc>
        <w:tc>
          <w:tcPr>
            <w:tcW w:w="20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agencies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277,151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277,358</w:t>
            </w:r>
          </w:p>
        </w:tc>
        <w:tc>
          <w:tcPr>
            <w:tcW w:w="0" w:type="dxa"/>
            <w:vAlign w:val="bottom"/>
          </w:tcPr>
          <w:p>
            <w:pPr>
              <w:spacing w:after="0"/>
              <w:rPr>
                <w:sz w:val="1"/>
                <w:szCs w:val="1"/>
                <w:color w:val="auto"/>
              </w:rPr>
            </w:pPr>
          </w:p>
        </w:tc>
      </w:tr>
      <w:tr>
        <w:trPr>
          <w:trHeight w:val="230"/>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0" w:type="dxa"/>
            <w:vAlign w:val="bottom"/>
          </w:tcPr>
          <w:p>
            <w:pPr>
              <w:spacing w:after="0"/>
              <w:rPr>
                <w:sz w:val="1"/>
                <w:szCs w:val="1"/>
                <w:color w:val="auto"/>
              </w:rPr>
            </w:pPr>
          </w:p>
        </w:tc>
      </w:tr>
      <w:tr>
        <w:trPr>
          <w:trHeight w:val="248"/>
        </w:trPr>
        <w:tc>
          <w:tcPr>
            <w:tcW w:w="3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278,131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278,344</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scheduled maturity for the Company’s investments at March 31, 2024 and December 31, 2023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60" w:type="dxa"/>
            <w:vAlign w:val="bottom"/>
          </w:tcPr>
          <w:p>
            <w:pPr>
              <w:spacing w:after="0"/>
              <w:rPr>
                <w:sz w:val="17"/>
                <w:szCs w:val="17"/>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8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Maturing in one year or less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252,221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278,344</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Maturing after one year through two years</w:t>
            </w:r>
          </w:p>
        </w:tc>
        <w:tc>
          <w:tcPr>
            <w:tcW w:w="12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8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278,344</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Trade Receivables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Sales</w:t>
      </w:r>
    </w:p>
    <w:p>
      <w:pPr>
        <w:spacing w:after="0" w:line="189" w:lineRule="exact"/>
        <w:rPr>
          <w:sz w:val="20"/>
          <w:szCs w:val="20"/>
          <w:color w:val="auto"/>
        </w:rPr>
      </w:pPr>
    </w:p>
    <w:p>
      <w:pPr>
        <w:ind w:right="220" w:firstLine="486"/>
        <w:spacing w:after="0" w:line="266" w:lineRule="auto"/>
        <w:rPr>
          <w:sz w:val="20"/>
          <w:szCs w:val="20"/>
          <w:color w:val="auto"/>
        </w:rPr>
      </w:pPr>
      <w:r>
        <w:rPr>
          <w:rFonts w:ascii="Times New Roman" w:cs="Times New Roman" w:eastAsia="Times New Roman" w:hAnsi="Times New Roman"/>
          <w:sz w:val="18"/>
          <w:szCs w:val="18"/>
          <w:color w:val="auto"/>
        </w:rPr>
        <w:t>Receivables from product sales are recorded for amounts due to the Company related to sales of ORLADEYO and RAPIVAB. At March 31, 2024 and December 31, 2023, receivables, net of reserves, related to sales of ORLADEYO were $56,404 and $54,149, respectively. At March 31, 2024 and December 31, 2023, receivables related to sales of RAPIVAB were $604 and $505, respectively.</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Collaborations</w:t>
            </w:r>
          </w:p>
        </w:tc>
        <w:tc>
          <w:tcPr>
            <w:tcW w:w="1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05"/>
        </w:trPr>
        <w:tc>
          <w:tcPr>
            <w:tcW w:w="66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Receivables from collaborations were as follows (in thousands):</w:t>
            </w: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32"/>
        </w:trPr>
        <w:tc>
          <w:tcPr>
            <w:tcW w:w="660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223"/>
        </w:trPr>
        <w:tc>
          <w:tcPr>
            <w:tcW w:w="6600" w:type="dxa"/>
            <w:vAlign w:val="bottom"/>
          </w:tcPr>
          <w:p>
            <w:pPr>
              <w:spacing w:after="0"/>
              <w:rPr>
                <w:sz w:val="19"/>
                <w:szCs w:val="19"/>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Billed</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Unbilled</w:t>
            </w:r>
          </w:p>
        </w:tc>
        <w:tc>
          <w:tcPr>
            <w:tcW w:w="320" w:type="dxa"/>
            <w:vAlign w:val="bottom"/>
          </w:tcPr>
          <w:p>
            <w:pPr>
              <w:spacing w:after="0"/>
              <w:rPr>
                <w:sz w:val="19"/>
                <w:szCs w:val="19"/>
                <w:color w:val="auto"/>
              </w:rPr>
            </w:pPr>
          </w:p>
        </w:tc>
        <w:tc>
          <w:tcPr>
            <w:tcW w:w="11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Royalty receivables from partners</w:t>
            </w:r>
          </w:p>
        </w:tc>
        <w:tc>
          <w:tcPr>
            <w:tcW w:w="1100" w:type="dxa"/>
            <w:vAlign w:val="bottom"/>
            <w:tcBorders>
              <w:top w:val="single" w:sz="8" w:color="auto"/>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3,492</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3,578</w:t>
            </w: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receivables from collaborators</w:t>
            </w:r>
          </w:p>
        </w:tc>
        <w:tc>
          <w:tcPr>
            <w:tcW w:w="110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19"/>
                <w:szCs w:val="19"/>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3,578</w:t>
            </w:r>
          </w:p>
        </w:tc>
      </w:tr>
      <w:tr>
        <w:trPr>
          <w:trHeight w:val="20"/>
        </w:trPr>
        <w:tc>
          <w:tcPr>
            <w:tcW w:w="66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520"/>
        </w:trPr>
        <w:tc>
          <w:tcPr>
            <w:tcW w:w="660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223"/>
        </w:trPr>
        <w:tc>
          <w:tcPr>
            <w:tcW w:w="6600" w:type="dxa"/>
            <w:vAlign w:val="bottom"/>
          </w:tcPr>
          <w:p>
            <w:pPr>
              <w:spacing w:after="0"/>
              <w:rPr>
                <w:sz w:val="19"/>
                <w:szCs w:val="19"/>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Billed</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Unbilled</w:t>
            </w:r>
          </w:p>
        </w:tc>
        <w:tc>
          <w:tcPr>
            <w:tcW w:w="320" w:type="dxa"/>
            <w:vAlign w:val="bottom"/>
          </w:tcPr>
          <w:p>
            <w:pPr>
              <w:spacing w:after="0"/>
              <w:rPr>
                <w:sz w:val="19"/>
                <w:szCs w:val="19"/>
                <w:color w:val="auto"/>
              </w:rPr>
            </w:pPr>
          </w:p>
        </w:tc>
        <w:tc>
          <w:tcPr>
            <w:tcW w:w="11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Royalty receivables from partners</w:t>
            </w:r>
          </w:p>
        </w:tc>
        <w:tc>
          <w:tcPr>
            <w:tcW w:w="1100" w:type="dxa"/>
            <w:vAlign w:val="bottom"/>
            <w:tcBorders>
              <w:top w:val="single" w:sz="8" w:color="auto"/>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w:t>
            </w: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receivables</w:t>
            </w:r>
          </w:p>
        </w:tc>
        <w:tc>
          <w:tcPr>
            <w:tcW w:w="110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2,296</w:t>
            </w:r>
          </w:p>
        </w:tc>
      </w:tr>
    </w:tbl>
    <w:p>
      <w:pPr>
        <w:spacing w:after="0" w:line="2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March 31, 2024 and December 31, 2023, the reserve related to royalties from collaborations was not material.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Inventory</w:t>
      </w:r>
    </w:p>
    <w:p>
      <w:pPr>
        <w:spacing w:after="0" w:line="202" w:lineRule="exact"/>
        <w:rPr>
          <w:sz w:val="20"/>
          <w:szCs w:val="20"/>
          <w:color w:val="auto"/>
        </w:rPr>
      </w:pPr>
    </w:p>
    <w:p>
      <w:pPr>
        <w:ind w:right="800" w:firstLine="486"/>
        <w:spacing w:after="0" w:line="282" w:lineRule="auto"/>
        <w:rPr>
          <w:sz w:val="20"/>
          <w:szCs w:val="20"/>
          <w:color w:val="auto"/>
        </w:rPr>
      </w:pPr>
      <w:r>
        <w:rPr>
          <w:rFonts w:ascii="Times New Roman" w:cs="Times New Roman" w:eastAsia="Times New Roman" w:hAnsi="Times New Roman"/>
          <w:sz w:val="18"/>
          <w:szCs w:val="18"/>
          <w:color w:val="auto"/>
        </w:rPr>
        <w:t>At March 31, 2024 and December 31, 2023, the Company’s inventory primarily related to ORLADEYO. Additionally, inventory included RAPIVAB and peramivir, which is manufactured for the Company’s partners.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Company’s inventories consisted of the following (in thousands):</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8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6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8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6,449</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17,591</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6,242</w:t>
            </w:r>
          </w:p>
        </w:tc>
        <w:tc>
          <w:tcPr>
            <w:tcW w:w="0" w:type="dxa"/>
            <w:vAlign w:val="bottom"/>
          </w:tcPr>
          <w:p>
            <w:pPr>
              <w:spacing w:after="0"/>
              <w:rPr>
                <w:sz w:val="1"/>
                <w:szCs w:val="1"/>
                <w:color w:val="auto"/>
              </w:rPr>
            </w:pPr>
          </w:p>
        </w:tc>
      </w:tr>
      <w:tr>
        <w:trPr>
          <w:trHeight w:val="223"/>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inventory</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31,380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30,282</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Reserves</w:t>
            </w: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0" w:type="dxa"/>
            <w:vAlign w:val="bottom"/>
          </w:tcPr>
          <w:p>
            <w:pPr>
              <w:spacing w:after="0"/>
              <w:rPr>
                <w:sz w:val="1"/>
                <w:szCs w:val="1"/>
                <w:color w:val="auto"/>
              </w:rPr>
            </w:pPr>
          </w:p>
        </w:tc>
      </w:tr>
      <w:tr>
        <w:trPr>
          <w:trHeight w:val="22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inventory, net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29,781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28,683</w:t>
            </w:r>
          </w:p>
        </w:tc>
        <w:tc>
          <w:tcPr>
            <w:tcW w:w="0" w:type="dxa"/>
            <w:vAlign w:val="bottom"/>
          </w:tcPr>
          <w:p>
            <w:pPr>
              <w:spacing w:after="0"/>
              <w:rPr>
                <w:sz w:val="1"/>
                <w:szCs w:val="1"/>
                <w:color w:val="auto"/>
              </w:rPr>
            </w:pPr>
          </w:p>
        </w:tc>
      </w:tr>
      <w:tr>
        <w:trPr>
          <w:trHeight w:val="21"/>
        </w:trPr>
        <w:tc>
          <w:tcPr>
            <w:tcW w:w="8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Royalty Financing Obligations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ORLADEYO and Factor D Inhibitors</w:t>
      </w:r>
    </w:p>
    <w:p>
      <w:pPr>
        <w:spacing w:after="0" w:line="189"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On December 7, 2020, the Company and RPI 2019 Intermediate Finance Trust (“RPI”) entered into a Purchase and Sale Agreement (the “2020 RPI Royalty Purchase Agreement”), pursuant to which the Company sold to RPI the right to receive certain royalty payments from the Company for a purchase price of $125,000 in cash (the “2020 RPI Royalty Sale”). Under the 2020 RPI Royalty Purchase Agreement, RPI is entitled to receive tiered, sales-based royalties on net product sales of ORLADEYO in the United States and certain key European markets (collectively, the “Key Territories”), and other markets where the Company sells ORLADEYO directly or through distributors (collectively, the “Direct Sales”) in an amount equal to: (i) 8.75% of aggregate annual net sales of ORLADEYO for annual net sales up to $350,000 and (ii) 2.75% of annual net sales for annual net sales between $350,000 and $550,000. No royalty payments are payable on annual Direct Sales over $550,000.</w:t>
      </w:r>
    </w:p>
    <w:p>
      <w:pPr>
        <w:spacing w:after="0" w:line="148" w:lineRule="exact"/>
        <w:rPr>
          <w:sz w:val="20"/>
          <w:szCs w:val="20"/>
          <w:color w:val="auto"/>
        </w:rPr>
      </w:pPr>
    </w:p>
    <w:p>
      <w:pPr>
        <w:ind w:right="160" w:firstLine="486"/>
        <w:spacing w:after="0" w:line="258" w:lineRule="auto"/>
        <w:rPr>
          <w:sz w:val="20"/>
          <w:szCs w:val="20"/>
          <w:color w:val="auto"/>
        </w:rPr>
      </w:pPr>
      <w:r>
        <w:rPr>
          <w:rFonts w:ascii="Times New Roman" w:cs="Times New Roman" w:eastAsia="Times New Roman" w:hAnsi="Times New Roman"/>
          <w:sz w:val="18"/>
          <w:szCs w:val="18"/>
          <w:color w:val="auto"/>
        </w:rPr>
        <w:t>Under the 2020 RPI Royalty Purchase Agreement, RPI is also entitled to receive a tiered revenue share on ORLADEYO sublicense revenue or net sales by licensees outside of the Key Territories (the “Other Markets”) equal to: (i) 20% of the proceeds received by the Company for upfront license fees and development milestones for ORLADEYO in the Other Markets; (ii) 20% of proceeds received on annual net sales of up to $150,000 in the Other Markets; and (iii) 10% of proceeds received by the Company on annual net sales between $150,000 and $230,000 in the Other Markets. No royalty payments are payable on annual net sales above $230,000 in the Other Markets.</w:t>
      </w:r>
    </w:p>
    <w:p>
      <w:pPr>
        <w:spacing w:after="0" w:line="156" w:lineRule="exact"/>
        <w:rPr>
          <w:sz w:val="20"/>
          <w:szCs w:val="20"/>
          <w:color w:val="auto"/>
        </w:rPr>
      </w:pPr>
    </w:p>
    <w:p>
      <w:pPr>
        <w:ind w:right="140" w:firstLine="486"/>
        <w:spacing w:after="0" w:line="256" w:lineRule="auto"/>
        <w:rPr>
          <w:sz w:val="20"/>
          <w:szCs w:val="20"/>
          <w:color w:val="auto"/>
        </w:rPr>
      </w:pPr>
      <w:r>
        <w:rPr>
          <w:rFonts w:ascii="Times New Roman" w:cs="Times New Roman" w:eastAsia="Times New Roman" w:hAnsi="Times New Roman"/>
          <w:sz w:val="18"/>
          <w:szCs w:val="18"/>
          <w:color w:val="auto"/>
        </w:rPr>
        <w:t>On November 19, 2021, the Company and RPI entered into (i) a Purchase and Sale Agreement (the “2021 RPI Royalty Purchase Agreement” and together with the 2020 RPI Royalty Purchase Agreement, the “RPI Royalty Purchase Agreements”), pursuant to which the Company sold to RPI the right to receive certain royalty payments from the Company for a purchase price of $150,000 in cash, and (ii) a Purchase and Sale Agreement with OCM IP Healthcare Holdings Limited, an affiliate of OMERS Capital Markets (“OMERS”) (the “OMERS Royalty Purchase Agreement” and collectively with the RPI Royalty Purchase Agreements, the “Royalty Purchase Agreements”), pursuant to which the Company sold to OMERS the right to receive certain royalty payments from the Company for a purchase price of an additional $150,000 in cash.</w:t>
      </w:r>
    </w:p>
    <w:p>
      <w:pPr>
        <w:spacing w:after="0" w:line="147" w:lineRule="exact"/>
        <w:rPr>
          <w:sz w:val="20"/>
          <w:szCs w:val="20"/>
          <w:color w:val="auto"/>
        </w:rPr>
      </w:pPr>
    </w:p>
    <w:p>
      <w:pPr>
        <w:ind w:right="120" w:firstLine="486"/>
        <w:spacing w:after="0" w:line="256" w:lineRule="auto"/>
        <w:rPr>
          <w:sz w:val="20"/>
          <w:szCs w:val="20"/>
          <w:color w:val="auto"/>
        </w:rPr>
      </w:pPr>
      <w:r>
        <w:rPr>
          <w:rFonts w:ascii="Times New Roman" w:cs="Times New Roman" w:eastAsia="Times New Roman" w:hAnsi="Times New Roman"/>
          <w:sz w:val="18"/>
          <w:szCs w:val="18"/>
          <w:color w:val="auto"/>
        </w:rPr>
        <w:t>Under the 2021 RPI Royalty Purchase Agreement, RPI is entitled to receive tiered, sales-based royalties on Direct Sales in an amount equal to: (i) 0.75% of aggregate annual net sales of ORLADEYO for annual net sales up to $350,000 and (ii) 1.75% of annual net sales of ORLADEYO for annual net sales between $350,000 and $550,000. No royalty payments are payable on Direct Sales over $550,000. RPI is also entitled to receive a tiered revenue share on ORLADEYO sublicense revenue or net sales by licensees in the Other Markets in an amount equal to (i) 3.0% of proceeds received by the Company on annual net sales of up to $150,000 in the Other Markets, and (ii) 2.0% of proceeds received by the Company on annual net sales between $150,000 and $230,000 in the Other Markets. No royalty payments are payable on annual net sales above $230,000 in the Other Markets.</w:t>
      </w:r>
    </w:p>
    <w:p>
      <w:pPr>
        <w:spacing w:after="0" w:line="147" w:lineRule="exact"/>
        <w:rPr>
          <w:sz w:val="20"/>
          <w:szCs w:val="20"/>
          <w:color w:val="auto"/>
        </w:rPr>
      </w:pPr>
    </w:p>
    <w:p>
      <w:pPr>
        <w:ind w:right="200" w:firstLine="486"/>
        <w:spacing w:after="0" w:line="261" w:lineRule="auto"/>
        <w:rPr>
          <w:sz w:val="20"/>
          <w:szCs w:val="20"/>
          <w:color w:val="auto"/>
        </w:rPr>
      </w:pPr>
      <w:r>
        <w:rPr>
          <w:rFonts w:ascii="Times New Roman" w:cs="Times New Roman" w:eastAsia="Times New Roman" w:hAnsi="Times New Roman"/>
          <w:sz w:val="18"/>
          <w:szCs w:val="18"/>
          <w:color w:val="auto"/>
        </w:rPr>
        <w:t>Under the 2021 RPI Royalty Purchase Agreement, RPI is also entitled to receive tiered, sales-based royalties on net product sales of BCX10013 in an amount equal to: (i) 3.0% of worldwide aggregate annual net sales up to $1,500,000 and (ii) 2.0% of worldwide aggregate annual net sales between $1,500,000 and $3,000,000. No royalty payments are payable on annual net sales above $3,000,000. RPI is also entitled to receive tiered profit share amounts of up to 3.0% from certain other permitted sales in certain other markets.</w:t>
      </w:r>
    </w:p>
    <w:p>
      <w:pPr>
        <w:spacing w:after="0" w:line="153"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The royalties payable under the 2021 RPI Royalty Purchase Agreement are in addition to the royalties payable to RPI under the 2020 RPI Royalty Purchase Agreement.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40" w:firstLine="486"/>
        <w:spacing w:after="0" w:line="256" w:lineRule="auto"/>
        <w:rPr>
          <w:sz w:val="20"/>
          <w:szCs w:val="20"/>
          <w:color w:val="auto"/>
        </w:rPr>
      </w:pPr>
      <w:r>
        <w:rPr>
          <w:rFonts w:ascii="Times New Roman" w:cs="Times New Roman" w:eastAsia="Times New Roman" w:hAnsi="Times New Roman"/>
          <w:sz w:val="18"/>
          <w:szCs w:val="18"/>
          <w:color w:val="auto"/>
        </w:rPr>
        <w:t>Under the OMERS Royalty Purchase Agreement, for the calendar quarter beginning October 1, 2023, OMERS was entitled to receive tiered, sales-based royalties on Direct Sales in an amount equal to: (i) 7.5% of aggregate annual net sales of ORLADEYO for annual net sales up to $350,000 and (ii) 6.0% of annual net sales of ORLADEYO for annual net sales between $350,000 and $550,000 (with no royalty payments payable on annual Direct Sales over $550,000). Commencing with the calendar quarter beginning January 1, 2024, OMERS is entitled to receive tiered, sales-based royalties on Direct Sales in an amount equal to: (i) 10.0% of aggregate annual net sales of ORLADEYO for annual net sales up to $350,000 and (ii) 3.0% of annual net sales of ORLADEYO for annual net sales between $350,000 and $550,000 (with no royalty payments payable on annual Direct Sales over $550,000).</w:t>
      </w:r>
    </w:p>
    <w:p>
      <w:pPr>
        <w:spacing w:after="0" w:line="160" w:lineRule="exact"/>
        <w:rPr>
          <w:sz w:val="20"/>
          <w:szCs w:val="20"/>
          <w:color w:val="auto"/>
        </w:rPr>
      </w:pPr>
    </w:p>
    <w:p>
      <w:pPr>
        <w:ind w:right="160" w:firstLine="486"/>
        <w:spacing w:after="0" w:line="256" w:lineRule="auto"/>
        <w:rPr>
          <w:sz w:val="20"/>
          <w:szCs w:val="20"/>
          <w:color w:val="auto"/>
        </w:rPr>
      </w:pPr>
      <w:r>
        <w:rPr>
          <w:rFonts w:ascii="Times New Roman" w:cs="Times New Roman" w:eastAsia="Times New Roman" w:hAnsi="Times New Roman"/>
          <w:sz w:val="18"/>
          <w:szCs w:val="18"/>
          <w:color w:val="auto"/>
        </w:rPr>
        <w:t>Under the OMERS Royalty Purchase Agreement, OMERS is also entitled to receive a tiered revenue share on ORLADEYO sublicense revenue or net sales by licensees in the Other Markets in an amount equal to: (i) 20.0% of the proceeds received by the Company for upfront license fees and development milestones for ORLADEYO in the Other Markets, (ii) 20.0% of proceeds received by the Company on annual net sales of up to $150,000 in the Other Markets, and (iii) 10.0% of proceeds received by the Company on annual net sales between $150,000 and $230,000 in the Other Markets. No royalty payments are payable on annual net sales above $230,000 in the Other Markets. OMERS is also entitled to receive profit share amounts of up to 10% from certain other permitted sales in certain other markets.</w:t>
      </w:r>
    </w:p>
    <w:p>
      <w:pPr>
        <w:spacing w:after="0" w:line="147"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Under the 2020 RPI Royalty Purchase Agreement, the Company is required to make royalty payments of amounts owed to RPI each calendar quarter following the first commercial sale of ORLADEYO in any country. Under the 2021 RPI Royalty Purchase Agreement, the Company is required to make payments to RPI in respect of net sales or sublicense revenue in each calendar quarter from and after October 1, 2021. Under the OMERS Royalty Purchase Agreement, the Company is required to make payments to OMERS in respect of net sales or sublicense revenue in each calendar quarter from and after October 1, 2023. OMERS will no longer be entitled to receive any payments on the date in which aggregate payments actually received by OMERS equals 155.0% of the $150,000 purchase price.</w:t>
      </w:r>
    </w:p>
    <w:p>
      <w:pPr>
        <w:spacing w:after="0" w:line="14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transactions contemplated by each of the Royalty Purchase Agreements are referred to herein as the “Royalty Sales”.</w:t>
      </w:r>
    </w:p>
    <w:p>
      <w:pPr>
        <w:spacing w:after="0" w:line="198" w:lineRule="exact"/>
        <w:rPr>
          <w:sz w:val="20"/>
          <w:szCs w:val="20"/>
          <w:color w:val="auto"/>
        </w:rPr>
      </w:pPr>
    </w:p>
    <w:p>
      <w:pPr>
        <w:ind w:right="140" w:firstLine="486"/>
        <w:spacing w:after="0" w:line="255" w:lineRule="auto"/>
        <w:rPr>
          <w:sz w:val="20"/>
          <w:szCs w:val="20"/>
          <w:color w:val="auto"/>
        </w:rPr>
      </w:pPr>
      <w:r>
        <w:rPr>
          <w:rFonts w:ascii="Times New Roman" w:cs="Times New Roman" w:eastAsia="Times New Roman" w:hAnsi="Times New Roman"/>
          <w:sz w:val="18"/>
          <w:szCs w:val="18"/>
          <w:color w:val="auto"/>
        </w:rPr>
        <w:t>Under the Royalty Purchase Agreements, the Company has agreed to specified affirmative and negative covenants, including covenants regarding periodic reporting of information by the Company to RPI and OMERS, third-party audits of royalties paid under the Royalty Purchase Agreements, and restrictions on the ability of the Company or any of its subsidiaries to incur indebtedness other than certain royalty sales and as was permitted to be incurred under the terms of the Athyrium Credit Agreement (as defined in Note 7 herein) through its payoff and termination on April 17, 2023 or, subsequent to that date, the Pharmakon Loan Agreement (as defined in Note 7 herein), as applicable. See “Note 7—Debt” for further details on the Athyrium Credit Agreement and the Pharmakon Loan Agreement. The restrictions under the Royalty Purchase Agreements on the ability of the Company or any of its subsidiaries to incur indebtedness are eliminated after the achievement of certain specified milestones in the Royalty Purchase Agreements.</w:t>
      </w:r>
    </w:p>
    <w:p>
      <w:pPr>
        <w:spacing w:after="0" w:line="148" w:lineRule="exact"/>
        <w:rPr>
          <w:sz w:val="20"/>
          <w:szCs w:val="20"/>
          <w:color w:val="auto"/>
        </w:rPr>
      </w:pPr>
    </w:p>
    <w:p>
      <w:pPr>
        <w:ind w:right="40" w:firstLine="486"/>
        <w:spacing w:after="0" w:line="252" w:lineRule="auto"/>
        <w:rPr>
          <w:sz w:val="20"/>
          <w:szCs w:val="20"/>
          <w:color w:val="auto"/>
        </w:rPr>
      </w:pPr>
      <w:r>
        <w:rPr>
          <w:rFonts w:ascii="Times New Roman" w:cs="Times New Roman" w:eastAsia="Times New Roman" w:hAnsi="Times New Roman"/>
          <w:sz w:val="18"/>
          <w:szCs w:val="18"/>
          <w:color w:val="auto"/>
        </w:rPr>
        <w:t>The cash consideration obtained pursuant to the Royalty Purchase Agreements is recorded in “Royalty financing obligations” on the Company’s Condensed Consolidated Balance Sheets. The fair value for the royalty financing obligations at the time of the transactions was based on the Company’s estimates of future royalties expected to be paid to the counterparty over the life of the arrangement. The Company subsequently records the obligations at their carrying value using the effective interest method. In order to amortize the royalty financing obligations, the Company utilizes the prospective method to estimate the future royalties to be paid by the Company to the counterparty over the life of the arrangement. Under the prospective method, a new effective interest rate is determined based on the revised estimate of remaining cash flows. The new rate is the discount rate that equates the present value of the revised estimate of remaining cash flows with the carrying amount of the debt, and it will be used to recognize interest expense for the remaining periods. The Company periodically assesses the amount and timing of expected royalty payments using a combination of internal projections and forecasts from external sources. The estimates of future net product sales (and resulting royalty payments) are based on key assumptions including population, penetration, probability of success, and sales price, among others. To the extent such payments are greater or less than the Company’s initial estimates or the timing of such payments is materially different than its original estimates, the Company will prospectively adjust the amortization of the royalty financing obligations and the effective interest rate. On a quarterly basis, the Company assesses the projected royalty payments relative to the projected interest accretion for the next twelve months to determine if the royalty liability balance is reduced relative to the current outstanding liability, which would signify a repayment of the principal. In such case of excess payments relative to interest accretion for the next twelve months, the excess payments are considered to be a short-term liability and classified within current liabilities on the Company’s Condensed Consolidated Balance Sheets.</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there was no significant impact on the amount and timing of expected royalties under the Royalty Purchase Agreements based on the Company’s latest forecasts related to its research and development programs and ORLADEYO sales.</w:t>
      </w:r>
    </w:p>
    <w:p>
      <w:pPr>
        <w:spacing w:after="0" w:line="135" w:lineRule="exact"/>
        <w:rPr>
          <w:sz w:val="20"/>
          <w:szCs w:val="20"/>
          <w:color w:val="auto"/>
        </w:rPr>
      </w:pPr>
    </w:p>
    <w:p>
      <w:pPr>
        <w:ind w:right="6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shows the royalty financing obligations activity for the three months ended March 31, 2024 (in thousands) as well as the effective interest rate as of March 31, 2024:</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2020 RPI</w:t>
            </w:r>
          </w:p>
        </w:tc>
        <w:tc>
          <w:tcPr>
            <w:tcW w:w="24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2021 RPI</w:t>
            </w:r>
          </w:p>
        </w:tc>
        <w:tc>
          <w:tcPr>
            <w:tcW w:w="24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OMERS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4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Royalty</w:t>
            </w:r>
          </w:p>
        </w:tc>
        <w:tc>
          <w:tcPr>
            <w:tcW w:w="24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Royalty</w:t>
            </w:r>
          </w:p>
        </w:tc>
        <w:tc>
          <w:tcPr>
            <w:tcW w:w="240" w:type="dxa"/>
            <w:vAlign w:val="bottom"/>
          </w:tcPr>
          <w:p>
            <w:pPr>
              <w:spacing w:after="0"/>
              <w:rPr>
                <w:sz w:val="18"/>
                <w:szCs w:val="18"/>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Royalty</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65"/>
        </w:trPr>
        <w:tc>
          <w:tcPr>
            <w:tcW w:w="47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Agreement</w:t>
            </w:r>
          </w:p>
        </w:tc>
        <w:tc>
          <w:tcPr>
            <w:tcW w:w="240" w:type="dxa"/>
            <w:vAlign w:val="bottom"/>
          </w:tcPr>
          <w:p>
            <w:pPr>
              <w:spacing w:after="0"/>
              <w:rPr>
                <w:sz w:val="23"/>
                <w:szCs w:val="23"/>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Agreement</w:t>
            </w:r>
          </w:p>
        </w:tc>
        <w:tc>
          <w:tcPr>
            <w:tcW w:w="240" w:type="dxa"/>
            <w:vAlign w:val="bottom"/>
          </w:tcPr>
          <w:p>
            <w:pPr>
              <w:spacing w:after="0"/>
              <w:rPr>
                <w:sz w:val="23"/>
                <w:szCs w:val="23"/>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Agreement</w:t>
            </w:r>
          </w:p>
        </w:tc>
        <w:tc>
          <w:tcPr>
            <w:tcW w:w="320" w:type="dxa"/>
            <w:vAlign w:val="bottom"/>
          </w:tcPr>
          <w:p>
            <w:pPr>
              <w:spacing w:after="0"/>
              <w:rPr>
                <w:sz w:val="23"/>
                <w:szCs w:val="23"/>
                <w:color w:val="auto"/>
              </w:rPr>
            </w:pPr>
          </w:p>
        </w:tc>
        <w:tc>
          <w:tcPr>
            <w:tcW w:w="11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174,480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185,345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171,774</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531,599</w:t>
            </w:r>
          </w:p>
        </w:tc>
      </w:tr>
      <w:tr>
        <w:trPr>
          <w:trHeight w:val="223"/>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Interest expense on Royalty financing obligations</w:t>
            </w:r>
          </w:p>
        </w:tc>
        <w:tc>
          <w:tcPr>
            <w:tcW w:w="24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9,916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4,271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14,187</w:t>
            </w:r>
          </w:p>
        </w:tc>
      </w:tr>
      <w:tr>
        <w:trPr>
          <w:trHeight w:val="23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Royalty revenues paid and payable</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(7,842)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(6,691)</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(15,212)</w:t>
            </w:r>
          </w:p>
        </w:tc>
      </w:tr>
      <w:tr>
        <w:trPr>
          <w:trHeight w:val="223"/>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176,554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184,666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169,354</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530,574</w:t>
            </w: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47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34"/>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interest rate</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r>
    </w:tbl>
    <w:p>
      <w:pPr>
        <w:spacing w:after="0" w:line="247" w:lineRule="exact"/>
        <w:rPr>
          <w:sz w:val="20"/>
          <w:szCs w:val="20"/>
          <w:color w:val="auto"/>
        </w:rPr>
      </w:pPr>
    </w:p>
    <w:p>
      <w:pPr>
        <w:ind w:right="320" w:firstLine="486"/>
        <w:spacing w:after="0" w:line="282" w:lineRule="auto"/>
        <w:rPr>
          <w:sz w:val="20"/>
          <w:szCs w:val="20"/>
          <w:color w:val="auto"/>
        </w:rPr>
      </w:pPr>
      <w:r>
        <w:rPr>
          <w:rFonts w:ascii="Times New Roman" w:cs="Times New Roman" w:eastAsia="Times New Roman" w:hAnsi="Times New Roman"/>
          <w:sz w:val="18"/>
          <w:szCs w:val="18"/>
          <w:color w:val="auto"/>
        </w:rPr>
        <w:t>The Royalty financing obligations liabilities and the associated deferred issuance costs are amortized using the effective interest method over the term of the arrangement.</w:t>
      </w:r>
    </w:p>
    <w:p>
      <w:pPr>
        <w:spacing w:after="0" w:line="121"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Concurrent with entering into the 2021 RPI Royalty Purchase Agreement, the Company and RPI entered into a Common Stock Purchase Agreement pursuant to which the Company sold common stock to RPI for a premium of $4,269. This premium has been deferred and is being amortized through interest expense using the effective interest method over the term of the applicable arrangement.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Debt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Pharmakon Loan Agreement</w:t>
      </w:r>
    </w:p>
    <w:p>
      <w:pPr>
        <w:spacing w:after="0" w:line="189" w:lineRule="exact"/>
        <w:rPr>
          <w:sz w:val="20"/>
          <w:szCs w:val="20"/>
          <w:color w:val="auto"/>
        </w:rPr>
      </w:pPr>
    </w:p>
    <w:p>
      <w:pPr>
        <w:ind w:right="80" w:firstLine="486"/>
        <w:spacing w:after="0" w:line="255" w:lineRule="auto"/>
        <w:rPr>
          <w:sz w:val="20"/>
          <w:szCs w:val="20"/>
          <w:color w:val="auto"/>
        </w:rPr>
      </w:pPr>
      <w:r>
        <w:rPr>
          <w:rFonts w:ascii="Times New Roman" w:cs="Times New Roman" w:eastAsia="Times New Roman" w:hAnsi="Times New Roman"/>
          <w:sz w:val="18"/>
          <w:szCs w:val="18"/>
          <w:color w:val="auto"/>
        </w:rPr>
        <w:t>On April 17, 2023, the Company entered into a $450,000 Loan Agreement (the “Pharmakon Loan Agreement”) with BioPharma Credit Investments V (Master) LP and BPCR Limited Partnership, as lenders, and BioPharma Credit PLC, as collateral agent for the lenders. Certain of the Company’s wholly-owned subsidiaries are guarantors to the Pharmakon Loan Agreement. The Pharmakon Loan Agreement provides for an initial term loan in the principal amount of $300,000 (the “Tranche A Loan”) funded on April 17, 2023 (the “Tranche A Closing Date”). The Company used a portion of the proceeds from the Tranche A Loan to repay the $241,787 of outstanding indebtedness (principal and interest due as of April 17, 2023) under the then-existing Athyrium Credit Agreement (defined below) and to pay associated transaction costs and fees, and used the remaining net proceeds of $25,805 for other general corporate purposes.</w:t>
      </w:r>
    </w:p>
    <w:p>
      <w:pPr>
        <w:spacing w:after="0" w:line="162"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The Pharmakon Loan Agreement also provides for three additional term loan tranches, at the Company’s option, in principal amounts of $50,000 each (each a “Subsequent Tranche Loan” and, collectively with the Tranche A Loan, the “Pharmakon Term Loans” and each, a “Pharmakon Term Loan”), which may be requested on or prior to September 30, 2024. The maturity date of the Pharmakon Loan Agreement is April 17, 2028 (the “Maturity Date”), the fifth anniversary of the Tranche A Closing Date.</w:t>
      </w:r>
    </w:p>
    <w:p>
      <w:pPr>
        <w:spacing w:after="0" w:line="139" w:lineRule="exact"/>
        <w:rPr>
          <w:sz w:val="20"/>
          <w:szCs w:val="20"/>
          <w:color w:val="auto"/>
        </w:rPr>
      </w:pPr>
    </w:p>
    <w:p>
      <w:pPr>
        <w:ind w:firstLine="486"/>
        <w:spacing w:after="0" w:line="274" w:lineRule="auto"/>
        <w:rPr>
          <w:sz w:val="20"/>
          <w:szCs w:val="20"/>
          <w:color w:val="auto"/>
        </w:rPr>
      </w:pPr>
      <w:r>
        <w:rPr>
          <w:rFonts w:ascii="Times New Roman" w:cs="Times New Roman" w:eastAsia="Times New Roman" w:hAnsi="Times New Roman"/>
          <w:sz w:val="17"/>
          <w:szCs w:val="17"/>
          <w:color w:val="auto"/>
        </w:rPr>
        <w:t>The Pharmakon Loan Agreement provides for quarterly interest-only payments until the Maturity Date, with the unpaid principal amount of the outstanding Pharmakon Term Loans due and payable on the Maturity Date. During the first 18 months following the Tranche A Closing Date, the Company has the option to make a portion of the applicable interest payment on the Tranche A Loan in-kind (a “Pharmakon PIK Interest Payment”) by capitalizing as principal up to 50% of the amount of interest accrued on the Tranche A Loan during the applicable interest period. The Pharmakon Term Loans will bear interest at a rate equal to the three-month Secured Overnight Financing Rate (“SOFR”) rate, which shall be no less than 1.75%, plus 7.00%, per annum or, for each interest period in which a Pharmakon PIK Interest Payment is made, with respect to the Tranche A Loan, SOFR plus 7.25%, per annum.</w:t>
      </w:r>
    </w:p>
    <w:p>
      <w:pPr>
        <w:spacing w:after="0" w:line="13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Tranche A Loan accrued interest at an effective interest rate of 13.34% for the three months ended March 31, 2024.</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The Company is required to make a mandatory prepayment of the Pharmakon Term Loans (i) upon the occurrence of a change of control and (ii) prior to any repayment of any convertible debt that the Company may issue in the future, subject to certain exceptions. The Company may make voluntary prepayments in whole or in part, in minimum $25,000 increments. Prepayments are subject to a prepayment premium equal to, (i) with respect to any prepayment made prior to the second anniversary of the applicable Pharmakon Term Loan borrowing date, the sum of (1) 3.00% of the principal amount of the Pharmakon Term Loan being prepaid plus (2) the aggregate amount of all interest that would have accrued on the principal amount of the Pharmakon Term Loan being prepaid from the date of prepayment through and including the second anniversary of the date of the borrowing of such Pharmakon Term Loan; (ii) with respect to any prepayment made on or after the second anniversary and prior to the third anniversary of the applicable Pharmakon Term Loan borrowing date, 3.00% of the principal amount of the Pharmakon Term Loan being prepaid; (iii) with respect to any prepayment made on or after the third anniversary and prior to the fourth anniversary of the applicable Pharmakon Term Loan, 2.00% of the principal amount of the Pharmakon Term Loan being prepaid; and (iv) with respect to any prepayment made on or after the fourth anniversary of the applicable Pharmakon Term Loan borrowing date and before the Maturity Date, 1.00% of the principal amount of the Pharmakon Term Loan being prepaid. In addition, upon the drawing of any Subsequent Tranche Loan, certain funding fees are required to be paid.</w:t>
      </w:r>
    </w:p>
    <w:p>
      <w:pPr>
        <w:spacing w:after="0" w:line="163" w:lineRule="exact"/>
        <w:rPr>
          <w:sz w:val="20"/>
          <w:szCs w:val="20"/>
          <w:color w:val="auto"/>
        </w:rPr>
      </w:pPr>
    </w:p>
    <w:p>
      <w:pPr>
        <w:ind w:right="180" w:firstLine="486"/>
        <w:spacing w:after="0" w:line="256" w:lineRule="auto"/>
        <w:rPr>
          <w:sz w:val="20"/>
          <w:szCs w:val="20"/>
          <w:color w:val="auto"/>
        </w:rPr>
      </w:pPr>
      <w:r>
        <w:rPr>
          <w:rFonts w:ascii="Times New Roman" w:cs="Times New Roman" w:eastAsia="Times New Roman" w:hAnsi="Times New Roman"/>
          <w:sz w:val="18"/>
          <w:szCs w:val="18"/>
          <w:color w:val="auto"/>
        </w:rPr>
        <w:t>The Pharmakon Loan Agreement also contains representations and warranties and affirmative and negative covenants customary for financings of this type, as well as customary events of default. Certain of the customary negative covenants limit the ability of the Company and certain of its subsidiaries to, among other things, dispose of assets, engage in mergers, acquisitions, and similar transactions, incur additional indebtedness, grant liens, make investments, pay dividends or make distributions or certain other restricted payments in respect of equity, prepay other indebtedness, enter into restrictive agreements, undertake fundamental changes or amend certain material contracts, among other customary covenants, in each case subject to certain exceptions.</w:t>
      </w:r>
    </w:p>
    <w:p>
      <w:pPr>
        <w:spacing w:after="0" w:line="147"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A failure to comply with the covenants in the Pharmakon Loan Agreement, or an occurrence of any other event of default, could permit the lenders under the Pharmakon Loan Agreement to declare the borrowings thereunder, together with accrued interest and fees, and any applicable prepayment premium, to be immediately due and payable.</w:t>
      </w:r>
    </w:p>
    <w:p>
      <w:pPr>
        <w:spacing w:after="0" w:line="135"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The Company’s obligations under the Pharmakon Loan Agreement are secured by a security interest in, subject to certain exceptions, substantially all of the Company’s assets.</w:t>
      </w:r>
    </w:p>
    <w:p>
      <w:pPr>
        <w:spacing w:after="0" w:line="135"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As of March 31, 2024, the Company had total borrowings of $300,000 under the Pharmakon Loan Agreement. Interest expense on the Tranche A Loan for the three months ended March 31, 2024 was $9,974. As allowable under the Pharmakon Loan Agreement, the Company has designated and accounted for 50% of the quarterly interest payments for the three months ended March 31, 2024 as a Pharmakon PIK Interest Payment and the amount of $4,987 has been added to the outstanding principal balance of the borrowing. The remaining 50% of the quarterly interest payments of $4,987 have been paid at the end of each quarterly period. As of March 31, 2024, borrowings, including the Pharmakon PIK Interest Payments, totaled $318,650. The fair value of the debt approximates its carrying value based on prevailing interest rates as of the balance sheet date and is considered as Level 2 in the fair value hierarchy.</w:t>
      </w:r>
    </w:p>
    <w:p>
      <w:pPr>
        <w:spacing w:after="0" w:line="148" w:lineRule="exact"/>
        <w:rPr>
          <w:sz w:val="20"/>
          <w:szCs w:val="20"/>
          <w:color w:val="auto"/>
        </w:rPr>
      </w:pPr>
    </w:p>
    <w:p>
      <w:pPr>
        <w:ind w:right="380" w:firstLine="486"/>
        <w:spacing w:after="0" w:line="266" w:lineRule="auto"/>
        <w:rPr>
          <w:sz w:val="20"/>
          <w:szCs w:val="20"/>
          <w:color w:val="auto"/>
        </w:rPr>
      </w:pPr>
      <w:r>
        <w:rPr>
          <w:rFonts w:ascii="Times New Roman" w:cs="Times New Roman" w:eastAsia="Times New Roman" w:hAnsi="Times New Roman"/>
          <w:sz w:val="18"/>
          <w:szCs w:val="18"/>
          <w:color w:val="auto"/>
        </w:rPr>
        <w:t>Incurred debt fees and issuance costs associated with the Tranche A Loan under the Pharmakon Loan Agreement totaled $11,147 and have been deferred and are being amortized as interest expense on an effective interest rate method over the remaining term of the Tranche A Loan. Deferred financing amortization of $266 was recognized for the three months ended March 31, 2024.</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Athyrium Credit Agreement</w:t>
      </w:r>
    </w:p>
    <w:p>
      <w:pPr>
        <w:spacing w:after="0" w:line="202"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On December 7, 2020, the Company entered into a $200,000 Credit Agreement (the “Athyrium Credit Agreement”) with Athyrium Opportunities III Co-Invest 1 LP (“Athyrium”), as lender and as administrative agent for the lenders. Certain of the Company’s direct and indirect subsidiaries were guarantors to the Athyrium Credit Agreement. The Athyrium Credit Agreement provided for an initial term loan in the principal amount of $125,000 (the “Term A Loan”), which was received by the Company on December 7, 2020 and is recorded in “Secured term loan” on the Company’s balance sheet. The Company used a portion of the proceeds from the Term A Loan to repay $43,298 of outstanding indebtedness, including accrued interest, under its prior credit facility with MidCap Financial Trust.</w:t>
      </w:r>
    </w:p>
    <w:p>
      <w:pPr>
        <w:spacing w:after="0" w:line="14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Athyrium Credit Agreement also provided for two additional term loans, at the Company’s option, in the respective principal amounts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$25,000 (the “Term B Loan”) and $50,000 (the “Term C Loan” and, collectively with the Term A Loan and the Term B Loan, the “Athyrium Term Loans”).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Having achieved all required revenue-based milestones, the Company exercised its option to draw upon the additional funding available under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Athyrium Credit Agreement, borrowing the principal amounts of $25,000 under the Term B Loan and $50,000 under the Term C Loan. Both the Term B</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Loan and the Term C Loan were funded on July 29, 2022 in the aggregate principal amount of $75,000. The Term B Loan and the Term C Loan were subject to all the provisions under the Athyrium Credit Agreement.</w:t>
      </w:r>
    </w:p>
    <w:p>
      <w:pPr>
        <w:spacing w:after="0" w:line="135"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On November 19, 2021, the Company entered into an amendment to the Athyrium Credit Agreement to, among other things, (i) permit the Company to enter into the 2021 RPI Royalty Purchase Agreement, the OMERS Royalty Purchase Agreement, and the other definitive documentation related thereto and to perform its obligations thereunder; and (ii) require the Company to pay to Athyrium, for the account of the lenders, a make-whole premium plus certain fees set forth in the Athyrium Credit Agreement in the event that the Company prepaid or repaid, or was required to prepay or repay, voluntarily or pursuant to mandatory prepayment obligations under the Athyrium Credit Agreement (e.g., with the proceeds of certain asset sales, certain ORLADEYO out-licensing or royalty financing transactions (excluding the Royalty Sales), extraordinary receipts, debt issuances, or upon a change of control of the Company and specified other events, subject to certain exceptions), all of the then-outstanding Athyrium Term Loans, in each case, subject to certain exceptions set forth in the Athyrium Credit Agreement.</w:t>
      </w:r>
    </w:p>
    <w:p>
      <w:pPr>
        <w:spacing w:after="0" w:line="151" w:lineRule="exact"/>
        <w:rPr>
          <w:sz w:val="20"/>
          <w:szCs w:val="20"/>
          <w:color w:val="auto"/>
        </w:rPr>
      </w:pPr>
    </w:p>
    <w:p>
      <w:pPr>
        <w:ind w:right="260" w:firstLine="486"/>
        <w:spacing w:after="0" w:line="269" w:lineRule="auto"/>
        <w:rPr>
          <w:sz w:val="20"/>
          <w:szCs w:val="20"/>
          <w:color w:val="auto"/>
        </w:rPr>
      </w:pPr>
      <w:r>
        <w:rPr>
          <w:rFonts w:ascii="Times New Roman" w:cs="Times New Roman" w:eastAsia="Times New Roman" w:hAnsi="Times New Roman"/>
          <w:sz w:val="17"/>
          <w:szCs w:val="17"/>
          <w:color w:val="auto"/>
        </w:rPr>
        <w:t>The Athyrium Credit Agreement provided for quarterly interest-only payments until the maturity date, with the unpaid principal amount of the outstanding Athyrium Term Loans due and payable on the maturity date. For each of the first eight full fiscal quarters following December 7, 2020, the Company had the option to make the applicable interest payment-in-kind (an “Athyrium PIK Interest Payment”) by capitalizing the entire amount of interest accrued during the applicable interest period with the unpaid original principal amount outstanding on the last day of such period. The Athyrium Term Loans accrued interest at a rate equal to the three-month LIBOR rate, which was no less than 1.75% and no more than 3.50% (“LIBOR”), plus</w:t>
      </w:r>
    </w:p>
    <w:p>
      <w:pPr>
        <w:spacing w:after="0" w:line="3"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8.25%, or for each interest period in which an Athyrium PIK Interest Payment was made, LIBOR plus 10.25%. The quarter ended December 31, 2022 was the last period eligible for the Athyrium PIK Interest Payment designation.</w:t>
      </w:r>
    </w:p>
    <w:p>
      <w:pPr>
        <w:spacing w:after="0" w:line="141"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The Athyrium Term Loans accrued interest at an effective interest rate of 11.88% for the three months ended March 31, 2023. Quarterly interest payments under the Athyrium Credit Agreement for the three months ended March 31, 2023 totaled $7,142. Deferred financing amortization of $898 was recognized for the three months ended March 31, 2023.</w:t>
      </w:r>
    </w:p>
    <w:p>
      <w:pPr>
        <w:spacing w:after="0" w:line="149" w:lineRule="exact"/>
        <w:rPr>
          <w:sz w:val="20"/>
          <w:szCs w:val="20"/>
          <w:color w:val="auto"/>
        </w:rPr>
      </w:pPr>
    </w:p>
    <w:p>
      <w:pPr>
        <w:ind w:right="260" w:firstLine="486"/>
        <w:spacing w:after="0" w:line="266" w:lineRule="auto"/>
        <w:rPr>
          <w:sz w:val="20"/>
          <w:szCs w:val="20"/>
          <w:color w:val="auto"/>
        </w:rPr>
      </w:pPr>
      <w:r>
        <w:rPr>
          <w:rFonts w:ascii="Times New Roman" w:cs="Times New Roman" w:eastAsia="Times New Roman" w:hAnsi="Times New Roman"/>
          <w:sz w:val="18"/>
          <w:szCs w:val="18"/>
          <w:color w:val="auto"/>
        </w:rPr>
        <w:t>On April 17, 2023, the outstanding principal of the Athyrium Term Loans, including the Athyrium PIK Interest Payments of $240,452 along with interest accrued of $1,335 for the first 17 days of the quarterly interest period ended June 30, 2023, was repaid with the funding received through the Pharmakon Loan Agreement.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Lease Obligations</w:t>
      </w:r>
    </w:p>
    <w:p>
      <w:pPr>
        <w:spacing w:after="0" w:line="189" w:lineRule="exact"/>
        <w:rPr>
          <w:sz w:val="20"/>
          <w:szCs w:val="20"/>
          <w:color w:val="auto"/>
        </w:rPr>
      </w:pPr>
    </w:p>
    <w:p>
      <w:pPr>
        <w:ind w:right="320" w:firstLine="486"/>
        <w:spacing w:after="0" w:line="282" w:lineRule="auto"/>
        <w:rPr>
          <w:sz w:val="20"/>
          <w:szCs w:val="20"/>
          <w:color w:val="auto"/>
        </w:rPr>
      </w:pPr>
      <w:r>
        <w:rPr>
          <w:rFonts w:ascii="Times New Roman" w:cs="Times New Roman" w:eastAsia="Times New Roman" w:hAnsi="Times New Roman"/>
          <w:sz w:val="18"/>
          <w:szCs w:val="18"/>
          <w:color w:val="auto"/>
        </w:rPr>
        <w:t>The Company leases certain assets under operating and finance leases, which consist of real estate leases, laboratory equipment leases and office equipment leases as of March 31, 2024. Renewal options for the Company’s leases are three years in length and begin from 2025 through 2030.</w:t>
      </w:r>
    </w:p>
    <w:p>
      <w:pPr>
        <w:spacing w:after="0" w:line="1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Lease expense under operating and finance leases was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4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3060" w:type="dxa"/>
            <w:vAlign w:val="bottom"/>
            <w:tcBorders>
              <w:bottom w:val="single" w:sz="8" w:color="auto"/>
            </w:tcBorders>
            <w:gridSpan w:val="5"/>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4140" w:type="dxa"/>
            <w:vAlign w:val="bottom"/>
            <w:tcBorders>
              <w:bottom w:val="single" w:sz="8" w:color="CCEEFF"/>
            </w:tcBorders>
          </w:tcPr>
          <w:p>
            <w:pPr>
              <w:spacing w:after="0"/>
              <w:rPr>
                <w:sz w:val="19"/>
                <w:szCs w:val="19"/>
                <w:color w:val="auto"/>
              </w:rPr>
            </w:pPr>
          </w:p>
        </w:tc>
        <w:tc>
          <w:tcPr>
            <w:tcW w:w="404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36"/>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5060" w:type="dxa"/>
            <w:vAlign w:val="bottom"/>
            <w:gridSpan w:val="2"/>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r>
        <w:trPr>
          <w:trHeight w:val="250"/>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expense:</w:t>
            </w:r>
          </w:p>
        </w:tc>
        <w:tc>
          <w:tcPr>
            <w:tcW w:w="40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5060" w:type="dxa"/>
            <w:vAlign w:val="bottom"/>
            <w:gridSpan w:val="2"/>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57"/>
        </w:trPr>
        <w:tc>
          <w:tcPr>
            <w:tcW w:w="41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404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48"/>
        </w:trPr>
        <w:tc>
          <w:tcPr>
            <w:tcW w:w="41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finance lease expense</w:t>
            </w:r>
          </w:p>
        </w:tc>
        <w:tc>
          <w:tcPr>
            <w:tcW w:w="40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4040" w:type="dxa"/>
            <w:vAlign w:val="bottom"/>
            <w:tcBorders>
              <w:top w:val="single" w:sz="8" w:color="CCEEFF"/>
              <w:bottom w:val="single" w:sz="8" w:color="CCEEFF"/>
            </w:tcBorders>
            <w:vMerge w:val="restart"/>
          </w:tcPr>
          <w:p>
            <w:pPr>
              <w:jc w:val="right"/>
              <w:ind w:right="2370"/>
              <w:spacing w:after="0"/>
              <w:rPr>
                <w:sz w:val="20"/>
                <w:szCs w:val="20"/>
                <w:color w:val="auto"/>
              </w:rPr>
            </w:pPr>
            <w:r>
              <w:rPr>
                <w:rFonts w:ascii="Times New Roman" w:cs="Times New Roman" w:eastAsia="Times New Roman" w:hAnsi="Times New Roman"/>
                <w:sz w:val="18"/>
                <w:szCs w:val="18"/>
                <w:color w:val="auto"/>
              </w:rPr>
              <w:t>21</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4140" w:type="dxa"/>
            <w:vAlign w:val="bottom"/>
          </w:tcPr>
          <w:p>
            <w:pPr>
              <w:spacing w:after="0"/>
              <w:rPr>
                <w:sz w:val="24"/>
                <w:szCs w:val="24"/>
                <w:color w:val="auto"/>
              </w:rPr>
            </w:pPr>
          </w:p>
        </w:tc>
        <w:tc>
          <w:tcPr>
            <w:tcW w:w="404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40" w:type="dxa"/>
            <w:vAlign w:val="bottom"/>
            <w:tcBorders>
              <w:bottom w:val="single" w:sz="8" w:color="9A9A9A"/>
            </w:tcBorders>
          </w:tcPr>
          <w:p>
            <w:pPr>
              <w:spacing w:after="0"/>
              <w:rPr>
                <w:sz w:val="10"/>
                <w:szCs w:val="10"/>
                <w:color w:val="auto"/>
              </w:rPr>
            </w:pPr>
          </w:p>
        </w:tc>
        <w:tc>
          <w:tcPr>
            <w:tcW w:w="40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supplemental information related to leases was as follows:</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56"/>
        </w:trPr>
        <w:tc>
          <w:tcPr>
            <w:tcW w:w="7920" w:type="dxa"/>
            <w:vAlign w:val="bottom"/>
          </w:tcPr>
          <w:p>
            <w:pPr>
              <w:spacing w:after="0"/>
              <w:rPr>
                <w:sz w:val="22"/>
                <w:szCs w:val="22"/>
                <w:color w:val="auto"/>
              </w:rPr>
            </w:pPr>
          </w:p>
        </w:tc>
        <w:tc>
          <w:tcPr>
            <w:tcW w:w="17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10"/>
        </w:trPr>
        <w:tc>
          <w:tcPr>
            <w:tcW w:w="7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1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r>
      <w:tr>
        <w:trPr>
          <w:trHeight w:val="229"/>
        </w:trPr>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leases</w:t>
            </w:r>
          </w:p>
        </w:tc>
        <w:tc>
          <w:tcPr>
            <w:tcW w:w="17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9.4 years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 years</w:t>
            </w:r>
          </w:p>
        </w:tc>
      </w:tr>
      <w:tr>
        <w:trPr>
          <w:trHeight w:val="230"/>
        </w:trPr>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Finance leases</w:t>
            </w:r>
          </w:p>
        </w:tc>
        <w:tc>
          <w:tcPr>
            <w:tcW w:w="17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2.8 years</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years</w:t>
            </w: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29"/>
        </w:trPr>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leases</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10.89 %</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10.88 %</w:t>
            </w:r>
          </w:p>
        </w:tc>
      </w:tr>
      <w:tr>
        <w:trPr>
          <w:trHeight w:val="234"/>
        </w:trPr>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Finance leases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7.59 %</w:t>
            </w:r>
          </w:p>
        </w:tc>
        <w:tc>
          <w:tcPr>
            <w:tcW w:w="1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7.46 %</w:t>
            </w:r>
          </w:p>
        </w:tc>
      </w:tr>
    </w:tbl>
    <w:p>
      <w:pPr>
        <w:spacing w:after="0" w:line="24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presentation in the Condensed Consolidated Balance Sheets of the Company’s operating leases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40" w:type="dxa"/>
            <w:vAlign w:val="bottom"/>
          </w:tcPr>
          <w:p>
            <w:pPr>
              <w:spacing w:after="0"/>
              <w:rPr>
                <w:sz w:val="17"/>
                <w:szCs w:val="17"/>
                <w:color w:val="auto"/>
              </w:rPr>
            </w:pPr>
          </w:p>
        </w:tc>
        <w:tc>
          <w:tcPr>
            <w:tcW w:w="50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120" w:type="dxa"/>
            <w:vAlign w:val="bottom"/>
          </w:tcPr>
          <w:p>
            <w:pPr>
              <w:spacing w:after="0"/>
              <w:rPr>
                <w:sz w:val="17"/>
                <w:szCs w:val="17"/>
                <w:color w:val="auto"/>
              </w:rPr>
            </w:pPr>
          </w:p>
        </w:tc>
        <w:tc>
          <w:tcPr>
            <w:tcW w:w="1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60" w:type="dxa"/>
            <w:vAlign w:val="bottom"/>
          </w:tcPr>
          <w:p>
            <w:pPr>
              <w:spacing w:after="0"/>
              <w:rPr>
                <w:sz w:val="17"/>
                <w:szCs w:val="17"/>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3140" w:type="dxa"/>
            <w:vAlign w:val="bottom"/>
          </w:tcPr>
          <w:p>
            <w:pPr>
              <w:spacing w:after="0"/>
              <w:rPr>
                <w:sz w:val="20"/>
                <w:szCs w:val="20"/>
                <w:color w:val="auto"/>
              </w:rPr>
            </w:pPr>
          </w:p>
        </w:tc>
        <w:tc>
          <w:tcPr>
            <w:tcW w:w="504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3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49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 assets, net</w:t>
            </w:r>
          </w:p>
        </w:tc>
        <w:tc>
          <w:tcPr>
            <w:tcW w:w="5040" w:type="dxa"/>
            <w:vAlign w:val="bottom"/>
            <w:gridSpan w:val="2"/>
          </w:tcPr>
          <w:p>
            <w:pPr>
              <w:ind w:left="200"/>
              <w:spacing w:after="0"/>
              <w:rPr>
                <w:sz w:val="20"/>
                <w:szCs w:val="20"/>
                <w:color w:val="auto"/>
              </w:rPr>
            </w:pPr>
            <w:r>
              <w:rPr>
                <w:rFonts w:ascii="Times New Roman" w:cs="Times New Roman" w:eastAsia="Times New Roman" w:hAnsi="Times New Roman"/>
                <w:sz w:val="18"/>
                <w:szCs w:val="18"/>
                <w:i w:val="1"/>
                <w:iCs w:val="1"/>
                <w:color w:val="auto"/>
              </w:rPr>
              <w:t>Other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8,682</w:t>
            </w:r>
          </w:p>
        </w:tc>
        <w:tc>
          <w:tcPr>
            <w:tcW w:w="0" w:type="dxa"/>
            <w:vAlign w:val="bottom"/>
          </w:tcPr>
          <w:p>
            <w:pPr>
              <w:spacing w:after="0"/>
              <w:rPr>
                <w:sz w:val="1"/>
                <w:szCs w:val="1"/>
                <w:color w:val="auto"/>
              </w:rPr>
            </w:pPr>
          </w:p>
        </w:tc>
      </w:tr>
      <w:tr>
        <w:trPr>
          <w:trHeight w:val="236"/>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5040" w:type="dxa"/>
            <w:vAlign w:val="bottom"/>
            <w:gridSpan w:val="2"/>
          </w:tcPr>
          <w:p>
            <w:pPr>
              <w:ind w:left="200"/>
              <w:spacing w:after="0"/>
              <w:rPr>
                <w:sz w:val="20"/>
                <w:szCs w:val="20"/>
                <w:color w:val="auto"/>
              </w:rPr>
            </w:pPr>
            <w:r>
              <w:rPr>
                <w:rFonts w:ascii="Times New Roman" w:cs="Times New Roman" w:eastAsia="Times New Roman" w:hAnsi="Times New Roman"/>
                <w:sz w:val="18"/>
                <w:szCs w:val="18"/>
                <w:i w:val="1"/>
                <w:iCs w:val="1"/>
                <w:color w:val="auto"/>
              </w:rPr>
              <w:t>Operating lease liabilities – current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0" w:type="dxa"/>
            <w:vAlign w:val="bottom"/>
          </w:tcPr>
          <w:p>
            <w:pPr>
              <w:spacing w:after="0"/>
              <w:rPr>
                <w:sz w:val="1"/>
                <w:szCs w:val="1"/>
                <w:color w:val="auto"/>
              </w:rPr>
            </w:pPr>
          </w:p>
        </w:tc>
      </w:tr>
      <w:tr>
        <w:trPr>
          <w:trHeight w:val="263"/>
        </w:trPr>
        <w:tc>
          <w:tcPr>
            <w:tcW w:w="3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50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i w:val="1"/>
                <w:iCs w:val="1"/>
                <w:color w:val="auto"/>
              </w:rPr>
              <w:t>Operating lease liabilities – long-term liabilities</w:t>
            </w:r>
          </w:p>
        </w:tc>
        <w:tc>
          <w:tcPr>
            <w:tcW w:w="1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8,596</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8,390</w:t>
            </w:r>
          </w:p>
        </w:tc>
        <w:tc>
          <w:tcPr>
            <w:tcW w:w="0" w:type="dxa"/>
            <w:vAlign w:val="bottom"/>
          </w:tcPr>
          <w:p>
            <w:pPr>
              <w:spacing w:after="0"/>
              <w:rPr>
                <w:sz w:val="1"/>
                <w:szCs w:val="1"/>
                <w:color w:val="auto"/>
              </w:rPr>
            </w:pPr>
          </w:p>
        </w:tc>
      </w:tr>
      <w:tr>
        <w:trPr>
          <w:trHeight w:val="243"/>
        </w:trPr>
        <w:tc>
          <w:tcPr>
            <w:tcW w:w="3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4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9,694</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9,448</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presentation in the Condensed Consolidated Balance Sheets of the Company’s finance leases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80" w:type="dxa"/>
            <w:vAlign w:val="bottom"/>
          </w:tcPr>
          <w:p>
            <w:pPr>
              <w:spacing w:after="0"/>
              <w:rPr>
                <w:sz w:val="17"/>
                <w:szCs w:val="17"/>
                <w:color w:val="auto"/>
              </w:rPr>
            </w:pPr>
          </w:p>
        </w:tc>
        <w:tc>
          <w:tcPr>
            <w:tcW w:w="51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120" w:type="dxa"/>
            <w:vAlign w:val="bottom"/>
          </w:tcPr>
          <w:p>
            <w:pPr>
              <w:spacing w:after="0"/>
              <w:rPr>
                <w:sz w:val="17"/>
                <w:szCs w:val="17"/>
                <w:color w:val="auto"/>
              </w:rPr>
            </w:pPr>
          </w:p>
        </w:tc>
        <w:tc>
          <w:tcPr>
            <w:tcW w:w="1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60" w:type="dxa"/>
            <w:vAlign w:val="bottom"/>
          </w:tcPr>
          <w:p>
            <w:pPr>
              <w:spacing w:after="0"/>
              <w:rPr>
                <w:sz w:val="17"/>
                <w:szCs w:val="17"/>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3080" w:type="dxa"/>
            <w:vAlign w:val="bottom"/>
          </w:tcPr>
          <w:p>
            <w:pPr>
              <w:spacing w:after="0"/>
              <w:rPr>
                <w:sz w:val="20"/>
                <w:szCs w:val="20"/>
                <w:color w:val="auto"/>
              </w:rPr>
            </w:pPr>
          </w:p>
        </w:tc>
        <w:tc>
          <w:tcPr>
            <w:tcW w:w="51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3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assets:</w:t>
            </w:r>
          </w:p>
        </w:tc>
        <w:tc>
          <w:tcPr>
            <w:tcW w:w="50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Finance lease assets, net</w:t>
            </w:r>
          </w:p>
        </w:tc>
        <w:tc>
          <w:tcPr>
            <w:tcW w:w="5100" w:type="dxa"/>
            <w:vAlign w:val="bottom"/>
            <w:gridSpan w:val="2"/>
          </w:tcPr>
          <w:p>
            <w:pPr>
              <w:ind w:left="260"/>
              <w:spacing w:after="0"/>
              <w:rPr>
                <w:sz w:val="20"/>
                <w:szCs w:val="20"/>
                <w:color w:val="auto"/>
              </w:rPr>
            </w:pPr>
            <w:r>
              <w:rPr>
                <w:rFonts w:ascii="Times New Roman" w:cs="Times New Roman" w:eastAsia="Times New Roman" w:hAnsi="Times New Roman"/>
                <w:sz w:val="18"/>
                <w:szCs w:val="18"/>
                <w:i w:val="1"/>
                <w:iCs w:val="1"/>
                <w:color w:val="auto"/>
              </w:rPr>
              <w:t>Other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4,322</w:t>
            </w:r>
          </w:p>
        </w:tc>
        <w:tc>
          <w:tcPr>
            <w:tcW w:w="0" w:type="dxa"/>
            <w:vAlign w:val="bottom"/>
          </w:tcPr>
          <w:p>
            <w:pPr>
              <w:spacing w:after="0"/>
              <w:rPr>
                <w:sz w:val="1"/>
                <w:szCs w:val="1"/>
                <w:color w:val="auto"/>
              </w:rPr>
            </w:pPr>
          </w:p>
        </w:tc>
      </w:tr>
      <w:tr>
        <w:trPr>
          <w:trHeight w:val="236"/>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5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Current finance lease liabilities</w:t>
            </w:r>
          </w:p>
        </w:tc>
        <w:tc>
          <w:tcPr>
            <w:tcW w:w="5100" w:type="dxa"/>
            <w:vAlign w:val="bottom"/>
            <w:gridSpan w:val="2"/>
          </w:tcPr>
          <w:p>
            <w:pPr>
              <w:ind w:left="260"/>
              <w:spacing w:after="0"/>
              <w:rPr>
                <w:sz w:val="20"/>
                <w:szCs w:val="20"/>
                <w:color w:val="auto"/>
              </w:rPr>
            </w:pPr>
            <w:r>
              <w:rPr>
                <w:rFonts w:ascii="Times New Roman" w:cs="Times New Roman" w:eastAsia="Times New Roman" w:hAnsi="Times New Roman"/>
                <w:sz w:val="18"/>
                <w:szCs w:val="18"/>
                <w:i w:val="1"/>
                <w:iCs w:val="1"/>
                <w:color w:val="auto"/>
              </w:rPr>
              <w:t>Finance lease liabilities – current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0" w:type="dxa"/>
            <w:vAlign w:val="bottom"/>
          </w:tcPr>
          <w:p>
            <w:pPr>
              <w:spacing w:after="0"/>
              <w:rPr>
                <w:sz w:val="1"/>
                <w:szCs w:val="1"/>
                <w:color w:val="auto"/>
              </w:rPr>
            </w:pPr>
          </w:p>
        </w:tc>
      </w:tr>
      <w:tr>
        <w:trPr>
          <w:trHeight w:val="263"/>
        </w:trPr>
        <w:tc>
          <w:tcPr>
            <w:tcW w:w="3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Non-current finance lease liabilities</w:t>
            </w:r>
          </w:p>
        </w:tc>
        <w:tc>
          <w:tcPr>
            <w:tcW w:w="51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i w:val="1"/>
                <w:iCs w:val="1"/>
                <w:color w:val="auto"/>
              </w:rPr>
              <w:t>Finance lease liabilities – long-term liabilities</w:t>
            </w:r>
          </w:p>
        </w:tc>
        <w:tc>
          <w:tcPr>
            <w:tcW w:w="1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w:t>
            </w:r>
          </w:p>
        </w:tc>
        <w:tc>
          <w:tcPr>
            <w:tcW w:w="0" w:type="dxa"/>
            <w:vAlign w:val="bottom"/>
          </w:tcPr>
          <w:p>
            <w:pPr>
              <w:spacing w:after="0"/>
              <w:rPr>
                <w:sz w:val="1"/>
                <w:szCs w:val="1"/>
                <w:color w:val="auto"/>
              </w:rPr>
            </w:pPr>
          </w:p>
        </w:tc>
      </w:tr>
      <w:tr>
        <w:trPr>
          <w:trHeight w:val="243"/>
        </w:trPr>
        <w:tc>
          <w:tcPr>
            <w:tcW w:w="3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5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4,148</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4,435</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580" w:firstLine="486"/>
        <w:spacing w:after="0" w:line="266" w:lineRule="auto"/>
        <w:rPr>
          <w:sz w:val="20"/>
          <w:szCs w:val="20"/>
          <w:color w:val="auto"/>
        </w:rPr>
      </w:pPr>
      <w:r>
        <w:rPr>
          <w:rFonts w:ascii="Times New Roman" w:cs="Times New Roman" w:eastAsia="Times New Roman" w:hAnsi="Times New Roman"/>
          <w:sz w:val="18"/>
          <w:szCs w:val="18"/>
          <w:color w:val="auto"/>
        </w:rPr>
        <w:t>Operating lease assets are recorded net of accumulated amortization of $5,120 and $4,794 as of March 31, 2024 and December 31, 2023, respectively. Finance lease assets are recorded net of accumulated amortization of $2,700 and $2,293 as of March 31, 2024 and December 31, 2023, respectively.</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Maturities of lease liabilities as of March 31, 2024 are as follows (in thousands):</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8180" w:type="dxa"/>
            <w:vAlign w:val="bottom"/>
          </w:tcPr>
          <w:p>
            <w:pPr>
              <w:spacing w:after="0"/>
              <w:rPr>
                <w:sz w:val="18"/>
                <w:szCs w:val="18"/>
                <w:color w:val="auto"/>
              </w:rPr>
            </w:pPr>
          </w:p>
        </w:tc>
        <w:tc>
          <w:tcPr>
            <w:tcW w:w="158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260" w:type="dxa"/>
            <w:vAlign w:val="bottom"/>
          </w:tcPr>
          <w:p>
            <w:pPr>
              <w:spacing w:after="0"/>
              <w:rPr>
                <w:sz w:val="18"/>
                <w:szCs w:val="18"/>
                <w:color w:val="auto"/>
              </w:rPr>
            </w:pPr>
          </w:p>
        </w:tc>
        <w:tc>
          <w:tcPr>
            <w:tcW w:w="12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Finance</w:t>
            </w:r>
          </w:p>
        </w:tc>
        <w:tc>
          <w:tcPr>
            <w:tcW w:w="0" w:type="dxa"/>
            <w:vAlign w:val="bottom"/>
          </w:tcPr>
          <w:p>
            <w:pPr>
              <w:spacing w:after="0"/>
              <w:rPr>
                <w:sz w:val="1"/>
                <w:szCs w:val="1"/>
                <w:color w:val="auto"/>
              </w:rPr>
            </w:pPr>
          </w:p>
        </w:tc>
      </w:tr>
      <w:tr>
        <w:trPr>
          <w:trHeight w:val="238"/>
        </w:trPr>
        <w:tc>
          <w:tcPr>
            <w:tcW w:w="8180" w:type="dxa"/>
            <w:vAlign w:val="bottom"/>
          </w:tcPr>
          <w:p>
            <w:pPr>
              <w:spacing w:after="0"/>
              <w:rPr>
                <w:sz w:val="20"/>
                <w:szCs w:val="20"/>
                <w:color w:val="auto"/>
              </w:rPr>
            </w:pPr>
          </w:p>
        </w:tc>
        <w:tc>
          <w:tcPr>
            <w:tcW w:w="1580" w:type="dxa"/>
            <w:vAlign w:val="bottom"/>
            <w:gridSpan w:val="3"/>
            <w:vMerge w:val="continue"/>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0" w:type="dxa"/>
            <w:vAlign w:val="bottom"/>
          </w:tcPr>
          <w:p>
            <w:pPr>
              <w:spacing w:after="0"/>
              <w:rPr>
                <w:sz w:val="1"/>
                <w:szCs w:val="1"/>
                <w:color w:val="auto"/>
              </w:rPr>
            </w:pPr>
          </w:p>
        </w:tc>
      </w:tr>
      <w:tr>
        <w:trPr>
          <w:trHeight w:val="250"/>
        </w:trPr>
        <w:tc>
          <w:tcPr>
            <w:tcW w:w="8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(remaining)</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7,997</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4,607</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(6,403)</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0" w:type="dxa"/>
            <w:vAlign w:val="bottom"/>
          </w:tcPr>
          <w:p>
            <w:pPr>
              <w:spacing w:after="0"/>
              <w:rPr>
                <w:sz w:val="1"/>
                <w:szCs w:val="1"/>
                <w:color w:val="auto"/>
              </w:rPr>
            </w:pPr>
          </w:p>
        </w:tc>
      </w:tr>
      <w:tr>
        <w:trPr>
          <w:trHeight w:val="28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9,694</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4,148</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500"/>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 (in thousands):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81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81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81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0" w:type="dxa"/>
            <w:vAlign w:val="bottom"/>
          </w:tcPr>
          <w:p>
            <w:pPr>
              <w:spacing w:after="0"/>
              <w:rPr>
                <w:sz w:val="1"/>
                <w:szCs w:val="1"/>
                <w:color w:val="auto"/>
              </w:rPr>
            </w:pPr>
          </w:p>
        </w:tc>
      </w:tr>
      <w:tr>
        <w:trPr>
          <w:trHeight w:val="20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cash flows for finance leases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flows for operating leases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cash flows for finance leases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81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assets obtained in exchange for operating lease liabilities: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assets obtained in exchange for finance lease liabilities: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0" w:type="dxa"/>
            <w:vAlign w:val="bottom"/>
          </w:tcPr>
          <w:p>
            <w:pPr>
              <w:spacing w:after="0"/>
              <w:rPr>
                <w:sz w:val="1"/>
                <w:szCs w:val="1"/>
                <w:color w:val="auto"/>
              </w:rPr>
            </w:pPr>
          </w:p>
        </w:tc>
      </w:tr>
      <w:tr>
        <w:trPr>
          <w:trHeight w:val="23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increase to operating lease assets due to remeasurement of operating lease liabilities: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Common Stock</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On October 23, 2023, certain entities affiliated with Baker Bros. Advisors LP (the “Baker Entities”) net exercised the remaining balance of the pre-</w:t>
      </w:r>
    </w:p>
    <w:p>
      <w:pPr>
        <w:spacing w:after="0" w:line="5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funded warrants held by such Baker Entities that were issued on November 21, 2019. Additionally, certain of the Baker Entities net exercised all of the pre-funded warrants that were issued on June 1, 2020. The exercises resulted in the issuance of 14,997 common shares. Following the exercises, there are no outstanding warrants.</w:t>
      </w:r>
    </w:p>
    <w:p>
      <w:pPr>
        <w:sectPr>
          <w:pgSz w:w="11900" w:h="16838" w:orient="portrait"/>
          <w:cols w:equalWidth="0" w:num="1">
            <w:col w:w="11240"/>
          </w:cols>
          <w:pgMar w:left="320" w:top="121" w:right="339" w:bottom="1440" w:gutter="0" w:footer="0" w:header="0"/>
        </w:sectPr>
      </w:pP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Reserved for Future Issuance of Common Stock</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The Company had reserved shares of common stock for issuance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1803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Shares reserved for exercises of outstanding stock options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Shares reserved for vesting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Shares reserved for future issuance under the Stock Incentive Plan</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Shares reserved for future issuance under the Inducement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Shares reserved for future issuance under the Employee Stock Purchase Plan</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shares reserved for future issuance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5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1580" w:type="dxa"/>
            <w:vAlign w:val="bottom"/>
            <w:gridSpan w:val="2"/>
            <w:vMerge w:val="continue"/>
          </w:tcPr>
          <w:p>
            <w:pPr>
              <w:spacing w:after="0"/>
              <w:rPr>
                <w:sz w:val="20"/>
                <w:szCs w:val="20"/>
                <w:color w:val="auto"/>
              </w:rPr>
            </w:pPr>
          </w:p>
        </w:tc>
        <w:tc>
          <w:tcPr>
            <w:tcW w:w="14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37"/>
        </w:trPr>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39,580</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41,032</w:t>
            </w:r>
          </w:p>
        </w:tc>
        <w:tc>
          <w:tcPr>
            <w:tcW w:w="0" w:type="dxa"/>
            <w:vAlign w:val="bottom"/>
          </w:tcPr>
          <w:p>
            <w:pPr>
              <w:spacing w:after="0"/>
              <w:rPr>
                <w:sz w:val="1"/>
                <w:szCs w:val="1"/>
                <w:color w:val="auto"/>
              </w:rPr>
            </w:pPr>
          </w:p>
        </w:tc>
      </w:tr>
      <w:tr>
        <w:trPr>
          <w:trHeight w:val="270"/>
        </w:trPr>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6,124</w:t>
            </w:r>
          </w:p>
        </w:tc>
        <w:tc>
          <w:tcPr>
            <w:tcW w:w="1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6,507</w:t>
            </w:r>
          </w:p>
        </w:tc>
        <w:tc>
          <w:tcPr>
            <w:tcW w:w="0" w:type="dxa"/>
            <w:vAlign w:val="bottom"/>
          </w:tcPr>
          <w:p>
            <w:pPr>
              <w:spacing w:after="0"/>
              <w:rPr>
                <w:sz w:val="1"/>
                <w:szCs w:val="1"/>
                <w:color w:val="auto"/>
              </w:rPr>
            </w:pPr>
          </w:p>
        </w:tc>
      </w:tr>
      <w:tr>
        <w:trPr>
          <w:trHeight w:val="270"/>
        </w:trPr>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4,628</w:t>
            </w:r>
          </w:p>
        </w:tc>
        <w:tc>
          <w:tcPr>
            <w:tcW w:w="1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3,376</w:t>
            </w:r>
          </w:p>
        </w:tc>
        <w:tc>
          <w:tcPr>
            <w:tcW w:w="0" w:type="dxa"/>
            <w:vAlign w:val="bottom"/>
          </w:tcPr>
          <w:p>
            <w:pPr>
              <w:spacing w:after="0"/>
              <w:rPr>
                <w:sz w:val="1"/>
                <w:szCs w:val="1"/>
                <w:color w:val="auto"/>
              </w:rPr>
            </w:pPr>
          </w:p>
        </w:tc>
      </w:tr>
      <w:tr>
        <w:trPr>
          <w:trHeight w:val="270"/>
        </w:trPr>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1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0" w:type="dxa"/>
            <w:vAlign w:val="bottom"/>
          </w:tcPr>
          <w:p>
            <w:pPr>
              <w:spacing w:after="0"/>
              <w:rPr>
                <w:sz w:val="1"/>
                <w:szCs w:val="1"/>
                <w:color w:val="auto"/>
              </w:rPr>
            </w:pPr>
          </w:p>
        </w:tc>
      </w:tr>
      <w:tr>
        <w:trPr>
          <w:trHeight w:val="270"/>
        </w:trPr>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5,203</w:t>
            </w:r>
          </w:p>
        </w:tc>
        <w:tc>
          <w:tcPr>
            <w:tcW w:w="1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5,454</w:t>
            </w: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57,438</w:t>
            </w:r>
          </w:p>
        </w:tc>
        <w:tc>
          <w:tcPr>
            <w:tcW w:w="10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58,020</w:t>
            </w:r>
          </w:p>
        </w:tc>
        <w:tc>
          <w:tcPr>
            <w:tcW w:w="0" w:type="dxa"/>
            <w:vAlign w:val="bottom"/>
          </w:tcPr>
          <w:p>
            <w:pPr>
              <w:spacing w:after="0"/>
              <w:rPr>
                <w:sz w:val="1"/>
                <w:szCs w:val="1"/>
                <w:color w:val="auto"/>
              </w:rPr>
            </w:pPr>
          </w:p>
        </w:tc>
      </w:tr>
      <w:tr>
        <w:trPr>
          <w:trHeight w:val="21"/>
        </w:trPr>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7460" w:space="720"/>
            <w:col w:w="3060"/>
          </w:cols>
          <w:pgMar w:left="320" w:top="121" w:right="339" w:bottom="1440" w:gutter="0" w:footer="0" w:header="0"/>
          <w:type w:val="continuous"/>
        </w:sect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Stock-Based Compensation</w:t>
      </w:r>
    </w:p>
    <w:p>
      <w:pPr>
        <w:spacing w:after="0" w:line="202"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As of March 31, 2024, the Company had three stock-based employee compensation plans: the Amended and Restated Stock Incentive Plan (“Incentive Plan”), the Amended and Restated Inducement Equity Incentive Plan (“Inducement Plan”) and the Amended and Restated Employee Stock Purchase Plan (“ESPP”). The Incentive Plan was most recently amended and restated on April 22, 2024, subject to stockholder approval at the Company’s annual meeting of stockholders to be held on June 12, 2024. The Inducement Plan was most recently amended and restated by the Company’s Board of Directors on October 26, 2023. The ESPP was most recently amended and restated by the Company’s Board of Directors on July 7, 2023.</w:t>
      </w:r>
    </w:p>
    <w:p>
      <w:pPr>
        <w:sectPr>
          <w:pgSz w:w="11900" w:h="16838" w:orient="portrait"/>
          <w:cols w:equalWidth="0" w:num="1">
            <w:col w:w="11240"/>
          </w:cols>
          <w:pgMar w:left="320" w:top="121" w:right="339" w:bottom="1440" w:gutter="0" w:footer="0" w:header="0"/>
        </w:sectPr>
      </w:pPr>
    </w:p>
    <w:p>
      <w:pPr>
        <w:spacing w:after="0" w:line="1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recorded the following stock-based compensation expense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97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Incentive Plan</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Inducement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ESPP</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Incentive Plan</w:t>
      </w:r>
    </w:p>
    <w:p>
      <w:pPr>
        <w:spacing w:after="0" w:line="20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stock option activity under the Incentive Plan:</w:t>
      </w:r>
    </w:p>
    <w:p>
      <w:pPr>
        <w:spacing w:after="0" w:line="37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000" w:type="dxa"/>
            <w:vAlign w:val="bottom"/>
          </w:tcPr>
          <w:p>
            <w:pPr>
              <w:spacing w:after="0"/>
              <w:rPr>
                <w:sz w:val="17"/>
                <w:szCs w:val="17"/>
                <w:color w:val="auto"/>
              </w:rPr>
            </w:pPr>
          </w:p>
        </w:tc>
        <w:tc>
          <w:tcPr>
            <w:tcW w:w="15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0" w:type="dxa"/>
            <w:vAlign w:val="bottom"/>
          </w:tcPr>
          <w:p>
            <w:pPr>
              <w:spacing w:after="0"/>
              <w:rPr>
                <w:sz w:val="1"/>
                <w:szCs w:val="1"/>
                <w:color w:val="auto"/>
              </w:rPr>
            </w:pPr>
          </w:p>
        </w:tc>
      </w:tr>
      <w:tr>
        <w:trPr>
          <w:trHeight w:val="175"/>
        </w:trPr>
        <w:tc>
          <w:tcPr>
            <w:tcW w:w="500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148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Exercise Price per</w:t>
            </w:r>
          </w:p>
        </w:tc>
        <w:tc>
          <w:tcPr>
            <w:tcW w:w="0" w:type="dxa"/>
            <w:vAlign w:val="bottom"/>
          </w:tcPr>
          <w:p>
            <w:pPr>
              <w:spacing w:after="0"/>
              <w:rPr>
                <w:sz w:val="1"/>
                <w:szCs w:val="1"/>
                <w:color w:val="auto"/>
              </w:rPr>
            </w:pPr>
          </w:p>
        </w:tc>
      </w:tr>
      <w:tr>
        <w:trPr>
          <w:trHeight w:val="243"/>
        </w:trPr>
        <w:tc>
          <w:tcPr>
            <w:tcW w:w="5000" w:type="dxa"/>
            <w:vAlign w:val="bottom"/>
          </w:tcPr>
          <w:p>
            <w:pPr>
              <w:spacing w:after="0"/>
              <w:rPr>
                <w:sz w:val="21"/>
                <w:szCs w:val="21"/>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300" w:type="dxa"/>
            <w:vAlign w:val="bottom"/>
          </w:tcPr>
          <w:p>
            <w:pPr>
              <w:spacing w:after="0"/>
              <w:rPr>
                <w:sz w:val="21"/>
                <w:szCs w:val="21"/>
                <w:color w:val="auto"/>
              </w:rPr>
            </w:pPr>
          </w:p>
        </w:tc>
        <w:tc>
          <w:tcPr>
            <w:tcW w:w="118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0" w:type="dxa"/>
            <w:vAlign w:val="bottom"/>
          </w:tcPr>
          <w:p>
            <w:pPr>
              <w:spacing w:after="0"/>
              <w:rPr>
                <w:sz w:val="1"/>
                <w:szCs w:val="1"/>
                <w:color w:val="auto"/>
              </w:rPr>
            </w:pPr>
          </w:p>
        </w:tc>
      </w:tr>
      <w:tr>
        <w:trPr>
          <w:trHeight w:val="218"/>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35,505</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0" w:type="dxa"/>
            <w:vAlign w:val="bottom"/>
          </w:tcPr>
          <w:p>
            <w:pPr>
              <w:spacing w:after="0"/>
              <w:rPr>
                <w:sz w:val="1"/>
                <w:szCs w:val="1"/>
                <w:color w:val="auto"/>
              </w:rPr>
            </w:pPr>
          </w:p>
        </w:tc>
      </w:tr>
      <w:tr>
        <w:trPr>
          <w:trHeight w:val="234"/>
        </w:trPr>
        <w:tc>
          <w:tcPr>
            <w:tcW w:w="5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2"/>
        </w:trPr>
        <w:tc>
          <w:tcPr>
            <w:tcW w:w="5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Exercised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0" w:type="dxa"/>
            <w:vAlign w:val="bottom"/>
          </w:tcPr>
          <w:p>
            <w:pPr>
              <w:spacing w:after="0"/>
              <w:rPr>
                <w:sz w:val="1"/>
                <w:szCs w:val="1"/>
                <w:color w:val="auto"/>
              </w:rPr>
            </w:pPr>
          </w:p>
        </w:tc>
      </w:tr>
      <w:tr>
        <w:trPr>
          <w:trHeight w:val="234"/>
        </w:trPr>
        <w:tc>
          <w:tcPr>
            <w:tcW w:w="5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Cancelled or Forfeited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0" w:type="dxa"/>
            <w:vAlign w:val="bottom"/>
          </w:tcPr>
          <w:p>
            <w:pPr>
              <w:spacing w:after="0"/>
              <w:rPr>
                <w:sz w:val="1"/>
                <w:szCs w:val="1"/>
                <w:color w:val="auto"/>
              </w:rPr>
            </w:pPr>
          </w:p>
        </w:tc>
      </w:tr>
      <w:tr>
        <w:trPr>
          <w:trHeight w:val="223"/>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March 31, 2024</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34,389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0" w:type="dxa"/>
            <w:vAlign w:val="bottom"/>
          </w:tcPr>
          <w:p>
            <w:pPr>
              <w:spacing w:after="0"/>
              <w:rPr>
                <w:sz w:val="1"/>
                <w:szCs w:val="1"/>
                <w:color w:val="auto"/>
              </w:rPr>
            </w:pPr>
          </w:p>
        </w:tc>
      </w:tr>
      <w:tr>
        <w:trPr>
          <w:trHeight w:val="21"/>
        </w:trPr>
        <w:tc>
          <w:tcPr>
            <w:tcW w:w="5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Exercisable at March 31, 2024</w:t>
            </w: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5000" w:type="dxa"/>
            <w:vAlign w:val="bottom"/>
            <w:vMerge w:val="continue"/>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20,922</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0" w:type="dxa"/>
            <w:vAlign w:val="bottom"/>
          </w:tcPr>
          <w:p>
            <w:pPr>
              <w:spacing w:after="0"/>
              <w:rPr>
                <w:sz w:val="1"/>
                <w:szCs w:val="1"/>
                <w:color w:val="auto"/>
              </w:rPr>
            </w:pPr>
          </w:p>
        </w:tc>
      </w:tr>
      <w:tr>
        <w:trPr>
          <w:trHeight w:val="252"/>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Vested and expected to vest at March 31, 2024</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31,784</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-1105535</wp:posOffset>
            </wp:positionV>
            <wp:extent cx="7132320"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-805180</wp:posOffset>
            </wp:positionV>
            <wp:extent cx="7132320" cy="1625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-496570</wp:posOffset>
            </wp:positionV>
            <wp:extent cx="71323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1625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3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restricted stock unit activity under the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154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Unvested at December 31, 2023</w:t>
      </w:r>
    </w:p>
    <w:p>
      <w:pPr>
        <w:spacing w:after="0" w:line="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Vested</w:t>
      </w:r>
    </w:p>
    <w:p>
      <w:pPr>
        <w:spacing w:after="0" w:line="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Unvested at March 31,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7"/>
        </w:trPr>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11,566</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11,061</w:t>
            </w:r>
          </w:p>
        </w:tc>
      </w:tr>
      <w:tr>
        <w:trPr>
          <w:trHeight w:val="270"/>
        </w:trPr>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2,475</w:t>
            </w:r>
          </w:p>
        </w:tc>
      </w:tr>
      <w:tr>
        <w:trPr>
          <w:trHeight w:val="270"/>
        </w:trPr>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r>
      <w:tr>
        <w:trPr>
          <w:trHeight w:val="27"/>
        </w:trPr>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14,007</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00" w:type="dxa"/>
            <w:vAlign w:val="bottom"/>
          </w:tcPr>
          <w:p>
            <w:pPr>
              <w:spacing w:after="0"/>
              <w:rPr>
                <w:sz w:val="17"/>
                <w:szCs w:val="17"/>
                <w:color w:val="auto"/>
              </w:rPr>
            </w:pPr>
          </w:p>
        </w:tc>
        <w:tc>
          <w:tcPr>
            <w:tcW w:w="138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176"/>
        </w:trPr>
        <w:tc>
          <w:tcPr>
            <w:tcW w:w="15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10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58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b w:val="1"/>
                <w:bCs w:val="1"/>
                <w:color w:val="auto"/>
                <w:w w:val="99"/>
              </w:rPr>
              <w:t>Contractual Term</w:t>
            </w:r>
          </w:p>
        </w:tc>
        <w:tc>
          <w:tcPr>
            <w:tcW w:w="100" w:type="dxa"/>
            <w:vAlign w:val="bottom"/>
          </w:tcPr>
          <w:p>
            <w:pPr>
              <w:spacing w:after="0"/>
              <w:rPr>
                <w:sz w:val="16"/>
                <w:szCs w:val="16"/>
                <w:color w:val="auto"/>
              </w:rPr>
            </w:pPr>
          </w:p>
        </w:tc>
        <w:tc>
          <w:tcPr>
            <w:tcW w:w="1380" w:type="dxa"/>
            <w:vAlign w:val="bottom"/>
          </w:tcPr>
          <w:p>
            <w:pPr>
              <w:jc w:val="center"/>
              <w:ind w:right="30"/>
              <w:spacing w:after="0" w:line="189" w:lineRule="exact"/>
              <w:rPr>
                <w:sz w:val="20"/>
                <w:szCs w:val="20"/>
                <w:color w:val="auto"/>
              </w:rPr>
            </w:pPr>
            <w:r>
              <w:rPr>
                <w:rFonts w:ascii="Times New Roman" w:cs="Times New Roman" w:eastAsia="Times New Roman" w:hAnsi="Times New Roman"/>
                <w:sz w:val="18"/>
                <w:szCs w:val="18"/>
                <w:b w:val="1"/>
                <w:bCs w:val="1"/>
                <w:color w:val="auto"/>
                <w:w w:val="98"/>
              </w:rPr>
              <w:t>Intrinsic Value</w:t>
            </w:r>
          </w:p>
        </w:tc>
        <w:tc>
          <w:tcPr>
            <w:tcW w:w="0" w:type="dxa"/>
            <w:vAlign w:val="bottom"/>
          </w:tcPr>
          <w:p>
            <w:pPr>
              <w:spacing w:after="0"/>
              <w:rPr>
                <w:sz w:val="1"/>
                <w:szCs w:val="1"/>
                <w:color w:val="auto"/>
              </w:rPr>
            </w:pPr>
          </w:p>
        </w:tc>
      </w:tr>
      <w:tr>
        <w:trPr>
          <w:trHeight w:val="229"/>
        </w:trPr>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100" w:type="dxa"/>
            <w:vAlign w:val="bottom"/>
          </w:tcPr>
          <w:p>
            <w:pPr>
              <w:spacing w:after="0"/>
              <w:rPr>
                <w:sz w:val="19"/>
                <w:szCs w:val="19"/>
                <w:color w:val="auto"/>
              </w:rPr>
            </w:pPr>
          </w:p>
        </w:tc>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0" w:type="dxa"/>
            <w:vAlign w:val="bottom"/>
          </w:tcPr>
          <w:p>
            <w:pPr>
              <w:spacing w:after="0"/>
              <w:rPr>
                <w:sz w:val="1"/>
                <w:szCs w:val="1"/>
                <w:color w:val="auto"/>
              </w:rPr>
            </w:pPr>
          </w:p>
        </w:tc>
      </w:tr>
      <w:tr>
        <w:trPr>
          <w:trHeight w:val="695"/>
        </w:trPr>
        <w:tc>
          <w:tcPr>
            <w:tcW w:w="14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513"/>
        </w:trPr>
        <w:tc>
          <w:tcPr>
            <w:tcW w:w="14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6,951</w:t>
            </w:r>
          </w:p>
        </w:tc>
        <w:tc>
          <w:tcPr>
            <w:tcW w:w="0" w:type="dxa"/>
            <w:vAlign w:val="bottom"/>
          </w:tcPr>
          <w:p>
            <w:pPr>
              <w:spacing w:after="0"/>
              <w:rPr>
                <w:sz w:val="1"/>
                <w:szCs w:val="1"/>
                <w:color w:val="auto"/>
              </w:rPr>
            </w:pPr>
          </w:p>
        </w:tc>
      </w:tr>
      <w:tr>
        <w:trPr>
          <w:trHeight w:val="256"/>
        </w:trPr>
        <w:tc>
          <w:tcPr>
            <w:tcW w:w="14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6,951</w:t>
            </w:r>
          </w:p>
        </w:tc>
        <w:tc>
          <w:tcPr>
            <w:tcW w:w="0" w:type="dxa"/>
            <w:vAlign w:val="bottom"/>
          </w:tcPr>
          <w:p>
            <w:pPr>
              <w:spacing w:after="0"/>
              <w:rPr>
                <w:sz w:val="1"/>
                <w:szCs w:val="1"/>
                <w:color w:val="auto"/>
              </w:rPr>
            </w:pPr>
          </w:p>
        </w:tc>
      </w:tr>
      <w:tr>
        <w:trPr>
          <w:trHeight w:val="257"/>
        </w:trPr>
        <w:tc>
          <w:tcPr>
            <w:tcW w:w="14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6.49</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6,951</w:t>
            </w:r>
          </w:p>
        </w:tc>
        <w:tc>
          <w:tcPr>
            <w:tcW w:w="0" w:type="dxa"/>
            <w:vAlign w:val="bottom"/>
          </w:tcPr>
          <w:p>
            <w:pPr>
              <w:spacing w:after="0"/>
              <w:rPr>
                <w:sz w:val="1"/>
                <w:szCs w:val="1"/>
                <w:color w:val="auto"/>
              </w:rPr>
            </w:pPr>
          </w:p>
        </w:tc>
      </w:tr>
      <w:tr>
        <w:trPr>
          <w:trHeight w:val="869"/>
        </w:trPr>
        <w:tc>
          <w:tcPr>
            <w:tcW w:w="15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0" w:type="dxa"/>
            <w:vAlign w:val="bottom"/>
          </w:tcPr>
          <w:p>
            <w:pPr>
              <w:spacing w:after="0"/>
              <w:rPr>
                <w:sz w:val="1"/>
                <w:szCs w:val="1"/>
                <w:color w:val="auto"/>
              </w:rPr>
            </w:pPr>
          </w:p>
        </w:tc>
      </w:tr>
      <w:tr>
        <w:trPr>
          <w:trHeight w:val="184"/>
        </w:trPr>
        <w:tc>
          <w:tcPr>
            <w:tcW w:w="15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center"/>
              <w:ind w:right="10"/>
              <w:spacing w:after="0" w:line="184" w:lineRule="exact"/>
              <w:rPr>
                <w:sz w:val="20"/>
                <w:szCs w:val="20"/>
                <w:color w:val="auto"/>
              </w:rPr>
            </w:pPr>
            <w:r>
              <w:rPr>
                <w:rFonts w:ascii="Times New Roman" w:cs="Times New Roman" w:eastAsia="Times New Roman" w:hAnsi="Times New Roman"/>
                <w:sz w:val="18"/>
                <w:szCs w:val="18"/>
                <w:b w:val="1"/>
                <w:bCs w:val="1"/>
                <w:color w:val="auto"/>
                <w:w w:val="99"/>
              </w:rPr>
              <w:t>Grant Date Fair</w:t>
            </w:r>
          </w:p>
        </w:tc>
        <w:tc>
          <w:tcPr>
            <w:tcW w:w="0" w:type="dxa"/>
            <w:vAlign w:val="bottom"/>
          </w:tcPr>
          <w:p>
            <w:pPr>
              <w:spacing w:after="0"/>
              <w:rPr>
                <w:sz w:val="1"/>
                <w:szCs w:val="1"/>
                <w:color w:val="auto"/>
              </w:rPr>
            </w:pPr>
          </w:p>
        </w:tc>
      </w:tr>
      <w:tr>
        <w:trPr>
          <w:trHeight w:val="230"/>
        </w:trPr>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00" w:type="dxa"/>
            <w:vAlign w:val="bottom"/>
          </w:tcPr>
          <w:p>
            <w:pPr>
              <w:spacing w:after="0"/>
              <w:rPr>
                <w:sz w:val="19"/>
                <w:szCs w:val="19"/>
                <w:color w:val="auto"/>
              </w:rPr>
            </w:pPr>
          </w:p>
        </w:tc>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18"/>
        </w:trPr>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5,592</w:t>
            </w: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0" w:type="dxa"/>
            <w:vAlign w:val="bottom"/>
          </w:tcPr>
          <w:p>
            <w:pPr>
              <w:spacing w:after="0"/>
              <w:rPr>
                <w:sz w:val="1"/>
                <w:szCs w:val="1"/>
                <w:color w:val="auto"/>
              </w:rPr>
            </w:pPr>
          </w:p>
        </w:tc>
      </w:tr>
      <w:tr>
        <w:trPr>
          <w:trHeight w:val="229"/>
        </w:trPr>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0" w:type="dxa"/>
            <w:vAlign w:val="bottom"/>
          </w:tcPr>
          <w:p>
            <w:pPr>
              <w:spacing w:after="0"/>
              <w:rPr>
                <w:sz w:val="1"/>
                <w:szCs w:val="1"/>
                <w:color w:val="auto"/>
              </w:rPr>
            </w:pPr>
          </w:p>
        </w:tc>
      </w:tr>
      <w:tr>
        <w:trPr>
          <w:trHeight w:val="230"/>
        </w:trPr>
        <w:tc>
          <w:tcPr>
            <w:tcW w:w="1480" w:type="dxa"/>
            <w:vAlign w:val="bottom"/>
          </w:tcPr>
          <w:p>
            <w:pPr>
              <w:ind w:left="1160"/>
              <w:spacing w:after="0"/>
              <w:rPr>
                <w:sz w:val="20"/>
                <w:szCs w:val="20"/>
                <w:color w:val="auto"/>
              </w:rPr>
            </w:pPr>
            <w:r>
              <w:rPr>
                <w:rFonts w:ascii="Times New Roman" w:cs="Times New Roman" w:eastAsia="Times New Roman" w:hAnsi="Times New Roman"/>
                <w:sz w:val="18"/>
                <w:szCs w:val="18"/>
                <w:color w:val="auto"/>
                <w:w w:val="99"/>
              </w:rPr>
              <w:t>(96)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0" w:type="dxa"/>
            <w:vAlign w:val="bottom"/>
          </w:tcPr>
          <w:p>
            <w:pPr>
              <w:spacing w:after="0"/>
              <w:rPr>
                <w:sz w:val="1"/>
                <w:szCs w:val="1"/>
                <w:color w:val="auto"/>
              </w:rPr>
            </w:pPr>
          </w:p>
        </w:tc>
      </w:tr>
      <w:tr>
        <w:trPr>
          <w:trHeight w:val="234"/>
        </w:trPr>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0" w:type="dxa"/>
            <w:vAlign w:val="bottom"/>
          </w:tcPr>
          <w:p>
            <w:pPr>
              <w:spacing w:after="0"/>
              <w:rPr>
                <w:sz w:val="1"/>
                <w:szCs w:val="1"/>
                <w:color w:val="auto"/>
              </w:rPr>
            </w:pPr>
          </w:p>
        </w:tc>
      </w:tr>
      <w:tr>
        <w:trPr>
          <w:trHeight w:val="223"/>
        </w:trPr>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5,311</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0" w:type="dxa"/>
            <w:vAlign w:val="bottom"/>
          </w:tcPr>
          <w:p>
            <w:pPr>
              <w:spacing w:after="0"/>
              <w:rPr>
                <w:sz w:val="1"/>
                <w:szCs w:val="1"/>
                <w:color w:val="auto"/>
              </w:rPr>
            </w:pP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8080" w:space="100"/>
            <w:col w:w="3060"/>
          </w:cols>
          <w:pgMar w:left="320" w:top="121" w:right="339" w:bottom="1440" w:gutter="0" w:footer="0" w:header="0"/>
          <w:type w:val="continuous"/>
        </w:sectPr>
      </w:pPr>
    </w:p>
    <w:p>
      <w:pPr>
        <w:spacing w:after="0" w:line="52"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For restricted stock unit awards granted under the Incentive Plan, the fair value of the awards is determined based on the market value of the Company’s shares on the grant date. The weighted average grant date fair value of these awards granted during the first three months of 2024 and 2023 was $5.30 and $10.32, respectively. The fair value of the restricted stock unit awards is amortized to expense over the vesting periods using a straight-line expense attribution method.</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As of March 31, 2024, total unrecognized compensation cost related to unvested restricted stock unit awards granted under the Incentive Plan was $33,457, which is expected to be recognized over a weighted average period of 1.8 years.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Inducement Equity Incentive Plan</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stock option activity under the Inducement Plan: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0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00" w:type="dxa"/>
            <w:vAlign w:val="bottom"/>
          </w:tcPr>
          <w:p>
            <w:pPr>
              <w:spacing w:after="0"/>
              <w:rPr>
                <w:sz w:val="17"/>
                <w:szCs w:val="17"/>
                <w:color w:val="auto"/>
              </w:rPr>
            </w:pPr>
          </w:p>
        </w:tc>
        <w:tc>
          <w:tcPr>
            <w:tcW w:w="138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184"/>
        </w:trPr>
        <w:tc>
          <w:tcPr>
            <w:tcW w:w="5020" w:type="dxa"/>
            <w:vAlign w:val="bottom"/>
          </w:tcPr>
          <w:p>
            <w:pPr>
              <w:spacing w:after="0"/>
              <w:rPr>
                <w:sz w:val="16"/>
                <w:szCs w:val="16"/>
                <w:color w:val="auto"/>
              </w:rPr>
            </w:pPr>
          </w:p>
        </w:tc>
        <w:tc>
          <w:tcPr>
            <w:tcW w:w="15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4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10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02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148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Exercise Price per</w:t>
            </w:r>
          </w:p>
        </w:tc>
        <w:tc>
          <w:tcPr>
            <w:tcW w:w="100" w:type="dxa"/>
            <w:vAlign w:val="bottom"/>
          </w:tcPr>
          <w:p>
            <w:pPr>
              <w:spacing w:after="0"/>
              <w:rPr>
                <w:sz w:val="15"/>
                <w:szCs w:val="15"/>
                <w:color w:val="auto"/>
              </w:rPr>
            </w:pPr>
          </w:p>
        </w:tc>
        <w:tc>
          <w:tcPr>
            <w:tcW w:w="15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Contractual Term</w:t>
            </w:r>
          </w:p>
        </w:tc>
        <w:tc>
          <w:tcPr>
            <w:tcW w:w="100" w:type="dxa"/>
            <w:vAlign w:val="bottom"/>
          </w:tcPr>
          <w:p>
            <w:pPr>
              <w:spacing w:after="0"/>
              <w:rPr>
                <w:sz w:val="15"/>
                <w:szCs w:val="15"/>
                <w:color w:val="auto"/>
              </w:rPr>
            </w:pPr>
          </w:p>
        </w:tc>
        <w:tc>
          <w:tcPr>
            <w:tcW w:w="138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w w:val="98"/>
              </w:rPr>
              <w:t>Intrinsic Value</w:t>
            </w:r>
          </w:p>
        </w:tc>
        <w:tc>
          <w:tcPr>
            <w:tcW w:w="0" w:type="dxa"/>
            <w:vAlign w:val="bottom"/>
          </w:tcPr>
          <w:p>
            <w:pPr>
              <w:spacing w:after="0"/>
              <w:rPr>
                <w:sz w:val="1"/>
                <w:szCs w:val="1"/>
                <w:color w:val="auto"/>
              </w:rPr>
            </w:pPr>
          </w:p>
        </w:tc>
      </w:tr>
      <w:tr>
        <w:trPr>
          <w:trHeight w:val="229"/>
        </w:trPr>
        <w:tc>
          <w:tcPr>
            <w:tcW w:w="5020" w:type="dxa"/>
            <w:vAlign w:val="bottom"/>
          </w:tcPr>
          <w:p>
            <w:pPr>
              <w:spacing w:after="0"/>
              <w:rPr>
                <w:sz w:val="19"/>
                <w:szCs w:val="19"/>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400" w:type="dxa"/>
            <w:vAlign w:val="bottom"/>
          </w:tcPr>
          <w:p>
            <w:pPr>
              <w:spacing w:after="0"/>
              <w:rPr>
                <w:sz w:val="19"/>
                <w:szCs w:val="19"/>
                <w:color w:val="auto"/>
              </w:rPr>
            </w:pPr>
          </w:p>
        </w:tc>
        <w:tc>
          <w:tcPr>
            <w:tcW w:w="108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00" w:type="dxa"/>
            <w:vAlign w:val="bottom"/>
          </w:tcPr>
          <w:p>
            <w:pPr>
              <w:spacing w:after="0"/>
              <w:rPr>
                <w:sz w:val="19"/>
                <w:szCs w:val="19"/>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100" w:type="dxa"/>
            <w:vAlign w:val="bottom"/>
          </w:tcPr>
          <w:p>
            <w:pPr>
              <w:spacing w:after="0"/>
              <w:rPr>
                <w:sz w:val="19"/>
                <w:szCs w:val="19"/>
                <w:color w:val="auto"/>
              </w:rPr>
            </w:pPr>
          </w:p>
        </w:tc>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0" w:type="dxa"/>
            <w:vAlign w:val="bottom"/>
          </w:tcPr>
          <w:p>
            <w:pPr>
              <w:spacing w:after="0"/>
              <w:rPr>
                <w:sz w:val="1"/>
                <w:szCs w:val="1"/>
                <w:color w:val="auto"/>
              </w:rPr>
            </w:pPr>
          </w:p>
        </w:tc>
      </w:tr>
      <w:tr>
        <w:trPr>
          <w:trHeight w:val="223"/>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5,527</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Exercised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29"/>
        </w:trPr>
        <w:tc>
          <w:tcPr>
            <w:tcW w:w="5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Cancelled or Forfeited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March 31, 2024</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580" w:type="dxa"/>
            <w:vAlign w:val="bottom"/>
            <w:tcBorders>
              <w:bottom w:val="single" w:sz="8" w:color="CCEEFF"/>
            </w:tcBorders>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7.53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at March 31, 2024</w:t>
            </w: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CCEEFF"/>
            </w:tcBorders>
            <w:gridSpan w:val="2"/>
            <w:vMerge w:val="restart"/>
          </w:tcPr>
          <w:p>
            <w:pPr>
              <w:ind w:left="1240"/>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2,128</w:t>
            </w:r>
          </w:p>
        </w:tc>
        <w:tc>
          <w:tcPr>
            <w:tcW w:w="0" w:type="dxa"/>
            <w:vAlign w:val="bottom"/>
          </w:tcPr>
          <w:p>
            <w:pPr>
              <w:spacing w:after="0" w:line="20" w:lineRule="exact"/>
              <w:rPr>
                <w:sz w:val="1"/>
                <w:szCs w:val="1"/>
                <w:color w:val="auto"/>
              </w:rPr>
            </w:pPr>
          </w:p>
        </w:tc>
      </w:tr>
      <w:tr>
        <w:trPr>
          <w:trHeight w:val="203"/>
        </w:trPr>
        <w:tc>
          <w:tcPr>
            <w:tcW w:w="5020" w:type="dxa"/>
            <w:vAlign w:val="bottom"/>
            <w:vMerge w:val="continue"/>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2,628</w:t>
            </w:r>
          </w:p>
        </w:tc>
        <w:tc>
          <w:tcPr>
            <w:tcW w:w="100" w:type="dxa"/>
            <w:vAlign w:val="bottom"/>
          </w:tcPr>
          <w:p>
            <w:pPr>
              <w:spacing w:after="0"/>
              <w:rPr>
                <w:sz w:val="17"/>
                <w:szCs w:val="17"/>
                <w:color w:val="auto"/>
              </w:rPr>
            </w:pPr>
          </w:p>
        </w:tc>
        <w:tc>
          <w:tcPr>
            <w:tcW w:w="400" w:type="dxa"/>
            <w:vAlign w:val="bottom"/>
          </w:tcPr>
          <w:p>
            <w:pPr>
              <w:jc w:val="right"/>
              <w:ind w:right="2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7.53</w:t>
            </w:r>
          </w:p>
        </w:tc>
        <w:tc>
          <w:tcPr>
            <w:tcW w:w="15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at March 31, 2024</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4,684</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58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w:t>
            </w:r>
          </w:p>
        </w:tc>
        <w:tc>
          <w:tcPr>
            <w:tcW w:w="0" w:type="dxa"/>
            <w:vAlign w:val="bottom"/>
          </w:tcPr>
          <w:p>
            <w:pPr>
              <w:spacing w:after="0"/>
              <w:rPr>
                <w:sz w:val="1"/>
                <w:szCs w:val="1"/>
                <w:color w:val="auto"/>
              </w:rPr>
            </w:pPr>
          </w:p>
        </w:tc>
      </w:tr>
      <w:tr>
        <w:trPr>
          <w:trHeight w:val="486"/>
        </w:trPr>
        <w:tc>
          <w:tcPr>
            <w:tcW w:w="7000" w:type="dxa"/>
            <w:vAlign w:val="bottom"/>
            <w:gridSpan w:val="4"/>
          </w:tcPr>
          <w:p>
            <w:pPr>
              <w:ind w:left="500"/>
              <w:spacing w:after="0"/>
              <w:rPr>
                <w:sz w:val="20"/>
                <w:szCs w:val="20"/>
                <w:color w:val="auto"/>
              </w:rPr>
            </w:pPr>
            <w:r>
              <w:rPr>
                <w:rFonts w:ascii="Times New Roman" w:cs="Times New Roman" w:eastAsia="Times New Roman" w:hAnsi="Times New Roman"/>
                <w:sz w:val="18"/>
                <w:szCs w:val="18"/>
                <w:color w:val="auto"/>
              </w:rPr>
              <w:t>The following table summarizes restricted stock unit activity under the Inducement Plan:</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0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0" w:type="dxa"/>
            <w:vAlign w:val="bottom"/>
          </w:tcPr>
          <w:p>
            <w:pPr>
              <w:spacing w:after="0"/>
              <w:rPr>
                <w:sz w:val="1"/>
                <w:szCs w:val="1"/>
                <w:color w:val="auto"/>
              </w:rPr>
            </w:pPr>
          </w:p>
        </w:tc>
      </w:tr>
      <w:tr>
        <w:trPr>
          <w:trHeight w:val="175"/>
        </w:trPr>
        <w:tc>
          <w:tcPr>
            <w:tcW w:w="50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Grant Date Fair</w:t>
            </w:r>
          </w:p>
        </w:tc>
        <w:tc>
          <w:tcPr>
            <w:tcW w:w="0" w:type="dxa"/>
            <w:vAlign w:val="bottom"/>
          </w:tcPr>
          <w:p>
            <w:pPr>
              <w:spacing w:after="0"/>
              <w:rPr>
                <w:sz w:val="1"/>
                <w:szCs w:val="1"/>
                <w:color w:val="auto"/>
              </w:rPr>
            </w:pPr>
          </w:p>
        </w:tc>
      </w:tr>
      <w:tr>
        <w:trPr>
          <w:trHeight w:val="241"/>
        </w:trPr>
        <w:tc>
          <w:tcPr>
            <w:tcW w:w="50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00" w:type="dxa"/>
            <w:vAlign w:val="bottom"/>
          </w:tcPr>
          <w:p>
            <w:pPr>
              <w:spacing w:after="0"/>
              <w:rPr>
                <w:sz w:val="20"/>
                <w:szCs w:val="20"/>
                <w:color w:val="auto"/>
              </w:rPr>
            </w:pPr>
          </w:p>
        </w:tc>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25"/>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31, 2023</w:t>
            </w:r>
          </w:p>
        </w:tc>
        <w:tc>
          <w:tcPr>
            <w:tcW w:w="14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0" w:type="dxa"/>
            <w:vAlign w:val="bottom"/>
          </w:tcPr>
          <w:p>
            <w:pPr>
              <w:spacing w:after="0"/>
              <w:rPr>
                <w:sz w:val="1"/>
                <w:szCs w:val="1"/>
                <w:color w:val="auto"/>
              </w:rPr>
            </w:pPr>
          </w:p>
        </w:tc>
      </w:tr>
      <w:tr>
        <w:trPr>
          <w:trHeight w:val="230"/>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w w:val="99"/>
              </w:rPr>
              <w:t>(59)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0" w:type="dxa"/>
            <w:vAlign w:val="bottom"/>
          </w:tcPr>
          <w:p>
            <w:pPr>
              <w:spacing w:after="0"/>
              <w:rPr>
                <w:sz w:val="1"/>
                <w:szCs w:val="1"/>
                <w:color w:val="auto"/>
              </w:rPr>
            </w:pPr>
          </w:p>
        </w:tc>
      </w:tr>
      <w:tr>
        <w:trPr>
          <w:trHeight w:val="230"/>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0" w:type="dxa"/>
            <w:vAlign w:val="bottom"/>
          </w:tcPr>
          <w:p>
            <w:pPr>
              <w:spacing w:after="0"/>
              <w:rPr>
                <w:sz w:val="1"/>
                <w:szCs w:val="1"/>
                <w:color w:val="auto"/>
              </w:rPr>
            </w:pPr>
          </w:p>
        </w:tc>
      </w:tr>
      <w:tr>
        <w:trPr>
          <w:trHeight w:val="248"/>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March 31, 2024</w:t>
            </w:r>
          </w:p>
        </w:tc>
        <w:tc>
          <w:tcPr>
            <w:tcW w:w="14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For restricted stock unit awards granted under the Inducement Plan, the fair value of the awards is determined based on the market value of the Company’s shares on the grant date. The weighted average grant date fair value of these awards granted during the first three months of 2024 and 2023 was $5.25 and $9.64, respectively. The fair value of the restricted stock unit awards is amortized to expense over the vesting periods using a straight-line expense attribution method.</w:t>
      </w:r>
    </w:p>
    <w:p>
      <w:pPr>
        <w:spacing w:after="0" w:line="139"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As of March 31, 2024, total unrecognized compensation cost related to unvested restricted stock unit awards granted under the Inducement Plan was $5,588, which is expected to be recognized over a weighted average period of 1.7 years.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Weighted Average Assumptions for Stock Option Awards Granted to Employees and Directors under the Incentive and Inducement Plans</w:t>
      </w:r>
    </w:p>
    <w:p>
      <w:pPr>
        <w:spacing w:after="0" w:line="202"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For stock option awards granted under the Incentive Plan and the Inducement Plan, the fair value is estimated on the date of grant using a Black-Scholes option pricing model and the assumptions noted below. The fair value of the stock option awards is amortized to expense over the vesting periods using a straight-line expense attribution method.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Incentive Plan</w:t>
      </w:r>
    </w:p>
    <w:p>
      <w:pPr>
        <w:spacing w:after="0" w:line="200"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There were no stock option awards granted under the Incentive Plan during the three months ended March 31, 2024. The following table summarizes the key assumptions used by the Company to value the stock option awards granted under the Incentive Plan during the three months ended March 31, 2023:</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Three Months</w:t>
            </w:r>
          </w:p>
        </w:tc>
      </w:tr>
      <w:tr>
        <w:trPr>
          <w:trHeight w:val="180"/>
        </w:trPr>
        <w:tc>
          <w:tcPr>
            <w:tcW w:w="9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jc w:val="center"/>
              <w:ind w:right="70"/>
              <w:spacing w:after="0" w:line="180" w:lineRule="exact"/>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38"/>
        </w:trPr>
        <w:tc>
          <w:tcPr>
            <w:tcW w:w="96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March 31, 2023</w:t>
            </w:r>
          </w:p>
        </w:tc>
      </w:tr>
      <w:tr>
        <w:trPr>
          <w:trHeight w:val="250"/>
        </w:trPr>
        <w:tc>
          <w:tcPr>
            <w:tcW w:w="9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16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w:t>
            </w:r>
          </w:p>
        </w:tc>
      </w:tr>
      <w:tr>
        <w:trPr>
          <w:trHeight w:val="250"/>
        </w:trPr>
        <w:tc>
          <w:tcPr>
            <w:tcW w:w="9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84.2 %</w:t>
            </w:r>
          </w:p>
        </w:tc>
      </w:tr>
      <w:tr>
        <w:trPr>
          <w:trHeight w:val="263"/>
        </w:trPr>
        <w:tc>
          <w:tcPr>
            <w:tcW w:w="9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6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50"/>
        </w:trPr>
        <w:tc>
          <w:tcPr>
            <w:tcW w:w="9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r>
      <w:tr>
        <w:trPr>
          <w:trHeight w:val="263"/>
        </w:trPr>
        <w:tc>
          <w:tcPr>
            <w:tcW w:w="9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grant date fair value per share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7.47</w:t>
            </w:r>
          </w:p>
        </w:tc>
      </w:tr>
    </w:tbl>
    <w:p>
      <w:pPr>
        <w:spacing w:after="0" w:line="252"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As of March 31, 2024, total unrecognized compensation cost related to unvested stock option awards granted under the Incentive Plan was $62,593, which is expected to be recognized over a weighted average period of 1.6 years.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Inducement Equity Incentive Plan</w:t>
      </w:r>
    </w:p>
    <w:p>
      <w:pPr>
        <w:spacing w:after="0" w:line="200" w:lineRule="exact"/>
        <w:rPr>
          <w:sz w:val="20"/>
          <w:szCs w:val="20"/>
          <w:color w:val="auto"/>
        </w:rPr>
      </w:pPr>
    </w:p>
    <w:p>
      <w:pPr>
        <w:ind w:right="38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key assumptions used by the Company to value the stock option awards granted under the Inducement Plan during the three months ended March 31, 2024 and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40" w:type="dxa"/>
            <w:vAlign w:val="bottom"/>
          </w:tcPr>
          <w:p>
            <w:pPr>
              <w:spacing w:after="0"/>
              <w:rPr>
                <w:sz w:val="20"/>
                <w:szCs w:val="20"/>
                <w:color w:val="auto"/>
              </w:rPr>
            </w:pPr>
          </w:p>
        </w:tc>
        <w:tc>
          <w:tcPr>
            <w:tcW w:w="3300" w:type="dxa"/>
            <w:vAlign w:val="bottom"/>
            <w:tcBorders>
              <w:bottom w:val="single" w:sz="8" w:color="auto"/>
            </w:tcBorders>
            <w:gridSpan w:val="5"/>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94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5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102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w:t>
            </w:r>
          </w:p>
        </w:tc>
      </w:tr>
      <w:tr>
        <w:trPr>
          <w:trHeight w:val="25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0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84.2 %</w:t>
            </w:r>
          </w:p>
        </w:tc>
      </w:tr>
      <w:tr>
        <w:trPr>
          <w:trHeight w:val="26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02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5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0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6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grant date fair value per share</w:t>
            </w: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6.85</w:t>
            </w:r>
          </w:p>
        </w:tc>
      </w:tr>
    </w:tbl>
    <w:p>
      <w:pPr>
        <w:spacing w:after="0" w:line="252" w:lineRule="exact"/>
        <w:rPr>
          <w:sz w:val="20"/>
          <w:szCs w:val="20"/>
          <w:color w:val="auto"/>
        </w:rPr>
      </w:pPr>
    </w:p>
    <w:p>
      <w:pPr>
        <w:ind w:right="580" w:firstLine="486"/>
        <w:spacing w:after="0" w:line="282" w:lineRule="auto"/>
        <w:rPr>
          <w:sz w:val="20"/>
          <w:szCs w:val="20"/>
          <w:color w:val="auto"/>
        </w:rPr>
      </w:pPr>
      <w:r>
        <w:rPr>
          <w:rFonts w:ascii="Times New Roman" w:cs="Times New Roman" w:eastAsia="Times New Roman" w:hAnsi="Times New Roman"/>
          <w:sz w:val="18"/>
          <w:szCs w:val="18"/>
          <w:color w:val="auto"/>
        </w:rPr>
        <w:t>As of March 31, 2024, total unrecognized compensation cost related to unvested stock option awards granted under the Inducement Plan was $12,326, which is expected to be recognized over a weighted average period of 1.4 years.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200" w:lineRule="exact"/>
        <w:rPr>
          <w:sz w:val="20"/>
          <w:szCs w:val="20"/>
          <w:color w:val="auto"/>
        </w:rPr>
      </w:pPr>
    </w:p>
    <w:p>
      <w:pPr>
        <w:jc w:val="both"/>
        <w:ind w:right="320" w:firstLine="486"/>
        <w:spacing w:after="0" w:line="266" w:lineRule="auto"/>
        <w:rPr>
          <w:sz w:val="20"/>
          <w:szCs w:val="20"/>
          <w:color w:val="auto"/>
        </w:rPr>
      </w:pPr>
      <w:r>
        <w:rPr>
          <w:rFonts w:ascii="Times New Roman" w:cs="Times New Roman" w:eastAsia="Times New Roman" w:hAnsi="Times New Roman"/>
          <w:sz w:val="18"/>
          <w:szCs w:val="18"/>
          <w:color w:val="auto"/>
        </w:rPr>
        <w:t>The Company has reserved a total of 7,975 shares of common stock to be purchased under the ESPP, of which 5,203 shares remain available for purchase as of March 31, 2024. During the three months ended March 31, 2024 and March 31, 2023, the Company issued 251 and 176 shares under the ESPP,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Collaborative and Other Relationships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ORLADEYO</w:t>
      </w:r>
    </w:p>
    <w:p>
      <w:pPr>
        <w:spacing w:after="0" w:line="2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Torii Pharmaceutical Co., Ltd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(“Torii”)</w:t>
      </w:r>
    </w:p>
    <w:p>
      <w:pPr>
        <w:spacing w:after="0" w:line="187"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On November 5, 2019, the Company entered into a Commercialization and License Agreement with Torii (the “Original Torii Agreement”), granting Torii the exclusive right to commercialize ORLADEYO for the prevention of HAE attacks in Japan. Under the Original Torii Agreement, the Company received an upfront, non-refundable payment of $22,000. The Company received an additional milestone payment of $15,000 in the second quarter of 2021 upon receipt from the Japanese National Health Insurance System of a reimbursement price approval for ORLADEYO. In addition, the Company was entitled to receive tiered royalty payments, ranging from 20% to 40% of annual net sales of ORLADEYO in Japan during each calendar year. Torii’s royalty payment obligations were subject to customary reductions in certain</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circumstances, but could not be reduced by more than 50% of the amount that otherwise would have been payable to the Company in the applicable calendar quarter.</w:t>
      </w:r>
    </w:p>
    <w:p>
      <w:pPr>
        <w:spacing w:after="0" w:line="135" w:lineRule="exact"/>
        <w:rPr>
          <w:sz w:val="20"/>
          <w:szCs w:val="20"/>
          <w:color w:val="auto"/>
        </w:rPr>
      </w:pPr>
    </w:p>
    <w:p>
      <w:pPr>
        <w:ind w:right="80" w:firstLine="486"/>
        <w:spacing w:after="0" w:line="277" w:lineRule="auto"/>
        <w:rPr>
          <w:sz w:val="20"/>
          <w:szCs w:val="20"/>
          <w:color w:val="auto"/>
        </w:rPr>
      </w:pPr>
      <w:r>
        <w:rPr>
          <w:rFonts w:ascii="Times New Roman" w:cs="Times New Roman" w:eastAsia="Times New Roman" w:hAnsi="Times New Roman"/>
          <w:sz w:val="17"/>
          <w:szCs w:val="17"/>
          <w:color w:val="auto"/>
        </w:rPr>
        <w:t>The Company identified performance obligations under the Original Torii Agreement related to (i) the license to develop and commercialize ORLADEYO, (ii) regulatory approval support, and (iii) reimbursement pricing approval support. These were each determined to be distinct from the other performance obligations. The Company allocated the $22,000 upfront consideration to the identified performance obligations using estimation approaches to determine the standalone selling prices under ASC Topic 606. Specifically, in determining the value related to the license, a valuation approach utilizing risk adjusted discounted cash flow projections was used, and an expected cost plus margin approach was utilized for the other performance obligations.</w:t>
      </w:r>
    </w:p>
    <w:p>
      <w:pPr>
        <w:spacing w:after="0" w:line="127" w:lineRule="exact"/>
        <w:rPr>
          <w:sz w:val="20"/>
          <w:szCs w:val="20"/>
          <w:color w:val="auto"/>
        </w:rPr>
      </w:pPr>
    </w:p>
    <w:p>
      <w:pPr>
        <w:ind w:right="240" w:firstLine="486"/>
        <w:spacing w:after="0" w:line="258" w:lineRule="auto"/>
        <w:rPr>
          <w:sz w:val="20"/>
          <w:szCs w:val="20"/>
          <w:color w:val="auto"/>
        </w:rPr>
      </w:pPr>
      <w:r>
        <w:rPr>
          <w:rFonts w:ascii="Times New Roman" w:cs="Times New Roman" w:eastAsia="Times New Roman" w:hAnsi="Times New Roman"/>
          <w:sz w:val="18"/>
          <w:szCs w:val="18"/>
          <w:color w:val="auto"/>
        </w:rPr>
        <w:t>On November 30, 2023, the Company entered into an Amended and Restated Commercialization and License Agreement with Torii (as amended, the “Torii Agreement”). Under the Torii Agreement, the Company is entitled to receive tiered royalty payments, ranging from 20% to 80% of annual net sales of ORLADEYO in Japan during each calendar year. The Company is now responsible for all commercial promotion activities to support ORLADEYO sales in Japan, and Torii is responsible for HAE disease awareness activities in Japan. The Company will receive a 20% royalty on annual Japanese sales below a prespecified threshold and an 80% royalty on annual Japanese sales above the prespecified threshold.</w:t>
      </w:r>
    </w:p>
    <w:p>
      <w:pPr>
        <w:spacing w:after="0" w:line="143"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Torii’s updated royalty payment obligations commenced upon November 30, 2023 and expire upon the later of (i) the tenth anniversary of the date of first commercial sale of ORLADEYO in Japan, (ii) the expiration of the Company’s patents covering ORLADEYO, and (iii) the expiration of regulatory exclusivity for ORLADEYO in Japan.</w:t>
      </w:r>
    </w:p>
    <w:p>
      <w:pPr>
        <w:spacing w:after="0" w:line="149" w:lineRule="exact"/>
        <w:rPr>
          <w:sz w:val="20"/>
          <w:szCs w:val="20"/>
          <w:color w:val="auto"/>
        </w:rPr>
      </w:pPr>
    </w:p>
    <w:p>
      <w:pPr>
        <w:ind w:right="320" w:firstLine="486"/>
        <w:spacing w:after="0" w:line="266" w:lineRule="auto"/>
        <w:rPr>
          <w:sz w:val="20"/>
          <w:szCs w:val="20"/>
          <w:color w:val="auto"/>
        </w:rPr>
      </w:pPr>
      <w:r>
        <w:rPr>
          <w:rFonts w:ascii="Times New Roman" w:cs="Times New Roman" w:eastAsia="Times New Roman" w:hAnsi="Times New Roman"/>
          <w:sz w:val="18"/>
          <w:szCs w:val="18"/>
          <w:color w:val="auto"/>
        </w:rPr>
        <w:t>The Company determined that the Torii Agreement represented a contract modification to be accounted for as if it were part of the Original Torii Agreement under ASC Topic 606. As the performance obligations under the Original Torii agreement had been fully satisfied, the Company was not required to adjust revenue previously recognized.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Peramivir Injection (RAPIVAB, RAPIACTA, PERAMIFLU)</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Shionogi &amp; Co., Ltd. (“Shionogi”)</w:t>
      </w:r>
    </w:p>
    <w:p>
      <w:pPr>
        <w:spacing w:after="0" w:line="200"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In February 2007, the Company entered into an exclusive license agreement with Shionogi to develop and commercialize peramivir in Japan for the treatment of seasonal and potentially life-threatening human influenza. Under the terms of the agreement, Shionogi obtained rights to injectable formulations of peramivir in Japan. In October 2008, the Company and Shionogi amended the license agreement to expand the territory covered by the agreement to include Taiwan. Shionogi has commercially launched peramivir under the commercial name RAPIACTA in Japan and Taiwan. The Company developed peramivir under a license from UAB and will owe sublicense payments to UAB on any future milestone payments and/or royalties received by the Company from Shionogi.</w:t>
      </w:r>
    </w:p>
    <w:p>
      <w:pPr>
        <w:spacing w:after="0" w:line="14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Green Cross Corporation (“Green Cross”)</w:t>
      </w:r>
    </w:p>
    <w:p>
      <w:pPr>
        <w:spacing w:after="0" w:line="187"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In June 2006, the Company entered into an agreement with Green Cross to develop and commercialize peramivir in Korea. Under the terms of the agreement, Green Cross is responsible for all development, regulatory, and commercialization costs in Korea and the Company is entitled to share in profits resulting from the sale of peramivir in Korea, including the sale of peramivir to the Korean government for stockpiling purposes. Furthermore, Green Cross will pay the Company a premium over its cost to supply peramivir for development and any future marketing of peramivir products in Korea.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Collaborations</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Clearside Biomedical, Inc. (“Clearside”)</w:t>
      </w:r>
    </w:p>
    <w:p>
      <w:pPr>
        <w:spacing w:after="0" w:line="187"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On November 3, 2023, the Company announced that it entered into a license agreement (the “Clearside Agreement”) with Clearside, enabling the Company to develop its investigational plasma kallikrein inhibitor, avoralstat, with Clearside’s SCS Microinjector® to deliver avoralstat to the back of the eye through the suprachoroidal space to treat patients with diabetic macular edema.</w:t>
      </w:r>
    </w:p>
    <w:p>
      <w:pPr>
        <w:spacing w:after="0" w:line="149" w:lineRule="exact"/>
        <w:rPr>
          <w:sz w:val="20"/>
          <w:szCs w:val="20"/>
          <w:color w:val="auto"/>
        </w:rPr>
      </w:pPr>
    </w:p>
    <w:p>
      <w:pPr>
        <w:ind w:right="320" w:firstLine="486"/>
        <w:spacing w:after="0" w:line="266" w:lineRule="auto"/>
        <w:rPr>
          <w:sz w:val="20"/>
          <w:szCs w:val="20"/>
          <w:color w:val="auto"/>
        </w:rPr>
      </w:pPr>
      <w:r>
        <w:rPr>
          <w:rFonts w:ascii="Times New Roman" w:cs="Times New Roman" w:eastAsia="Times New Roman" w:hAnsi="Times New Roman"/>
          <w:sz w:val="18"/>
          <w:szCs w:val="18"/>
          <w:color w:val="auto"/>
        </w:rPr>
        <w:t>Under the Clearside Agreement, Clearside received a $5,000 upfront license fee from the Company. Clearside is eligible to receive up to an additional $30,000 in clinical and regulatory milestone payments, and up to a total of $47,500 in three post-approval sales-based milestone payments as annual global net sales progress to $2,000,000. The Company will</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 Clearside tiered mid-single digit royalties on annual global net product sales, at three tiers, including a top tier of &gt;$1,500,000.</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Workforce Reduction</w:t>
      </w:r>
    </w:p>
    <w:p>
      <w:pPr>
        <w:spacing w:after="0" w:line="189" w:lineRule="exact"/>
        <w:rPr>
          <w:sz w:val="20"/>
          <w:szCs w:val="20"/>
          <w:color w:val="auto"/>
        </w:rPr>
      </w:pPr>
    </w:p>
    <w:p>
      <w:pPr>
        <w:ind w:right="420" w:firstLine="486"/>
        <w:spacing w:after="0" w:line="282" w:lineRule="auto"/>
        <w:rPr>
          <w:sz w:val="20"/>
          <w:szCs w:val="20"/>
          <w:color w:val="auto"/>
        </w:rPr>
      </w:pPr>
      <w:r>
        <w:rPr>
          <w:rFonts w:ascii="Times New Roman" w:cs="Times New Roman" w:eastAsia="Times New Roman" w:hAnsi="Times New Roman"/>
          <w:sz w:val="18"/>
          <w:szCs w:val="18"/>
          <w:color w:val="auto"/>
        </w:rPr>
        <w:t>In January 2024, the Company announced a reduction of workforce. The majority of the impacted employees had a termination date in January 2024, with certain employees exiting later in 2024. The Company notified the impacted employees in January 2024.</w:t>
      </w:r>
    </w:p>
    <w:p>
      <w:pPr>
        <w:spacing w:after="0" w:line="121"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 xml:space="preserve">The Company incurred costs related to employee severance, benefits, and related costs which were accounted for as ongoing terminations benefits under ASC Topic 712, </w:t>
      </w:r>
      <w:r>
        <w:rPr>
          <w:rFonts w:ascii="Times New Roman" w:cs="Times New Roman" w:eastAsia="Times New Roman" w:hAnsi="Times New Roman"/>
          <w:sz w:val="18"/>
          <w:szCs w:val="18"/>
          <w:i w:val="1"/>
          <w:iCs w:val="1"/>
          <w:color w:val="auto"/>
        </w:rPr>
        <w:t>Nonretirement Postemployment Benefits</w:t>
      </w:r>
      <w:r>
        <w:rPr>
          <w:rFonts w:ascii="Times New Roman" w:cs="Times New Roman" w:eastAsia="Times New Roman" w:hAnsi="Times New Roman"/>
          <w:sz w:val="18"/>
          <w:szCs w:val="18"/>
          <w:color w:val="auto"/>
        </w:rPr>
        <w:t>. As of December 31, 2023, it was considered probable that payment would be owed and the amount of payment was considered to be reasonably estimable, which resulted in the recognition of $3,380 of costs related to the workforce reduction during the year ended December 31, 2023, of which $3,026 was recognized in research and development expenses and $354 was recognized in selling, general and administrative expenses in the Consolidated Statement of Comprehensive Loss. As of March 31, 2024, $1,904 of the costs were paid, and the remaining $1,476 are included within accrued expenses on the Condensed Consolidated Balance Sheet. The remaining unpaid costs are expected to be disbursed during the period of April 1, 2024 through December 31, 2024.</w:t>
      </w:r>
    </w:p>
    <w:p>
      <w:pPr>
        <w:spacing w:after="0" w:line="162"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 xml:space="preserve">In addition, the employees impacted by the workforce reduction received an amount equal to the bonus amount the employee would have received through continued employment with the Company, which was considered a one-time termination benefit pursuant to ASC Topic 420, </w:t>
      </w:r>
      <w:r>
        <w:rPr>
          <w:rFonts w:ascii="Times New Roman" w:cs="Times New Roman" w:eastAsia="Times New Roman" w:hAnsi="Times New Roman"/>
          <w:sz w:val="18"/>
          <w:szCs w:val="18"/>
          <w:i w:val="1"/>
          <w:iCs w:val="1"/>
          <w:color w:val="auto"/>
        </w:rPr>
        <w:t>Exit or Disposal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Costs</w:t>
      </w:r>
      <w:r>
        <w:rPr>
          <w:rFonts w:ascii="Times New Roman" w:cs="Times New Roman" w:eastAsia="Times New Roman" w:hAnsi="Times New Roman"/>
          <w:sz w:val="18"/>
          <w:szCs w:val="18"/>
          <w:color w:val="auto"/>
        </w:rPr>
        <w:t>. As a result, $1,264 has been recognized during the three months ended March 31, 2024, the period in which the communication occurred, of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$1,201 has been recognized in research and development expenses, and $63 has been recognized in selling, general and administrative expenses in the Condensed Consolidated Statement of Comprehensive Loss. All of these costs were paid during the three months ended March 31, 2024.</w:t>
      </w:r>
    </w:p>
    <w:p>
      <w:pPr>
        <w:spacing w:after="0" w:line="143"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accrued liability activity recorded in connection with the workforce reduction for the three months ended March 31, 2024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8"/>
              </w:rPr>
              <w:t>3,380</w:t>
            </w:r>
          </w:p>
        </w:tc>
      </w:tr>
      <w:tr>
        <w:trPr>
          <w:trHeight w:val="229"/>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Workforce reduction expense recorded during the three months ended March 31, 2024</w:t>
            </w:r>
          </w:p>
        </w:tc>
        <w:tc>
          <w:tcPr>
            <w:tcW w:w="520" w:type="dxa"/>
            <w:vAlign w:val="bottom"/>
          </w:tcPr>
          <w:p>
            <w:pPr>
              <w:spacing w:after="0"/>
              <w:rPr>
                <w:sz w:val="19"/>
                <w:szCs w:val="19"/>
                <w:color w:val="auto"/>
              </w:rPr>
            </w:pPr>
          </w:p>
        </w:tc>
        <w:tc>
          <w:tcPr>
            <w:tcW w:w="96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8"/>
              </w:rPr>
              <w:t>1,264</w:t>
            </w:r>
          </w:p>
        </w:tc>
      </w:tr>
      <w:tr>
        <w:trPr>
          <w:trHeight w:val="230"/>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paid during the three months ended March 31, 2024</w:t>
            </w: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rPr>
              <w:t>(3,168)</w:t>
            </w:r>
          </w:p>
        </w:tc>
      </w:tr>
      <w:tr>
        <w:trPr>
          <w:trHeight w:val="223"/>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color w:val="auto"/>
                <w:w w:val="98"/>
              </w:rPr>
              <w:t>1,476</w:t>
            </w:r>
          </w:p>
        </w:tc>
      </w:tr>
      <w:tr>
        <w:trPr>
          <w:trHeight w:val="20"/>
        </w:trPr>
        <w:tc>
          <w:tcPr>
            <w:tcW w:w="97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does not expect to incur any additional significant costs related to this workforce reduction.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Subsequent Events</w:t>
      </w:r>
    </w:p>
    <w:p>
      <w:pPr>
        <w:spacing w:after="0" w:line="189" w:lineRule="exact"/>
        <w:rPr>
          <w:sz w:val="20"/>
          <w:szCs w:val="20"/>
          <w:color w:val="auto"/>
        </w:rPr>
      </w:pPr>
    </w:p>
    <w:p>
      <w:pPr>
        <w:jc w:val="both"/>
        <w:ind w:right="620" w:firstLine="486"/>
        <w:spacing w:after="0" w:line="266" w:lineRule="auto"/>
        <w:rPr>
          <w:sz w:val="20"/>
          <w:szCs w:val="20"/>
          <w:color w:val="auto"/>
        </w:rPr>
      </w:pPr>
      <w:r>
        <w:rPr>
          <w:rFonts w:ascii="Times New Roman" w:cs="Times New Roman" w:eastAsia="Times New Roman" w:hAnsi="Times New Roman"/>
          <w:sz w:val="18"/>
          <w:szCs w:val="18"/>
          <w:color w:val="auto"/>
        </w:rPr>
        <w:t>The Company considers events or transactions that occur after the balance sheet date but prior to the issuance of the condensed consolidated financial statements to provide additional evidence for certain estimates or to identify matters that require additional disclosure. The Company has concluded that no subsequent events have occurred that require disclosure.</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00"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Discussion and Analysis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MD&amp;A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intended to help the reader understand our results of operations and financial condition. MD&amp;A is provided as a supplement to, and should be read in conjunction with, our unaudited condensed consolidated financial statements and the accompanying notes to the financial statements and other disclosures included in this report (including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at the beginning of this report and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section in Part II, Item 1A of this report).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We are a global biotechnology company with a deep commitment to improving the lives of people living with complement-mediated and other rare diseases. We leverage our expertise in structure-guided drug design with the goal of developing first-in-class or best-in-class oral small-molecule and protein therapeutics to target difficult-to-treat diseases. In addition to these discovery and development efforts, our business strategy includes the efficient commercialization of these drugs in the United States and certain other regions upon regulatory approval. By focusing on rare disease markets, we believe that we can more effectively control the costs of, and our strategic allocation of financial resources toward, post-approval commercialization.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Products and Product Candidates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ORLADEYO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(berotralstat)</w:t>
      </w:r>
    </w:p>
    <w:p>
      <w:pPr>
        <w:spacing w:after="0" w:line="187"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ORLADEYO is an oral, once-daily therapy discovered and developed by us for the prevention of hereditary angioedema (“HAE”) attacks. ORLADEYO is approved in the United States and multiple global markets for the prevention of HAE attacks in adults and pediatric patients 12 years and older. In addition, the ongoing APeX-P clinical trial is assessing an oral granule formulation of ORLADEYO in pediatric patients who are 2 to &lt;12 years of age.</w:t>
      </w:r>
    </w:p>
    <w:p>
      <w:pPr>
        <w:spacing w:after="0" w:line="153" w:lineRule="exact"/>
        <w:rPr>
          <w:sz w:val="20"/>
          <w:szCs w:val="20"/>
          <w:color w:val="auto"/>
        </w:rPr>
      </w:pPr>
    </w:p>
    <w:p>
      <w:pPr>
        <w:ind w:right="80" w:firstLine="486"/>
        <w:spacing w:after="0" w:line="253" w:lineRule="auto"/>
        <w:rPr>
          <w:sz w:val="20"/>
          <w:szCs w:val="20"/>
          <w:color w:val="auto"/>
        </w:rPr>
      </w:pPr>
      <w:r>
        <w:rPr>
          <w:rFonts w:ascii="Times New Roman" w:cs="Times New Roman" w:eastAsia="Times New Roman" w:hAnsi="Times New Roman"/>
          <w:sz w:val="18"/>
          <w:szCs w:val="18"/>
          <w:color w:val="auto"/>
        </w:rPr>
        <w:t>We have built out our U.S. commercial infrastructure to support the launch and continued commercialization of ORLADEYO in the United States and are continuing to build our commercial infrastructure to support launches in other markets. Based on proprietary analyses of HAE prevalence and market research studies with HAE patients, physicians, and payors in the United States and Europe, and three full years of commercialization experience with ORLADEYO, we anticipate the global commercial market for ORLADEYO has the potential to reach a global peak of $1 billion in annual net ORLADEYO revenues. We expect approximately 80 percent of our revenue at peak to come from the United States. These expectations are subject to numerous risks and uncertainties that may cause our actual results, performance, or achievements to be materially different. There can be no assurance that our commercialization methods and strategies will succeed, or that the market for ORLADEYO will develop in line with our current expectations. See “Risk Factors—Risks Relating to Our Business—Risks Relating to Drug Development and Commercialization—There can be no assurance that our or our partners’ commercialization efforts, methods, and strategies for our products or technologies will succeed, and our future revenue generation is uncertain” in Part II, Item 1A of this report for further discussion of these risks.</w:t>
      </w:r>
    </w:p>
    <w:p>
      <w:pPr>
        <w:spacing w:after="0" w:line="154"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Revenue from sales of ORLADEYO for the three months ended March 31, 2024 is discussed under “Results of Operations” in this MD&amp;A. Revenue from sales of ORLADEYO in future periods is subject to uncertainties and will depend on several factors, including the success of our and our partners’ commercialization efforts in the United States and elsewhere, the number of new patients switching to ORLADEYO, patient retention and demand, the number of physicians prescribing ORLADEYO, the rate of monthly prescriptions, reimbursement from third-party and government payors, the number of patients receiving free product, the conversion of patients from our clinical trials and early access programs to commercial customers, our pricing strategy, and market trends. We are continuing to monitor and analyze this data as we continue to commercialize ORLADEYO.</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Complement Program</w:t>
      </w:r>
    </w:p>
    <w:p>
      <w:pPr>
        <w:spacing w:after="0" w:line="200" w:lineRule="exact"/>
        <w:rPr>
          <w:sz w:val="20"/>
          <w:szCs w:val="20"/>
          <w:color w:val="auto"/>
        </w:rPr>
      </w:pPr>
    </w:p>
    <w:p>
      <w:pPr>
        <w:jc w:val="both"/>
        <w:ind w:right="300" w:firstLine="486"/>
        <w:spacing w:after="0" w:line="266" w:lineRule="auto"/>
        <w:rPr>
          <w:sz w:val="20"/>
          <w:szCs w:val="20"/>
          <w:color w:val="auto"/>
        </w:rPr>
      </w:pPr>
      <w:r>
        <w:rPr>
          <w:rFonts w:ascii="Times New Roman" w:cs="Times New Roman" w:eastAsia="Times New Roman" w:hAnsi="Times New Roman"/>
          <w:sz w:val="18"/>
          <w:szCs w:val="18"/>
          <w:color w:val="auto"/>
        </w:rPr>
        <w:t>The goal of our overall complement program is to advance several first-in-class and/or best-in-class compounds across multiple pathways in the complement system to treat many complement-mediated diseases. We are pursuing oral medicines and protein therapeutics directed at targets across the classical, lectin, terminal, and alternative pathways of the complement system, including the therapies listed below.</w:t>
      </w:r>
    </w:p>
    <w:p>
      <w:pPr>
        <w:spacing w:after="0" w:line="133" w:lineRule="exact"/>
        <w:rPr>
          <w:sz w:val="20"/>
          <w:szCs w:val="20"/>
          <w:color w:val="auto"/>
        </w:rPr>
      </w:pPr>
    </w:p>
    <w:p>
      <w:pPr>
        <w:ind w:right="48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BCX10013. </w:t>
      </w:r>
      <w:r>
        <w:rPr>
          <w:rFonts w:ascii="Times New Roman" w:cs="Times New Roman" w:eastAsia="Times New Roman" w:hAnsi="Times New Roman"/>
          <w:sz w:val="18"/>
          <w:szCs w:val="18"/>
          <w:color w:val="auto"/>
        </w:rPr>
        <w:t>BCX10013 is an oral Factor D inhibitor that targets the alternative pathway of complement. Factor D is an essential enzyme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alternative pathway, thus making Factor D an attractive target to address complement-mediated diseases.</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Oral C5 Inhibitor. </w:t>
      </w:r>
      <w:r>
        <w:rPr>
          <w:rFonts w:ascii="Times New Roman" w:cs="Times New Roman" w:eastAsia="Times New Roman" w:hAnsi="Times New Roman"/>
          <w:sz w:val="18"/>
          <w:szCs w:val="18"/>
          <w:color w:val="auto"/>
        </w:rPr>
        <w:t>We are developing an oral C5 inhibitor that could be the first targeted oral therapy with competitive efficacy to currently approved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injected and infused anti-C5 therapies, such as eculizumab and ravulizumab. A drug with this profile could enable patients with generalized myasthenia gravis (“gMG”) to switch from infused therapy and address their disease earlier in the treatment paradigm. gMG is a chronic autoimmune, neuromuscular disease that causes muscle weakness that worsens after periods of activity.</w:t>
      </w:r>
    </w:p>
    <w:p>
      <w:pPr>
        <w:spacing w:after="0" w:line="153" w:lineRule="exact"/>
        <w:rPr>
          <w:sz w:val="20"/>
          <w:szCs w:val="20"/>
          <w:color w:val="auto"/>
        </w:rPr>
      </w:pPr>
    </w:p>
    <w:p>
      <w:pPr>
        <w:jc w:val="both"/>
        <w:ind w:right="26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Bifunctional Complement Inhibitor</w:t>
      </w:r>
      <w:r>
        <w:rPr>
          <w:rFonts w:ascii="Times New Roman" w:cs="Times New Roman" w:eastAsia="Times New Roman" w:hAnsi="Times New Roman"/>
          <w:sz w:val="18"/>
          <w:szCs w:val="18"/>
          <w:color w:val="auto"/>
        </w:rPr>
        <w:t>. We are developing a bifunctional complement inhibitor anti-C2 monoclonal antibody that could be a first-in-class combined inhibitor of the classical, lectin and alternative pathways of the complement system to treat complex complement-mediated diseases like Immunoglobulin A Nephropathy and lupus nephritis, which are influenced by multiple complement pathways.</w:t>
      </w:r>
    </w:p>
    <w:p>
      <w:pPr>
        <w:spacing w:after="0" w:line="133"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Oral C2 Inhibitor</w:t>
      </w:r>
      <w:r>
        <w:rPr>
          <w:rFonts w:ascii="Times New Roman" w:cs="Times New Roman" w:eastAsia="Times New Roman" w:hAnsi="Times New Roman"/>
          <w:sz w:val="18"/>
          <w:szCs w:val="18"/>
          <w:color w:val="auto"/>
        </w:rPr>
        <w:t>. We are developing a classical and lectin pathway complement inhibitor to treat autoimmune hemolytic anemias, including cold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agglutinin disease (“CAD”) and warm autoimmune hemolytic anemia (“wAIHA”). The limited approved options for treating diseases like CAD and wAIHA are injectable or infused. An oral C2 inhibitor developed by us could be first-in-class and allow patients to switch from infused therapy and address their disease earlier in the treatment paradigm. Inhibiting C2 could decrease red cell destruction (hemolysis) in autoimmune hemolytic anemias by blocking the classical and lectin pathways.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RAPIVAB</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/RAPIACTA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/PERAMIFLU</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(peramivir injection)</w:t>
      </w:r>
    </w:p>
    <w:p>
      <w:pPr>
        <w:spacing w:after="0" w:line="200" w:lineRule="exact"/>
        <w:rPr>
          <w:sz w:val="20"/>
          <w:szCs w:val="20"/>
          <w:color w:val="auto"/>
        </w:rPr>
      </w:pPr>
    </w:p>
    <w:p>
      <w:pPr>
        <w:ind w:right="420" w:firstLine="486"/>
        <w:spacing w:after="0" w:line="266" w:lineRule="auto"/>
        <w:rPr>
          <w:sz w:val="20"/>
          <w:szCs w:val="20"/>
          <w:color w:val="auto"/>
        </w:rPr>
      </w:pPr>
      <w:r>
        <w:rPr>
          <w:rFonts w:ascii="Times New Roman" w:cs="Times New Roman" w:eastAsia="Times New Roman" w:hAnsi="Times New Roman"/>
          <w:sz w:val="18"/>
          <w:szCs w:val="18"/>
          <w:color w:val="auto"/>
        </w:rPr>
        <w:t>RAPIVAB (peramivir injection) is approved in the United States for the treatment of acute uncomplicated influenza for patients six months and older. Peramivir injection is also approved in Canada (RAPIVAB), Australia (RAPIVAB), Japan (RAPIACTA), Taiwan (RAPIACTA), and Korea (PERAMIFLU).</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Netherton Syndrome (BCX17725)</w:t>
      </w:r>
    </w:p>
    <w:p>
      <w:pPr>
        <w:spacing w:after="0" w:line="187"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BCX17725 is a potent and selective investigational fusion protein KLK5 inhibitor designed to provide best-in-class, potentially disease-modifying treatment for people with Netherton syndrome. Netherton syndrome is a rare, lifelong genetic disorder that often presents in neonates or infancy. The disease is caused by the deficiency of a natural inhibitor (SPINK5) of KLK5, a serine protease responsible for regulating skin shedding. Patients may have red, scaly and inflamed skin and susceptibility to recurrent skin infections. Netherton syndrome can be life-threatening, especially during infancy when patients are vulnerable to dehydration and recurrent infections. Currently, there is no approved treatment for Netherton syndrome.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Avoralstat</w:t>
      </w:r>
    </w:p>
    <w:p>
      <w:pPr>
        <w:spacing w:after="0" w:line="183" w:lineRule="exact"/>
        <w:rPr>
          <w:sz w:val="20"/>
          <w:szCs w:val="20"/>
          <w:color w:val="auto"/>
        </w:rPr>
      </w:pPr>
    </w:p>
    <w:p>
      <w:pPr>
        <w:ind w:right="80" w:firstLine="486"/>
        <w:spacing w:after="0" w:line="244" w:lineRule="auto"/>
        <w:rPr>
          <w:sz w:val="20"/>
          <w:szCs w:val="20"/>
          <w:color w:val="auto"/>
        </w:rPr>
      </w:pPr>
      <w:r>
        <w:rPr>
          <w:rFonts w:ascii="Times New Roman" w:cs="Times New Roman" w:eastAsia="Times New Roman" w:hAnsi="Times New Roman"/>
          <w:sz w:val="18"/>
          <w:szCs w:val="18"/>
          <w:color w:val="auto"/>
        </w:rPr>
        <w:t>We are developing our investigational plasma kallikrein inhibitor, avoralstat, with Clearside Biomedical, Inc.’s SCS Microinjector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to deliver avoralstat to the back of the eye through the suprachoroidal space to treat patients with diabetic macular edema (“DME”). DME is the most common cause of vision loss in individuals with diabetes, and at least one-third of patients have persistent DME despite anti-vascular endothelial growth factor therapies, which are administered via monthly injection. Avoralstat, which was previously studied in an oral formulation in a phase 3 trial in patients with HAE, has high potency and low solubility, two characteristics we believe are important to achieving potential efficacy with reduced dosing frequency in the eye for DME patients.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 and Expenses</w:t>
      </w:r>
    </w:p>
    <w:p>
      <w:pPr>
        <w:spacing w:after="0" w:line="202"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Our revenues are difficult to predict and depend on several factors, including those discussed in the “Risk Factors” section in Part II, Item 1A of this report. For example, our revenues depend, in part, on regulatory approval decisions for our products and product candidates, the effectiveness of our and our collaborative partners’ commercialization efforts, market acceptance of our products, particularly ORLADEYO, and the resources dedicated to our products and product candidates by us and our collaborative partners, as well as entering into or modifying licensing agreements for our product candidates. Furthermore, revenues related to our collaborative development activities are dependent upon the progress toward, and the achievement of, developmental milestones by us or our collaborative partners.</w:t>
      </w:r>
    </w:p>
    <w:p>
      <w:pPr>
        <w:spacing w:after="0" w:line="147" w:lineRule="exact"/>
        <w:rPr>
          <w:sz w:val="20"/>
          <w:szCs w:val="20"/>
          <w:color w:val="auto"/>
        </w:rPr>
      </w:pPr>
    </w:p>
    <w:p>
      <w:pPr>
        <w:ind w:right="220" w:firstLine="486"/>
        <w:spacing w:after="0" w:line="261" w:lineRule="auto"/>
        <w:rPr>
          <w:sz w:val="20"/>
          <w:szCs w:val="20"/>
          <w:color w:val="auto"/>
        </w:rPr>
      </w:pPr>
      <w:r>
        <w:rPr>
          <w:rFonts w:ascii="Times New Roman" w:cs="Times New Roman" w:eastAsia="Times New Roman" w:hAnsi="Times New Roman"/>
          <w:sz w:val="18"/>
          <w:szCs w:val="18"/>
          <w:color w:val="auto"/>
        </w:rPr>
        <w:t>Our operating expenses are also difficult to predict and depend on several factors, including research and development expenses, drug manufacturing, clinical research activities, the ongoing requirements of our development programs, the costs of commercialization, the availability of capital and direction from regulatory agencies, which are difficult to predict, and the factors discussed in the “Risk Factors” section in Part II, Item 1A of this report. Management may be able to control the timing and level of research and development and selling, general and administrative expenses,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but many of these expenditures will occur irrespective of our actions due to contractually committed activities and/or payments.</w:t>
      </w:r>
    </w:p>
    <w:p>
      <w:pPr>
        <w:spacing w:after="0" w:line="198"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As a result of these factors, we believe that period-to-period comparisons are not necessarily meaningful, and you should not rely on them as an indication of future performance. Due to the foregoing factors, it is possible that our operating results will be below the expectations of market analysts and investors. In such event, the prevailing market price of our common stock could be materially adversely affected.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ORLADEYO (berotralstat)</w:t>
      </w:r>
    </w:p>
    <w:p>
      <w:pPr>
        <w:spacing w:after="0" w:line="200" w:lineRule="exact"/>
        <w:rPr>
          <w:sz w:val="20"/>
          <w:szCs w:val="20"/>
          <w:color w:val="auto"/>
        </w:rPr>
      </w:pPr>
    </w:p>
    <w:p>
      <w:pPr>
        <w:ind w:right="240" w:firstLine="486"/>
        <w:spacing w:after="0" w:line="282" w:lineRule="auto"/>
        <w:rPr>
          <w:sz w:val="20"/>
          <w:szCs w:val="20"/>
          <w:color w:val="auto"/>
        </w:rPr>
      </w:pPr>
      <w:r>
        <w:rPr>
          <w:rFonts w:ascii="Times New Roman" w:cs="Times New Roman" w:eastAsia="Times New Roman" w:hAnsi="Times New Roman"/>
          <w:sz w:val="18"/>
          <w:szCs w:val="18"/>
          <w:color w:val="auto"/>
        </w:rPr>
        <w:t>On February 19, 2024, we announced that the Italian Medicines Agency finalized reimbursement and recommended ORLADEYO for the routine prevention of recurrent attacks of HAE in eligible patients 12 years and older.</w:t>
      </w:r>
    </w:p>
    <w:p>
      <w:pPr>
        <w:spacing w:after="0" w:line="121"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On February 23, 2024, we announced new analyses of real-world use of ORLADEYO that showed patients who initiated ORLADEYO experienced rapid, substantial and sustained reductions in attack rates through 18 months of treatment regardless of the severity of their disease, their history of prior prophylaxis or their C1-inhibitor level and function.</w:t>
      </w:r>
    </w:p>
    <w:p>
      <w:pPr>
        <w:spacing w:after="0" w:line="135" w:lineRule="exact"/>
        <w:rPr>
          <w:sz w:val="20"/>
          <w:szCs w:val="20"/>
          <w:color w:val="auto"/>
        </w:rPr>
      </w:pPr>
    </w:p>
    <w:p>
      <w:pPr>
        <w:ind w:right="440" w:firstLine="486"/>
        <w:spacing w:after="0" w:line="282" w:lineRule="auto"/>
        <w:rPr>
          <w:sz w:val="20"/>
          <w:szCs w:val="20"/>
          <w:color w:val="auto"/>
        </w:rPr>
      </w:pPr>
      <w:r>
        <w:rPr>
          <w:rFonts w:ascii="Times New Roman" w:cs="Times New Roman" w:eastAsia="Times New Roman" w:hAnsi="Times New Roman"/>
          <w:sz w:val="18"/>
          <w:szCs w:val="18"/>
          <w:color w:val="auto"/>
        </w:rPr>
        <w:t>On April 17, 2024, we announced that the Brazilian Health Regulatory Agency granted approval for ORLADEYO for the prophylaxis of HAE attacks in adults and pediatric patients 12 years of age or older.</w:t>
      </w:r>
    </w:p>
    <w:p>
      <w:pPr>
        <w:spacing w:after="0" w:line="135"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On May 6, 2024, we announced that enrollment is complete in the APeX-P trial evaluating ORLADEYO in pediatric HAE patients who are 2 to &lt;12 years of age. We believe data from the trial will support a regulatory filing in 2025 to expand the ORLADEYO label to enable children as young as two years of age to receive ORLADEYO. ORLADEYO would be the first oral prophylactic therapy for children with HAE.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Complement-Mediated Diseases</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BCX10013</w:t>
      </w:r>
    </w:p>
    <w:p>
      <w:pPr>
        <w:spacing w:after="0" w:line="200"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On May 6, 2024, we announced that our ongoing proof-of-concept trial with BCX10013 remains on track. We expect to partner or discontinue the program later this year.</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Netherton Syndrome</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On May 6, 2024, we announced that we expect to advance BCX17725 into the clinic by the end of 2024.</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Avoralstat</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On May 6, 2024, we announced that we plan to advance avoralstat into a clinical trial of patients with DME in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(three months ended March 31, 2024 compared to the three months ended March 31, 2023)</w:t>
      </w:r>
    </w:p>
    <w:p>
      <w:pPr>
        <w:spacing w:after="0" w:line="20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For the three months ended March 31, 2024, total revenues were $92.8 million as compared to $68.8 million for the three months ended March 31,</w:t>
      </w:r>
    </w:p>
    <w:p>
      <w:pPr>
        <w:spacing w:after="0" w:line="27" w:lineRule="exact"/>
        <w:rPr>
          <w:sz w:val="20"/>
          <w:szCs w:val="20"/>
          <w:color w:val="auto"/>
        </w:rPr>
      </w:pPr>
    </w:p>
    <w:p>
      <w:pPr>
        <w:ind w:right="380"/>
        <w:spacing w:after="0" w:line="260" w:lineRule="auto"/>
        <w:rPr>
          <w:sz w:val="20"/>
          <w:szCs w:val="20"/>
          <w:color w:val="auto"/>
        </w:rPr>
      </w:pPr>
      <w:r>
        <w:rPr>
          <w:rFonts w:ascii="Times New Roman" w:cs="Times New Roman" w:eastAsia="Times New Roman" w:hAnsi="Times New Roman"/>
          <w:sz w:val="18"/>
          <w:szCs w:val="18"/>
          <w:color w:val="auto"/>
        </w:rPr>
        <w:t>2023. The increase in total revenues was due to an increase of $20.5 million in ORLADEYO net revenue, including royalties, and an increase in other revenues of $3.5 million due to an increase in royalties for sales of peramivir.</w:t>
      </w:r>
    </w:p>
    <w:p>
      <w:pPr>
        <w:spacing w:after="0" w:line="141"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Cost of product sales for the three months ended March 31, 2024 and 2023 was $1.3 million and $0.9 million, respectively. The increase in cost of product sales was primarily due to an increase in ORLADEYO sales in the current year period.</w:t>
      </w: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periods indicated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1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 by program:</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Berotralstat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11,958</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9,501</w:t>
            </w:r>
          </w:p>
        </w:tc>
      </w:tr>
      <w:tr>
        <w:trPr>
          <w:trHeight w:val="229"/>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Factor D Program</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26,185</w:t>
            </w:r>
          </w:p>
        </w:tc>
      </w:tr>
      <w:tr>
        <w:trPr>
          <w:trHeight w:val="230"/>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Peramivir</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r>
      <w:tr>
        <w:trPr>
          <w:trHeight w:val="229"/>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research, preclinical and development costs</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12,295</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46,493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48,388</w:t>
            </w:r>
          </w:p>
        </w:tc>
      </w:tr>
      <w:tr>
        <w:trPr>
          <w:trHeight w:val="20"/>
        </w:trPr>
        <w:tc>
          <w:tcPr>
            <w:tcW w:w="8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Research and development expenses decreased to $46.5 million for the three months ended March 31, 2024 from $48.4 million for the three months ended March 31, 2023, primarily due to a decrease in Factor D program expenses. This decrease in Factor D program expenses was primarily attributed to decreased spending on BCX10013 due to our plan to either out-license or discontinue late-stage development and commercialization, which was announced in January 2024, as well as the discontinuation of the BCX9930 program, which was announced in December 2022. These reductions to research and development expenses were partially offset by increased spending on berotralstat due to ORLADEYO label expansion and life cycle investments, such as our ongoing ORLADEYO pediatric trial, and increased spending on other research, preclinical and development costs. Other research, preclinical and development costs increased due to increased spending on BCX17725 for manufacturing costs and investigational new drug application-enabling activities and increased spending related to our other early-stage discovery programs.</w:t>
      </w:r>
    </w:p>
    <w:p>
      <w:pPr>
        <w:spacing w:after="0" w:line="151"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for the three months ended March 31, 2024 were $59.4 million compared to $47.9 million for the three months ended March 31, 2023. The increase was primarily related to increased headcount and increased investment in order to expand and enhance the U.S. commercial team and expand and support international operations.</w:t>
      </w:r>
    </w:p>
    <w:p>
      <w:pPr>
        <w:spacing w:after="0" w:line="135"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Interest expense for the three months ended March 31, 2024 was $24.5 million compared to $27.4 million for the three months ended March 31, 2023. The decrease in interest expense was primarily due to the decrease in the effective interest rate related to the 2021 RPI Royalty Purchase Agreement (as defined in “Note 6—Royalty Financing Obligations—ORLADEYO and Factor D Inhibitors” in the Notes to Condensed Consolidated Financial Statements in Part I, Item 1 of this report), partially offset by an increase in interest expense associated with the interest accrued on the larger Tranche A Loan of $300.0 million under the Pharmakon Loan Agreement (as defined below).</w:t>
      </w:r>
    </w:p>
    <w:p>
      <w:pPr>
        <w:spacing w:after="0" w:line="156"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Interest expense for the three months ended March 31, 2024 included $14.2 million of non-cash interest expense due to the amortization of interest associated with the royalty financing obligations and $10.2 million of interest expense, including the amortization of the deferred financing associated with the borrowings under the Pharmakon Loan Agreement. Interest expense for the three months ended March 31, 2023 included $19.3 million of non-cash interest expense due to the amortization of interest associated with the royalty financing obligations and $8.0 million of interest expense, net of deferred financing amortization, associated with the borrowings under the Athyrium Credit Agreement (as defined below).</w:t>
      </w:r>
    </w:p>
    <w:p>
      <w:pPr>
        <w:spacing w:after="0" w:line="143" w:lineRule="exact"/>
        <w:rPr>
          <w:sz w:val="20"/>
          <w:szCs w:val="20"/>
          <w:color w:val="auto"/>
        </w:rPr>
      </w:pPr>
    </w:p>
    <w:p>
      <w:pPr>
        <w:jc w:val="both"/>
        <w:ind w:right="80" w:firstLine="486"/>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2024, interest income was $4.0 million compared to $3.4 million for the three months ended March 31, 2023. Net foreign currency losses were $0.1 million for the three months ended March 31, 2024 compared to $0.2 million for the three months ended March 31, 2023.</w:t>
      </w:r>
    </w:p>
    <w:p>
      <w:pPr>
        <w:spacing w:after="0" w:line="135" w:lineRule="exact"/>
        <w:rPr>
          <w:sz w:val="20"/>
          <w:szCs w:val="20"/>
          <w:color w:val="auto"/>
        </w:rPr>
      </w:pPr>
    </w:p>
    <w:p>
      <w:pPr>
        <w:ind w:right="200" w:firstLine="486"/>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2024, income tax expense was $0.4 million compared to $0.7 million for the three months ended March 31, 2023. The decrease in income tax expense is primarily due to an increase in the amortization deduction related to capitalized research and development costs.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89"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Our operations have principally been funded through public offerings and private placements of equity securities; our credit facilities; revenues from ORLADEYO; royalty financing transactions; and cash from collaborative and other research and development agreements, including U.S. Government contracts. In addition to the above, we have received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funding from other sources, including other collaborative and other research and development agreements, government grants, equipment lease financing, facility leases, research grants, and interest income on our investments.</w:t>
      </w:r>
    </w:p>
    <w:p>
      <w:pPr>
        <w:spacing w:after="0" w:line="135"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On April 17, 2023, we entered into a $450.0 million Loan Agreement (the “Pharmakon Loan Agreement”) with BioPharma Credit Investments V (Master) LP and BPCR Limited Partnership, as lenders, and BioPharma Credit PLC, as collateral agent for the lenders. The Pharmakon Loan Agreement provides for an initial term loan in the principal amount of $300.0 million (the “Tranche A Loan”), which was funded on April 17, 2023. We utilized the proceeds from the Tranche A Loan to repay the approximate $241.8 million of outstanding indebtedness under the then-existing credit facility with Athyrium Opportunities III Co-Invest 1 LP (the “Athyrium Credit Agreement”) and to pay transaction costs and fees, and we used the remaining net proceeds of approximately $25.8 million for other general corporate purposes. The Pharmakon Loan Agreement also provides for three additional term loan tranches in principal amounts of $50.0 million each, which we may request, at our option, on or prior to September 30, 2024. The maturity date of the Pharmakon Loan Agreement is April 17, 2028.</w:t>
      </w:r>
    </w:p>
    <w:p>
      <w:pPr>
        <w:spacing w:after="0" w:line="15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Pharmakon Loan Agreement contains representations and warranties and affirmative and negative covenants customary for financings of this</w:t>
      </w:r>
    </w:p>
    <w:p>
      <w:pPr>
        <w:spacing w:after="0" w:line="5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type, as well as customary events of default. Certain of the customary negative covenants limit the ability of the Company and certain of its subsidiaries to, among other things, dispose of assets; engage in mergers, acquisitions, and similar transactions; incur additional indebtedness; grant liens; make investments; pay dividends or make distributions or certain other restricted payments in respect of equity; prepay other indebtedness; enter into restrictive agreements; undertake fundamental changes; or amend certain material contracts, among other customary covenants, in each case subject to certain exceptions. These covenants could cause us to be unable to pursue business opportunities that we or our stockholders may consider beneficial without the lenders’ permission or without repaying all obligations outstanding under the Pharmakon Loan Agreement. A breach of any of these covenants could result in an event of default under the Pharmakon Loan Agreement. As of March 31, 2024, we were in compliance with the negative covenants under the Pharmakon Loan Agreement. See “Note 7—Debt—Pharmakon Loan Agreement” in the Notes to Condensed Consolidated Financial Statements in Part I, Item 1 of this report for additional information about our obligations under the Pharmakon Loan Agreement.</w:t>
      </w:r>
    </w:p>
    <w:p>
      <w:pPr>
        <w:spacing w:after="0" w:line="161"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In 2020 and 2021, we entered into the Royalty Purchase Agreements (as defined in “Note 6—Royalty Financing Obligations—ORLADEYO and Factor D Inhibitors” in the Notes to Condensed Consolidated Financial Statements in Part I, Item 1 of this report) with RPI 2019 Intermediate Finance Trust (“RPI”) and OCM IP Healthcare Holdings Limited, an affiliate of OMERS Capital Markets (“OMERS”). Under the Royalty Purchase Agreements, RPI and OMERS are entitled to receive tiered, sales-based royalties on net product sales of ORLADEYO in the United States and certain key European markets (collectively, the “Key Territories”), and other markets where we sell ORLADEYO directly or through distributors. In addition, RPI and OMERS are entitled to receive a tiered revenue share on amounts generally received by us on account of ORLADEYO sublicense revenue or net sales by licensees outside of the Key Territories. Our required payments to OMERS commenced with the calendar quarter beginning October 1, 2023. See “Note 6—Royalty Financing Obligations—ORLADEYO and Factor D Inhibitors” in the Notes to Condensed Consolidated Financial Statements in Part I, Item 1 of this report for additional information about these financing transactions.</w:t>
      </w:r>
    </w:p>
    <w:p>
      <w:pPr>
        <w:spacing w:after="0" w:line="148" w:lineRule="exact"/>
        <w:rPr>
          <w:sz w:val="20"/>
          <w:szCs w:val="20"/>
          <w:color w:val="auto"/>
        </w:rPr>
      </w:pPr>
    </w:p>
    <w:p>
      <w:pPr>
        <w:ind w:right="480" w:firstLine="486"/>
        <w:spacing w:after="0" w:line="282" w:lineRule="auto"/>
        <w:rPr>
          <w:sz w:val="20"/>
          <w:szCs w:val="20"/>
          <w:color w:val="auto"/>
        </w:rPr>
      </w:pPr>
      <w:r>
        <w:rPr>
          <w:rFonts w:ascii="Times New Roman" w:cs="Times New Roman" w:eastAsia="Times New Roman" w:hAnsi="Times New Roman"/>
          <w:sz w:val="18"/>
          <w:szCs w:val="18"/>
          <w:color w:val="auto"/>
        </w:rPr>
        <w:t>Our principal sources of liquidity at March 31, 2024 were approximately $84.3 million in cash and cash equivalents and approximately $252.2 million in investments considered available-for-sale.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cash flows for each period presented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6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5260" w:type="dxa"/>
            <w:vAlign w:val="bottom"/>
            <w:tcBorders>
              <w:bottom w:val="single" w:sz="8" w:color="CCEEFF"/>
            </w:tcBorders>
          </w:tcPr>
          <w:p>
            <w:pPr>
              <w:spacing w:after="0"/>
              <w:rPr>
                <w:sz w:val="19"/>
                <w:szCs w:val="19"/>
                <w:color w:val="auto"/>
              </w:rPr>
            </w:pPr>
          </w:p>
        </w:tc>
        <w:tc>
          <w:tcPr>
            <w:tcW w:w="29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2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31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(53,684)</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(47,512)</w:t>
            </w: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2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(107,109)</w:t>
            </w:r>
          </w:p>
        </w:tc>
        <w:tc>
          <w:tcPr>
            <w:tcW w:w="0" w:type="dxa"/>
            <w:vAlign w:val="bottom"/>
          </w:tcPr>
          <w:p>
            <w:pPr>
              <w:spacing w:after="0"/>
              <w:rPr>
                <w:sz w:val="1"/>
                <w:szCs w:val="1"/>
                <w:color w:val="auto"/>
              </w:rPr>
            </w:pPr>
          </w:p>
        </w:tc>
      </w:tr>
      <w:tr>
        <w:trPr>
          <w:trHeight w:val="230"/>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2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5,077</w:t>
            </w: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on cash, cash equivalents, and restricted cash</w:t>
            </w:r>
          </w:p>
        </w:tc>
        <w:tc>
          <w:tcPr>
            <w:tcW w:w="29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23"/>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29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(26,316)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(149,640)</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920" w:type="dxa"/>
            <w:vAlign w:val="bottom"/>
            <w:vMerge w:val="restart"/>
          </w:tcPr>
          <w:p>
            <w:pPr>
              <w:jc w:val="right"/>
              <w:ind w:right="2370"/>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526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260" w:type="dxa"/>
            <w:vAlign w:val="bottom"/>
            <w:tcBorders>
              <w:bottom w:val="single" w:sz="8" w:color="9A9A9A"/>
            </w:tcBorders>
          </w:tcPr>
          <w:p>
            <w:pPr>
              <w:spacing w:after="0"/>
              <w:rPr>
                <w:sz w:val="8"/>
                <w:szCs w:val="8"/>
                <w:color w:val="auto"/>
              </w:rPr>
            </w:pPr>
          </w:p>
        </w:tc>
        <w:tc>
          <w:tcPr>
            <w:tcW w:w="29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During the three months ended March 31, 2024, net cash used in operating activities of $53.7 million consisted primarily of a net loss of</w:t>
      </w:r>
    </w:p>
    <w:p>
      <w:pPr>
        <w:spacing w:after="0" w:line="27" w:lineRule="exact"/>
        <w:rPr>
          <w:sz w:val="20"/>
          <w:szCs w:val="20"/>
          <w:color w:val="auto"/>
        </w:rPr>
      </w:pPr>
    </w:p>
    <w:p>
      <w:pPr>
        <w:jc w:val="both"/>
        <w:ind w:right="80"/>
        <w:spacing w:after="0" w:line="255" w:lineRule="auto"/>
        <w:rPr>
          <w:sz w:val="20"/>
          <w:szCs w:val="20"/>
          <w:color w:val="auto"/>
        </w:rPr>
      </w:pPr>
      <w:r>
        <w:rPr>
          <w:rFonts w:ascii="Times New Roman" w:cs="Times New Roman" w:eastAsia="Times New Roman" w:hAnsi="Times New Roman"/>
          <w:sz w:val="18"/>
          <w:szCs w:val="18"/>
          <w:color w:val="auto"/>
        </w:rPr>
        <w:t>$35.4 million and $48.5 million of changes in operating assets and liabilities, primarily due to a decrease in accounts payable and accrued expenses and an increase in accounts receivable, partially offset by $30.2 million of non-cash items, including $19.4 million of non-cash interest expense and $13.7 million of stock-based compensation expense.</w:t>
      </w:r>
    </w:p>
    <w:p>
      <w:pPr>
        <w:spacing w:after="0" w:line="14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During the three months ended March 31, 2023, net cash used in operating activities of $47.5 million consisted primarily of a net loss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$53.3 million and $27.7 million of changes in operating assets and liabilities, primarily due to a decrease in accounts payable and accrued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partially offset by $33.5 million of non-cash items, including $20.2 million of non-cash interest expense and $14.0 million of stock-based compensation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4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net cash provided by investing activities of $28.8 million primarily related to sales and maturities of investment securities, partially offset by purchases of investment securities.</w:t>
      </w:r>
    </w:p>
    <w:p>
      <w:pPr>
        <w:spacing w:after="0" w:line="162"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2023, net cash used in investing activities of $107.1 million primarily related to purchases of investment securities, partially offset by sales and maturities of investment securities.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87" w:lineRule="exact"/>
        <w:rPr>
          <w:sz w:val="20"/>
          <w:szCs w:val="20"/>
          <w:color w:val="auto"/>
        </w:rPr>
      </w:pPr>
    </w:p>
    <w:p>
      <w:pPr>
        <w:ind w:right="240" w:firstLine="486"/>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net cash used in financing activities of $1.0 million consisted of withholding taxes paid on stock-based awards and principal payments on finance lease liabilities, partially offset by net proceeds from common stock issued under stock-based compensation plans and common stock issued to directors in lieu of cash retainer.</w:t>
      </w:r>
    </w:p>
    <w:p>
      <w:pPr>
        <w:spacing w:after="0" w:line="135" w:lineRule="exact"/>
        <w:rPr>
          <w:sz w:val="20"/>
          <w:szCs w:val="20"/>
          <w:color w:val="auto"/>
        </w:rPr>
      </w:pPr>
    </w:p>
    <w:p>
      <w:pPr>
        <w:ind w:right="260" w:firstLine="486"/>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2023, net cash provided by financing activities of $5.1 million consisted of net proceeds from common stock issued under stock-based compensation plans.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Plan of Operation and Future Funding Requirements</w:t>
      </w:r>
    </w:p>
    <w:p>
      <w:pPr>
        <w:spacing w:after="0" w:line="189"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We intend to contain costs and cash flow requirements by closely managing our third-party costs and headcount, leasing scientific equipment and facilities, contracting with other parties to conduct certain research and development projects, and using consultants. In addition, we reduced the size of our research and development organization and postponed previously planned capital expenditures at our Discovery Center in Alabama in January 2024, which we believe will help accelerate our path to profitability.</w:t>
      </w:r>
    </w:p>
    <w:p>
      <w:pPr>
        <w:spacing w:after="0" w:line="139"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We expect to incur additional expenses, potentially resulting in significant losses, as we continue to pursue our research and development activities, commercialize ORLADEYO, and hire additional personnel. We may incur additional expenses related to the filing, prosecution, maintenance, defense, and enforcement of patent and other intellectual property claims and additional regulatory costs as our clinical programs advance through later stages of development or as regulatory exclusivity for our products expires. The objective of our investment policy is to ensure the safety and preservation of invested funds, as well as to maintain liquidity sufficient to meet cash flow requirements. We place our excess cash with high credit quality financial institutions, commercial companies, and government agencies in order to limit the amount of our credit exposure. We have not realized any significant losses on our investments.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the future, we may finance our needs principally from the following:</w:t>
      </w:r>
    </w:p>
    <w:p>
      <w:pPr>
        <w:spacing w:after="0" w:line="185" w:lineRule="exact"/>
        <w:rPr>
          <w:sz w:val="20"/>
          <w:szCs w:val="20"/>
          <w:color w:val="auto"/>
        </w:rPr>
      </w:pPr>
    </w:p>
    <w:p>
      <w:pPr>
        <w:ind w:left="1140" w:hanging="322"/>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existing capital resources and interest earned on that capital;</w:t>
      </w:r>
    </w:p>
    <w:p>
      <w:pPr>
        <w:spacing w:after="0" w:line="2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from product sales;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under current or future collaborative and licensing agreements with corporate partners;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royalty, or loan financing; and</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or private equity and/or debt financing.</w:t>
      </w:r>
    </w:p>
    <w:p>
      <w:pPr>
        <w:spacing w:after="0" w:line="166"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Our current and planned clinical trials, plus the related development, manufacturing, regulatory approval process requirements, and additional personnel resources and testing required for the continuing development of our product candidates and the commercialization of our products will consume significant capital resources and could increase our expenses.</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Our expenses, revenues and cash utilization rate could vary significantly depending on many factors, including the development progress of our collaborative agreements for our product candidates, the amount of funding or assistance, if any, we receive from new partnerships with third parties for the development and/or commercialization of our products and product candidates, the progress and results of our current and proposed clinical trials for our most advanced product candidates, the progress made in the manufacturing of our lead product candidates, the success of our commercialization efforts for, and market acceptance of, our products, and the overall progression of our other programs.</w:t>
      </w:r>
    </w:p>
    <w:p>
      <w:pPr>
        <w:spacing w:after="0" w:line="156"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Based on our expectations for revenue and operating expenses, we believe our financial resources will be sufficient to fund our operations for at least the next 12 months, and we have no immediate intentions to access the capital markets or draw down additional debt available to us. However, we have sustained operating losses for the majority of our corporate history and expect that our total 2024 expenses (including stock-based compensation expense) will exceed our total 2024 revenues. We expect to continue to incur operating losses and negative cash flows until revenues reach a level sufficient to support ongoing operations. Our liquidity needs will be largely determined by the success of operations in regard to the successful commercialization of our products and the future progression of our product candidates. We regularly evaluate other opportunities to fund future operations, including: (1) out-licensing rights to certain of our products or product candidates, pursuant to which we would receive cash milestone payments; (2) royalty or other monetization transactions; (3) obtaining additional product candidate regulatory approvals, which would generate revenue, milestone payments and cash flow; (4) reducing spending on one or more research and development programs, including by discontinuing development; (5) restructuring operations to change our overhead structure; and/or (6) securing U.S. Government funding of our programs, including obtaining procurement contracts. We may, in the future, issue securities, including common stock, preferred stock, depositary shares, purchase contracts, warrants, debt securities, and units, through private placement transactions or registered public offerings. Our future liquidity needs, and our ability to address those needs, will largely be determined by the success of our products and product candidates; the timing, scope, and magnitude of our research and development and commercial expenses; and key developments and regulatory events and our decisions in the future.</w:t>
      </w:r>
    </w:p>
    <w:p>
      <w:pPr>
        <w:spacing w:after="0" w:line="15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long-term capital requirements and the adequacy of our available funds will depend upon many factors, including:</w:t>
      </w:r>
    </w:p>
    <w:p>
      <w:pPr>
        <w:spacing w:after="0" w:line="185" w:lineRule="exact"/>
        <w:rPr>
          <w:sz w:val="20"/>
          <w:szCs w:val="20"/>
          <w:color w:val="auto"/>
        </w:rPr>
      </w:pPr>
    </w:p>
    <w:p>
      <w:pPr>
        <w:ind w:left="1140" w:hanging="322"/>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approved products and successful commercialization of such products by either us or our partners;</w:t>
      </w:r>
    </w:p>
    <w:p>
      <w:pPr>
        <w:spacing w:after="0" w:line="2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receive reimbursement and stockpiling procurement contracts;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and magnitude of our research, drug discovery and development programs;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existing collaborative relationships;</w:t>
      </w:r>
    </w:p>
    <w:p>
      <w:pPr>
        <w:spacing w:after="0" w:line="9" w:lineRule="exact"/>
        <w:rPr>
          <w:rFonts w:ascii="Times New Roman" w:cs="Times New Roman" w:eastAsia="Times New Roman" w:hAnsi="Times New Roman"/>
          <w:sz w:val="18"/>
          <w:szCs w:val="18"/>
          <w:color w:val="auto"/>
        </w:rPr>
      </w:pPr>
    </w:p>
    <w:p>
      <w:pPr>
        <w:ind w:left="1140" w:right="220" w:hanging="322"/>
        <w:spacing w:after="0" w:line="250" w:lineRule="auto"/>
        <w:tabs>
          <w:tab w:leader="none" w:pos="11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additional collaborative relationships with academic institutions, biotechnology or pharmaceutical companies, and governmental agencies or other third parties;</w:t>
      </w:r>
    </w:p>
    <w:p>
      <w:pPr>
        <w:ind w:left="1140" w:right="180" w:hanging="322"/>
        <w:spacing w:after="0" w:line="250" w:lineRule="auto"/>
        <w:tabs>
          <w:tab w:leader="none" w:pos="11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partners will share in the costs associated with the development of our programs or run the development programs themselves;</w:t>
      </w:r>
    </w:p>
    <w:p>
      <w:pPr>
        <w:ind w:left="1140" w:hanging="322"/>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negotiate favorable development and marketing strategic alliances for certain products and product candidates;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decision to build or expand internal development and commercial capabilities;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and results of preclinical studies and clinical trials to identify and develop product candidates;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engage sites and enroll subjects in our clinical trials;</w:t>
      </w:r>
    </w:p>
    <w:p>
      <w:pPr>
        <w:spacing w:after="0" w:line="9" w:lineRule="exact"/>
        <w:rPr>
          <w:rFonts w:ascii="Times New Roman" w:cs="Times New Roman" w:eastAsia="Times New Roman" w:hAnsi="Times New Roman"/>
          <w:sz w:val="18"/>
          <w:szCs w:val="18"/>
          <w:color w:val="auto"/>
        </w:rPr>
      </w:pPr>
    </w:p>
    <w:p>
      <w:pPr>
        <w:ind w:left="1140" w:right="200" w:hanging="322"/>
        <w:spacing w:after="0" w:line="250" w:lineRule="auto"/>
        <w:tabs>
          <w:tab w:leader="none" w:pos="11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manufacturing of our products to support our commercial operations and of our product candidates to support our preclinical research and clinical trials;</w:t>
      </w:r>
    </w:p>
    <w:p>
      <w:pPr>
        <w:ind w:left="1140" w:hanging="322"/>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personnel and related costs to support the development and commercialization of our products and product candidates;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manufacturing of our drug substance and product candidates required for future new drug application (“NDA”) filings;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and technological advances;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costs involved in obtaining regulatory approvals;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post-approval commitments for ORLADEYO, RAPIVAB, and other products that receive regulatory approval; and</w:t>
      </w:r>
    </w:p>
    <w:p>
      <w:pPr>
        <w:spacing w:after="0" w:line="9" w:lineRule="exact"/>
        <w:rPr>
          <w:rFonts w:ascii="Times New Roman" w:cs="Times New Roman" w:eastAsia="Times New Roman" w:hAnsi="Times New Roman"/>
          <w:sz w:val="18"/>
          <w:szCs w:val="18"/>
          <w:color w:val="auto"/>
        </w:rPr>
      </w:pPr>
    </w:p>
    <w:p>
      <w:pPr>
        <w:ind w:left="1140" w:right="880" w:hanging="322"/>
        <w:spacing w:after="0" w:line="260" w:lineRule="auto"/>
        <w:tabs>
          <w:tab w:leader="none" w:pos="11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all aspects of intellectual property strategy and protection, including the costs involved in preparing, filing, prosecuting, maintaining, defending, and enforcing patent claims.</w:t>
      </w:r>
    </w:p>
    <w:p>
      <w:pPr>
        <w:spacing w:after="0" w:line="154"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We may, in the future, be required to raise additional capital to complete the development and commercialization of our products and product candidates, and we may seek to raise capital in the future, including to take advantage of favorable opportunities in the capital markets. Additional funding may not be available when needed or in the form or on terms acceptable to us. Our future working capital requirements, including the need for additional working capital, will</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largely be determined by the advancement of our portfolio of product candidates and the commercialization of ORLADEYO. More specifically, our working capital requirements will be dependent on the number, magnitude, scope and timing of our development programs; regulatory approval of our product candidates; obtaining funding from collaborative partners; the cost, timing and outcome of regulatory reviews, regulatory investigations, and changes in regulatory requirements; the costs of obtaining patent protection for our product candidates; the timing and terms of business development activities; the rate of technological advances relevant to our operations; the efficiency of manufacturing processes developed on our behalf by third parties; the timing, scope and magnitude of commercial spending; and the level of required administrative support for our daily operations. See “Risk Factors— Risks Relating to Our Business—Financial and Liquidity Risks” and “Risk Factors—Risks Relating to Our Business—Risks Relating to Drug Development and Commercialization—If we fail to obtain additional financing or acceptable partnership arrangements if and when needed, we may be unable to complete the development and commercialization of our products and product candidates or continue operations” in Part II, Item 1A of this report for further discussion of the risks related to obtaining additional capital.</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89"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We have established various accounting policies that govern the application of U.S. GAAP, which were utilized in the preparation of our condensed consolidated financial statements. Certain accounting policies involve significant judgments and assumptions by management that have a material impact on the carrying value of certain assets and liabilities. Management considers such accounting policies to be critical accounting policies. The judgments and assumptions used by management are based on historical experience and other factors, which are believed to be reasonable under the circumstances. Because of the nature of the judgments and assumptions made by management, actual results could differ from these judgments and estimates, which could have a material impact on the carrying values of assets and liabilities and the results of operations.</w:t>
      </w:r>
    </w:p>
    <w:p>
      <w:pPr>
        <w:spacing w:after="0" w:line="147"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While our significant accounting policies are more fully described in “Note 1—Significant Accounting Policies and Concentrations of Risk” in the Notes to Condensed Consolidated Financial Statements in Part I, Item 1 of this report, we believe that the following accounting policies are the most critical to aid you in fully understanding and evaluating our reported financial results and affect the more significant judgments and estimates that we use in the preparation of our financial statements.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89" w:lineRule="exact"/>
        <w:rPr>
          <w:sz w:val="20"/>
          <w:szCs w:val="20"/>
          <w:color w:val="auto"/>
        </w:rPr>
      </w:pPr>
    </w:p>
    <w:p>
      <w:pPr>
        <w:ind w:right="160" w:firstLine="486"/>
        <w:spacing w:after="0" w:line="258" w:lineRule="auto"/>
        <w:rPr>
          <w:sz w:val="20"/>
          <w:szCs w:val="20"/>
          <w:color w:val="auto"/>
        </w:rPr>
      </w:pPr>
      <w:r>
        <w:rPr>
          <w:rFonts w:ascii="Times New Roman" w:cs="Times New Roman" w:eastAsia="Times New Roman" w:hAnsi="Times New Roman"/>
          <w:sz w:val="18"/>
          <w:szCs w:val="18"/>
          <w:color w:val="auto"/>
        </w:rPr>
        <w:t>Pursuant to Accounting Standards Codification (“ASC”) Topic 606, we recognize revenue to depict the transfer of promised goods or services to customers in an amount that reflects the consideration to which the entity expects to be entitled in exchange for those goods or services. To achieve this core principle, Topic 606 includes provisions within a five step model that includes (i) identifying the contract with a customer, (ii) identifying the performance obligations in the contract, (iii) determining the transaction price, (iv) allocating the transaction price to the performance obligations, and (v) recognizing revenue when, or as, an entity satisfies a performance obligation.</w:t>
      </w:r>
    </w:p>
    <w:p>
      <w:pPr>
        <w:spacing w:after="0" w:line="143"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At contract inception, we identify the goods or services promised within each contract, assess whether each promised good or service is distinct, and determine those that are performance obligations. We recognize as revenue the amount of the transaction price that is allocated to the respective performance obligation when the performance obligation is satisfied.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Sales, Net</w:t>
      </w:r>
    </w:p>
    <w:p>
      <w:pPr>
        <w:spacing w:after="0" w:line="187"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Our principal sources of product sales are sales of ORLADEYO, which we began shipping to patients in December 2020 and sales of peramivir. In the United States, we ship ORLADEYO directly to patients through a single specialty pharmacy, which is considered our customer. In the European Union, United Kingdom, Canada, Latin America, and elsewhere, we sell ORLADEYO to specialty distributors as well as hospitals and pharmacies, which collectively are considered our customers.</w:t>
      </w:r>
    </w:p>
    <w:p>
      <w:pPr>
        <w:spacing w:after="0" w:line="139"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We recognize revenue for sales when our customers obtain control of the product, which generally occurs upon delivery. For ORLADEYO, we classify payments to our specialty pharmacy customer for certain services provided by our customer as selling, general and administrative expenses to the extent such services provided are determined to be distinct from the sale of our product.</w:t>
      </w:r>
    </w:p>
    <w:p>
      <w:pPr>
        <w:spacing w:after="0" w:line="149" w:lineRule="exact"/>
        <w:rPr>
          <w:sz w:val="20"/>
          <w:szCs w:val="20"/>
          <w:color w:val="auto"/>
        </w:rPr>
      </w:pPr>
    </w:p>
    <w:p>
      <w:pPr>
        <w:ind w:right="200" w:firstLine="486"/>
        <w:spacing w:after="0" w:line="266" w:lineRule="auto"/>
        <w:rPr>
          <w:sz w:val="20"/>
          <w:szCs w:val="20"/>
          <w:color w:val="auto"/>
        </w:rPr>
      </w:pPr>
      <w:r>
        <w:rPr>
          <w:rFonts w:ascii="Times New Roman" w:cs="Times New Roman" w:eastAsia="Times New Roman" w:hAnsi="Times New Roman"/>
          <w:sz w:val="18"/>
          <w:szCs w:val="18"/>
          <w:color w:val="auto"/>
        </w:rPr>
        <w:t>Net revenue from sales of ORLADEYO is recorded at net selling price (transaction price), which includes estimates of variable consideration for which reserves are established for (i) estimated government rebates, such as Medicaid and Medicare Part D reimbursements, and estimated managed care rebates, (ii) estimated chargebacks, (iii) estimated costs of</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co-payment assistance programs and (iv) product returns. These reserves are based on the amounts earned or to be claimed on the related sales and are classified as reductions of accounts receivable or as a current liability. Overall, these reserves reflect our best estimates of the amount of consideration to which we are entitled based on the terms of the applicable contract. The amount of variable consideration included in the transaction price may be constrained and is included in the net sales price only to the extent that it is probable that a significant reversal in the amount of the cumulative revenue recognized will not occur in a future period. Actual amounts of consideration ultimately received may differ from our estimates. If actual results in the future vary from estimates, we adjust these estimates, which would affect net product revenue and earnings in the period such variances become known.</w:t>
      </w:r>
    </w:p>
    <w:p>
      <w:pPr>
        <w:spacing w:after="0" w:line="158"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i w:val="1"/>
          <w:iCs w:val="1"/>
          <w:color w:val="auto"/>
        </w:rPr>
        <w:t>Government and Managed Care Rebates</w:t>
      </w:r>
      <w:r>
        <w:rPr>
          <w:rFonts w:ascii="Times New Roman" w:cs="Times New Roman" w:eastAsia="Times New Roman" w:hAnsi="Times New Roman"/>
          <w:sz w:val="18"/>
          <w:szCs w:val="18"/>
          <w:color w:val="auto"/>
        </w:rPr>
        <w:t>. We contract with government agencies and managed care organizations or, collectively, third-party payors,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 that ORLADEYO will be eligible for purchase by, or partial or full reimbursement from, such third-party payors. We estimate the rebates we will provide to third-party payors and deduct these estimated amounts from total gross product revenues at the time the revenues are recognized. These reserves are recorded in the same period in which the revenue is recognized, resulting in a reduction of product revenue and the establishment of a current liability. We estimate the rebates that we will provide to third-party payors based upon (i) our contracts with these third-party payors, (ii) the government mandated discounts applicable to government-funded programs, (iii) a range of possible outcomes that are probability-weighted for the estimated payor mix, and (iv) product distribution information obtained from our specialty pharmacy.</w:t>
      </w:r>
    </w:p>
    <w:p>
      <w:pPr>
        <w:spacing w:after="0" w:line="142"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Chargebacks</w:t>
      </w:r>
      <w:r>
        <w:rPr>
          <w:rFonts w:ascii="Times New Roman" w:cs="Times New Roman" w:eastAsia="Times New Roman" w:hAnsi="Times New Roman"/>
          <w:sz w:val="18"/>
          <w:szCs w:val="18"/>
          <w:color w:val="auto"/>
        </w:rPr>
        <w:t>. Chargebacks are discounts that occur when certain contracted customers, pharmacy benefit managers, insurance companies,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 programs purchase directly from our specialty pharmacy. These customers purchase our product under contracts negotiated between them and our specialty pharmacy. The specialty pharmacy, in turn, charges back to us the difference between the price the specialty pharmacy paid and the negotiated price paid by the contracted customers, which may be higher or lower than the specialty pharmacy’s purchase price with us. We estimate chargebacks and adjust gross product revenues and accounts receivable based on the estimates at the time revenues are recognized.</w:t>
      </w:r>
    </w:p>
    <w:p>
      <w:pPr>
        <w:spacing w:after="0" w:line="143" w:lineRule="exact"/>
        <w:rPr>
          <w:sz w:val="20"/>
          <w:szCs w:val="20"/>
          <w:color w:val="auto"/>
        </w:rPr>
      </w:pPr>
    </w:p>
    <w:p>
      <w:pPr>
        <w:ind w:right="40"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Co-payment assistance and patient assistance programs</w:t>
      </w:r>
      <w:r>
        <w:rPr>
          <w:rFonts w:ascii="Times New Roman" w:cs="Times New Roman" w:eastAsia="Times New Roman" w:hAnsi="Times New Roman"/>
          <w:sz w:val="18"/>
          <w:szCs w:val="18"/>
          <w:color w:val="auto"/>
        </w:rPr>
        <w:t>. Patients who have commercial insurance and meet certain eligibility requirements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 co-payment assistance. Based upon the terms of the program and co-payment assistance utilization reports received from the specialty pharmacy, we are able to estimate the co-payment assistance amounts, which are recorded in the same period in which the related revenue is recognized, resulting in a reduction of product revenue. We also offer a patient assistance program that provides free drug product, for a limited period of time, to allow a patient’s insurance coverage to be established. Based on patient assistance program utilization reports provided by the specialty pharmacy, we record gross revenue of the product provided and a full reduction of the revenue amount for the free drug discount.</w:t>
      </w:r>
    </w:p>
    <w:p>
      <w:pPr>
        <w:spacing w:after="0" w:line="155" w:lineRule="exact"/>
        <w:rPr>
          <w:sz w:val="20"/>
          <w:szCs w:val="20"/>
          <w:color w:val="auto"/>
        </w:rPr>
      </w:pPr>
    </w:p>
    <w:p>
      <w:pPr>
        <w:ind w:right="140"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Product returns</w:t>
      </w:r>
      <w:r>
        <w:rPr>
          <w:rFonts w:ascii="Times New Roman" w:cs="Times New Roman" w:eastAsia="Times New Roman" w:hAnsi="Times New Roman"/>
          <w:sz w:val="18"/>
          <w:szCs w:val="18"/>
          <w:color w:val="auto"/>
        </w:rPr>
        <w:t>. We do not provide contractual return rights to our customers, except in instances where the product is damaged or defective. Non-acceptance by the patient of shipped drug product by the specialty pharmacy is reflected as a reversal of sales in the period in which the sales were originally recorded. Reserves for estimated non-acceptances by patients are recorded as a reduction of revenue in the period that the related revenue is recognized, as well as a reduction to accounts receivable. Estimates of non-acceptance are based on quantitative information provided by the specialty pharmacy.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Collaborative and Other Revenues</w:t>
      </w:r>
    </w:p>
    <w:p>
      <w:pPr>
        <w:spacing w:after="0" w:line="187" w:lineRule="exact"/>
        <w:rPr>
          <w:sz w:val="20"/>
          <w:szCs w:val="20"/>
          <w:color w:val="auto"/>
        </w:rPr>
      </w:pPr>
    </w:p>
    <w:p>
      <w:pPr>
        <w:ind w:right="320" w:firstLine="486"/>
        <w:spacing w:after="0" w:line="282" w:lineRule="auto"/>
        <w:rPr>
          <w:sz w:val="20"/>
          <w:szCs w:val="20"/>
          <w:color w:val="auto"/>
        </w:rPr>
      </w:pPr>
      <w:r>
        <w:rPr>
          <w:rFonts w:ascii="Times New Roman" w:cs="Times New Roman" w:eastAsia="Times New Roman" w:hAnsi="Times New Roman"/>
          <w:sz w:val="18"/>
          <w:szCs w:val="18"/>
          <w:color w:val="auto"/>
        </w:rPr>
        <w:t>We have collaboration and license agreements with a number of third parties. Our primary sources of revenue from these collaborative and other research and development arrangements are license, service and royalty revenues.</w:t>
      </w:r>
    </w:p>
    <w:p>
      <w:pPr>
        <w:spacing w:after="0" w:line="135" w:lineRule="exact"/>
        <w:rPr>
          <w:sz w:val="20"/>
          <w:szCs w:val="20"/>
          <w:color w:val="auto"/>
        </w:rPr>
      </w:pPr>
    </w:p>
    <w:p>
      <w:pPr>
        <w:jc w:val="both"/>
        <w:ind w:right="100" w:firstLine="486"/>
        <w:spacing w:after="0" w:line="266" w:lineRule="auto"/>
        <w:rPr>
          <w:sz w:val="20"/>
          <w:szCs w:val="20"/>
          <w:color w:val="auto"/>
        </w:rPr>
      </w:pPr>
      <w:r>
        <w:rPr>
          <w:rFonts w:ascii="Times New Roman" w:cs="Times New Roman" w:eastAsia="Times New Roman" w:hAnsi="Times New Roman"/>
          <w:sz w:val="18"/>
          <w:szCs w:val="18"/>
          <w:color w:val="auto"/>
        </w:rPr>
        <w:t>Revenue from license fees, royalty payments, milestone payments, and research and development fees are recognized as revenue when the earnings process is complete and we have no further continuing performance obligations or we have completed the performance obligations under the terms of the agreement.</w:t>
      </w:r>
    </w:p>
    <w:p>
      <w:pPr>
        <w:spacing w:after="0" w:line="135"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Arrangements that involve the delivery of more than one performance obligation are initially evaluated as to whether the intellectual property licenses granted by us represent distinct performance obligations. If they are determined to be distinct, the value of the intellectual property licenses would be recognized up-front while the research and development service fees would be recognized as the performance obligations are satisfied. For performance obligations based on services performed, we measure progress using an input method based on the effort we expend or costs we incur toward the satisfaction of the performance obligation in relation to the total estimated effort or costs. Variable consideration is assessed at each reporting period as to whether it is not subject to significant future reversal and, therefore, should be included in the transaction price at the inception of the contract. If a contract includes a fixed or minimum amount of research and development support, this also would be included in the transaction price. Changes to collaborations, such as</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extensions of the research term or increasing the number of targets or technology covered under an existing agreement, are assessed for whether they represent a modification or should be accounted for as a new contract. For contracts with multiple performance obligations, revenue is allocated to each performance obligation based on its relative standalone selling price. Standalone selling prices are based on observable prices at which we separately sell the products or services. If a standalone selling price is not directly observable, then we estimate the standalone selling price using either an adjusted market assessment approach or an expected cost plus margin approach, representing the amount that we believe the market is willing to pay for the product or service. Analyzing the arrangement to identify performance obligations requires the use of judgment, and each may be an obligation to deliver services, a right or license to use an asset, or another performance obligation.</w:t>
      </w:r>
    </w:p>
    <w:p>
      <w:pPr>
        <w:spacing w:after="0" w:line="162"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Under certain of our license agreements, we receive royalty payments based upon our licensees’ net sales of covered products. Royalties are recognized at the later of when (i) the subsequent sale or usage occurs; or (ii) the performance obligation to which some or all of the sales-based or usage-based royalty has been satisfied.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inventories primarily relate to ORLADEYO. Additionally, our inventory includes RAPIVAB and peramivir.</w:t>
      </w:r>
    </w:p>
    <w:p>
      <w:pPr>
        <w:spacing w:after="0" w:line="198"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We value our inventories at the lower of cost or estimated net realizable value. We determine the cost of our inventories, which includes amounts related to materials, labor, manufacturing overhead and shipping and handling costs on a first-in, first-out (FIFO) basis. Raw materials and work-in-process include all inventory costs prior to packaging and labeling, including raw material, active product ingredient, and the drug product. Finished goods include packaged and labeled products.</w:t>
      </w:r>
    </w:p>
    <w:p>
      <w:pPr>
        <w:spacing w:after="0" w:line="139" w:lineRule="exact"/>
        <w:rPr>
          <w:sz w:val="20"/>
          <w:szCs w:val="20"/>
          <w:color w:val="auto"/>
        </w:rPr>
      </w:pPr>
    </w:p>
    <w:p>
      <w:pPr>
        <w:ind w:right="240" w:firstLine="486"/>
        <w:spacing w:after="0" w:line="266" w:lineRule="auto"/>
        <w:rPr>
          <w:sz w:val="20"/>
          <w:szCs w:val="20"/>
          <w:color w:val="auto"/>
        </w:rPr>
      </w:pPr>
      <w:r>
        <w:rPr>
          <w:rFonts w:ascii="Times New Roman" w:cs="Times New Roman" w:eastAsia="Times New Roman" w:hAnsi="Times New Roman"/>
          <w:sz w:val="18"/>
          <w:szCs w:val="18"/>
          <w:color w:val="auto"/>
        </w:rPr>
        <w:t>Our inventories are subject to expiration dating. At each reporting date, we evaluate the carrying value of our inventories and provide valuation reserves for any estimated obsolete, short-dated or unmarketable inventories. In addition, we may experience spoilage of our raw materials and supplies. Our determination that a valuation reserve might be required, in addition to the quantification of such reserve, requires us to utilize significant judgment.</w:t>
      </w:r>
    </w:p>
    <w:p>
      <w:pPr>
        <w:spacing w:after="0" w:line="13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expense costs related to the production of inventories as research and development expenses in the period incurred until such time it is believed that future economic benefit is expected to be recognized, which generally is reliant upon receipt of regulatory approval. Upon regulatory approval, we capitalize subsequent costs related to the production of inventories.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 and Related Accruals</w:t>
      </w:r>
    </w:p>
    <w:p>
      <w:pPr>
        <w:spacing w:after="0" w:line="189" w:lineRule="exact"/>
        <w:rPr>
          <w:sz w:val="20"/>
          <w:szCs w:val="20"/>
          <w:color w:val="auto"/>
        </w:rPr>
      </w:pPr>
    </w:p>
    <w:p>
      <w:pPr>
        <w:ind w:right="160" w:firstLine="486"/>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include, among other items, personnel costs, including salaries and benefits, manufacturing costs, clinical, regulatory, and toxicology services performed by clinical research organizations (“CROs”), materials and supplies, and overhead allocations consisting of various administrative and facilities related costs, as well as termination fees and other commitments associated with discontinued programs. Most of our manufacturing and clinical and preclinical studies are performed by third-party CROs. Our research and development costs are charged to expense when incurred. Research and development expenses include all direct and indirect development costs related to the development of our portfolio of product candidates.</w:t>
      </w:r>
    </w:p>
    <w:p>
      <w:pPr>
        <w:spacing w:after="0" w:line="147"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Additionally, we have license agreements with third parties, such as Albert Einstein College of Medicine of Yeshiva University, Industrial Research, Ltd., and the University of Alabama at Birmingham (“UAB”), which require fees related to sublicense agreements. We expense sublicense payments as incurred.</w:t>
      </w:r>
    </w:p>
    <w:p>
      <w:pPr>
        <w:spacing w:after="0" w:line="149"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We group our research and development expenses into two major categories: direct external expenses and indirect expenses. Direct expenses consist of compensation for research and development personnel and costs of outside parties to conduct laboratory studies, develop manufacturing processes and manufacture the product candidate, conduct and manage clinical trials, as well as other costs related to our clinical and preclinical studies. Additionally, direct expenses consist of those costs necessary to discontinue and close out a development program, including termination fees and other commitments. These costs are accumulated and tracked by active program. Indirect expenses consist of lab supplies and services, facility expenses, depreciation of development equipment and other overhead of our research and development efforts. These costs apply to work on non-active product candidates and our discovery research efforts.</w:t>
      </w:r>
    </w:p>
    <w:p>
      <w:pPr>
        <w:spacing w:after="0" w:line="148" w:lineRule="exact"/>
        <w:rPr>
          <w:sz w:val="20"/>
          <w:szCs w:val="20"/>
          <w:color w:val="auto"/>
        </w:rPr>
      </w:pPr>
    </w:p>
    <w:p>
      <w:pPr>
        <w:ind w:right="460" w:firstLine="486"/>
        <w:spacing w:after="0" w:line="266" w:lineRule="auto"/>
        <w:rPr>
          <w:sz w:val="20"/>
          <w:szCs w:val="20"/>
          <w:color w:val="auto"/>
        </w:rPr>
      </w:pPr>
      <w:r>
        <w:rPr>
          <w:rFonts w:ascii="Times New Roman" w:cs="Times New Roman" w:eastAsia="Times New Roman" w:hAnsi="Times New Roman"/>
          <w:sz w:val="18"/>
          <w:szCs w:val="18"/>
          <w:color w:val="auto"/>
        </w:rPr>
        <w:t>As part of the process of preparing our consolidated financial statements, we are required to estimate our accrued research and development expenses. This process involves reviewing open contracts and purchase orders, communicating with our personnel and third-party vendors to identify services that have been performed on our behalf and estimating the</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level of service performed and the associated cost incurred for the service when we have not yet been invoiced or otherwise notified of actual cost. The majority of our service providers invoice us monthly in arrears for services performed. We periodically confirm the accuracy of our estimates with the service providers and make adjustments if necessary. When evaluating the adequacy of accrued expenses, we consider facts and circumstances known to us at the time, which can include assumptions such as expected patient enrollment, site activation and estimated project duration. Examples of estimated accrued research and development expenses include (i) fees paid to CROs in connection with preclinical and toxicology studies and clinical trials; (ii) fees paid to investigative sites in connection with clinical trials; (iii) fees paid to contract manufacturers in connection with the production of our raw materials, drug substance, drug products, and product candidates; and (iv) professional fees.</w:t>
      </w:r>
    </w:p>
    <w:p>
      <w:pPr>
        <w:spacing w:after="0" w:line="162"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The financial terms of our agreements are subject to negotiation, vary from contract to contract and may result in uneven payment flows. Payments under some of these contracts depend on factors such as the successful enrollment of patients and the completion of milestones. We record liabilities under these contractual commitments when we determine an obligation has been incurred, regardless of the timing of the invoice. In expensing service fees, we estimate the time period over which services will be performed and the level of effort expended in each period. If the actual timing of the performance of services or the level of effort varies from our estimate, we will adjust the accrual accordingly. If we do not identify costs that we have begun to incur or if we underestimate or overestimate the level of these costs, our actual expenses could differ from our estimates.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89"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All share-based payments, including grants of stock option awards and restricted stock unit awards, are recognized in our Condensed Consolidated Statements of Comprehensive Loss based on their fair values. Stock-based compensation cost is estimated at the grant date based on the fair value of the award and is recognized as expense on a straight-line basis over the requisite service period of the award. Determining the appropriate fair value model and the related assumptions for the model requires judgment, including estimating the life of an award, the stock price volatility, and the expected term. We utilize the Black-Scholes option-pricing model to value our stock option awards and recognize compensation expense on a straight-line basis over the vesting periods. We reduce stock-based compensation expense for estimated forfeitures. The estimation of share-based payment awards that will ultimately vest requires judgment, and to the extent actual results or updated estimates differ from our current estimates, such amounts will be recorded as a cumulative adjustment in the period estimates are revised. In addition, we have outstanding performance-based stock options and restricted stock units for which no compensation expense is recognized until “performance” is deemed to have occurred. Significant management judgment is also required in determining estimates of future stock price volatility and forfeitures to be used in the valuation of the options. Actual results, and future changes in estimates, may differ substantially from our current estimates.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and Royalty Financing Obligations</w:t>
      </w:r>
    </w:p>
    <w:p>
      <w:pPr>
        <w:spacing w:after="0" w:line="189"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The royalty financing obligations are eligible to be repaid based on royalties from net sales of ORLADEYO and BCX10013. Interest expense is accrued using the effective interest rate method over the estimated period each of the related liabilities will be paid. This requires us to estimate the total amount of future royalty payments to be generated from product sales over the life of the agreement. We impute interest on the carrying value of each of the royalty financing obligations and record interest expense using an imputed effective interest rate. We reassess the expected royalty payments each reporting period and account for any changes through an adjustment to the effective interest rate on a prospective basis. The assumptions used in determining the expected repayment term of the debt and amortization period of the issuance costs requires that we make estimates that could impact the carrying value of each of the liabilities, as well as the periods over which associated issuance costs will be amortized. A significant increase or decrease in forecasted net sales could materially impact each of the liability balances, interest expense and the time periods for repayment.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02"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The liability method is used in our accounting for income taxes. Under this method, deferred tax assets and liabilities are determined based on differences between financial reporting and tax bases of assets and liabilities and are measured using the enacted tax rates and laws that are expected to be in effect when the differences are expected to reverse.</w:t>
      </w:r>
    </w:p>
    <w:p>
      <w:pPr>
        <w:spacing w:after="0" w:line="135"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We account for uncertain tax positions in accordance with U.S. GAAP. Significant management judgment is required in determining our provision for income taxes, deferred tax assets and liabilities and any valuation allowance recorded against net deferred tax assets. We have recorded a valuation allowance against substantially all potential tax assets, due to uncertainties in our ability to utilize deferred tax assets, primarily consisting of certain net operating losses</w:t>
      </w: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carried forward, before they expire. The valuation allowance is based on estimates of taxable income in each of the jurisdictions in which we operate and the period over which our deferred tax assets will be recoverable.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89"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“Note 1—Significant Accounting Policies and Concentrations of Risk” in the Notes to Condensed Consolidated Financial Statements included in Part I, Item 1 of this report discusses accounting pronouncements recently issued or proposed but not yet required to be adopted.</w:t>
      </w:r>
    </w:p>
    <w:p>
      <w:pPr>
        <w:spacing w:after="0" w:line="11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89" w:lineRule="exact"/>
        <w:rPr>
          <w:sz w:val="20"/>
          <w:szCs w:val="20"/>
          <w:color w:val="auto"/>
        </w:rPr>
      </w:pPr>
    </w:p>
    <w:p>
      <w:pPr>
        <w:ind w:right="200" w:firstLine="486"/>
        <w:spacing w:after="0" w:line="255" w:lineRule="auto"/>
        <w:rPr>
          <w:sz w:val="20"/>
          <w:szCs w:val="20"/>
          <w:color w:val="auto"/>
        </w:rPr>
      </w:pPr>
      <w:r>
        <w:rPr>
          <w:rFonts w:ascii="Times New Roman" w:cs="Times New Roman" w:eastAsia="Times New Roman" w:hAnsi="Times New Roman"/>
          <w:sz w:val="18"/>
          <w:szCs w:val="18"/>
          <w:color w:val="auto"/>
        </w:rPr>
        <w:t>We are subject to interest rate risk on our investment portfolio and borrowings under our Pharmakon Loan Agreement. The Tranche A Loan under the Pharmakon Loan Agreement accrues interest each quarter at a rate equal to the three-month Secured Overnight Financing Rate (“SOFR”), which is capped to be no less than 1.75%, plus 7.00% or, for each quarterly interest period in which a Pharmakon PIK Interest Payment (as defined in “Note 7— Debt—Pharmakon Loan Agreement” in the Notes to the Condensed Consolidated Financial Statements included in Part I, Item 1 of this report) is made, SOFR plus 7.25%. Accordingly, increases in interest rates will increase the associated interest payments that we are required to make on the Tranche A Loan. For the three months ended March 31, 2024, interest was accrued at an effective rate of 13.34% on the $300.0 million borrowing under the Pharmakon Loan Agreement.</w:t>
      </w:r>
    </w:p>
    <w:p>
      <w:pPr>
        <w:spacing w:after="0" w:line="148"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We invest in marketable securities in accordance with our investment policy. The primary objectives of our investment policy are to preserve capital, maintain proper liquidity to meet operating needs and maximize yields. Our investment policy specifies credit quality standards for our investments and limits the amount of credit exposure to any single issue, issuer or type of investment. We place our excess cash with high credit quality financial institutions, commercial companies, and government agencies in order to limit the amount of credit exposure. Some of the securities we invest in may have market risk. This means that a change in prevailing interest rates may cause the principal amount of the investment to fluctuate.</w:t>
      </w:r>
    </w:p>
    <w:p>
      <w:pPr>
        <w:spacing w:after="0" w:line="156"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Our investment exposure to market risk for changes in interest rates relates to the increase or decrease in the amount of interest income we can earn on our portfolio, changes in the market value due to changes in interest rates and other market factors, as well as the increase or decrease in any realized gains and losses. Our investment portfolio includes only marketable securities and instruments with active secondary or resale markets to help ensure portfolio liquidity. A hypothetical 100 basis point increase or decrease in interest rates along the entire interest rate yield curve would not significantly affect the fair value of our interest sensitive financial instruments, including our borrowings, but may affect our future earnings and cash flows. We generally have the ability to hold our fixed-income investments to maturity and, therefore, do not expect that our operating results, financial position or cash flows will be materially impacted due to a sudden change in interest rates. However, our future investment income may fall short of expectations due to changes in interest rates, or we may suffer losses in principal if forced to sell securities which have declined in market value due to changes in interest rates or other factors, such as changes in credit risk related to the securities’ issuers. To minimize this risk, we schedule our investments to have maturities that coincide with our expected cash flow needs, thus avoiding the need to redeem an investment prior to its maturity date. Accordingly, we do not believe that we have material exposure to interest rate risk arising from our investments. Generally, our investments are not collateralized. We have not realized any significant losses from our investments.</w:t>
      </w:r>
    </w:p>
    <w:p>
      <w:pPr>
        <w:spacing w:after="0" w:line="149" w:lineRule="exact"/>
        <w:rPr>
          <w:sz w:val="20"/>
          <w:szCs w:val="20"/>
          <w:color w:val="auto"/>
        </w:rPr>
      </w:pPr>
    </w:p>
    <w:p>
      <w:pPr>
        <w:ind w:right="340" w:firstLine="486"/>
        <w:spacing w:after="0" w:line="282" w:lineRule="auto"/>
        <w:rPr>
          <w:sz w:val="20"/>
          <w:szCs w:val="20"/>
          <w:color w:val="auto"/>
        </w:rPr>
      </w:pPr>
      <w:r>
        <w:rPr>
          <w:rFonts w:ascii="Times New Roman" w:cs="Times New Roman" w:eastAsia="Times New Roman" w:hAnsi="Times New Roman"/>
          <w:sz w:val="18"/>
          <w:szCs w:val="18"/>
          <w:color w:val="auto"/>
        </w:rPr>
        <w:t>We do not use interest rate derivative instruments to manage exposure to interest rate changes. We ensure the safety and preservation of invested principal funds by limiting default risk, market risk and reinvestment risk. We reduce default risk by investing in investment grade securities.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202" w:lineRule="exact"/>
        <w:rPr>
          <w:sz w:val="20"/>
          <w:szCs w:val="20"/>
          <w:color w:val="auto"/>
        </w:rPr>
      </w:pPr>
    </w:p>
    <w:p>
      <w:pPr>
        <w:ind w:right="120" w:firstLine="486"/>
        <w:spacing w:after="0" w:line="277" w:lineRule="auto"/>
        <w:rPr>
          <w:sz w:val="20"/>
          <w:szCs w:val="20"/>
          <w:color w:val="auto"/>
        </w:rPr>
      </w:pPr>
      <w:r>
        <w:rPr>
          <w:rFonts w:ascii="Times New Roman" w:cs="Times New Roman" w:eastAsia="Times New Roman" w:hAnsi="Times New Roman"/>
          <w:sz w:val="17"/>
          <w:szCs w:val="17"/>
          <w:color w:val="auto"/>
        </w:rPr>
        <w:t>Most of our revenues and expenses are denominated in U.S. dollars. Our commercial sales in Europe are primarily denominated in Euros and the British Pound, and our royalties from Torii are in Japanese Yen. We also had other transactions denominated in foreign currencies during the three months ended March 31, 2024, primarily related to operations in Europe, contract manufacturing and ex-U.S. clinical trial activities, and we expect to continue to do so. Our limited foreign currency exposure relative to our European operations is to fluctuations in the Euro, British Pound, Swiss Franc, Danish Krone, Swedish Krona, and Norwegian Krone. Additionally, we have operations in Canada and have foreign currency exposure relative to the Canadian Dollar.</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420" w:firstLine="486"/>
        <w:spacing w:after="0" w:line="266" w:lineRule="auto"/>
        <w:rPr>
          <w:sz w:val="20"/>
          <w:szCs w:val="20"/>
          <w:color w:val="auto"/>
        </w:rPr>
      </w:pPr>
      <w:r>
        <w:rPr>
          <w:rFonts w:ascii="Times New Roman" w:cs="Times New Roman" w:eastAsia="Times New Roman" w:hAnsi="Times New Roman"/>
          <w:sz w:val="18"/>
          <w:szCs w:val="18"/>
          <w:color w:val="auto"/>
        </w:rPr>
        <w:t>We do not anticipate that foreign currency transaction gains or losses will be significant at our current level of operations. However, transaction gains or losses may become significant in the future as we continue to expand our operations internationally. We have not engaged in foreign currency hedging during the three months ended March 31, 2024; however, we may do so in the future.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Risk</w:t>
      </w:r>
    </w:p>
    <w:p>
      <w:pPr>
        <w:spacing w:after="0" w:line="189" w:lineRule="exact"/>
        <w:rPr>
          <w:sz w:val="20"/>
          <w:szCs w:val="20"/>
          <w:color w:val="auto"/>
        </w:rPr>
      </w:pPr>
    </w:p>
    <w:p>
      <w:pPr>
        <w:ind w:right="320" w:firstLine="486"/>
        <w:spacing w:after="0" w:line="261" w:lineRule="auto"/>
        <w:rPr>
          <w:sz w:val="20"/>
          <w:szCs w:val="20"/>
          <w:color w:val="auto"/>
        </w:rPr>
      </w:pPr>
      <w:r>
        <w:rPr>
          <w:rFonts w:ascii="Times New Roman" w:cs="Times New Roman" w:eastAsia="Times New Roman" w:hAnsi="Times New Roman"/>
          <w:sz w:val="18"/>
          <w:szCs w:val="18"/>
          <w:color w:val="auto"/>
        </w:rPr>
        <w:t>Inflation generally impacts us by potentially increasing our operating expenses, including cost of product sales, clinical trial costs and selling activities. We do not believe that inflation has had a material impact on our business or results of operations during the periods for which the condensed consolidated financial statements are presented in this report. Significant adverse changes in inflation could negatively impact our future results of operations.</w:t>
      </w:r>
    </w:p>
    <w:p>
      <w:pPr>
        <w:spacing w:after="0" w:line="13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02" w:lineRule="exact"/>
        <w:rPr>
          <w:sz w:val="20"/>
          <w:szCs w:val="20"/>
          <w:color w:val="auto"/>
        </w:rPr>
      </w:pPr>
    </w:p>
    <w:p>
      <w:pPr>
        <w:ind w:right="340" w:firstLine="486"/>
        <w:spacing w:after="0" w:line="261" w:lineRule="auto"/>
        <w:rPr>
          <w:sz w:val="20"/>
          <w:szCs w:val="20"/>
          <w:color w:val="auto"/>
        </w:rPr>
      </w:pPr>
      <w:r>
        <w:rPr>
          <w:rFonts w:ascii="Times New Roman" w:cs="Times New Roman" w:eastAsia="Times New Roman" w:hAnsi="Times New Roman"/>
          <w:sz w:val="18"/>
          <w:szCs w:val="18"/>
          <w:color w:val="auto"/>
        </w:rPr>
        <w:t>We have established disclosure controls and procedures designed to ensure that information required to be disclosed in the reports that we file or submit under the Exchange Act is recorded, processed, summarized, and reported within the time periods specified in SEC rules and forms and is accumulated and communicated to management, including the principal executive officer and principal financial officer, to allow timely decisions regarding required disclosure.</w:t>
      </w:r>
    </w:p>
    <w:p>
      <w:pPr>
        <w:spacing w:after="0" w:line="139" w:lineRule="exact"/>
        <w:rPr>
          <w:sz w:val="20"/>
          <w:szCs w:val="20"/>
          <w:color w:val="auto"/>
        </w:rPr>
      </w:pPr>
    </w:p>
    <w:p>
      <w:pPr>
        <w:ind w:right="120" w:firstLine="486"/>
        <w:spacing w:after="0" w:line="256" w:lineRule="auto"/>
        <w:rPr>
          <w:sz w:val="20"/>
          <w:szCs w:val="20"/>
          <w:color w:val="auto"/>
        </w:rPr>
      </w:pPr>
      <w:r>
        <w:rPr>
          <w:rFonts w:ascii="Times New Roman" w:cs="Times New Roman" w:eastAsia="Times New Roman" w:hAnsi="Times New Roman"/>
          <w:sz w:val="18"/>
          <w:szCs w:val="18"/>
          <w:color w:val="auto"/>
        </w:rPr>
        <w:t>Our management, with participation of our Chief Executive Officer and Chief Financial Officer, evaluated the effectiveness of our disclosure controls and procedures as defined in Rules 13a-15(e) and 15d-15(e) under the Exchange Act as of March 31, 2024. Based upon this evaluation, our Chief Executive Officer and Chief Financial Officer concluded that, as of March 31, 2024, our disclosure controls and procedures were not effective due to a material weakness in internal control over financial reporting. Management originally reported the current material weakness, along with another material weakness on November 8, 2023. While remediation measures were promptly implemented resulting in the elimination of one material weakness, the final material weakness remains and is described below.</w:t>
      </w:r>
    </w:p>
    <w:p>
      <w:pPr>
        <w:spacing w:after="0" w:line="147"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We have experienced insufficient staffing resources in our accounting function, which restricts our ability to consistently execute review procedures over financial statement close processes.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Remediation of Material Weakness in Internal Control over Financial Reporting:</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continuing to address this material weakness we have engaged third party experts and undertaken actions in each of the steps identified below:</w:t>
      </w:r>
    </w:p>
    <w:p>
      <w:pPr>
        <w:spacing w:after="0" w:line="206" w:lineRule="exact"/>
        <w:rPr>
          <w:sz w:val="20"/>
          <w:szCs w:val="20"/>
          <w:color w:val="auto"/>
        </w:rPr>
      </w:pPr>
    </w:p>
    <w:p>
      <w:pPr>
        <w:ind w:left="1140" w:hanging="322"/>
        <w:spacing w:after="0"/>
        <w:tabs>
          <w:tab w:leader="none" w:pos="1140"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Hiring, developing, and retaining incremental personnel with appropriate accounting and internal controls expertise;</w:t>
      </w:r>
    </w:p>
    <w:p>
      <w:pPr>
        <w:spacing w:after="0" w:line="13" w:lineRule="exact"/>
        <w:rPr>
          <w:rFonts w:ascii="Arial" w:cs="Arial" w:eastAsia="Arial" w:hAnsi="Arial"/>
          <w:sz w:val="22"/>
          <w:szCs w:val="22"/>
          <w:color w:val="auto"/>
        </w:rPr>
      </w:pPr>
    </w:p>
    <w:p>
      <w:pPr>
        <w:ind w:left="1140" w:hanging="322"/>
        <w:spacing w:after="0" w:line="230" w:lineRule="auto"/>
        <w:tabs>
          <w:tab w:leader="none" w:pos="1140"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Reviewing and updating (as appropriate) the organizational design of the controllership function;</w:t>
      </w:r>
    </w:p>
    <w:p>
      <w:pPr>
        <w:spacing w:after="0" w:line="35" w:lineRule="exact"/>
        <w:rPr>
          <w:rFonts w:ascii="Arial" w:cs="Arial" w:eastAsia="Arial" w:hAnsi="Arial"/>
          <w:sz w:val="22"/>
          <w:szCs w:val="22"/>
          <w:color w:val="auto"/>
        </w:rPr>
      </w:pPr>
    </w:p>
    <w:p>
      <w:pPr>
        <w:ind w:left="1140" w:right="360" w:hanging="322"/>
        <w:spacing w:after="0" w:line="234" w:lineRule="auto"/>
        <w:tabs>
          <w:tab w:leader="none" w:pos="1135"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Reviewing and updating (as appropriate) our methodologies, policies, and procedures designed to ensure adequate internal control over financial reporting, including underlying information technology and business process controls; and</w:t>
      </w:r>
    </w:p>
    <w:p>
      <w:pPr>
        <w:spacing w:after="0" w:line="5" w:lineRule="exact"/>
        <w:rPr>
          <w:rFonts w:ascii="Arial" w:cs="Arial" w:eastAsia="Arial" w:hAnsi="Arial"/>
          <w:sz w:val="22"/>
          <w:szCs w:val="22"/>
          <w:color w:val="auto"/>
        </w:rPr>
      </w:pPr>
    </w:p>
    <w:p>
      <w:pPr>
        <w:ind w:left="1140" w:hanging="322"/>
        <w:spacing w:after="0"/>
        <w:tabs>
          <w:tab w:leader="none" w:pos="1140"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Continuing ongoing (as appropriate) training programs on relevant internal control over financial reporting matters.</w:t>
      </w:r>
    </w:p>
    <w:p>
      <w:pPr>
        <w:spacing w:after="0" w:line="157" w:lineRule="exact"/>
        <w:rPr>
          <w:sz w:val="20"/>
          <w:szCs w:val="20"/>
          <w:color w:val="auto"/>
        </w:rPr>
      </w:pPr>
    </w:p>
    <w:p>
      <w:pPr>
        <w:ind w:left="80" w:right="360" w:firstLine="486"/>
        <w:spacing w:after="0" w:line="282" w:lineRule="auto"/>
        <w:rPr>
          <w:sz w:val="20"/>
          <w:szCs w:val="20"/>
          <w:color w:val="auto"/>
        </w:rPr>
      </w:pPr>
      <w:r>
        <w:rPr>
          <w:rFonts w:ascii="Times New Roman" w:cs="Times New Roman" w:eastAsia="Times New Roman" w:hAnsi="Times New Roman"/>
          <w:sz w:val="18"/>
          <w:szCs w:val="18"/>
          <w:color w:val="auto"/>
        </w:rPr>
        <w:t>This is a high priority for the Company. Management will continue to implement measures to remediate this material weakness, such that these controls are designed, implemented, and operating effectively.</w:t>
      </w:r>
    </w:p>
    <w:p>
      <w:pPr>
        <w:spacing w:after="0" w:line="135" w:lineRule="exact"/>
        <w:rPr>
          <w:sz w:val="20"/>
          <w:szCs w:val="20"/>
          <w:color w:val="auto"/>
        </w:rPr>
      </w:pPr>
    </w:p>
    <w:p>
      <w:pPr>
        <w:ind w:right="260" w:firstLine="486"/>
        <w:spacing w:after="0" w:line="266" w:lineRule="auto"/>
        <w:rPr>
          <w:sz w:val="20"/>
          <w:szCs w:val="20"/>
          <w:color w:val="auto"/>
        </w:rPr>
      </w:pPr>
      <w:r>
        <w:rPr>
          <w:rFonts w:ascii="Times New Roman" w:cs="Times New Roman" w:eastAsia="Times New Roman" w:hAnsi="Times New Roman"/>
          <w:sz w:val="18"/>
          <w:szCs w:val="18"/>
          <w:color w:val="auto"/>
        </w:rPr>
        <w:t>Once implemented, these remediation activities are designed to strengthen our internal control over financial reporting and remediate the material weakness; however, remediation will not be confirmed until management has completed the requisite remediation activities and tested the design and operation of such controls.</w:t>
      </w:r>
    </w:p>
    <w:p>
      <w:pPr>
        <w:spacing w:after="0" w:line="135"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Despite the existence of this material weakness, we believe the condensed consolidated financial statements included in the period covered by this Quarterly Report on Form 10-Q fairly present, in all material respects, our financial condition, results of operations and cash flows for the periods presented in conformity with U.S. GAAP.</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02"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Other than described above, there have been no changes in our internal control over financial reporting that occurred during the quarter ended March 31, 2024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7" w:lineRule="exact"/>
        <w:rPr>
          <w:sz w:val="20"/>
          <w:szCs w:val="20"/>
          <w:color w:val="auto"/>
        </w:rPr>
      </w:pPr>
    </w:p>
    <w:p>
      <w:pPr>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An investment in our stock involves risks. You should carefully read this entire report and consider the following uncertainties and risks, which may adversely affect our business, financial condition or results of operations, along with all of the other information included in our other filings with the SEC, before making an investment decision regarding our common stock.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Financial and Liquidity Risks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losses since our inception and may never be profitable.</w:t>
      </w:r>
    </w:p>
    <w:p>
      <w:pPr>
        <w:spacing w:after="0" w:line="189"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Since our inception, we have not achieved sustained profitability. Our expectations as to when we may achieve profitability may change based upon our ability to execute our commercialization goals and operational initiatives and whether or not the assumptions underlying our projected revenues and expenses are correct. Our beliefs and projections regarding the attainment of our financial goals may differ from actual results based on market factors like competition, patient and physician acceptance of our products, reimbursement levels, or on our ability to execute our operational and budget plans, including management’s ability to properly forecast our capital allocation needs. To achieve and maintain profitability, we, or our collaborative partners, must successfully manufacture and develop products and product candidates, receive regulatory approvals, and successfully commercialize our products and/or enter into profitable commercialization arrangements with other parties. Even if we are able to successfully commercialize our existing products, or to develop or otherwise acquire new commercially viable products, certain obligations we have to third parties, including, without limitation, our obligation to pay RPI and OMERS, as applicable, royalties on certain revenues from ORLADEYO and BCX10013 under the Royalty Purchase Agreements, may reduce the profitability of such products.</w:t>
      </w:r>
    </w:p>
    <w:p>
      <w:pPr>
        <w:spacing w:after="0" w:line="167"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developing our product candidates, launching new products, and their potential for commercialization, we are unable to predict the extent of any future losses. Even if we do achieve profitability, we may not be able to sustain or increase profitability on a quarterly or annual basis. If we are unable to achieve and sustain profitability on our anticipated timeline, or at all, the market value of our common stock will likely decline.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need to raise additional capital in the future. If we are unable to raise capital if and when needed, we may need to adjust our operations.</w:t>
      </w:r>
    </w:p>
    <w:p>
      <w:pPr>
        <w:spacing w:after="0" w:line="189" w:lineRule="exact"/>
        <w:rPr>
          <w:sz w:val="20"/>
          <w:szCs w:val="20"/>
          <w:color w:val="auto"/>
        </w:rPr>
      </w:pPr>
    </w:p>
    <w:p>
      <w:pPr>
        <w:ind w:right="480" w:firstLine="486"/>
        <w:spacing w:after="0" w:line="266" w:lineRule="auto"/>
        <w:rPr>
          <w:sz w:val="20"/>
          <w:szCs w:val="20"/>
          <w:color w:val="auto"/>
        </w:rPr>
      </w:pPr>
      <w:r>
        <w:rPr>
          <w:rFonts w:ascii="Times New Roman" w:cs="Times New Roman" w:eastAsia="Times New Roman" w:hAnsi="Times New Roman"/>
          <w:sz w:val="18"/>
          <w:szCs w:val="18"/>
          <w:color w:val="auto"/>
        </w:rPr>
        <w:t>We have sustained operating losses for the majority of our corporate history and expect that our total 2024 expenses (including stock-based compensation expense) will exceed our total 2024 revenues. We expect to continue to incur operating losses and negative cash flows unless and until revenues reach a level sufficient to support ongoing operations.</w:t>
      </w:r>
    </w:p>
    <w:p>
      <w:pPr>
        <w:spacing w:after="0" w:line="149" w:lineRule="exact"/>
        <w:rPr>
          <w:sz w:val="20"/>
          <w:szCs w:val="20"/>
          <w:color w:val="auto"/>
        </w:rPr>
      </w:pPr>
    </w:p>
    <w:p>
      <w:pPr>
        <w:ind w:right="80" w:firstLine="486"/>
        <w:spacing w:after="0" w:line="252" w:lineRule="auto"/>
        <w:rPr>
          <w:sz w:val="20"/>
          <w:szCs w:val="20"/>
          <w:color w:val="auto"/>
        </w:rPr>
      </w:pPr>
      <w:r>
        <w:rPr>
          <w:rFonts w:ascii="Times New Roman" w:cs="Times New Roman" w:eastAsia="Times New Roman" w:hAnsi="Times New Roman"/>
          <w:sz w:val="18"/>
          <w:szCs w:val="18"/>
          <w:color w:val="auto"/>
        </w:rPr>
        <w:t>Even if we are able to achieve profitability, in order to continue future operations, progress our drug discovery and development programs, and commercialize our current products and product candidates, we may be required to raise additional capital in the future. In addition to seeking strategic partnerships and transactions, we may access the equity or debt markets, incur additional borrowings, pursue royalty or other monetization transactions, or seek other sources of funding to meet liquidity needs at any time, including to take advantage of attractive opportunities in the capital markets. Additional funding, whether through additional sales of securities, additional borrowings, royalty or other monetization transactions, collaborative arrangements with partners, or from other sources, may not be available if or when needed or in a form or on terms acceptable to us. The issuance of preferred or common stock or convertible securities, with terms and prices significantly more favorable than those of our currently outstanding common stock, could have the effect of diluting or adversely affecting the holdings or rights of our existing stockholders. Additional borrowings may subject us to more restrictive covenants than are currently applicable to us under the Pharmakon Loan Agreement (as defined below). In addition, collaborative arrangements may require us to transfer certain material rights to our corporate partners. Insufficient funds or lack of an acceptable partnership may require us to delay, scale-back or eliminate certain of our research and development programs. See “Risks Relating to Our Business—Risks Relating to Drug Development and Commercialization—If we fail to obtain additional financing or acceptable partnership arrangements if and when needed, we may be unable to complete the development and commercialization of our products and product candidates or continue operations” in this section for further discussion of the capital requirements for our development and commercialization efforts.</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firstLine="486"/>
        <w:spacing w:after="0" w:line="277" w:lineRule="auto"/>
        <w:rPr>
          <w:sz w:val="20"/>
          <w:szCs w:val="20"/>
          <w:color w:val="auto"/>
        </w:rPr>
      </w:pPr>
      <w:r>
        <w:rPr>
          <w:rFonts w:ascii="Times New Roman" w:cs="Times New Roman" w:eastAsia="Times New Roman" w:hAnsi="Times New Roman"/>
          <w:sz w:val="17"/>
          <w:szCs w:val="17"/>
          <w:color w:val="auto"/>
        </w:rPr>
        <w:t>Our liquidity needs will largely be determined by the success of operations in regard to the commercialization of our products, particularly ORLADEYO, the progression of our product candidates in the future, and our ability to execute our budget plans. Our current plans for managing our liquidity needs primarily include controlling the timing and spending on our research and development programs and commercializing our approved products. See “Management’s Discussion and Analysis of Financial Condition and Results of Operations—Liquidity and Capital Resources” in Part I, Item 2 of this report for additional information about our liquidity needs, capital requirements, potential funding alternatives, and adequacy of available funds.</w:t>
      </w:r>
    </w:p>
    <w:p>
      <w:pPr>
        <w:spacing w:after="0" w:line="141" w:lineRule="exact"/>
        <w:rPr>
          <w:sz w:val="20"/>
          <w:szCs w:val="20"/>
          <w:color w:val="auto"/>
        </w:rPr>
      </w:pPr>
    </w:p>
    <w:p>
      <w:pPr>
        <w:jc w:val="both"/>
        <w:ind w:right="200" w:firstLine="486"/>
        <w:spacing w:after="0" w:line="266" w:lineRule="auto"/>
        <w:rPr>
          <w:sz w:val="20"/>
          <w:szCs w:val="20"/>
          <w:color w:val="auto"/>
        </w:rPr>
      </w:pPr>
      <w:r>
        <w:rPr>
          <w:rFonts w:ascii="Times New Roman" w:cs="Times New Roman" w:eastAsia="Times New Roman" w:hAnsi="Times New Roman"/>
          <w:sz w:val="18"/>
          <w:szCs w:val="18"/>
          <w:color w:val="auto"/>
        </w:rPr>
        <w:t>There can be no assurance that any of our plans will be successful or that additional capital will be available to us on reasonable terms, or at all, if needed. If we are unable to obtain sufficient additional capital if and when needed, we may be forced to adjust or curtail our operations; delay, reduce, or stop ongoing clinical trials or commercialization efforts; cease operations altogether; or file for bankruptcy.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Relating to Drug Development and Commercialization</w:t>
      </w:r>
    </w:p>
    <w:p>
      <w:pPr>
        <w:spacing w:after="0" w:line="181"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upon our ability to manage our product candidate pipeline, advance our product candidates through the various stages of development, especially through the clinical trial process, and to receive regulatory approvals for the commercial sale of our product candidates.</w:t>
      </w:r>
    </w:p>
    <w:p>
      <w:pPr>
        <w:spacing w:after="0" w:line="132" w:lineRule="exact"/>
        <w:rPr>
          <w:sz w:val="20"/>
          <w:szCs w:val="20"/>
          <w:color w:val="auto"/>
        </w:rPr>
      </w:pPr>
    </w:p>
    <w:p>
      <w:pPr>
        <w:ind w:right="140" w:firstLine="486"/>
        <w:spacing w:after="0" w:line="256" w:lineRule="auto"/>
        <w:rPr>
          <w:sz w:val="20"/>
          <w:szCs w:val="20"/>
          <w:color w:val="auto"/>
        </w:rPr>
      </w:pPr>
      <w:r>
        <w:rPr>
          <w:rFonts w:ascii="Times New Roman" w:cs="Times New Roman" w:eastAsia="Times New Roman" w:hAnsi="Times New Roman"/>
          <w:sz w:val="18"/>
          <w:szCs w:val="18"/>
          <w:color w:val="auto"/>
        </w:rPr>
        <w:t>The success of our business depends upon our ability to manage our product candidate pipeline, including through expanding the pipeline, as appropriate, through our internal identification and discovery of product candidates or otherwise in-licensing or acquiring products or product candidates and integrating them into our business effectively and efficiently; advancing our product candidates through the various stages of development; and receiving regulatory approvals for the commercial sale of our product candidates. Identifying, selecting, and in-licensing or acquiring products or product candidates requires substantial expense and technical and financial expertise, and if we are unable to effectively manage our pipeline or integrate viable products or product candidates into our business on acceptable terms, or at all, our business and drug development efforts could suffer.</w:t>
      </w:r>
    </w:p>
    <w:p>
      <w:pPr>
        <w:spacing w:after="0" w:line="147"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To receive the regulatory approvals necessary for the commercial sale of our product candidates, we or our partners must demonstrate through preclinical studies and clinical trials that each product candidate is safe and effective. The development process and related regulatory process are complex and uncertain. The preclinical and clinical development of our product candidates is susceptible to the risk of failure inherent at any stage of drug development, including failure to demonstrate efficacy and safety, failure to demonstrate adequate benefit-risk balance, failure to achieve a commercially attractive and competitive product label, failure to achieve approval in commercially attractive indications, the occurrence of adverse events that are severe or medically or commercially unacceptable, our or our partners’ failure to comply with trial protocols, applicable regulatory requirements, or industry standards, or a determination by the FDA or any comparable foreign regulatory authority that a product candidate may not continue development or be approved in accordance with our development plans or at all. We cannot guarantee that any preclinical studies and clinical trials will be conducted as planned or completed on schedule, if at all, or that the results of such trials will be sufficient to support regulatory approval for our product candidates.</w:t>
      </w:r>
    </w:p>
    <w:p>
      <w:pPr>
        <w:spacing w:after="0" w:line="148"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Progression of our product candidates through the clinical development process is dependent upon our trials indicating that our product candidates have adequate safety and efficacy in the patients being treated by achieving pre-determined safety and efficacy endpoints according to the clinical trial protocols, as well as an adequate benefit-risk profile. Failure to achieve any of these endpoints or to show adequate benefit-risk profile in any of our programs, including our complement program (inclusive of BCX10013) and our other rare disease product candidates (including the additional therapies in our pipeline described in “Management’s Discussion and Analysis of Financial Condition and Results of Operations—Overview—Products and Product Candidates” in Part I, Item 2 of this report), could result in delays in, modifications to, or discontinuations of our trials or require the performance of additional unplanned trials. For example, dose-related observations in an ongoing BCX10013 nonclinical study reported in 2023 delayed the clinical program. If any of our product candidates is associated with adverse events or undesirable side effects or has properties that are unexpected, we may need to abandon development or limit development of that product candidate to certain uses or subpopulations in which the undesirable side effects or other characteristics are less prevalent, less severe or more acceptable from a benefit-risk perspective. Product candidates that initially show promise in clinical or preclinical testing could later be found to be associated with or to cause undesirable or unexpected side effects that could result in substantial modifications or delays in the development plans for our product candidates, significant unexpected costs, or the termination of programs, such as we experienced with BCX9930 in 2022 prior to discontinuing its development later that year.</w:t>
      </w:r>
    </w:p>
    <w:p>
      <w:pPr>
        <w:spacing w:after="0" w:line="200" w:lineRule="exact"/>
        <w:rPr>
          <w:sz w:val="20"/>
          <w:szCs w:val="20"/>
          <w:color w:val="auto"/>
        </w:rPr>
      </w:pPr>
    </w:p>
    <w:p>
      <w:pPr>
        <w:spacing w:after="0" w:line="3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In addition, the development plans for our product candidates, including our clinical trials (inclusive of BCX10013), may not be adequately designed or executed, which could negatively affect the outcome and analysis of study results. Because of the cost and duration of clinical trials, we have decided in the past, and may in the future decide, to discontinue development of product candidates for various reasons, including, but not limited to, that they are unlikely to show favorable results in clinical trials, unlikely to help advance a product to the point of a meaningful collaboration, or unlikely to have reasonable commercial potential.</w:t>
      </w:r>
    </w:p>
    <w:p>
      <w:pPr>
        <w:spacing w:after="0" w:line="156"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Undesirable or inconclusive data in our preclinical studies and clinical trials or side effects in humans could result in the FDA or foreign regulatory authorities (including, e.g., the EMA, the Ministry of Health, Labor and Welfare (“MHLW”) in Japan or the United Kingdom’s Medicines and Healthcare products Regulatory Agency (“MHRA”)) refusing to approve a product candidate for any targeted indications or imposing restrictions or warnings that could impact development or the ultimate commercial viability of a product candidate. In addition, the FDA or foreign regulatory authorities may determine that study data from our product candidates necessitates additional studies or study designs which differ from our planned development strategy, and such regulatory authorities may also require patient monitoring and testing or may implement restrictions or other conditions on our development activities, any of which could materially impact the cost and timing of our planned development strategy. We, our partners, the FDA, or foreign regulatory authorities have previously, and may again in the future, pause enrollment in, suspend, or terminate clinical trials at any time if we or they believe the trial participants face unacceptable health risks.</w:t>
      </w:r>
    </w:p>
    <w:p>
      <w:pPr>
        <w:spacing w:after="0" w:line="1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ability to complete the clinical development process successfully is dependent upon many factors, including, but not limited to:</w:t>
      </w:r>
    </w:p>
    <w:p>
      <w:pPr>
        <w:spacing w:after="0" w:line="185" w:lineRule="exact"/>
        <w:rPr>
          <w:sz w:val="20"/>
          <w:szCs w:val="20"/>
          <w:color w:val="auto"/>
        </w:rPr>
      </w:pPr>
    </w:p>
    <w:p>
      <w:pPr>
        <w:ind w:left="1140" w:right="120" w:hanging="322"/>
        <w:spacing w:after="0" w:line="261" w:lineRule="auto"/>
        <w:tabs>
          <w:tab w:leader="none" w:pos="11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 our partners’ ability to secure suitable clinical sites and investigators and to enroll and maintain an adequate number of patients on a timely basis or at all;</w:t>
      </w:r>
    </w:p>
    <w:p>
      <w:pPr>
        <w:ind w:left="1140" w:right="540" w:hanging="322"/>
        <w:spacing w:after="0" w:line="250" w:lineRule="auto"/>
        <w:tabs>
          <w:tab w:leader="none" w:pos="11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that enroll in a clinical trial may not comply with the clinical trial protocols or maintain contact with investigators to provide complete data during and after treatment;</w:t>
      </w:r>
    </w:p>
    <w:p>
      <w:pPr>
        <w:ind w:left="1140" w:right="380" w:hanging="322"/>
        <w:spacing w:after="0" w:line="250" w:lineRule="auto"/>
        <w:tabs>
          <w:tab w:leader="none" w:pos="11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not prove to be either safe or effective for our targeted indications, or at all, or may produce unfavorable or inconclusive results;</w:t>
      </w:r>
    </w:p>
    <w:p>
      <w:pPr>
        <w:ind w:left="1140" w:right="120" w:hanging="322"/>
        <w:spacing w:after="0" w:line="250" w:lineRule="auto"/>
        <w:tabs>
          <w:tab w:leader="none" w:pos="11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partners may decide, or be required by regulatory authorities, to pause enrollment in, suspend, or terminate clinical research for various reasons, including a finding that the participants are being exposed to unacceptable health risks, undesirable side effects or other unexpected characteristics of the product candidate, noncompliance with regulatory requirements or their standards of conduct, or findings of undesirable effects caused by a chemically or mechanistically similar product or product candidate;</w:t>
      </w:r>
    </w:p>
    <w:p>
      <w:pPr>
        <w:spacing w:after="0" w:line="1" w:lineRule="exact"/>
        <w:rPr>
          <w:rFonts w:ascii="Times New Roman" w:cs="Times New Roman" w:eastAsia="Times New Roman" w:hAnsi="Times New Roman"/>
          <w:sz w:val="18"/>
          <w:szCs w:val="18"/>
          <w:color w:val="auto"/>
        </w:rPr>
      </w:pPr>
    </w:p>
    <w:p>
      <w:pPr>
        <w:ind w:left="1140" w:right="320" w:hanging="322"/>
        <w:spacing w:after="0" w:line="250" w:lineRule="auto"/>
        <w:tabs>
          <w:tab w:leader="none" w:pos="11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disagree with our or our partners’ clinical trial protocols or our or their interpretation of data from preclinical studies and clinical trials;</w:t>
      </w:r>
    </w:p>
    <w:p>
      <w:pPr>
        <w:ind w:left="1140" w:hanging="322"/>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protocols or study procedures may not be adequately designed or followed by the investigators;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formulation improvements may not work as expected, which could negatively impact commercial demand for our product candidates;</w:t>
      </w:r>
    </w:p>
    <w:p>
      <w:pPr>
        <w:spacing w:after="0" w:line="9" w:lineRule="exact"/>
        <w:rPr>
          <w:rFonts w:ascii="Times New Roman" w:cs="Times New Roman" w:eastAsia="Times New Roman" w:hAnsi="Times New Roman"/>
          <w:sz w:val="18"/>
          <w:szCs w:val="18"/>
          <w:color w:val="auto"/>
        </w:rPr>
      </w:pPr>
    </w:p>
    <w:p>
      <w:pPr>
        <w:ind w:left="1140" w:right="900" w:hanging="322"/>
        <w:spacing w:after="0" w:line="250" w:lineRule="auto"/>
        <w:tabs>
          <w:tab w:leader="none" w:pos="11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fail to approve or subsequently find fault with the manufacturing processes or facilities of third-party manufacturers with which we or our partners enter into agreements for clinical and commercial supplies;</w:t>
      </w:r>
    </w:p>
    <w:p>
      <w:pPr>
        <w:ind w:left="1140" w:right="160" w:hanging="322"/>
        <w:spacing w:after="0" w:line="265" w:lineRule="auto"/>
        <w:tabs>
          <w:tab w:leader="none" w:pos="113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supply or quantity of raw materials or manufactured product candidates or other materials necessary to conduct development activities may be insufficient, inadequate, or unavailable at an acceptable cost, and we or our partners may experience interruptions in supply;</w:t>
      </w:r>
    </w:p>
    <w:p>
      <w:pPr>
        <w:ind w:left="1140" w:right="360" w:hanging="322"/>
        <w:spacing w:after="0" w:line="250" w:lineRule="auto"/>
        <w:tabs>
          <w:tab w:leader="none" w:pos="11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 our partners’ development plans may be delayed or changed as a result of changes in development strategy, the impact of new or different regulations, requirements, and guidelines, or other unexpected events or conditions;</w:t>
      </w:r>
    </w:p>
    <w:p>
      <w:pPr>
        <w:ind w:left="1140" w:hanging="322"/>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preclinical studies and clinical trials may be greater than we anticipate;</w:t>
      </w:r>
    </w:p>
    <w:p>
      <w:pPr>
        <w:spacing w:after="0" w:line="9" w:lineRule="exact"/>
        <w:rPr>
          <w:rFonts w:ascii="Times New Roman" w:cs="Times New Roman" w:eastAsia="Times New Roman" w:hAnsi="Times New Roman"/>
          <w:sz w:val="18"/>
          <w:szCs w:val="18"/>
          <w:color w:val="auto"/>
        </w:rPr>
      </w:pPr>
    </w:p>
    <w:p>
      <w:pPr>
        <w:ind w:left="1140" w:right="120" w:hanging="322"/>
        <w:spacing w:after="0" w:line="250" w:lineRule="auto"/>
        <w:tabs>
          <w:tab w:leader="none" w:pos="11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third-party contractors, including those manufacturing our product candidates or components or ingredients thereof, or conducting clinical trials or laboratory testing on our or our partners’ behalf, may fail to comply with regulatory requirements and industry standards or meet contractual obligations in a timely manner or at all; and</w:t>
      </w:r>
    </w:p>
    <w:p>
      <w:pPr>
        <w:spacing w:after="0" w:line="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global health pandemic, such as COVID-19, on one or more of the foregoing factors.</w:t>
      </w:r>
    </w:p>
    <w:p>
      <w:pPr>
        <w:spacing w:after="0" w:line="180" w:lineRule="exact"/>
        <w:rPr>
          <w:sz w:val="20"/>
          <w:szCs w:val="20"/>
          <w:color w:val="auto"/>
        </w:rPr>
      </w:pPr>
    </w:p>
    <w:p>
      <w:pPr>
        <w:ind w:right="200" w:firstLine="486"/>
        <w:spacing w:after="0" w:line="261" w:lineRule="auto"/>
        <w:rPr>
          <w:sz w:val="20"/>
          <w:szCs w:val="20"/>
          <w:color w:val="auto"/>
        </w:rPr>
      </w:pPr>
      <w:r>
        <w:rPr>
          <w:rFonts w:ascii="Times New Roman" w:cs="Times New Roman" w:eastAsia="Times New Roman" w:hAnsi="Times New Roman"/>
          <w:sz w:val="18"/>
          <w:szCs w:val="18"/>
          <w:color w:val="auto"/>
        </w:rPr>
        <w:t>Clinical trials are lengthy and expensive. Many of the factors listed above could result in increased clinical development costs or longer clinical development times for any of our programs. We and our partners incur substantial expense for, and devote significant time to, preclinical testing and clinical trials, yet we cannot be certain that the tests and trials will ever result in the commercial sale of a product. Even if we or our partners successfully complete clinical trials for our product candidates, we or our partners might not file the required regulatory submissions in a timely manner or may not</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receive regulatory approval for the product candidates, which in either case would adversely impact or preclude our ability to generate any revenues from product sales or licensing arrangements. In addition, any product candidate, if approved, may be subject to restrictions on labeling, marketing, distribution, prescribing, and use, which could adversely impact the sales of such product.</w:t>
      </w:r>
    </w:p>
    <w:p>
      <w:pPr>
        <w:spacing w:after="0" w:line="145"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development collaborations with third parties, such as our development partners, contractors and contract research organizations, fail, the development of our product candidates will be delayed or stopped.</w:t>
      </w:r>
    </w:p>
    <w:p>
      <w:pPr>
        <w:spacing w:after="0" w:line="1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rely heavily upon third parties for many important stages of our product candidate development, including, but not limited to:</w:t>
      </w:r>
    </w:p>
    <w:p>
      <w:pPr>
        <w:spacing w:after="0" w:line="185" w:lineRule="exact"/>
        <w:rPr>
          <w:sz w:val="20"/>
          <w:szCs w:val="20"/>
          <w:color w:val="auto"/>
        </w:rPr>
      </w:pPr>
    </w:p>
    <w:p>
      <w:pPr>
        <w:ind w:left="1140" w:hanging="322"/>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discovery of natural proteins that cause or enable biological reactions necessary for the progression of the disease or disorder;</w:t>
      </w:r>
    </w:p>
    <w:p>
      <w:pPr>
        <w:spacing w:after="0" w:line="2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execution of certain pharmacology preclinical studies and late-stage development for our compounds and product candidates;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of our phase 1, 2 and 3 clinical trials, including medical monitoring, laboratory testing, and data management;</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execution of toxicology studies that may be required to obtain approval for our product candidates;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formulation improvement strategies and methods;</w:t>
      </w:r>
    </w:p>
    <w:p>
      <w:pPr>
        <w:spacing w:after="0" w:line="9" w:lineRule="exact"/>
        <w:rPr>
          <w:rFonts w:ascii="Times New Roman" w:cs="Times New Roman" w:eastAsia="Times New Roman" w:hAnsi="Times New Roman"/>
          <w:sz w:val="18"/>
          <w:szCs w:val="18"/>
          <w:color w:val="auto"/>
        </w:rPr>
      </w:pPr>
    </w:p>
    <w:p>
      <w:pPr>
        <w:ind w:left="1140" w:right="340" w:hanging="322"/>
        <w:spacing w:after="0" w:line="250" w:lineRule="auto"/>
        <w:tabs>
          <w:tab w:leader="none" w:pos="11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the starting materials and drug substance required to formulate our products and the product candidates to be used in our clinical trials, toxicology studies and any potential commercial product; and</w:t>
      </w:r>
    </w:p>
    <w:p>
      <w:pPr>
        <w:ind w:left="1140" w:hanging="322"/>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of certain regulatory interactions outside of the United States.</w:t>
      </w:r>
    </w:p>
    <w:p>
      <w:pPr>
        <w:spacing w:after="0" w:line="180"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Our failure to engage in successful collaborations at any one of these stages would greatly impact our business. If we do not license protein targets or inhibitors from academic institutions or from other biotechnology companies on acceptable terms, or at all, our drug development efforts could suffer. Similarly, if the contract research organizations or third-party contractors that conduct our initial or late-stage clinical trials, conduct our toxicology or other studies, manufacture our starting materials, drug substance and product candidates, provide laboratory testing or other services (including clinical operation services) in connection with our clinical trials, provide medical writing services, or assist with our regulatory function breach their obligations to us, perform their services inconsistent with industry standards, or fail to comply with regulatory requirements, this would delay or prevent both the development of our product candidates and the availability of any potential commercial product.</w:t>
      </w:r>
    </w:p>
    <w:p>
      <w:pPr>
        <w:spacing w:after="0" w:line="148"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If we lose our relationship with any one or more of these parties, we could experience a significant delay in both identifying another comparable provider and then contracting for its services. We may be unable to retain an alternative provider on reasonable terms, if at all. Even if we locate an alternative provider, it is likely that this provider may need additional time to respond to our needs and may not provide the same type or level of service as the original provider. In addition, any provider that we retain will be subject to applicable FDA current Good Laboratory Practices, current Good Manufacturing Practices (“cGMP”), and current Good Clinical Practices, and comparable foreign standards. We do not have control over compliance with these regulations by these providers. Consequently, if these practices and standards are not adhered to by these providers, the development and commercialization of our product candidates could be delayed. If any of the foregoing risks is realized, our business, financial condition and results of operations could be materially adversely affected.</w:t>
      </w:r>
    </w:p>
    <w:p>
      <w:pPr>
        <w:spacing w:after="0" w:line="147"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obtain additional financing or acceptable partnership arrangements if and when needed, we may be unable to complete the development and commercialization of our products and product candidates or continue operations.</w:t>
      </w:r>
    </w:p>
    <w:p>
      <w:pPr>
        <w:spacing w:after="0" w:line="132"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As our programs advance, our costs could increase. Our current and planned discovery, development, approval, and commercialization efforts may require significant capital. Our expenses, revenues and cash utilization rate could vary significantly depending on many factors, including: our ability to effectively manage our product candidate pipeline; our ability to obtain regulatory approvals for our product candidates; our ability to maintain regulatory approvals for, successfully commercialize, and achieve market acceptance of our products, including ORLADEYO; our ability to raise additional capital if</w:t>
      </w:r>
    </w:p>
    <w:p>
      <w:pPr>
        <w:spacing w:after="0" w:line="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needed; our ability to secure partnerships with third parties for our product candidates when deemed advisable (such as for the potential out-licensing of the late-stage development and commercialization of BCX10013); the amount of funding we receive from partnerships with third parties for the development and commercialization of our products and product candidates; the commercial success of our products achieved by our partners; the progress and results of our current and proposed clinical trials for our product candidates; and the progress made in the manufacture of our lead products and the progression of our other programs. There can be no assurance that we are able to successfully secure a partnership for our product candidates when deemed advisable on terms that are acceptable to us, or at all.</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 w:firstLine="486"/>
        <w:spacing w:after="0" w:line="253" w:lineRule="auto"/>
        <w:rPr>
          <w:sz w:val="20"/>
          <w:szCs w:val="20"/>
          <w:color w:val="auto"/>
        </w:rPr>
      </w:pPr>
      <w:r>
        <w:rPr>
          <w:rFonts w:ascii="Times New Roman" w:cs="Times New Roman" w:eastAsia="Times New Roman" w:hAnsi="Times New Roman"/>
          <w:sz w:val="18"/>
          <w:szCs w:val="18"/>
          <w:color w:val="auto"/>
        </w:rPr>
        <w:t>In order to continue future operations, progress our drug discovery and development programs, and commercialize our current products and product candidates, we may be required to raise additional capital. Our ability to raise additional capital if and when needed, or at all, may be limited and may greatly depend upon our success in commercializing and achieving market acceptance of ORLADEYO and the success of our current drug development programs, including the progress, timeline and ultimate outcome of the development programs (including, but not limited to, formulation progress, long-term human safety studies, clinical trial investigations, and carcinogenicity, drug-drug interaction, toxicity, or other required studies) for our complement program for diseases of the complement system and other rare disease product candidates (including the additional therapies in our pipeline described in “Management’s Discussion and Analysis of Financial Condition and Results of Operations—Overview—Products and Product Candidates” in Part I, Item 2 of this report), as well as any post-approval studies for our products. In addition, constriction and volatility in the equity and debt markets, including as a result of the impacts of inflation, increased interest rates, disruption or instability in the banking industry, geopolitical instability, or public health emergencies such as the COVID-19 pandemic, may restrict our future flexibility to raise capital if and when such needs arise. See “Risks Relating to Our Business—Financial and Liquidity Risks—We may need to raise additional capital in the future. If we are unable to raise capital if and when needed, we may need to adjust our operations” in this section and “Management’s Discussion and Analysis of Financial Condition and Results of Operations— Liquidity and Capital Resources” in Part I, Item 2 of this report for additional information about our liquidity risks and capital requirements.</w:t>
      </w:r>
    </w:p>
    <w:p>
      <w:pPr>
        <w:spacing w:after="0" w:line="160"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Furthermore, we have exposure to many different industries, financing partners and counterparties, including commercial banks, investment banks and partners (which include investors, licensing partners, distribution partners, and others), which may be unstable or may become unstable in the current economic and political environment, including as a result of the impacts of inflation, increased interest rates, disruption or instability in the banking industry, potential U.S. Government shutdowns, the upcoming presidential election in the United States, geopolitical instability (including the Ukraine-Russia and Israel-Hamas conflicts or rising tensions between China and Taiwan), or public health emergencies such as the COVID-19 pandemic. Any such instability may impact these parties’ ability to fulfill contractual obligations to us, or it might limit or place burdensome conditions upon future transactions with us. Also, it is possible that suppliers may be negatively impacted. Any such unfavorable outcomes in our current programs or unfavorable economic conditions have in the past and could again place severe downward pressure on the price of our common stock and may decrease opportunities to raise capital in the capital or credit markets, and further could reduce the return available on invested corporate cash, which, if severe and sustained, could have a material and adverse impact on our results of operations and cash flows and limit our ability to continue development and commercialization of our products and product candidates.</w:t>
      </w:r>
    </w:p>
    <w:p>
      <w:pPr>
        <w:spacing w:after="0" w:line="147"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or our partners do not obtain regulatory approvals for our product candidates or maintain regulatory approvals for our products, we or our partners will not be able to commercialize and sell these products and potential products, which would significantly harm our business because we will receive no revenue.</w:t>
      </w:r>
    </w:p>
    <w:p>
      <w:pPr>
        <w:spacing w:after="0" w:line="134"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We or our partners must obtain regulatory approvals before marketing or selling our products. If the FDA or a comparable foreign regulatory authority delays or denies regulatory approval of one of our product candidates, or revokes approval of a previously approved product, we would be unable to market or sell the product in the applicable jurisdiction and would not receive revenue from sales or licensing arrangements related thereto, which could have a material and adverse impact on our business.</w:t>
      </w:r>
    </w:p>
    <w:p>
      <w:pPr>
        <w:spacing w:after="0" w:line="153"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The process of preparing for and obtaining regulatory approval in any jurisdiction may be lengthy and expensive, and approval is never certain. Because of the risks and uncertainties inherent to the development process, our product candidates could take a significantly longer time to gain regulatory approval than we expect or may never gain approval. As discussed under “Risk Factors—Risks Relating to Our Business—Risks Relating to Drug Development and Commercialization—Our success depends upon our ability to manage our product candidate pipeline, advance our product candidates through the various stages of development, especially through the clinical trial process, and to receive regulatory approvals for the commercial sale of our product candidates,” we and our partners have experienced, and may again in the future experience, any number of unfavorable outcomes during or as a result of preclinical studies and clinical trials that could delay or prevent regulatory approval of our product candidates, or negatively impact our management’s credibility, our value and our operating results.</w:t>
      </w:r>
    </w:p>
    <w:p>
      <w:pPr>
        <w:spacing w:after="0" w:line="151" w:lineRule="exact"/>
        <w:rPr>
          <w:sz w:val="20"/>
          <w:szCs w:val="20"/>
          <w:color w:val="auto"/>
        </w:rPr>
      </w:pPr>
    </w:p>
    <w:p>
      <w:pPr>
        <w:ind w:right="300" w:firstLine="486"/>
        <w:spacing w:after="0" w:line="261" w:lineRule="auto"/>
        <w:rPr>
          <w:sz w:val="20"/>
          <w:szCs w:val="20"/>
          <w:color w:val="auto"/>
        </w:rPr>
      </w:pPr>
      <w:r>
        <w:rPr>
          <w:rFonts w:ascii="Times New Roman" w:cs="Times New Roman" w:eastAsia="Times New Roman" w:hAnsi="Times New Roman"/>
          <w:sz w:val="18"/>
          <w:szCs w:val="18"/>
          <w:color w:val="auto"/>
        </w:rPr>
        <w:t>Even if the FDA or foreign regulatory authorities approve a product candidate, the approval may limit the indicated uses for a product candidate, impose other restrictions on the product candidate, and/or may require post-approval studies that could impair the commercial viability of a product candidate. Even upon any approval to market our potential products, whether in the United States or internationally, we will continue to be subject to extensive regulatory requirements, as discussed under “Risk Factors—Risks Relating to Our Business—Legal and Regulatory Risks—We are</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subject to various laws and regulations related to our products and product candidates, and if we or our partners do not comply with these laws and regulations, we could face substantial penalties.”</w:t>
      </w:r>
    </w:p>
    <w:p>
      <w:pPr>
        <w:spacing w:after="0" w:line="135" w:lineRule="exact"/>
        <w:rPr>
          <w:sz w:val="20"/>
          <w:szCs w:val="20"/>
          <w:color w:val="auto"/>
        </w:rPr>
      </w:pPr>
    </w:p>
    <w:p>
      <w:pPr>
        <w:ind w:right="240" w:firstLine="486"/>
        <w:spacing w:after="0" w:line="266" w:lineRule="auto"/>
        <w:rPr>
          <w:sz w:val="20"/>
          <w:szCs w:val="20"/>
          <w:color w:val="auto"/>
        </w:rPr>
      </w:pPr>
      <w:r>
        <w:rPr>
          <w:rFonts w:ascii="Times New Roman" w:cs="Times New Roman" w:eastAsia="Times New Roman" w:hAnsi="Times New Roman"/>
          <w:sz w:val="18"/>
          <w:szCs w:val="18"/>
          <w:color w:val="auto"/>
        </w:rPr>
        <w:t>Our failure to comply with existing or future regulatory requirements for regulatory approval, or our loss of, or changes to, previously obtained approvals, could impair our ability to generate any revenues from product sales or licensing arrangements, which could have a material adverse effect on our business, financial condition, and results of operations.</w:t>
      </w:r>
    </w:p>
    <w:p>
      <w:pPr>
        <w:spacing w:after="0" w:line="13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focus on rare diseases, which may create additional risks and challenges, including that the target patient populations of our products and product candidates may be small.</w:t>
      </w:r>
    </w:p>
    <w:p>
      <w:pPr>
        <w:spacing w:after="0" w:line="118"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Because we focus on developing drugs as treatments for rare diseases, we may seek orphan drug, breakthrough therapy or fast track designations for our product candidates in the United States or the equivalent designations elsewhere in the world. Often, regulatory authorities have broad discretion in determining whether or not to grant such designations. We cannot guarantee that our product candidates will receive orphan drug status from the FDA or equivalent designations from other regulatory authorities. Even with an orphan drug designation for our current and potential future product candidates, we may not be the first to obtain marketing approval for any particular orphan indication due to the uncertainties associated with developing pharmaceutical products. Further, even if we obtain orphan drug exclusivity for an existing or future product candidate, that exclusivity may not effectively protect the product from competition. See “Business—Government Regulation—FDA Regulation—Orphan Drugs” in Part I, Item 1 of our most recent Annual Report on Form 10-K.</w:t>
      </w:r>
    </w:p>
    <w:p>
      <w:pPr>
        <w:spacing w:after="0" w:line="165" w:lineRule="exact"/>
        <w:rPr>
          <w:sz w:val="20"/>
          <w:szCs w:val="20"/>
          <w:color w:val="auto"/>
        </w:rPr>
      </w:pPr>
    </w:p>
    <w:p>
      <w:pPr>
        <w:ind w:right="100" w:firstLine="486"/>
        <w:spacing w:after="0" w:line="255" w:lineRule="auto"/>
        <w:rPr>
          <w:sz w:val="20"/>
          <w:szCs w:val="20"/>
          <w:color w:val="auto"/>
        </w:rPr>
      </w:pPr>
      <w:r>
        <w:rPr>
          <w:rFonts w:ascii="Times New Roman" w:cs="Times New Roman" w:eastAsia="Times New Roman" w:hAnsi="Times New Roman"/>
          <w:sz w:val="18"/>
          <w:szCs w:val="18"/>
          <w:color w:val="auto"/>
        </w:rPr>
        <w:t>We also cannot guarantee that we will receive breakthrough therapy, fast track, or equivalent designations, which provide certain potential benefits such as more frequent meetings with the applicable regulatory authorities to discuss development plans, intensive guidance on efficient drug development programs, and potential eligibility for rolling review or priority review. Even if we are successful in obtaining any such designations for our product candidates, such designations may not lead to faster development or regulatory review or approval and do not increase the likelihood that our product candidates will receive marketing approval. We may not be able to obtain or maintain these designations for our product candidates that receive them, and our competitors may obtain these designations for their product candidates, which could impact our ability to develop and commercialize our products and product candidates or compete with such competitors, which may adversely impact our business, financial condition or results of operations.</w:t>
      </w:r>
    </w:p>
    <w:p>
      <w:pPr>
        <w:spacing w:after="0" w:line="148"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Given the small number of patients who have the diseases that we are targeting, it is important to our ability to grow and become profitable that we continue to successfully identify patients with these rare diseases. Our projections of both the number of people who have these diseases, as well as the subset of people with these diseases who have the potential to benefit from treatment with our products and product candidates, are based on our beliefs and estimates. These estimates have been derived from a variety of sources, including the scientific literature, surveys of clinics, patient foundations, or market research, and may prove to be incorrect. Further, new studies may change the estimated incidence or prevalence of these diseases. The number of patients may turn out to be lower than expected. Additionally, the potentially addressable patient population for each of our products and product candidates may be limited or may not be amenable to treatment with our products and product candidates, and new patients may become increasingly difficult to identify or access. Further, even if we obtain significant market share for our products and product candidates, because the potential target populations are small, we may never become or remain profitable nor generate sufficient revenue growth to sustain our business.</w:t>
      </w:r>
    </w:p>
    <w:p>
      <w:pPr>
        <w:spacing w:after="0" w:line="144"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FDA or comparable foreign regulatory authorities approve generic versions of any of our products that receive marketing approval, or such authorities do not grant our products appropriate periods of data or market exclusivity before approving generic versions of our products, the sales of our products could be adversely affected.</w:t>
      </w:r>
    </w:p>
    <w:p>
      <w:pPr>
        <w:spacing w:after="0" w:line="148" w:lineRule="exact"/>
        <w:rPr>
          <w:sz w:val="20"/>
          <w:szCs w:val="20"/>
          <w:color w:val="auto"/>
        </w:rPr>
      </w:pPr>
    </w:p>
    <w:p>
      <w:pPr>
        <w:ind w:right="100" w:firstLine="486"/>
        <w:spacing w:after="0" w:line="255" w:lineRule="auto"/>
        <w:rPr>
          <w:sz w:val="20"/>
          <w:szCs w:val="20"/>
          <w:color w:val="auto"/>
        </w:rPr>
      </w:pPr>
      <w:r>
        <w:rPr>
          <w:rFonts w:ascii="Times New Roman" w:cs="Times New Roman" w:eastAsia="Times New Roman" w:hAnsi="Times New Roman"/>
          <w:sz w:val="18"/>
          <w:szCs w:val="18"/>
          <w:color w:val="auto"/>
        </w:rPr>
        <w:t>Once an NDA is approved, the drug covered thereby becomes a “reference-listed drug” in the FDA’s publication, “Approved Drug Products with Therapeutic Equivalence Evaluations.” Manufacturers may seek marketing approval of generic versions of reference-listed drugs through submission of abbreviated new drug applications, or ANDAs, in the United States, as described in “Business—Government Regulation—FDA Regulation—Abbreviated New Drug Applications for Generic Drugs” in Part I, Item 1 of our most recent Annual Report on Form 10-K. Generic drugs may be significantly less costly to bring to market than the reference-listed drug and companies that produce generic drugs are generally able to offer them at lower prices. Thus, following the introduction of a generic drug, a significant percentage of the sales of any branded product or reference-listed drug is typically lost to the generic drug.</w:t>
      </w:r>
    </w:p>
    <w:p>
      <w:pPr>
        <w:spacing w:after="0" w:line="148" w:lineRule="exact"/>
        <w:rPr>
          <w:sz w:val="20"/>
          <w:szCs w:val="20"/>
          <w:color w:val="auto"/>
        </w:rPr>
      </w:pPr>
    </w:p>
    <w:p>
      <w:pPr>
        <w:ind w:right="540" w:firstLine="486"/>
        <w:spacing w:after="0" w:line="282" w:lineRule="auto"/>
        <w:rPr>
          <w:sz w:val="20"/>
          <w:szCs w:val="20"/>
          <w:color w:val="auto"/>
        </w:rPr>
      </w:pPr>
      <w:r>
        <w:rPr>
          <w:rFonts w:ascii="Times New Roman" w:cs="Times New Roman" w:eastAsia="Times New Roman" w:hAnsi="Times New Roman"/>
          <w:sz w:val="18"/>
          <w:szCs w:val="18"/>
          <w:color w:val="auto"/>
        </w:rPr>
        <w:t>The FDA may not approve an ANDA for a generic drug until any applicable period of non-patent exclusivity for the reference-listed drug has expired, as described in “Business—Government Regulation—FDA Regulation—Abbreviated</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New Drug Applications for Generic Drugs” in Part I, Item 1 of our most recent Annual Report on Form 10-K, but such exclusivity will not delay the submission or approval of a full NDA. However, an applicant submitting a full NDA would be required to conduct or obtain a right of reference to all of the nonclinical studies and adequate and well-controlled clinical trials necessary to demonstrate safety and effectiveness. Manufacturers may seek to launch generic drugs following the expiration of the marketing exclusivity period, even if we still have patent protection for such drugs. Competition that our products or product candidates may face from generic drugs could materially and adversely impact our future revenue, profitability and cash flows and substantially limit our ability to obtain a return on the investments we have made in those product candidates. Our future revenues, profitability and cash flows could also be materially and adversely affected and our ability to obtain a return on the investments we have made in those product candidates may be substantially limited if our products or, if and when approved, product candidates, are not afforded the appropriate periods of non-patent exclusivity.</w:t>
      </w:r>
    </w:p>
    <w:p>
      <w:pPr>
        <w:spacing w:after="0" w:line="161"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commercial viability of any approved product could be compromised if the product is less effective than expected, causes undesirable side effects that either were not previously identified or were worse than expected, or fails to achieve market acceptance within the medical community.</w:t>
      </w:r>
    </w:p>
    <w:p>
      <w:pPr>
        <w:spacing w:after="0" w:line="118" w:lineRule="exact"/>
        <w:rPr>
          <w:sz w:val="20"/>
          <w:szCs w:val="20"/>
          <w:color w:val="auto"/>
        </w:rPr>
      </w:pPr>
    </w:p>
    <w:p>
      <w:pPr>
        <w:ind w:right="620" w:firstLine="486"/>
        <w:spacing w:after="0" w:line="282" w:lineRule="auto"/>
        <w:rPr>
          <w:sz w:val="20"/>
          <w:szCs w:val="20"/>
          <w:color w:val="auto"/>
        </w:rPr>
      </w:pPr>
      <w:r>
        <w:rPr>
          <w:rFonts w:ascii="Times New Roman" w:cs="Times New Roman" w:eastAsia="Times New Roman" w:hAnsi="Times New Roman"/>
          <w:sz w:val="18"/>
          <w:szCs w:val="18"/>
          <w:color w:val="auto"/>
        </w:rPr>
        <w:t>If, after obtaining regulatory approval of a product, we or others discover that the product is less effective than previously believed or causes undesirable side effects that either were not previously identified or were worse than expected, any of the following adverse events could occur:</w:t>
      </w:r>
    </w:p>
    <w:p>
      <w:pPr>
        <w:spacing w:after="0" w:line="121" w:lineRule="exact"/>
        <w:rPr>
          <w:sz w:val="20"/>
          <w:szCs w:val="20"/>
          <w:color w:val="auto"/>
        </w:rPr>
      </w:pPr>
    </w:p>
    <w:p>
      <w:pPr>
        <w:ind w:left="1140" w:right="200" w:hanging="322"/>
        <w:spacing w:after="0" w:line="261" w:lineRule="auto"/>
        <w:tabs>
          <w:tab w:leader="none" w:pos="11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their approval of, or impose marketing or manufacturing restrictions on, the product, or require us or our partners to create a medication guide outlining the risks of unidentified side effects for distribution to patients;</w:t>
      </w:r>
    </w:p>
    <w:p>
      <w:pPr>
        <w:ind w:left="1140" w:right="20" w:hanging="322"/>
        <w:spacing w:after="0" w:line="250" w:lineRule="auto"/>
        <w:tabs>
          <w:tab w:leader="none" w:pos="11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partners may be required to recall the product, change the way the product is administered, conduct additional clinical trials, or be subject to civil or criminal penalties; and</w:t>
      </w:r>
    </w:p>
    <w:p>
      <w:pPr>
        <w:ind w:left="1140" w:hanging="322"/>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become less competitive and our reputation may suffer.</w:t>
      </w:r>
    </w:p>
    <w:p>
      <w:pPr>
        <w:spacing w:after="0" w:line="180" w:lineRule="exact"/>
        <w:rPr>
          <w:sz w:val="20"/>
          <w:szCs w:val="20"/>
          <w:color w:val="auto"/>
        </w:rPr>
      </w:pPr>
    </w:p>
    <w:p>
      <w:pPr>
        <w:ind w:right="140" w:firstLine="486"/>
        <w:spacing w:after="0" w:line="256" w:lineRule="auto"/>
        <w:rPr>
          <w:sz w:val="20"/>
          <w:szCs w:val="20"/>
          <w:color w:val="auto"/>
        </w:rPr>
      </w:pPr>
      <w:r>
        <w:rPr>
          <w:rFonts w:ascii="Times New Roman" w:cs="Times New Roman" w:eastAsia="Times New Roman" w:hAnsi="Times New Roman"/>
          <w:sz w:val="18"/>
          <w:szCs w:val="18"/>
          <w:color w:val="auto"/>
        </w:rPr>
        <w:t>Even after receiving regulatory approval, any product could fail to gain sufficient, or any, market acceptance by physicians, patients, third-party payors, health authorities and others in the medical community. For example, physicians are often reluctant to switch their patients from existing therapies even when new and potentially more effective or convenient treatments enter the market. Further, patients often acclimate to the therapy that they are currently taking and do not want to switch unless their physicians recommend switching products or they are required to switch therapies due to lack of reimbursement for existing therapies. If an approved product does not achieve an adequate level of market acceptance, it may not generate significant revenues. The occurrence of any of the foregoing could have a material and adverse impact on our business.</w:t>
      </w:r>
    </w:p>
    <w:p>
      <w:pPr>
        <w:spacing w:after="0" w:line="143"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successfully commercialize or establish collaborative relationships to commercialize certain of our products and product candidates, or if any partner terminates or fails to perform its obligations under agreements with us, potential revenues from commercialization of our products and product candidates could be reduced, delayed or eliminated.</w:t>
      </w:r>
    </w:p>
    <w:p>
      <w:pPr>
        <w:spacing w:after="0" w:line="134"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Our business strategy includes increasing the asset value of our product and product candidate portfolio. We believe this is best achieved by retaining full product rights or through collaborative arrangements with third parties as appropriate. As needed, potential third-party relationships could relate to preclinical development, clinical development, regulatory approval, marketing, sales, and distribution of our products and product candidates.</w:t>
      </w:r>
    </w:p>
    <w:p>
      <w:pPr>
        <w:spacing w:after="0" w:line="149"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Currently, we have established collaborative relationships, including with Torii for the commercialization of ORLADEYO in Japan, with third-party distributors for ORLADEYO in certain other markets, and with each of Shionogi and Green Cross for the development and commercialization of peramivir. The process of establishing and implementing collaborative relationships is difficult, time-consuming and involves significant uncertainty, including:</w:t>
      </w:r>
    </w:p>
    <w:p>
      <w:pPr>
        <w:spacing w:after="0" w:line="139" w:lineRule="exact"/>
        <w:rPr>
          <w:sz w:val="20"/>
          <w:szCs w:val="20"/>
          <w:color w:val="auto"/>
        </w:rPr>
      </w:pPr>
    </w:p>
    <w:p>
      <w:pPr>
        <w:ind w:left="1140" w:right="280" w:hanging="322"/>
        <w:spacing w:after="0" w:line="261" w:lineRule="auto"/>
        <w:tabs>
          <w:tab w:leader="none" w:pos="11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partners may seek to renegotiate or terminate our relationships due to unsatisfactory commercial, regulatory or clinical results, including post-approval clinical commitments, a change in business strategy, a change of control or other reasons;</w:t>
      </w:r>
    </w:p>
    <w:p>
      <w:pPr>
        <w:ind w:left="1140" w:hanging="322"/>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contracts for collaborative arrangements may expire;</w:t>
      </w:r>
    </w:p>
    <w:p>
      <w:pPr>
        <w:spacing w:after="0" w:line="9" w:lineRule="exact"/>
        <w:rPr>
          <w:rFonts w:ascii="Times New Roman" w:cs="Times New Roman" w:eastAsia="Times New Roman" w:hAnsi="Times New Roman"/>
          <w:sz w:val="18"/>
          <w:szCs w:val="18"/>
          <w:color w:val="auto"/>
        </w:rPr>
      </w:pPr>
    </w:p>
    <w:p>
      <w:pPr>
        <w:ind w:left="1140" w:right="460" w:hanging="322"/>
        <w:spacing w:after="0" w:line="250" w:lineRule="auto"/>
        <w:tabs>
          <w:tab w:leader="none" w:pos="11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expiration or termination of collaborative relationships, such as those with certain of our distribution partners, may trigger repurchase obligations of the Company for unsold product held by our partners;</w:t>
      </w:r>
    </w:p>
    <w:p>
      <w:pPr>
        <w:ind w:left="1140" w:hanging="322"/>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partners may choose to pursue alternative technologies, including those of our competitors;</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140" w:right="80" w:hanging="322"/>
        <w:spacing w:after="0" w:line="261" w:lineRule="auto"/>
        <w:tabs>
          <w:tab w:leader="none" w:pos="11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had in the past, and in the future may have, disputes with a partner that could lead to litigation or arbitration, which could result in substantial costs and divert the attention of our management;</w:t>
      </w:r>
    </w:p>
    <w:p>
      <w:pPr>
        <w:ind w:left="1140" w:hanging="322"/>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have day-to-day control over the activities of our partners and have limited control over their decisions;</w:t>
      </w:r>
    </w:p>
    <w:p>
      <w:pPr>
        <w:spacing w:after="0" w:line="9" w:lineRule="exact"/>
        <w:rPr>
          <w:rFonts w:ascii="Times New Roman" w:cs="Times New Roman" w:eastAsia="Times New Roman" w:hAnsi="Times New Roman"/>
          <w:sz w:val="18"/>
          <w:szCs w:val="18"/>
          <w:color w:val="auto"/>
        </w:rPr>
      </w:pPr>
    </w:p>
    <w:p>
      <w:pPr>
        <w:ind w:left="1140" w:right="20" w:hanging="322"/>
        <w:spacing w:after="0" w:line="250" w:lineRule="auto"/>
        <w:tabs>
          <w:tab w:leader="none" w:pos="11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future event payments and royalties from our partners depends upon their abilities to establish the safety and efficacy of our product candidates, obtain regulatory approvals and achieve market acceptance of products developed from our product candidates;</w:t>
      </w:r>
    </w:p>
    <w:p>
      <w:pPr>
        <w:ind w:left="1140" w:hanging="322"/>
        <w:spacing w:after="0" w:line="250" w:lineRule="auto"/>
        <w:tabs>
          <w:tab w:leader="none" w:pos="11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partners may fail to properly initiate, maintain or defend our intellectual property rights, where applicable, or a party may utilize our proprietary information in such a way as to invite litigation that could jeopardize or potentially invalidate our proprietary information or expose us to potential liability;</w:t>
      </w:r>
    </w:p>
    <w:p>
      <w:pPr>
        <w:spacing w:after="0" w:line="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partners may not devote sufficient capital or resources toward our products and product candidates; and</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partners may not comply with applicable government regulatory requirements.</w:t>
      </w:r>
    </w:p>
    <w:p>
      <w:pPr>
        <w:spacing w:after="0" w:line="166" w:lineRule="exact"/>
        <w:rPr>
          <w:sz w:val="20"/>
          <w:szCs w:val="20"/>
          <w:color w:val="auto"/>
        </w:rPr>
      </w:pPr>
    </w:p>
    <w:p>
      <w:pPr>
        <w:ind w:right="80" w:firstLine="486"/>
        <w:spacing w:after="0" w:line="255" w:lineRule="auto"/>
        <w:rPr>
          <w:sz w:val="20"/>
          <w:szCs w:val="20"/>
          <w:color w:val="auto"/>
        </w:rPr>
      </w:pPr>
      <w:r>
        <w:rPr>
          <w:rFonts w:ascii="Times New Roman" w:cs="Times New Roman" w:eastAsia="Times New Roman" w:hAnsi="Times New Roman"/>
          <w:sz w:val="18"/>
          <w:szCs w:val="18"/>
          <w:color w:val="auto"/>
        </w:rPr>
        <w:t>If we or our partners fail to fulfill our responsibilities in a timely manner, or at all, our development and commercialization efforts related to that collaboration could be reduced, delayed or terminated, or it may be necessary for us to assume responsibility for activities that would otherwise have been the responsibility of our partner. If we are unable to establish and maintain collaborative relationships on acceptable terms, we may have to delay or discontinue further development or commercialization of one or more of our products or product candidates, undertake commercialization activities at our own expense or find alternative sources of funding. Any delay in the development or commercialization of our products and product candidates would severely affect our business, because if our product candidates do not progress through the development process or reach the market in a timely manner, or at all, or if our products do not achieve market success, we may not receive any revenues from product sales or licensing arrangements.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results of our partnership with Torii may not meet our current expectations.</w:t>
      </w:r>
    </w:p>
    <w:p>
      <w:pPr>
        <w:spacing w:after="0" w:line="189" w:lineRule="exact"/>
        <w:rPr>
          <w:sz w:val="20"/>
          <w:szCs w:val="20"/>
          <w:color w:val="auto"/>
        </w:rPr>
      </w:pPr>
    </w:p>
    <w:p>
      <w:pPr>
        <w:ind w:right="200" w:firstLine="486"/>
        <w:spacing w:after="0" w:line="258" w:lineRule="auto"/>
        <w:rPr>
          <w:sz w:val="20"/>
          <w:szCs w:val="20"/>
          <w:color w:val="auto"/>
        </w:rPr>
      </w:pPr>
      <w:r>
        <w:rPr>
          <w:rFonts w:ascii="Times New Roman" w:cs="Times New Roman" w:eastAsia="Times New Roman" w:hAnsi="Times New Roman"/>
          <w:sz w:val="18"/>
          <w:szCs w:val="18"/>
          <w:color w:val="auto"/>
        </w:rPr>
        <w:t>We have a partnership agreement with Torii for ORLADEYO in Japan. Under the Torii Agreement, we are responsible for all field promotional activities with respect to ORLADEYO in Japan, which we conduct through our Japanese subsidiary, BioCryst Japan K.K. Furthermore, we remain responsible for regulatory activities with respect to ORLADEYO in Japan, and we use third parties to satisfy those regulatory responsibilities and certain other obligations in Japan. If any party fails to meet its obligations, the commercial success of ORLADEYO in Japan and the economic benefit expected could be negatively impacted.</w:t>
      </w:r>
    </w:p>
    <w:p>
      <w:pPr>
        <w:spacing w:after="0" w:line="139"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our or our partners’ commercialization efforts, methods, and strategies for our products or technologies will succeed, and our future revenue generation is uncertain.</w:t>
      </w:r>
    </w:p>
    <w:p>
      <w:pPr>
        <w:spacing w:after="0" w:line="132"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There can be no assurance that our or our partners’ commercialization efforts, methods and strategies will succeed. We may be unable to establish or sufficiently increase our sales, marketing and distribution capabilities for products we currently, or plan to, commercialize. Our ability to receive revenue from products we or our partners commercialize is subject to several risks, including:</w:t>
      </w:r>
    </w:p>
    <w:p>
      <w:pPr>
        <w:spacing w:after="0" w:line="135" w:lineRule="exact"/>
        <w:rPr>
          <w:sz w:val="20"/>
          <w:szCs w:val="20"/>
          <w:color w:val="auto"/>
        </w:rPr>
      </w:pPr>
    </w:p>
    <w:p>
      <w:pPr>
        <w:ind w:left="1140" w:hanging="322"/>
        <w:spacing w:after="0" w:line="261" w:lineRule="auto"/>
        <w:tabs>
          <w:tab w:leader="none" w:pos="11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partners may fail to complete clinical trials successfully, or satisfy post-marketing commitments, sufficient to obtain and maintain regulatory agency marketing approval;</w:t>
      </w:r>
    </w:p>
    <w:p>
      <w:pPr>
        <w:ind w:left="1140" w:right="240" w:hanging="322"/>
        <w:spacing w:after="0" w:line="250" w:lineRule="auto"/>
        <w:tabs>
          <w:tab w:leader="none" w:pos="11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competitors are more experienced and have significantly more resources, and their products could reach the market faster, be more cost effective or have a better efficacy or tolerability profile than our products and product candidates;</w:t>
      </w:r>
    </w:p>
    <w:p>
      <w:pPr>
        <w:ind w:left="1140" w:right="240" w:hanging="322"/>
        <w:spacing w:after="0" w:line="250" w:lineRule="auto"/>
        <w:tabs>
          <w:tab w:leader="none" w:pos="11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employ a comprehensive and effective intellectual property strategy, which could result in decreased commercial value of our Company, our products and product candidates, or royalties associated with such products (e.g., the loss of the peramivir patent in Korea, which may result in a reduced royalty from Green Cross);</w:t>
      </w:r>
    </w:p>
    <w:p>
      <w:pPr>
        <w:spacing w:after="0" w:line="1" w:lineRule="exact"/>
        <w:rPr>
          <w:rFonts w:ascii="Times New Roman" w:cs="Times New Roman" w:eastAsia="Times New Roman" w:hAnsi="Times New Roman"/>
          <w:sz w:val="18"/>
          <w:szCs w:val="18"/>
          <w:color w:val="auto"/>
        </w:rPr>
      </w:pPr>
    </w:p>
    <w:p>
      <w:pPr>
        <w:ind w:left="1140" w:right="200" w:hanging="322"/>
        <w:spacing w:after="0" w:line="250" w:lineRule="auto"/>
        <w:tabs>
          <w:tab w:leader="none" w:pos="11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employ a comprehensive and effective regulatory strategy, which could result in a delay or failure in commercialization of our products;</w:t>
      </w:r>
    </w:p>
    <w:p>
      <w:pPr>
        <w:ind w:left="1140" w:right="320" w:hanging="322"/>
        <w:spacing w:after="0" w:line="250" w:lineRule="auto"/>
        <w:tabs>
          <w:tab w:leader="none" w:pos="11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partners’ ability to successfully commercialize our products is affected by the competitive landscape, which cannot be fully known at this time;</w:t>
      </w:r>
    </w:p>
    <w:p>
      <w:pPr>
        <w:ind w:left="1140" w:hanging="322"/>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product sales depends on our ability to obtain and maintain favorable pricing;</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is constantly changing, which could greatly affect usage of our products;</w:t>
      </w:r>
    </w:p>
    <w:p>
      <w:pPr>
        <w:spacing w:after="0" w:line="9" w:lineRule="exact"/>
        <w:rPr>
          <w:rFonts w:ascii="Times New Roman" w:cs="Times New Roman" w:eastAsia="Times New Roman" w:hAnsi="Times New Roman"/>
          <w:sz w:val="18"/>
          <w:szCs w:val="18"/>
          <w:color w:val="auto"/>
        </w:rPr>
      </w:pPr>
    </w:p>
    <w:p>
      <w:pPr>
        <w:ind w:left="1140" w:right="400" w:hanging="322"/>
        <w:spacing w:after="0" w:line="260" w:lineRule="auto"/>
        <w:tabs>
          <w:tab w:leader="none" w:pos="11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revenue from product sales will depend on our ability to successfully complete clinical studies, obtain regulatory approvals, and manufacture, market, distribute and commercialize our approved drugs; and</w:t>
      </w: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left="1140" w:hanging="322"/>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public health emergencies or the outbreak of disease, such as the COVID-19 pandemic, on us or our partners.</w:t>
      </w:r>
    </w:p>
    <w:p>
      <w:pPr>
        <w:spacing w:after="0" w:line="185"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In addition, future revenue from sales of ORLADEYO is subject to uncertainties and will depend on several factors, including the success of our and our partners’ commercialization efforts in the United States and elsewhere, the number of new patients switching to ORLADEYO, patient retention and demand, the number of physicians prescribing ORLADEYO, the rate of monthly prescriptions, reimbursement from third-party and government payors, the number of patients receiving free product, the conversion of patients from our clinical trials and early access programs to commercial customers, our pricing strategy, and market trends.</w:t>
      </w:r>
    </w:p>
    <w:p>
      <w:pPr>
        <w:spacing w:after="0" w:line="143" w:lineRule="exact"/>
        <w:rPr>
          <w:sz w:val="20"/>
          <w:szCs w:val="20"/>
          <w:color w:val="auto"/>
        </w:rPr>
      </w:pPr>
    </w:p>
    <w:p>
      <w:pPr>
        <w:ind w:right="340" w:firstLine="486"/>
        <w:spacing w:after="0" w:line="266" w:lineRule="auto"/>
        <w:rPr>
          <w:sz w:val="20"/>
          <w:szCs w:val="20"/>
          <w:color w:val="auto"/>
        </w:rPr>
      </w:pPr>
      <w:r>
        <w:rPr>
          <w:rFonts w:ascii="Times New Roman" w:cs="Times New Roman" w:eastAsia="Times New Roman" w:hAnsi="Times New Roman"/>
          <w:sz w:val="18"/>
          <w:szCs w:val="18"/>
          <w:color w:val="auto"/>
        </w:rPr>
        <w:t>Even if we are able to successfully commercialize our existing products, or to develop new commercially viable products, certain obligations we have to third parties, including, without limitation, our obligations to pay royalties on certain revenues from ORLADEYO and BCX10013 under the Royalty Purchase Agreements, may reduce the profitability of such products.</w:t>
      </w:r>
    </w:p>
    <w:p>
      <w:pPr>
        <w:spacing w:after="0" w:line="13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expanded, and may continue expanding, our development and regulatory capabilities and are implementing sales, marketing and distribution capabilities, and as a result, we may encounter difficulties in managing our growth, which could disrupt our operations.</w:t>
      </w:r>
    </w:p>
    <w:p>
      <w:pPr>
        <w:spacing w:after="0" w:line="132"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We have experienced, and may continue to experience, significant growth in the number of our employees and the scope of our operations in the United States and internationally, particularly in the areas of drug development, regulatory affairs, sales, marketing, and distribution. To manage our growth, we must continue to implement and improve our managerial, operational and financial systems and processes, expand our facilities and continue to recruit and train qualified personnel. Due to our limited financial resources and the limited experience of our management team in managing a company with such growth, we may not be able to effectively manage the expansion of our operations, implement appropriate systems and processes in a timely manner or at all, or recruit, train, and retain qualified personnel. The expansion of our operations may lead to significant costs and may divert our management and business development resources. In addition, if a commercial launch for any product or product candidate for which we recruit a commercial team and establish marketing capabilities in any region is delayed or does not occur for any reason, we would have prematurely or unnecessarily incurred these commercialization expenses. Any inability to manage growth could delay the execution of our business plans or disrupt our operations.</w:t>
      </w:r>
    </w:p>
    <w:p>
      <w:pPr>
        <w:spacing w:after="0" w:line="150"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third-party vendors in the manufacture and distribution of our products, product candidates and the materials for our products and product candidates. If we cannot rely on existing third-party vendors, we will be required to incur significant costs and potential delays in finding new third-party vendors, which could adversely impact the development and commercialization timeframes for our products and product candidates.</w:t>
      </w:r>
    </w:p>
    <w:p>
      <w:pPr>
        <w:spacing w:after="0" w:line="134"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We depend on third-party vendors, including third-party manufacturers, distributors, and specialty pharmacies, in the manufacture and distribution of our products, product candidates, and the materials for our products and product candidates. Often, especially in the early development and commercialization process, we have only one or limited sources for a particular product or service, such as manufacturing and/or distribution. We depend on these third-party vendors to perform their obligations in a timely manner and in accordance with applicable governmental regulations. Our third-party vendors, particularly our third-party manufacturers and distributors, each of which may be the only vendor we have engaged for a particular product, product candidate, or service or in a particular region, may encounter difficulties with meeting our requirements, including, but not limited to, problems involving, as applicable:</w:t>
      </w:r>
    </w:p>
    <w:p>
      <w:pPr>
        <w:spacing w:after="0" w:line="162" w:lineRule="exact"/>
        <w:rPr>
          <w:sz w:val="20"/>
          <w:szCs w:val="20"/>
          <w:color w:val="auto"/>
        </w:rPr>
      </w:pPr>
    </w:p>
    <w:p>
      <w:pPr>
        <w:ind w:left="1140" w:hanging="322"/>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resources being devoted in the manner necessary to satisfy our requirements within expected timeframes;</w:t>
      </w:r>
    </w:p>
    <w:p>
      <w:pPr>
        <w:spacing w:after="0" w:line="2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inconsistent production yields;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claims or recalls of commercial product;</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scaling production to commercial and validation sizes;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the delivery of materials required for the manufacturing process;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distribute commercial supplies of our products to commercial vendors or end users in a timely manner;</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scheduling of plant time with other vendors or unexpected equipment failure;</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catastrophes that could strike their facilities or have an effect on infrastructure;</w:t>
      </w:r>
    </w:p>
    <w:p>
      <w:pPr>
        <w:spacing w:after="0" w:line="9" w:lineRule="exact"/>
        <w:rPr>
          <w:rFonts w:ascii="Times New Roman" w:cs="Times New Roman" w:eastAsia="Times New Roman" w:hAnsi="Times New Roman"/>
          <w:sz w:val="18"/>
          <w:szCs w:val="18"/>
          <w:color w:val="auto"/>
        </w:rPr>
      </w:pPr>
    </w:p>
    <w:p>
      <w:pPr>
        <w:ind w:left="1140" w:right="1200" w:hanging="322"/>
        <w:spacing w:after="0" w:line="250" w:lineRule="auto"/>
        <w:tabs>
          <w:tab w:leader="none" w:pos="11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impurities in our drug substance or products that could affect availability of product for our clinical trials or future commercialization;</w:t>
      </w:r>
    </w:p>
    <w:p>
      <w:pPr>
        <w:ind w:left="1140" w:hanging="322"/>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 quality control and assurance or inadequate process controls;</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140" w:right="520" w:hanging="322"/>
        <w:spacing w:after="0" w:line="261" w:lineRule="auto"/>
        <w:tabs>
          <w:tab w:leader="none" w:pos="11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provide us with accurate or timely information regarding inventories, the number of patients who are using our products, or serious adverse events and/or product complaints regarding our products;</w:t>
      </w:r>
    </w:p>
    <w:p>
      <w:pPr>
        <w:ind w:left="1140" w:hanging="322"/>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of third parties to satisfy their financial obligations to us or to others;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breach of the manufacturing or distribution agreement by the third party;</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termination or nonrenewal of a material agreement by the third party at a time that is costly or inconvenient to us; and</w:t>
      </w:r>
    </w:p>
    <w:p>
      <w:pPr>
        <w:spacing w:after="0" w:line="9" w:lineRule="exact"/>
        <w:rPr>
          <w:rFonts w:ascii="Times New Roman" w:cs="Times New Roman" w:eastAsia="Times New Roman" w:hAnsi="Times New Roman"/>
          <w:sz w:val="18"/>
          <w:szCs w:val="18"/>
          <w:color w:val="auto"/>
        </w:rPr>
      </w:pPr>
    </w:p>
    <w:p>
      <w:pPr>
        <w:ind w:left="1140" w:right="100" w:hanging="322"/>
        <w:spacing w:after="0" w:line="260" w:lineRule="auto"/>
        <w:tabs>
          <w:tab w:leader="none" w:pos="11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compliance or cooperation with regulations and specifications or requests set forth by the FDA or other foreign regulatory agencies or local customs, particularly associated with ORLADEYO, BCX10013, peramivir and our early-stage compounds.</w:t>
      </w:r>
    </w:p>
    <w:p>
      <w:pPr>
        <w:spacing w:after="0" w:line="141"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Many additional factors could cause production or distribution interruptions with the manufacture and distribution of any of our products and product candidates, including human error, natural disasters, pandemics, labor disputes or shortages, acts of terrorism or war, equipment malfunctions, raw material shortages or supply chain issues. If our commercial distribution partners are not able to satisfy our requirements within the expected timeframe, or are unable to provide us with accurate or timely information and data, including with respect to inventories and sales, serious adverse events, and/or product complaints, our business, including our commercialization efforts for and sales of ORLADEYO, may be at risk. In addition, if specialty pharmacy services, including our third-party call center services, which provide patient support and financial services, prescription intake and distribution, reimbursement adjudication, and ongoing compliance support, are not effectively managed, the continuance of our commercialization efforts for and sales of ORLADEYO may be delayed or compromised.</w:t>
      </w:r>
    </w:p>
    <w:p>
      <w:pPr>
        <w:spacing w:after="0" w:line="165"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In addition, our contract manufacturers may not be able to manufacture the materials required for our products or product candidates at a cost or in quantities necessary to make them commercially viable. Our raw materials, drug substances, products, and product candidates are manufactured by a limited group of suppliers, including some at a single facility. If any of these suppliers were unable to produce these items, this could significantly impact our supply of products and product candidate material for further preclinical testing and clinical trials. Our third-party manufacturers also may not meet our manufacturing requirements. Furthermore, changes in the manufacturing process or procedures, including a change in the location where the drug is manufactured or a change of a third-party manufacturer, may require prior review and approval in accordance with the FDA’s cGMP and comparable foreign requirements. This review may be costly and time-consuming and could delay or prevent the launch of a product. The FDA or foreign regulatory authorities may at any time implement new standards, or change their interpretation and enforcement of existing standards, for manufacture, packaging or testing of products. If we or our contract manufacturers are unable to comply, we or they may be subject to regulatory action, civil actions or penalties, any of which could be costly to us and could result in a delay or shortage of product.</w:t>
      </w:r>
    </w:p>
    <w:p>
      <w:pPr>
        <w:spacing w:after="0" w:line="154"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We currently contract with a foreign CMO in China for the manufacturing of one of our product candidates. Foreign CMOs may be subject to U.S. legislation, including the proposed BIOSECURE Act, sanctions, trade restrictions and other foreign regulatory requirements, which could increase the cost or reduce the supply of material available to us or delay the procurement or supply of such material.</w:t>
      </w:r>
    </w:p>
    <w:p>
      <w:pPr>
        <w:spacing w:after="0" w:line="13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If we are unable to maintain current third-party relationships, or enter into new agreements with additional third parties on commercially reasonable terms, or at all, or if there is poor manufacturing or distribution performance or failure to comply with any regulatory agency on the part of any of our third-party vendors, we may not be able to complete development of, obtain timely approval of, or commercialize our products and product candidates.</w:t>
      </w:r>
    </w:p>
    <w:p>
      <w:pPr>
        <w:spacing w:after="0" w:line="145" w:lineRule="exact"/>
        <w:rPr>
          <w:sz w:val="20"/>
          <w:szCs w:val="20"/>
          <w:color w:val="auto"/>
        </w:rPr>
      </w:pPr>
    </w:p>
    <w:p>
      <w:pPr>
        <w:ind w:right="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Commercialization of our products by us and our partners is subject to the potential commercialization risks described herein and numerous additional risks. Any potential revenue benefits to us, including in the form of milestone payments, royalties or other consideration are highly speculative.</w:t>
      </w:r>
    </w:p>
    <w:p>
      <w:pPr>
        <w:spacing w:after="0" w:line="95"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Commercial success of our products is uncertain and is subject to all the risks and uncertainties disclosed in our other risk factors relating to drug development and commercialization. In addition, commercialization of our products is subject to further risks and may be negatively impacted by a number of factors, including, but not limited to, the following:</w:t>
      </w:r>
    </w:p>
    <w:p>
      <w:pPr>
        <w:spacing w:after="0" w:line="135" w:lineRule="exact"/>
        <w:rPr>
          <w:sz w:val="20"/>
          <w:szCs w:val="20"/>
          <w:color w:val="auto"/>
        </w:rPr>
      </w:pPr>
    </w:p>
    <w:p>
      <w:pPr>
        <w:ind w:left="1140" w:right="360" w:hanging="322"/>
        <w:spacing w:after="0" w:line="261" w:lineRule="auto"/>
        <w:tabs>
          <w:tab w:leader="none" w:pos="11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may not prove to be adequately safe and effective for market approval in markets other than the markets in which they are currently approved;</w:t>
      </w:r>
    </w:p>
    <w:p>
      <w:pPr>
        <w:ind w:left="1140" w:right="520" w:hanging="322"/>
        <w:spacing w:after="0" w:line="250" w:lineRule="auto"/>
        <w:tabs>
          <w:tab w:leader="none" w:pos="11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necessary funding for post-marketing commitments and further development of our products may not be available timely, at all, or in sufficient amounts;</w:t>
      </w:r>
    </w:p>
    <w:p>
      <w:pPr>
        <w:ind w:left="1140" w:hanging="322"/>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advances in competing products could substantially replace potential demand for our products;</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140" w:right="140" w:hanging="322"/>
        <w:spacing w:after="0" w:line="261" w:lineRule="auto"/>
        <w:tabs>
          <w:tab w:leader="none" w:pos="11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and third-party payors may not provide sufficient coverage or reimbursement, which would negatively impact the demand for our products;</w:t>
      </w:r>
    </w:p>
    <w:p>
      <w:pPr>
        <w:ind w:left="1140" w:right="200" w:hanging="322"/>
        <w:spacing w:after="0" w:line="250" w:lineRule="auto"/>
        <w:tabs>
          <w:tab w:leader="none" w:pos="11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supply commercial material to our partners and our partners may not be able to maintain or establish sufficient and acceptable commercial manufacturing, either directly or through third-party manufacturers;</w:t>
      </w:r>
    </w:p>
    <w:p>
      <w:pPr>
        <w:jc w:val="both"/>
        <w:ind w:left="1140" w:right="760" w:hanging="322"/>
        <w:spacing w:after="0" w:line="265" w:lineRule="auto"/>
        <w:tabs>
          <w:tab w:leader="none" w:pos="1135"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commercial demand and acceptance for our products by healthcare providers and by patients may not be sufficient to result in substantial product revenues to us or to our partners and may result in little to no revenue, milestone payments, or royalties to us;</w:t>
      </w:r>
    </w:p>
    <w:p>
      <w:pPr>
        <w:ind w:left="1140" w:hanging="322"/>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marketing and commercialization efforts for our products by us or our partners;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satisfaction with existing alternative therapies;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efficacy relative to other available therapies;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disease prevalence;</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treatment;</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pricing and reimbursement strategy may not be effective;</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legislative or regulatory proposals may influence our pricing and reimbursement strategy, which could impact product revenues;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and availability of imports or alternative products;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and sales activities of competitors;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shifts in the medical community to new treatment paradigms or standards of care; and</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Relating to Competing in Our Industry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intense competition, and if we are unable to compete effectively, the demand for our products may be reduced.</w:t>
      </w:r>
    </w:p>
    <w:p>
      <w:pPr>
        <w:spacing w:after="0" w:line="189"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The biotechnology and pharmaceutical industries are highly competitive and subject to rapid and substantial technological change. There are many companies seeking to develop products for the same indications that we currently target. Our competitors in the United States and elsewhere are numerous and include, among others, major multinational pharmaceutical and chemical companies and specialized biotechnology firms. Most of these competitors have greater resources than we do, including greater financial resources, larger research and development staffs and more experienced manufacturing, marketing, and sales organizations. In addition, most of our competitors have greater experience than we do in conducting clinical trials and obtaining FDA and other regulatory approvals. Accordingly, our competitors may succeed in obtaining FDA or other regulatory approvals of product candidates more rapidly than we do for products that compete with our products. Companies that complete clinical trials, obtain required regulatory approvals, and commence commercial sale of their drugs before we do may achieve a significant competitive advantage, including patent and FDA exclusivity rights that would delay our ability to market products. We face, and will continue to face, competition in the commercialization of our products, licensing of potential product candidates for desirable disease targets, licensing of desirable product candidates, and development and marketing of our product candidates from academic institutions, government agencies, research institutions and biotechnology and pharmaceutical companies. Competition may also arise from, among other things:</w:t>
      </w:r>
    </w:p>
    <w:p>
      <w:pPr>
        <w:spacing w:after="0" w:line="149" w:lineRule="exact"/>
        <w:rPr>
          <w:sz w:val="20"/>
          <w:szCs w:val="20"/>
          <w:color w:val="auto"/>
        </w:rPr>
      </w:pPr>
    </w:p>
    <w:p>
      <w:pPr>
        <w:ind w:left="1140" w:hanging="322"/>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drug development technologies;</w:t>
      </w:r>
    </w:p>
    <w:p>
      <w:pPr>
        <w:spacing w:after="0" w:line="2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methods of preventing or reducing the incidence of disease, including vaccines; and</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small molecule or other classes of therapeutic agents.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Developments by others may render our products, product candidates, or technologies obsolete or noncompetitive.</w:t>
      </w:r>
    </w:p>
    <w:p>
      <w:pPr>
        <w:spacing w:after="0" w:line="189" w:lineRule="exact"/>
        <w:rPr>
          <w:sz w:val="20"/>
          <w:szCs w:val="20"/>
          <w:color w:val="auto"/>
        </w:rPr>
      </w:pPr>
    </w:p>
    <w:p>
      <w:pPr>
        <w:ind w:right="80" w:firstLine="486"/>
        <w:spacing w:after="0" w:line="271" w:lineRule="auto"/>
        <w:rPr>
          <w:sz w:val="20"/>
          <w:szCs w:val="20"/>
          <w:color w:val="auto"/>
        </w:rPr>
      </w:pPr>
      <w:r>
        <w:rPr>
          <w:rFonts w:ascii="Times New Roman" w:cs="Times New Roman" w:eastAsia="Times New Roman" w:hAnsi="Times New Roman"/>
          <w:sz w:val="17"/>
          <w:szCs w:val="17"/>
          <w:color w:val="auto"/>
        </w:rPr>
        <w:t>We received FDA approval of ORLADEYO, an oral, once-daily therapy for the prevention of HAE attacks in adults and pediatric patients aged 12 years and older, in December 2020. We subsequently received regulatory approvals for ORLADEYO in multiple markets. In addition, we are performing research on or developing products for the treatment of several other rare diseases, including diseases of the complement system. We expect to encounter significant competition for our pharmaceutical products and product candidates. Companies that complete clinical trials, obtain required funding or government support, obtain required regulatory approvals and commence commercial sales or stockpiling orders of their products before their competitors may achieve a significant competitive advantage. In addition, various government entities throughout the world may offer incentives, grants and contracts to encourage additional investment into certain preventative and therapeutic agents, which may have the effect of further increasing the number of our competitors and/or providing advantages to certain competitors. See “Business—Competition” in Part I, Item 1 of our most recent Annual Report on Form 10-K for further discussion of our competitors, competitive products or programs, and the competitive conditions in these and other therapeutic areas.</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If one or more of our competitors’ products or programs, including potential competitors not currently identified, are successful, the market for our products may be reduced or eliminated.</w:t>
      </w:r>
    </w:p>
    <w:p>
      <w:pPr>
        <w:spacing w:after="0" w:line="1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Compared to us, many of our competitors and potential competitors have substantially greater:</w:t>
      </w:r>
    </w:p>
    <w:p>
      <w:pPr>
        <w:spacing w:after="0" w:line="185" w:lineRule="exact"/>
        <w:rPr>
          <w:sz w:val="20"/>
          <w:szCs w:val="20"/>
          <w:color w:val="auto"/>
        </w:rPr>
      </w:pPr>
    </w:p>
    <w:p>
      <w:pPr>
        <w:ind w:left="1140" w:hanging="322"/>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resources;</w:t>
      </w:r>
    </w:p>
    <w:p>
      <w:pPr>
        <w:spacing w:after="0" w:line="2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resources, including personnel and technology;</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experience;</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study and clinical testing experience;</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marketing, and sales experience; and</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facilities.</w:t>
      </w:r>
    </w:p>
    <w:p>
      <w:pPr>
        <w:spacing w:after="0" w:line="166" w:lineRule="exact"/>
        <w:rPr>
          <w:sz w:val="20"/>
          <w:szCs w:val="20"/>
          <w:color w:val="auto"/>
        </w:rPr>
      </w:pPr>
    </w:p>
    <w:p>
      <w:pPr>
        <w:ind w:right="480" w:firstLine="486"/>
        <w:spacing w:after="0" w:line="282" w:lineRule="auto"/>
        <w:rPr>
          <w:sz w:val="20"/>
          <w:szCs w:val="20"/>
          <w:color w:val="auto"/>
        </w:rPr>
      </w:pPr>
      <w:r>
        <w:rPr>
          <w:rFonts w:ascii="Times New Roman" w:cs="Times New Roman" w:eastAsia="Times New Roman" w:hAnsi="Times New Roman"/>
          <w:sz w:val="18"/>
          <w:szCs w:val="18"/>
          <w:color w:val="auto"/>
        </w:rPr>
        <w:t>Any of these competitive factors could impede our funding efforts, render our products, product candidates, or technologies noncompetitive or eliminate or reduce demand for our products and product candidates.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Legal and Regulatory Risks</w:t>
      </w:r>
    </w:p>
    <w:p>
      <w:pPr>
        <w:spacing w:after="0" w:line="18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various laws and regulations related to our products and product candidates, and if we or our partners do not comply with these laws and regulations, we could face substantial penalties.</w:t>
      </w:r>
    </w:p>
    <w:p>
      <w:pPr>
        <w:spacing w:after="0" w:line="118"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Our and our partners’ activities related to approved products or, following their regulatory approval (if applicable), any of our product candidates under development, are subject to regulatory and law enforcement authorities in the United States (including the FDA, the Federal Trade Commission, the Department of Justice (“DOJ”), and state and local governments) and their foreign equivalents (including the EMA, MHLW, MHRA, and others).</w:t>
      </w:r>
    </w:p>
    <w:p>
      <w:pPr>
        <w:spacing w:after="0" w:line="149"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We are responsible for reporting adverse drug experiences, have responsibility for certain post-approval studies, and may have responsibilities and costs related to a recall or withdrawal of our products from sale in the jurisdictions in which they are approved. We may also incur liability associated with product manufacturing contracted by us or in support of any of our partners. We are required to maintain records and provide data and reports to regulatory agencies related to our products (e.g. risk evaluation and mitigation strategies, track and trace requirements, and adverse events), and we may incur certain promotional regulatory and government pricing risks, all of which could have a material adverse impact on our operations and financial condition. Similar responsibilities would apply upon regulatory approval of any of our other product candidates currently under development.</w:t>
      </w:r>
    </w:p>
    <w:p>
      <w:pPr>
        <w:spacing w:after="0" w:line="147"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In addition, we are subject to the federal physician sunshine act and certain similar physician payment and drug pricing transparency legislation in various states. We are also subject to various federal and state laws pertaining to healthcare “fraud and abuse,” including both federal and state anti-kickback and false claims laws. Outside of the United States, we may be subject to analogous foreign laws and regulations in the various jurisdictions in which we operate. These laws and regulations apply to our and our partners’ operations, sales and marketing practices, price reporting, and relationships with physicians and other customers and third-party payors. Although we seek to comply with these statutes, it is possible that our practices, or those of our partners, might be challenged under healthcare fraud and abuse, anti-kickback, false claims or similar laws. Violations of the physician sunshine act and similar legislation or the fraud and abuse laws may be punishable by civil or criminal sanctions, including fines and civil monetary penalties, and future exclusion from participation in government healthcare programs.</w:t>
      </w:r>
    </w:p>
    <w:p>
      <w:pPr>
        <w:spacing w:after="0" w:line="151"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The principal investigators for our clinical trials may serve as scientific advisors or consultants to us from time to time and receive compensation in connection with such services. Under certain circumstances, we may be required to report some of these relationships to certain regulatory authorities, including the FDA and comparable foreign regulatory authorities. Consequently, the FDA or other regulatory authority may conclude that a financial relationship between us and a principal investigator creates a conflict of interest or otherwise affects interpretation of the study. In the event of a conflict of interest with respect to a study, the integrity of the data generated at the applicable clinical trial site may be questioned or the utility of the clinical trial itself may be jeopardized. This could result in a delay in approval, or rejection, of our marketing applications by the FDA or other regulatory authority, as the case may be, and may ultimately lead to the denial of marketing approval of one or more of our product candidates.</w:t>
      </w:r>
    </w:p>
    <w:p>
      <w:pPr>
        <w:spacing w:after="0" w:line="162"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The FDA and foreign regulatory authorities may also impose post-approval commitments on us for approved products, which we may not complete successfully or on time for any number of reasons, including, but not limited to, lack of funds to complete the studies and insufficient interest by appropriate sites, investigators or study subjects. We are currently subject to certain post-approval commitments. If we fail to comply with post-approval legal and regulatory requirements, we could be subject to penalties, and our products could be subject to continual recordkeeping and reporting</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requirements, review and periodic inspections by the FDA and other regulatory bodies. Regulatory approval of a product may be subject to limitations on the indicated uses for which the product may be marketed or to the other restrictive conditions of approval that limit our ability to promote, sell or distribute a product. Furthermore, the approval of our products and any other future product candidates may be subject to requirements for costly post-approval testing and surveillance to monitor their safety or efficacy or certain post-approval labeling, packaging and storage requirements.</w:t>
      </w:r>
    </w:p>
    <w:p>
      <w:pPr>
        <w:spacing w:after="0" w:line="153" w:lineRule="exact"/>
        <w:rPr>
          <w:sz w:val="20"/>
          <w:szCs w:val="20"/>
          <w:color w:val="auto"/>
        </w:rPr>
      </w:pPr>
    </w:p>
    <w:p>
      <w:pPr>
        <w:ind w:right="140" w:firstLine="486"/>
        <w:spacing w:after="0" w:line="258" w:lineRule="auto"/>
        <w:rPr>
          <w:sz w:val="20"/>
          <w:szCs w:val="20"/>
          <w:color w:val="auto"/>
        </w:rPr>
      </w:pPr>
      <w:r>
        <w:rPr>
          <w:rFonts w:ascii="Times New Roman" w:cs="Times New Roman" w:eastAsia="Times New Roman" w:hAnsi="Times New Roman"/>
          <w:sz w:val="18"/>
          <w:szCs w:val="18"/>
          <w:color w:val="auto"/>
        </w:rPr>
        <w:t>Advertising and promotion are subject to stringent oversight from the FDA and foreign regulators, and as an NDA holder, we may be held responsible for any advertising and promotion that is not in compliance with applicable rules and regulations. Applicable regulatory authorities, competitors, and other third parties may take the position that we are not in compliance with such regulations. In addition to medical education efforts, we may offer patient support services to assist patients receiving treatment with our commercially approved products which have increasingly become the focus of government investigation.</w:t>
      </w:r>
    </w:p>
    <w:p>
      <w:pPr>
        <w:spacing w:after="0" w:line="143"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Adverse event information concerning approved products must be reviewed, and as an NDA holder, we are required to make expedited and periodic adverse event reports to the FDA and other regulatory authorities. In addition, the research, manufacturing, distribution, sale and promotion of products are potentially subject to regulation by various federal, state and local authorities in addition to the FDA, including the Centers for Medicare and Medicaid Services (“CMS”), other divisions of HHS, the DOJ and individual U.S. Attorney offices within the DOJ, state and local governments, and foreign equivalents of the foregoing. All of these activities are also potentially subject to healthcare false claims and fraud and abuse laws, as well as consumer protection and unfair competition laws.</w:t>
      </w:r>
    </w:p>
    <w:p>
      <w:pPr>
        <w:spacing w:after="0" w:line="147"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If our operations with respect to our products that are subject to healthcare laws and regulations are found to be in violation of any of the healthcare fraud and abuse laws described above or in “Business—Government Regulation” in Part I, Item 1 of our most recent Annual Report on Form 10-K or any other governmental regulations that apply to us, we may be subject to penalties, including civil and criminal penalties, damages, fines, debarment or exclusion from participating in government-funded healthcare programs such as Medicare or Medicaid, and the curtailment or restructuring of our operations. Any penalties, damages, fines, debarment, exclusion, curtailment or restructuring of our operations could adversely affect our ability to operate our business and our financial results. Although compliance programs can mitigate the risk of investigation and prosecution for violations of these laws, the risks cannot be entirely eliminated. Any action against us for violation of these laws, even if we successfully defend against it, could cause us to incur significant legal expenses and divert our management’s attention from the operation of our business. Moreover, achieving and sustaining compliance with all applicable fraud and abuse laws may be costly.</w:t>
      </w:r>
    </w:p>
    <w:p>
      <w:pPr>
        <w:spacing w:after="0" w:line="157"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consultants and partners may engage in misconduct or other improper activities, including non-compliance with regulatory standards and requirements, which could cause significant liability for us and harm our reputation.</w:t>
      </w:r>
    </w:p>
    <w:p>
      <w:pPr>
        <w:spacing w:after="0" w:line="118" w:lineRule="exact"/>
        <w:rPr>
          <w:sz w:val="20"/>
          <w:szCs w:val="20"/>
          <w:color w:val="auto"/>
        </w:rPr>
      </w:pPr>
    </w:p>
    <w:p>
      <w:pPr>
        <w:ind w:right="120" w:firstLine="486"/>
        <w:spacing w:after="0" w:line="253" w:lineRule="auto"/>
        <w:rPr>
          <w:sz w:val="20"/>
          <w:szCs w:val="20"/>
          <w:color w:val="auto"/>
        </w:rPr>
      </w:pPr>
      <w:r>
        <w:rPr>
          <w:rFonts w:ascii="Times New Roman" w:cs="Times New Roman" w:eastAsia="Times New Roman" w:hAnsi="Times New Roman"/>
          <w:sz w:val="18"/>
          <w:szCs w:val="18"/>
          <w:color w:val="auto"/>
        </w:rPr>
        <w:t>We are subject to the risk of fraud or other misconduct by our employees, consultants and partners, including intentional or unintentional failures to comply with FDA regulations or similar regulations of comparable other regulatory authorities, provide accurate information to the FDA or comparable other regulatory authorities, comply with manufacturing standards we have established, comply with federal and state healthcare fraud and abuse laws and regulations and similar laws and regulations established and enforced by comparable other regulatory authorities, report financial information or data accurately or disclose unauthorized activities to us. Employee and consultant misconduct could also involve the improper use of information obtained in the course of clinical trials, which could result in regulatory sanctions and serious harm to our reputation. It is not always possible to identify and deter employee and consultant misconduct, whether intentional, reckless, negligent, or unintentional,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or regulations.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spacing w:after="0" w:line="147"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our partners may be subject to new legislation, regulatory proposals and healthcare payor initiatives that may increase our costs of compliance and adversely affect our or our partners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ability to market our products or develop our product candidates.</w:t>
      </w:r>
    </w:p>
    <w:p>
      <w:pPr>
        <w:spacing w:after="0" w:line="132"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We are subject to new legislation, regulatory, and healthcare payor initiatives, including the Patient Protection and Affordable Care Act (“PPACA”), which made extensive changes to the delivery of healthcare in the United States, as discussed in “Business—Government Regulation” in Part I, Item 1 of our most recent Annual Report on Form 10-K. The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continuing efforts of the government, insurance companies, managed care organizations and other payors of healthcare services to contain or reduce costs of healthcare could result in decreased net revenues from our pharmaceutical products and decrease potential returns from our development efforts. In addition, pharmaceutical and device manufacturers are also required to report and disclose certain payments and transfers of value to, and investment interests held by, physicians and their immediate family members during the preceding calendar year. Failure to submit required information may result in civil monetary penalties for payments, transfers of value, or ownership or investment interests not reported in an annual submission. Compliance with the PPACA and state laws with similar provisions is difficult and time consuming, and companies that do not comply with these state laws face civil penalties. Because of the breadth of these laws and the narrowness of the applicable safe harbors, it is possible that some of our business activities could be subject to challenge under one or more of such laws. Such a challenge could have a material adverse effect on our business, financial condition, results of operations and growth prospects.</w:t>
      </w:r>
    </w:p>
    <w:p>
      <w:pPr>
        <w:spacing w:after="0" w:line="161"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In addition, there have been a number of other legislative and regulatory proposals aimed at changing the pharmaceutical industry. For example, legislation has been enacted in certain states and at a federal level that requires development of an electronic pedigree to track and trace each prescription drug at the saleable unit level through the distribution system. Compliance with these electronic pedigree requirements may increase our operational expenses and impose significant administrative burdens. In addition, our compliance may be deemed insufficient and we could face a material adverse effect on our business, financial condition, results of operations and growth prospects. As a result of these and other new proposals, we may determine to change our current manner of operation, provide additional benefits or change our contract arrangements, any of which could have a material adverse effect on our business, financial condition and results of operations.</w:t>
      </w:r>
    </w:p>
    <w:p>
      <w:pPr>
        <w:spacing w:after="0" w:line="148"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Adequate coverage and reimbursement in the United States and other markets is essential to the commercial success of our approved products. Recently in the United States, there has been heightened governmental scrutiny over the manner in which manufacturers set prices for their marketed products. For example, the Inflation Reduction Act of 2022 (“IRA”) implements a number of drug pricing measures intended to lower the cost of prescription drugs and related healthcare reforms, including limits on price increases and subjecting an escalating number of drugs to annual price negotiations with CMS. The IRA includes several provisions that will impact our business to varying degrees, including provisions that reduce the out-of-pocket spending cap for Medicare Part D beneficiaries to $2,000 starting in 2025; impose new manufacturer financial liability on all drugs in Medicare Part D; allow the U.S. Government to negotiate Medicare Part B and Part D pricing for certain high-cost drugs and biologics without generic or biosimilar competition; require companies to pay rebates to Medicare for drug prices that increase faster than inflation; and delay the rebate rule that would require pass through of pharmacy benefit manager rebates to beneficiaries. Further, under the IRA, orphan drugs are exempted from the Medicare drug price negotiation program, but only if they have one orphan designation and for which the only approved indication or indications are for that disease or condition.  If a product receives multiple rare disease designations or has multiple approved indications for more than one disease or condition, it may not qualify for the orphan drug exemption.</w:t>
      </w:r>
    </w:p>
    <w:p>
      <w:pPr>
        <w:spacing w:after="0" w:line="149"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We cannot be sure whether additional legislation or rulemaking related to the IRA will be issued or enacted, how insurance pharmacy benefit managers and other insurance providers that manage benefits for Medicare recipients will react to the IRA, or what impact, if any, such changes will have on the insurance coverage and profitability of our products or any of our product candidates, if approved for commercial use, in the future. The effect of the IRA on our business and the healthcare industry in general is not yet known. The IRA or other government efforts to reduce the price of prescription drugs or to limit the amount that governments pay for healthcare products and services could result in additional pricing pressure and have a significant impact on our business.</w:t>
      </w:r>
    </w:p>
    <w:p>
      <w:pPr>
        <w:spacing w:after="0" w:line="160"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In addition, regional healthcare authorities and individual hospitals are increasingly using bidding procedures to determine what pharmaceutical products and which suppliers will be included in their prescription drug and other healthcare programs. Third-party payors are increasingly challenging the prices charged for medical products and services and, in some cases, imposing restrictions on the coverage of particular drugs. Many third-party payors negotiate the price of medical services and products and develop formularies which establish pricing and reimbursement levels. Exclusion of a product from a formulary can lead to its sharply reduced usage in the third-party payor’s patient population. The process for obtaining coverage can be lengthy and costly, and we expect that it could take several months before a particular payor initially reviews a product and makes a decision with respect to coverage. For example, third-party payors may require cost-benefit analysis data from us in order to demonstrate the cost-effectiveness of our products or any other product we might bring to market. For any individual third-party payor, we may not be able to provide data sufficient to gain reimbursement on a similar or preferred basis to competitive products, or at all, which may have a material adverse effect on our business, financial condition and results of operations.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data privacy and security risks, and our actual or perceived failure to comply with regulations and other legal obligations related to privacy and data protection could harm our business.</w:t>
      </w:r>
    </w:p>
    <w:p>
      <w:pPr>
        <w:spacing w:after="0" w:line="132"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We may be subject to legal obligations at the federal, state, and local level related to privacy and data protection, as described in “Business— Government Regulation—Data Privacy and Security Laws” in Part I, Item 1 of our most recent Annual Report on Form 10-K. Compliance with stringent and evolving U.S. data protection laws and regulations could require us to take on more onerous obligations in our contracts, restrict our ability to collect, use, and disclose data, or in some cases, impact our ability to operate in certain jurisdictions. For example, we may be subject to the California Consumer Privacy Act (“CCPA”), which gives California residents expanded rights to access and require deletion of their personal data, opt out of certain personal data sharing, and receive detailed information about how their personal data is used. The CCPA provides for civil penalties of up to $7,500 per violation and allows private litigants affected by certain data breaches to recover significant statutory damages. Although the CCPA exempts some data processed in the context of clinical trials, the CCPA may increase compliance costs and potential liability with respect to other personal data we may maintain about California residents.</w:t>
      </w:r>
    </w:p>
    <w:p>
      <w:pPr>
        <w:spacing w:after="0" w:line="148"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We also may be subject to the General Data Protection Regulation (“GDPR”) in the European Economic Area (“EEA”) and similar legislation in the United Kingdom and Switzerland. See “Business—Government Regulation—Data Privacy and Security Laws” in Part I, Item 1 of our most recent Annual Report on Form 10-K and “Risks Relating to Our Business—Risks Relating to International Operations—Our actual or perceived failure to comply with European governmental laws and regulations and other legal obligations related to privacy, data protection and information security could harm our business” in this section for additional discussion of privacy laws and regulations. Failure to comply with these laws and regulations could result in government enforcement actions, private litigation, or harm to our reputation and our business.</w:t>
      </w:r>
    </w:p>
    <w:p>
      <w:pPr>
        <w:spacing w:after="0" w:line="147"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Despite our efforts, our personnel or third parties on whom we rely may fail to comply with such data privacy and security obligations, which could negatively impact our business operations. If we or the third parties on which we rely fail, or are perceived to have failed, to address or comply with applicable data privacy and security obligations, we could face significant consequences, including, but not limited to, regulatory investigations or actions; litigation; fines and penalties; disruptions of our business operations; reputational harm; loss of revenue or profits; and other adverse business consequences.</w:t>
      </w:r>
    </w:p>
    <w:p>
      <w:pPr>
        <w:spacing w:after="0" w:line="152"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because of our use of hazardous materials, we violate any environmental controls or regulations that apply to such materials, we may incur substantial costs and expenses in our remediation efforts.</w:t>
      </w:r>
    </w:p>
    <w:p>
      <w:pPr>
        <w:spacing w:after="0" w:line="118" w:lineRule="exact"/>
        <w:rPr>
          <w:sz w:val="20"/>
          <w:szCs w:val="20"/>
          <w:color w:val="auto"/>
        </w:rPr>
      </w:pPr>
    </w:p>
    <w:p>
      <w:pPr>
        <w:ind w:right="160" w:firstLine="486"/>
        <w:spacing w:after="0" w:line="258" w:lineRule="auto"/>
        <w:rPr>
          <w:sz w:val="20"/>
          <w:szCs w:val="20"/>
          <w:color w:val="auto"/>
        </w:rPr>
      </w:pPr>
      <w:r>
        <w:rPr>
          <w:rFonts w:ascii="Times New Roman" w:cs="Times New Roman" w:eastAsia="Times New Roman" w:hAnsi="Times New Roman"/>
          <w:sz w:val="18"/>
          <w:szCs w:val="18"/>
          <w:color w:val="auto"/>
        </w:rPr>
        <w:t>Our research and development involves the controlled use of hazardous materials, chemicals and various radioactive compounds. We are subject to federal, state and local laws and regulations governing the use, storage, handling and disposal of these materials and some waste products. Accidental contamination or injury from these materials could occur. In the event of an accident, we could be liable for any damages that result, and any liabilities could exceed our resources. Compliance with environmental laws and regulations or a violation of such environmental laws and regulations could require us to incur substantial unexpected costs, which would materially and adversely affect our results of operations.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Intellectual Property Risks</w:t>
      </w:r>
    </w:p>
    <w:p>
      <w:pPr>
        <w:spacing w:after="0" w:line="194"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adequately protect or enforce our intellectual property rights, the value of those rights would diminish, and if we fail to secure the rights to patents of others, it could adversely affect our business.</w:t>
      </w:r>
    </w:p>
    <w:p>
      <w:pPr>
        <w:spacing w:after="0" w:line="118"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Our success will depend in part on our ability and the abilities of our partners to obtain, protect and enforce viable intellectual property rights including, but not limited to, trade name, trademark and patent protection for our Company and its products, methods, processes and other technologies we may license or develop, to preserve our trade secrets, and to operate without infringing the proprietary rights of third parties both domestically and abroad. The patent position of biotechnology and pharmaceutical companies is generally highly uncertain, involves complex legal and factual questions and has recently been the subject of much litigation. Neither the United States Patent and Trademark Office (“USPTO”), the Patent Cooperation Treaty offices, nor the courts of the United States and other jurisdictions have consistent policies nor predictable rulings regarding the breadth of claims allowed or the degree of protection afforded under many biotechnology and pharmaceutical patents. Further, we may not have worldwide patent protection for all of our product candidates and our intellectual property rights may not be legally protected or enforceable in all countries throughout the world. In some jurisdictions, some of our product candidates in certain programs, including our HAE program, may have short or no composition of matter patent life and we may therefore rely on orphan drug exclusivity or data exclusivity. There can be no assurance that we will obtain orphan drug exclusivity or data exclusivity in every jurisdiction. Further, in some jurisdictions, we may rely on formulation patents or method of use patents. Both the ability to achieve issuance and</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enforcement of formulation and method of use patents can be highly uncertain and can vary from jurisdiction to jurisdiction, and such patents may therefore not adequately prevent competitors and potential infringers in some jurisdictions. The validity, scope, enforceability, and commercial value of the rights protected by such patents, therefore, is highly uncertain.</w:t>
      </w:r>
    </w:p>
    <w:p>
      <w:pPr>
        <w:spacing w:after="0" w:line="149"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We also rely on trade secrets to protect technology in cases when we believe patent protection is not appropriate or obtainable. However, trade secrets are difficult to protect. In addition, increasing restrictions on non-compete agreements could increase the difficulty of protecting certain proprietary information. If we cannot maintain the confidentiality of our technology and other confidential information in connection with our collaborators and advisors, our ability to receive patent protection or protect our proprietary information may be imperiled.</w:t>
      </w:r>
    </w:p>
    <w:p>
      <w:pPr>
        <w:spacing w:after="0" w:line="13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legal proceedings to protect or enforce our patents, the patents of our partners or our other intellectual property rights, which could be expensive, time consuming and unsuccessful.</w:t>
      </w:r>
    </w:p>
    <w:p>
      <w:pPr>
        <w:spacing w:after="0" w:line="118"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Competitors may infringe or otherwise violate our patents, the patents of our licensors or our other intellectual property rights. To counter infringement or unauthorized use, we may be required to file legal claims, which can be expensive, time-consuming, and unsuccessful. An adverse result in any legal proceeding could put one or more of our patents at risk. Our success depends in part on avoiding the infringement of other parties’ patents and other intellectual property rights as well as avoiding the breach of any licenses relating to our technologies and products. In the United States, patent applications filed in recent years are confidential for 18 months, while older applications are not published until the patent issues. As a result, avoiding patent infringement may be difficult and we may inadvertently infringe third-party patents or proprietary rights. These third parties could bring claims against us, our partners or our licensors that even if resolved in our favor, could cause us to incur substantial expenses and, if resolved against us, could additionally cause us to pay substantial damages. Further, if a patent infringement suit were brought against us, our partners or our licensors, we or they could be forced to stop or delay research, development, manufacturing or sales of any infringing product in the country or countries covered by the patent we infringe, unless we can obtain a license from the patent holder. Such a license may not be available on acceptable terms, or at all, particularly if the third party is developing or marketing a product competitive with the infringing product. Even if we, our partners or our licensors were able to obtain a license, the rights may be nonexclusive, which would give our competitors access to the same intellectual property.</w:t>
      </w:r>
    </w:p>
    <w:p>
      <w:pPr>
        <w:spacing w:after="0" w:line="163"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If we or our partners are unable or fail to adequately initiate, protect, defend or enforce our intellectual property rights in any area of commercial interest or in any part of the world where we wish to seek regulatory approval for our products, methods, processes and other technologies, the value of our products and product candidates to produce revenue would diminish. Additionally, if our products, methods, processes, and other technologies or our commercial use of such products, processes, and other technologies, including, but not limited to, any trade name, trademark or commercial strategy infringe the proprietary rights of other parties, we could incur substantial costs. The USPTO and the patent offices of other jurisdictions have issued to us a number of patents for our various inventions, and we have in-licensed several patents from various institutions. We have filed additional patent applications and provisional patent applications with the USPTO. We have filed a number of corresponding foreign patent applications and intend to file additional foreign and U.S. patent applications, as appropriate. We have also filed certain trademark and trade name applications worldwide. We cannot assure you as to:</w:t>
      </w:r>
    </w:p>
    <w:p>
      <w:pPr>
        <w:spacing w:after="0" w:line="148" w:lineRule="exact"/>
        <w:rPr>
          <w:sz w:val="20"/>
          <w:szCs w:val="20"/>
          <w:color w:val="auto"/>
        </w:rPr>
      </w:pPr>
    </w:p>
    <w:p>
      <w:pPr>
        <w:ind w:left="1140" w:hanging="322"/>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and range of protection any patents will afford against competitors with similar products;</w:t>
      </w:r>
    </w:p>
    <w:p>
      <w:pPr>
        <w:spacing w:after="0" w:line="2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when patents will issue;</w:t>
      </w:r>
    </w:p>
    <w:p>
      <w:pPr>
        <w:spacing w:after="0" w:line="9" w:lineRule="exact"/>
        <w:rPr>
          <w:rFonts w:ascii="Times New Roman" w:cs="Times New Roman" w:eastAsia="Times New Roman" w:hAnsi="Times New Roman"/>
          <w:sz w:val="18"/>
          <w:szCs w:val="18"/>
          <w:color w:val="auto"/>
        </w:rPr>
      </w:pPr>
    </w:p>
    <w:p>
      <w:pPr>
        <w:ind w:left="1140" w:right="760" w:hanging="322"/>
        <w:spacing w:after="0" w:line="250" w:lineRule="auto"/>
        <w:tabs>
          <w:tab w:leader="none" w:pos="11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patents do issue, we cannot be sure that we will be able to adequately defend such patents and whether or not we will be able to adequately enforce such patents; or</w:t>
      </w:r>
    </w:p>
    <w:p>
      <w:pPr>
        <w:ind w:left="1140" w:hanging="322"/>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others will obtain patents claiming aspects similar to those covered by our patent applications.</w:t>
      </w:r>
    </w:p>
    <w:p>
      <w:pPr>
        <w:spacing w:after="0" w:line="1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If the USPTO or other foreign patent office upholds patents issued to others or if the USPTO grants patent applications filed by others, we may have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t>
      </w:r>
    </w:p>
    <w:p>
      <w:pPr>
        <w:spacing w:after="0" w:line="180" w:lineRule="exact"/>
        <w:rPr>
          <w:sz w:val="20"/>
          <w:szCs w:val="20"/>
          <w:color w:val="auto"/>
        </w:rPr>
      </w:pPr>
    </w:p>
    <w:p>
      <w:pPr>
        <w:ind w:left="1140" w:hanging="322"/>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licenses or redesign our products or processes to avoid infringement;</w:t>
      </w:r>
    </w:p>
    <w:p>
      <w:pPr>
        <w:spacing w:after="0" w:line="2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stop using the subject matter claimed in those patents; or</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damages.</w:t>
      </w:r>
    </w:p>
    <w:p>
      <w:pPr>
        <w:spacing w:after="0" w:line="166"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We may initiate, or others may bring against us, litigation or administrative proceedings related to intellectual property rights, including proceedings before the USPTO or other foreign patent office. Any judgment adverse to us in any litigation or other proceeding arising in connection with a patent or patent application could materially and adversely affect</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our business, financial condition and results of operations. In addition, the costs of any litigation or administrative proceeding may be substantial whether or not we are successful.</w:t>
      </w:r>
    </w:p>
    <w:p>
      <w:pPr>
        <w:spacing w:after="0" w:line="135"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Our success is also dependent upon the skills, knowledge and experience, none of which is patentable, of our scientific and technical personnel. To help protect our rights, we require all employees, consultants, advisors and partners to enter into confidentiality agreements that prohibit the disclosure of confidential information to anyone outside of our Company and require disclosure and assignment to us of their ideas, developments, discoveries and inventions. These agreements may not provide adequate protection for our trade secrets, know-how or other proprietary information in the event of any unauthorized use or disclosure or the lawful development by others of such information, and if any of our proprietary information is disclosed, our business will suffer because our revenues depend upon our ability to license or commercialize our products and product candidates and any such events would significantly impair the value of such products and product candidates.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diversified our pipeline to include the development of protein therapeutics, which may create additional risks and challenges.</w:t>
      </w:r>
    </w:p>
    <w:p>
      <w:pPr>
        <w:spacing w:after="0" w:line="189" w:lineRule="exact"/>
        <w:rPr>
          <w:sz w:val="20"/>
          <w:szCs w:val="20"/>
          <w:color w:val="auto"/>
        </w:rPr>
      </w:pPr>
    </w:p>
    <w:p>
      <w:pPr>
        <w:ind w:right="260" w:firstLine="486"/>
        <w:spacing w:after="0" w:line="282" w:lineRule="auto"/>
        <w:rPr>
          <w:sz w:val="20"/>
          <w:szCs w:val="20"/>
          <w:color w:val="auto"/>
        </w:rPr>
      </w:pPr>
      <w:r>
        <w:rPr>
          <w:rFonts w:ascii="Times New Roman" w:cs="Times New Roman" w:eastAsia="Times New Roman" w:hAnsi="Times New Roman"/>
          <w:sz w:val="18"/>
          <w:szCs w:val="18"/>
          <w:color w:val="auto"/>
        </w:rPr>
        <w:t>We have diversified our pipeline beyond small-molecule medicines to develop protein therapeutics. The development of protein therapeutics may create additional risks and challenges, including, among others:</w:t>
      </w:r>
    </w:p>
    <w:p>
      <w:pPr>
        <w:spacing w:after="0" w:line="135" w:lineRule="exact"/>
        <w:rPr>
          <w:sz w:val="20"/>
          <w:szCs w:val="20"/>
          <w:color w:val="auto"/>
        </w:rPr>
      </w:pPr>
    </w:p>
    <w:p>
      <w:pPr>
        <w:jc w:val="both"/>
        <w:ind w:left="1140" w:right="460" w:hanging="322"/>
        <w:spacing w:after="0" w:line="257" w:lineRule="auto"/>
        <w:tabs>
          <w:tab w:leader="none" w:pos="11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protection for protein therapeutics may be narrower in scope than for our small-molecule medicines, and our patents and patent applications may not adequately protect our intellectual property, provide exclusivity for our protein therapeutic candidates or prevent others from designing around our claims;</w:t>
      </w:r>
    </w:p>
    <w:p>
      <w:pPr>
        <w:spacing w:after="0" w:line="1" w:lineRule="exact"/>
        <w:rPr>
          <w:rFonts w:ascii="Times New Roman" w:cs="Times New Roman" w:eastAsia="Times New Roman" w:hAnsi="Times New Roman"/>
          <w:sz w:val="18"/>
          <w:szCs w:val="18"/>
          <w:color w:val="auto"/>
        </w:rPr>
      </w:pPr>
    </w:p>
    <w:p>
      <w:pPr>
        <w:ind w:left="1140" w:right="40" w:hanging="322"/>
        <w:spacing w:after="0" w:line="250" w:lineRule="auto"/>
        <w:tabs>
          <w:tab w:leader="none" w:pos="11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formulation issues with our protein therapeutic candidates may require redevelopment of the formulation, which may be time-consuming or unsuccessful;</w:t>
      </w:r>
    </w:p>
    <w:p>
      <w:pPr>
        <w:ind w:left="1140" w:right="800" w:hanging="322"/>
        <w:spacing w:after="0" w:line="250" w:lineRule="auto"/>
        <w:tabs>
          <w:tab w:leader="none" w:pos="11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 applications that we own or in-license may fail to result in issued patents with claims that cover our protein therapeutic candidates in the United States or in other countries;</w:t>
      </w:r>
    </w:p>
    <w:p>
      <w:pPr>
        <w:ind w:left="1140" w:hanging="322"/>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may be able to more easily develop and seek patent protection on similar protein therapeutic candidates; and</w:t>
      </w:r>
    </w:p>
    <w:p>
      <w:pPr>
        <w:spacing w:after="0" w:line="9" w:lineRule="exact"/>
        <w:rPr>
          <w:rFonts w:ascii="Times New Roman" w:cs="Times New Roman" w:eastAsia="Times New Roman" w:hAnsi="Times New Roman"/>
          <w:sz w:val="18"/>
          <w:szCs w:val="18"/>
          <w:color w:val="auto"/>
        </w:rPr>
      </w:pPr>
    </w:p>
    <w:p>
      <w:pPr>
        <w:ind w:left="1140" w:right="20" w:hanging="322"/>
        <w:spacing w:after="0" w:line="255" w:lineRule="auto"/>
        <w:tabs>
          <w:tab w:leader="none" w:pos="11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orally-administered drugs are often less expensive and present a reduced treatment burden as compared to protein therapeutics and therefore would have competitive advantages if they were developed and shown to be safe and effective for the indication that our protein therapeutics product candidates are targeting.</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U.S. patent law could diminish the value of patents in general, thereby impairing our ability to protect our products.</w:t>
      </w:r>
    </w:p>
    <w:p>
      <w:pPr>
        <w:spacing w:after="0" w:line="189"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As is the case with other biotechnology and pharmaceutical companies, our success is heavily dependent on intellectual property, particularly patents. Obtaining and enforcing patents in the biotechnology and pharmaceutical industries involves both technological and legal complexity. Therefore, obtaining and enforcing such patents is costly, time consuming, and inherently uncertain. In addition, the United States has recently enacted and is currently implementing wide-ranging patent reform legislation. Recent U.S. Supreme Court rulings have narrowed the scope of patent protection available in certain circumstances and weakened the rights of patent owners in certain situations. Additionally, there have been recent proposals for additional changes to the patent laws of the United States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144"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alleged trade secrets of their former employers.</w:t>
      </w:r>
    </w:p>
    <w:p>
      <w:pPr>
        <w:spacing w:after="0" w:line="132"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We employ certain individuals who were previously employed at universities or other biotechnology or pharmaceutical companies, including our competitors or potential competitors. Our efforts to vet our employees, consultants, and independent contractors and prevent their use of the proprietary information or know-how of others in their work for us may not be successful, and we may in the future be subject to claims that our employees, consultants, or independent contractors have wrongfully used or disclosed confidential information of third parties. If we fail in defending any such claims, in addition to paying monetary damages, we may lose valuable intellectual property rights or personnel, which could adversely impact our business. Even if we are successful in defending against such claims, litigation could result in substantial costs and distract management and other employees.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Product Liability Risks</w:t>
      </w:r>
    </w:p>
    <w:p>
      <w:pPr>
        <w:spacing w:after="0" w:line="194"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an inherent risk of liability in the event that the use or misuse of our products or product candidates results in personal injury or death, and our product liability insurance coverage may be insufficient.</w:t>
      </w:r>
    </w:p>
    <w:p>
      <w:pPr>
        <w:spacing w:after="0" w:line="118"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If the use or misuse of any products we sell, or a partner sells, harms people, we may be subject to costly and damaging product liability claims brought against us by consumers, healthcare providers, pharmaceutical companies, third-party payors or others. The use of our product candidates in clinical trials, including post-marketing clinical studies, could also expose us to product liability claims. We cannot predict all of the possible harms or side effects that may result from the use of our products or the testing of product candidates, and therefore, the amount of insurance coverage we currently have may not be adequate to cover all liabilities or defense costs we might incur. A product liability claim or series of claims brought against us could give rise to a substantial liability that could exceed our resources. Even if claims are not successful, the costs of defending such claims and potential adverse publicity could be harmful to our business.</w:t>
      </w:r>
    </w:p>
    <w:p>
      <w:pPr>
        <w:spacing w:after="0" w:line="148"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of our product candidates in human clinical trials and face even greater risks upon commercialization by us of our products or product candidates. We have product liability insurance covering our clinical trials. Clinical trial and product liability insurance is becoming increasingly expensive. As a result, we may be unable to obtain sufficient insurance or increase our existing coverage at a reasonable cost to protect us against losses that could have a material adverse effect on our business. An individual may bring a product liability claim against us if one of our products or product candidates causes, or is claimed to have caused, an injury or is found to be unsuitable for consumer use. Any product liability claim brought against us, with or without merit, could result in:</w:t>
      </w:r>
    </w:p>
    <w:p>
      <w:pPr>
        <w:spacing w:after="0" w:line="160" w:lineRule="exact"/>
        <w:rPr>
          <w:sz w:val="20"/>
          <w:szCs w:val="20"/>
          <w:color w:val="auto"/>
        </w:rPr>
      </w:pPr>
    </w:p>
    <w:p>
      <w:pPr>
        <w:ind w:left="1140" w:hanging="322"/>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that substantially exceed our product liability insurance, which we would then be required to pay from other sources, if available;</w:t>
      </w:r>
    </w:p>
    <w:p>
      <w:pPr>
        <w:spacing w:after="0" w:line="2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increase of our product liability insurance rates or the inability to maintain insurance coverage in the future on acceptable terms, or at all;</w:t>
      </w:r>
    </w:p>
    <w:p>
      <w:pPr>
        <w:spacing w:after="0" w:line="20" w:lineRule="exact"/>
        <w:rPr>
          <w:rFonts w:ascii="Times New Roman" w:cs="Times New Roman" w:eastAsia="Times New Roman" w:hAnsi="Times New Roman"/>
          <w:sz w:val="17"/>
          <w:szCs w:val="17"/>
          <w:color w:val="auto"/>
        </w:rPr>
      </w:pPr>
    </w:p>
    <w:p>
      <w:pPr>
        <w:ind w:left="1140" w:hanging="322"/>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volunteers or patients;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reputation and the reputation of our products, resulting in lower sales;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investigations that could require costly recalls or product modifications;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costs; and</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management’s attention from managing our business.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Relating to Contractual Arrangements</w:t>
      </w:r>
    </w:p>
    <w:p>
      <w:pPr>
        <w:spacing w:after="0" w:line="181"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risks related to our government-funded programs and are subject to various U.S. Government contract requirements, which may create a disadvantage and additional risks to us.</w:t>
      </w:r>
    </w:p>
    <w:p>
      <w:pPr>
        <w:spacing w:after="0" w:line="132" w:lineRule="exact"/>
        <w:rPr>
          <w:sz w:val="20"/>
          <w:szCs w:val="20"/>
          <w:color w:val="auto"/>
        </w:rPr>
      </w:pPr>
    </w:p>
    <w:p>
      <w:pPr>
        <w:ind w:right="120" w:firstLine="486"/>
        <w:spacing w:after="0" w:line="256" w:lineRule="auto"/>
        <w:rPr>
          <w:sz w:val="20"/>
          <w:szCs w:val="20"/>
          <w:color w:val="auto"/>
        </w:rPr>
      </w:pPr>
      <w:r>
        <w:rPr>
          <w:rFonts w:ascii="Times New Roman" w:cs="Times New Roman" w:eastAsia="Times New Roman" w:hAnsi="Times New Roman"/>
          <w:sz w:val="18"/>
          <w:szCs w:val="18"/>
          <w:color w:val="auto"/>
        </w:rPr>
        <w:t>We had contracts with the Biomedical Advanced Research and Development Authority within the U.S. Department of Health and Human Services (“BARDA/HHS”) and the National Institute of Allergy and Infectious Diseases within HHS (“NIAID/HHS”) for the development of galidesivir as a treatment for diseases caused by RNA pathogens, including Marburg virus disease, Yellow Fever and Ebola virus disease. In contracting with these government agencies, we became subject to various U.S. Government contract requirements, including general clauses for a cost-reimbursement research and development contract, which may limit our reimbursement. While all government funding for galidesivir expired in 2022, we still face risks related to our U.S. Government contracts.</w:t>
      </w:r>
    </w:p>
    <w:p>
      <w:pPr>
        <w:spacing w:after="0" w:line="147"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U.S. Government contracts typically contain a number of extraordinary provisions that would not typically be found in commercial contracts and which may create a disadvantage and additional risks to us as compared to competitors that do not rely on U.S. Government contracts. These risks include the ability of the U.S. Government to unilaterally:</w:t>
      </w:r>
    </w:p>
    <w:p>
      <w:pPr>
        <w:spacing w:after="0" w:line="135" w:lineRule="exact"/>
        <w:rPr>
          <w:sz w:val="20"/>
          <w:szCs w:val="20"/>
          <w:color w:val="auto"/>
        </w:rPr>
      </w:pPr>
    </w:p>
    <w:p>
      <w:pPr>
        <w:ind w:left="1140" w:hanging="322"/>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or reduce the scope of our contract with or without cause;</w:t>
      </w:r>
    </w:p>
    <w:p>
      <w:pPr>
        <w:spacing w:after="0" w:line="2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interpret relevant regulations (federal acquisition regulation clauses);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performance under circumstances which may not be favorable to us;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an in-process review where the U.S. Government will review the project and its options under the contract;</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 the timing and amount of funding, which impacts the development progress of our programs; and</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and object to our contract-related costs and fees, including allocated indirect costs.</w:t>
      </w:r>
    </w:p>
    <w:p>
      <w:pPr>
        <w:spacing w:after="0" w:line="180"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Upon termination or expiration of a contract, the U.S. Government may dispute wind-down and termination costs and may question prior expenses under the contract and deny payment of those expenses. Should we choose to challenge</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U.S. Government for denying certain payments under a contract, such a challenge could subject us to substantial additional expenses which we may or may not recover.</w:t>
      </w:r>
    </w:p>
    <w:p>
      <w:pPr>
        <w:spacing w:after="0" w:line="135"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In addition, as a U.S. Government contractor, we are required to comply with applicable laws, regulations and standards relating to our accounting practices and are subject to periodic audits and reviews, including a final financial audit. As part of any such audit or review, the U.S. Government may review the adequacy of, and our compliance with, our internal control systems and policies, including those relating to our purchasing, property, estimating, compensation and management information systems. Audits under the BARDA/HHS and NIAID/HHS galidesivir contracts may occur at the election of the U.S. Government and have been concluded through fiscal 2019; all subsequent fiscal years are still open and auditable. Based on the results of its audits, the U.S. Government may adjust our contract-related costs and fees, including allocated indirect costs. This adjustment could impact the amount of revenues reported on a historic basis. In addition, in the event BARDA/HHS or NIAID/HHS determines that certain costs and fees were unallowable or determines that the allocated indirect cost rate was higher than the actual indirect cost rate, BARDA/HHS or NIAID/HHS would be entitled to recoup any overpayment from us as a result. In addition, if an audit or review uncovers any improper or illegal activity, we may be subject to civil and criminal penalties and administrative sanctions, including forfeiture of profits, suspension of payments, fines and suspension or prohibition from doing business with the U.S. Government. We could also suffer serious harm to our reputation if allegations of impropriety were made against us. In addition, under U.S. Government purchasing regulations, some of our costs may not be reimbursable or allowed under our contracts. Further, as a U.S. Government contractor, we are subject to an increased risk of investigations, criminal prosecution, civil fraud, whistleblower lawsuits and other legal actions and liabilities as compared to private sector commercial companies.</w:t>
      </w:r>
    </w:p>
    <w:p>
      <w:pPr>
        <w:spacing w:after="0" w:line="153"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reach milestones or to make annual minimum payments or otherwise breach our obligations under our license agreements, our licensors may terminate our agreements with them and/or seek additional remedies.</w:t>
      </w:r>
    </w:p>
    <w:p>
      <w:pPr>
        <w:spacing w:after="0" w:line="118"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If we are unable or fail to meet payment obligations, performance milestones relating to the timing of regulatory filings, product supply obligations, post-approval commitments, or development and commercial diligence obligations; are unable or fail to make milestone payments or material data use payments in accordance with applicable provisions; or fail to pay the minimum annual payments under any of our in-licenses relating to our products or product candidates, our licensors may terminate the applicable license and/or seek other available remedies. As a result, our development of the respective product candidate or commercialization of the product would cease.</w:t>
      </w:r>
    </w:p>
    <w:p>
      <w:pPr>
        <w:spacing w:after="0" w:line="152"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continuing events of default exist under the PhaRMA Notes, the holders of the PhaRMA Notes may be able to foreclose on the collateral securing the PhaRMA Notes and our equity interest in Royalty Sub. As a result, we may not realize the benefit of future royalty payments, if any, that might otherwise accrue to us following repayment of the PhaRMA Notes and we could otherwise be adversely affected.</w:t>
      </w:r>
    </w:p>
    <w:p>
      <w:pPr>
        <w:spacing w:after="0" w:line="134"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In March 2011, JPR Royalty Sub LLC, our wholly-owned subsidiary (“Royalty Sub”), issued $30.0 million in aggregate principal amount of PhaRMA Senior Secured 14.0% Notes due on December 1, 2020 (the “PhaRMA Notes”). The PhaRMA Notes are secured principally by (i) certain royalty and milestone payments under our agreement with Shionogi, pursuant to which Shionogi licensed from us the rights to market peramivir in Japan and Taiwan and (ii) the pledge by us of our equity interest in Royalty Sub. Since September 1, 2014, payments from Shionogi have been insufficient for Royalty Sub to service its obligations under the PhaRMA Notes, resulting in a continuing event of default with respect to the PhaRMA Notes since that time. In addition, the PhaRMA Notes had a final legal maturity date of December 1, 2020, at which time the outstanding principal amount of the PhaRMA Notes of $30.0 million, together with accrued and unpaid interest of $20.6 million, was due in full. The failure by Royalty Sub to repay these amounts at the maturity date constituted an additional event of default under the PhaRMA Notes. As Royalty Sub has been unable to service its obligations under the PhaRMA Notes and continuing events of default exist under the PhaRMA Notes, the holders of the PhaRMA Notes may be able to foreclose on the collateral securing the PhaRMA Notes and our equity interest in Royalty Sub and may exercise other remedies available to them under the indenture or other documents related to the PhaRMA Notes. In such event, we may not realize the benefit of future royalty payments, if any, that might otherwise accrue to us following repayment of the PhaRMA Notes, we may incur legal costs, and we might otherwise be adversely affected.</w:t>
      </w:r>
    </w:p>
    <w:p>
      <w:pPr>
        <w:spacing w:after="0" w:line="149"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We cannot predict whether holders of PhaRMA Notes will seek to pursue any remedies as a result of the continuing events of default with respect to the PhaRMA Notes. The PhaRMA Notes are the obligation of Royalty Sub. Due to the non-recourse nature of the PhaRMA Notes, in the event of any potential foreclosure, we believe the primary impact to us would be the loss of future royalty payments, if any, from Shionogi and the legal costs associated with retiring the PhaRMA Notes. As a result, we do not currently expect the continuing events of default on the PhaRMA Notes to have a significant impact on our future results of operations or cash flows. However, we cannot assure you that this will be the</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case or that we will not otherwise be adversely affected as a result of the continuing events of default under the PhaRMA Notes or the failure by Royalty Sub to repay the PhaRMA Notes at maturity.</w:t>
      </w:r>
    </w:p>
    <w:p>
      <w:pPr>
        <w:spacing w:after="0" w:line="135" w:lineRule="exact"/>
        <w:rPr>
          <w:sz w:val="20"/>
          <w:szCs w:val="20"/>
          <w:color w:val="auto"/>
        </w:rPr>
      </w:pPr>
    </w:p>
    <w:p>
      <w:pPr>
        <w:jc w:val="both"/>
        <w:ind w:right="100" w:firstLine="486"/>
        <w:spacing w:after="0" w:line="266" w:lineRule="auto"/>
        <w:rPr>
          <w:sz w:val="20"/>
          <w:szCs w:val="20"/>
          <w:color w:val="auto"/>
        </w:rPr>
      </w:pPr>
      <w:r>
        <w:rPr>
          <w:rFonts w:ascii="Times New Roman" w:cs="Times New Roman" w:eastAsia="Times New Roman" w:hAnsi="Times New Roman"/>
          <w:sz w:val="18"/>
          <w:szCs w:val="18"/>
          <w:color w:val="auto"/>
        </w:rPr>
        <w:t>We wrote off the balance due under the PhaRMA Notes to other income as a debt extinguishment as of December 31, 2021. See “Note 8—Royalty Financing Obligations—RAPIACTA—Non-Recourse Notes Payable—Debt Extinguishment” in the Notes to Consolidated Financial Statements in Part II, Item 8 of our most recent Annual Report on Form 10-K for additional information about the write-off.</w:t>
      </w:r>
    </w:p>
    <w:p>
      <w:pPr>
        <w:spacing w:after="0" w:line="131"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indebtedness, which could adversely affect our business. Additionally, the Pharmakon Loan Agreement contains conditions and restrictions that limit our flexibility in operating our business. We may be required to make a prepayment or repay our outstanding indebtedness earlier than we expect if a prepayment event or an event of default occurs, including a material adverse change with respect to us, which could have a material adverse effect on our business.</w:t>
      </w:r>
    </w:p>
    <w:p>
      <w:pPr>
        <w:spacing w:after="0" w:line="140"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On April 17, 2023, we entered into the $450.0 million Pharmakon Loan Agreement (the “Pharmakon Loan Agreement”) with BioPharma Credit Investments V (Master) LP and BPCR Limited Partnership, as lenders, and BioPharma Credit PLC, as collateral agent for the lenders, and closed on an initial term loan thereunder in the principal amount of $300.0 million. As of March 31, 2024, we had an outstanding principal balance under the Pharmakon Loan Agreement of $318.7 million, inclusive of the Pharmakon PIK Interest Payments (as defined in “Note 7—Debt—Pharmakon Loan Agreement” in the Notes to the Condensed Consolidated Financial Statements included in Part I, Item 1 of this report). Under the Pharmakon Loan Agreement, we will be required to pay to Pharmakon, for the account of the lenders, a prepayment premium or a make-whole premium, as applicable, plus certain fees or expenses set forth in the Pharmakon Loan Agreement in the event that we prepay, or are required to prepay, voluntarily or pursuant to a mandatory prepayment obligation under the Pharmakon Loan Agreement (e.g., upon a change of control of the Company and specified other events, subject to certain exceptions), all or part of the then-outstanding term loans under the Pharmakon Loan Agreement, in each case, subject to certain exceptions set forth in the Pharmakon Loan Agreement.</w:t>
      </w:r>
    </w:p>
    <w:p>
      <w:pPr>
        <w:spacing w:after="0" w:line="16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indebtedness could have important consequences to our stockholders. For example, it:</w:t>
      </w:r>
    </w:p>
    <w:p>
      <w:pPr>
        <w:spacing w:after="0" w:line="185" w:lineRule="exact"/>
        <w:rPr>
          <w:sz w:val="20"/>
          <w:szCs w:val="20"/>
          <w:color w:val="auto"/>
        </w:rPr>
      </w:pPr>
    </w:p>
    <w:p>
      <w:pPr>
        <w:ind w:left="1140" w:hanging="322"/>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our vulnerability to adverse general economic or industry conditions;</w:t>
      </w:r>
    </w:p>
    <w:p>
      <w:pPr>
        <w:spacing w:after="0" w:line="2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our flexibility in planning for, or reacting to, changes in our business or the industry in which we operate;</w:t>
      </w:r>
    </w:p>
    <w:p>
      <w:pPr>
        <w:spacing w:after="0" w:line="9" w:lineRule="exact"/>
        <w:rPr>
          <w:rFonts w:ascii="Times New Roman" w:cs="Times New Roman" w:eastAsia="Times New Roman" w:hAnsi="Times New Roman"/>
          <w:sz w:val="18"/>
          <w:szCs w:val="18"/>
          <w:color w:val="auto"/>
        </w:rPr>
      </w:pPr>
    </w:p>
    <w:p>
      <w:pPr>
        <w:ind w:left="1140" w:right="300" w:hanging="322"/>
        <w:spacing w:after="0" w:line="250" w:lineRule="auto"/>
        <w:tabs>
          <w:tab w:leader="none" w:pos="11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us more vulnerable to increases in interest rates, as borrowings under the Pharmakon Loan Agreement accrue interest at variable, uncapped rates, such that increases in interest rates will increase the associated interest payments that we are required to make on outstanding borrowings;</w:t>
      </w:r>
    </w:p>
    <w:p>
      <w:pPr>
        <w:spacing w:after="0" w:line="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requires us to dedicate a portion of our cash flow from operations to interest payments, limiting the availability of cash for other purposes;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our ability to obtain additional financing or refinancing in the future for working capital or other purposes; and</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places us at a competitive disadvantage compared to our competitors that have less indebtedness.</w:t>
      </w:r>
    </w:p>
    <w:p>
      <w:pPr>
        <w:spacing w:after="0" w:line="166"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Furthermore, the Pharmakon Loan Agreement contains various covenants that limit our ability to engage in specified types of transactions. Subject to certain exceptions, these covenants limit our ability to, among other things, dispose of assets; engage in certain mergers, acquisitions, and similar transactions; incur additional indebtedness; grant liens; make investments; pay dividends or make distributions or certain other restricted payments in respect of equity; prepay other indebtedness; enter into restrictive agreements; undertake fundamental changes; or amend certain material contracts.</w:t>
      </w:r>
    </w:p>
    <w:p>
      <w:pPr>
        <w:spacing w:after="0" w:line="153"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covenants contained in the Pharmakon Loan Agreement could cause us to be unable to pursue business opportunities that we or our stockholders may consider beneficial without the lenders’ permission or without repaying all outstanding obligations under the Pharmakon Loan Agreement.</w:t>
      </w:r>
    </w:p>
    <w:p>
      <w:pPr>
        <w:spacing w:after="0" w:line="121"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A breach of any of these covenants could result in an event of default under the Pharmakon Loan Agreement. An event of default will also occur if, among other things, we fail to pay amounts due under the Pharmakon Loan Agreement, we fail to repay certain other indebtedness having an aggregate principal amount in excess of a threshold amount, an insolvency event occurs with respect to us, judgments for the payment of money in excess of a threshold amount are entered into against us, a material adverse change in our business, assets, properties, liabilities, or condition occurs, or a material impairment of our ability to perform our obligations under the Pharmakon Loan Agreement occurs, certain negative regulatory events occur, including without limitation certain withdrawal events with respect to ORLADEYO, or we fail to make required payments under our Royalty Purchase Agreements. In the case of a continuing event of default under the Pharmakon Loan Agreement, the lenders under the Pharmakon Loan Agreement could elect to declare all</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amounts outstanding to be immediately due and payable, proceed against the collateral in which we granted to the lenders a security interest, or otherwise exercise the rights of a secured creditor. Amounts outstanding under the Pharmakon Loan Agreement are secured by a security interest in, subject to certain exceptions, substantially all of our assets. Because substantially all of our assets are pledged to secure the Pharmakon Loan Agreement obligations, our ability to incur additional secured indebtedness or to sell or dispose of assets to raise capital may be impaired, which could have an adverse effect on our financial flexibility.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Relating to International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expansion of our business exposes us to business, legal, regulatory, political, operational, financial, and economic risks.</w:t>
      </w:r>
    </w:p>
    <w:p>
      <w:pPr>
        <w:spacing w:after="0" w:line="189" w:lineRule="exact"/>
        <w:rPr>
          <w:sz w:val="20"/>
          <w:szCs w:val="20"/>
          <w:color w:val="auto"/>
        </w:rPr>
      </w:pPr>
    </w:p>
    <w:p>
      <w:pPr>
        <w:jc w:val="both"/>
        <w:ind w:right="340" w:firstLine="486"/>
        <w:spacing w:after="0" w:line="266" w:lineRule="auto"/>
        <w:rPr>
          <w:sz w:val="20"/>
          <w:szCs w:val="20"/>
          <w:color w:val="auto"/>
        </w:rPr>
      </w:pPr>
      <w:r>
        <w:rPr>
          <w:rFonts w:ascii="Times New Roman" w:cs="Times New Roman" w:eastAsia="Times New Roman" w:hAnsi="Times New Roman"/>
          <w:sz w:val="18"/>
          <w:szCs w:val="18"/>
          <w:color w:val="auto"/>
        </w:rPr>
        <w:t>Our business strategy includes international expansion, including the commercialization of products outside of the United States. In addition, we currently conduct clinical studies and regulatory activities and have hired, and expect to continue hiring, employees outside of the United States. Doing business internationally involves a number of risks, including, but not limited to:</w:t>
      </w:r>
    </w:p>
    <w:p>
      <w:pPr>
        <w:spacing w:after="0" w:line="149" w:lineRule="exact"/>
        <w:rPr>
          <w:sz w:val="20"/>
          <w:szCs w:val="20"/>
          <w:color w:val="auto"/>
        </w:rPr>
      </w:pPr>
    </w:p>
    <w:p>
      <w:pPr>
        <w:ind w:left="1140" w:right="20" w:hanging="322"/>
        <w:spacing w:after="0" w:line="261" w:lineRule="auto"/>
        <w:tabs>
          <w:tab w:leader="none" w:pos="11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conflicting, and changing laws and regulations such as privacy and data regulations, transparency regulations, tax laws, export and import restrictions, employment laws, regulatory requirements, and other governmental approvals, permits, and licenses;</w:t>
      </w:r>
    </w:p>
    <w:p>
      <w:pPr>
        <w:ind w:left="1140" w:hanging="322"/>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new health authority requirements and/or changes in health authority expectations;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or our partners to obtain and maintain regulatory approvals for the use of our products in various countries;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and difficulties in obtaining and maintaining protection for, and enforcing, our intellectual property;</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associated with managing multiple payor reimbursement regimes, government payors, or patient self-pay systems;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on our ability to penetrate international markets;</w:t>
      </w:r>
    </w:p>
    <w:p>
      <w:pPr>
        <w:spacing w:after="0" w:line="9" w:lineRule="exact"/>
        <w:rPr>
          <w:rFonts w:ascii="Times New Roman" w:cs="Times New Roman" w:eastAsia="Times New Roman" w:hAnsi="Times New Roman"/>
          <w:sz w:val="18"/>
          <w:szCs w:val="18"/>
          <w:color w:val="auto"/>
        </w:rPr>
      </w:pPr>
    </w:p>
    <w:p>
      <w:pPr>
        <w:ind w:left="1140" w:right="20" w:hanging="322"/>
        <w:spacing w:after="0" w:line="250" w:lineRule="auto"/>
        <w:tabs>
          <w:tab w:leader="none" w:pos="11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risks, such as longer payment cycles, difficulty collecting accounts receivable, the impact of local and regional financial crises on demand and payment for our products, and exposure to foreign currency exchange rate fluctuations, which have been increasingly prevalent alongside a fluctuating U.S. dollar;</w:t>
      </w:r>
    </w:p>
    <w:p>
      <w:pPr>
        <w:spacing w:after="0" w:line="1" w:lineRule="exact"/>
        <w:rPr>
          <w:rFonts w:ascii="Times New Roman" w:cs="Times New Roman" w:eastAsia="Times New Roman" w:hAnsi="Times New Roman"/>
          <w:sz w:val="18"/>
          <w:szCs w:val="18"/>
          <w:color w:val="auto"/>
        </w:rPr>
      </w:pPr>
    </w:p>
    <w:p>
      <w:pPr>
        <w:ind w:left="1140" w:right="380" w:hanging="322"/>
        <w:spacing w:after="0" w:line="250" w:lineRule="auto"/>
        <w:tabs>
          <w:tab w:leader="none" w:pos="11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and political and economic instability, including wars (e.g., the Ukraine-Russia and Israel-Hamas conflicts), terrorism, political unrest, results of certain elections and votes, actual or threatened public health emergencies and outbreak of disease (e.g., the COVID-19 pandemic), boycotts, adoption or expansion of government trade restrictions, and other business restrictions;</w:t>
      </w:r>
    </w:p>
    <w:p>
      <w:pPr>
        <w:spacing w:after="0" w:line="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expenses including, among others, expenses for travel, translation, and insurance;</w:t>
      </w:r>
    </w:p>
    <w:p>
      <w:pPr>
        <w:spacing w:after="0" w:line="9" w:lineRule="exact"/>
        <w:rPr>
          <w:rFonts w:ascii="Times New Roman" w:cs="Times New Roman" w:eastAsia="Times New Roman" w:hAnsi="Times New Roman"/>
          <w:sz w:val="18"/>
          <w:szCs w:val="18"/>
          <w:color w:val="auto"/>
        </w:rPr>
      </w:pPr>
    </w:p>
    <w:p>
      <w:pPr>
        <w:ind w:left="1140" w:hanging="322"/>
        <w:spacing w:after="0" w:line="250" w:lineRule="auto"/>
        <w:tabs>
          <w:tab w:leader="none" w:pos="11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compliance risks that relate to maintaining accurate information and control over commercial operations and activities that may fall within the purview of the U.S. Foreign Corrupt Practices Act, including its books and records provisions or anti-bribery provisions, or the U.K. Bribery Act and similar foreign laws and regulations; and</w:t>
      </w:r>
    </w:p>
    <w:p>
      <w:pPr>
        <w:spacing w:after="0" w:line="1" w:lineRule="exact"/>
        <w:rPr>
          <w:rFonts w:ascii="Times New Roman" w:cs="Times New Roman" w:eastAsia="Times New Roman" w:hAnsi="Times New Roman"/>
          <w:sz w:val="18"/>
          <w:szCs w:val="18"/>
          <w:color w:val="auto"/>
        </w:rPr>
      </w:pPr>
    </w:p>
    <w:p>
      <w:pPr>
        <w:ind w:left="1140" w:right="80" w:hanging="322"/>
        <w:spacing w:after="0" w:line="260" w:lineRule="auto"/>
        <w:tabs>
          <w:tab w:leader="none" w:pos="11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compliance risks relating to doing business with any entity that is subject to sanctions administered by the Office of Foreign Assets Control of the U.S. Department of the Treasury.</w:t>
      </w:r>
    </w:p>
    <w:p>
      <w:pPr>
        <w:spacing w:after="0" w:line="14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Any of these factors could significantly harm our international expansion of operations and adversely affect our business and results of operations.</w:t>
      </w:r>
    </w:p>
    <w:p>
      <w:pPr>
        <w:spacing w:after="0" w:line="185"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Additionally, in some countries, such as Japan and the countries of the European Union, the pricing of prescription pharmaceuticals is subject to governmental control and access. In these countries, pricing negotiations with governmental authorities can take considerable time after the receipt of marketing approval for a product. To obtain reimbursement or pricing approval in some countries, we or our partners may be required to conduct a clinical trial that compares the cost-effectiveness of our product to other available therapies. If reimbursement of our products is unavailable or limited in scope or amount, or if pricing is set at unsatisfactory levels, our business could be materially harmed.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fluctuations could have an adverse impact on our results of operations, financial position, and cash flows.</w:t>
      </w:r>
    </w:p>
    <w:p>
      <w:pPr>
        <w:spacing w:after="0" w:line="189" w:lineRule="exact"/>
        <w:rPr>
          <w:sz w:val="20"/>
          <w:szCs w:val="20"/>
          <w:color w:val="auto"/>
        </w:rPr>
      </w:pPr>
    </w:p>
    <w:p>
      <w:pPr>
        <w:ind w:right="260" w:firstLine="486"/>
        <w:spacing w:after="0" w:line="266" w:lineRule="auto"/>
        <w:rPr>
          <w:sz w:val="20"/>
          <w:szCs w:val="20"/>
          <w:color w:val="auto"/>
        </w:rPr>
      </w:pPr>
      <w:r>
        <w:rPr>
          <w:rFonts w:ascii="Times New Roman" w:cs="Times New Roman" w:eastAsia="Times New Roman" w:hAnsi="Times New Roman"/>
          <w:sz w:val="18"/>
          <w:szCs w:val="18"/>
          <w:color w:val="auto"/>
        </w:rPr>
        <w:t>We conduct operations in many countries outside of the United States involving transactions in a variety of currencies other than the U.S. dollar. These transactions include, without limitation, commercial sales, contract manufacturing, and clinical trial activities. Although most of our revenues and expenses are denominated in U.S. dollars,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commercial sales in Europe are primarily denominated in Euros and British Pounds. We also have foreign currency exposure to fluctuations in other foreign currencies, such as the Swiss Franc, Danish Krone, Swedish Krona, Norwegian Krone, Japanese Yen and Canadian Dollar. Changes in the value of these currencies relative to the U.S. dollar may impact our condensed consolidated operating results, including our revenues and expenses, causing fluctuations in our operating results from period to period and/or resulting in foreign currency transaction losses that adversely impact our results of operations, financial position, and cash flows. As we continue to expand our operations internationally, our exposure to foreign currency transaction gains or losses may become more significant. See “Quantitative and Qualitative Disclosures about Market Risk—Foreign Currency Risk” in Part I, Item 3 of this report for additional information about our foreign currency risk.</w:t>
      </w:r>
    </w:p>
    <w:p>
      <w:pPr>
        <w:spacing w:after="0" w:line="158"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actual or perceived failure to comply with European governmental laws and regulations and other legal obligations related to privacy, data protection and information security could harm our business.</w:t>
      </w:r>
    </w:p>
    <w:p>
      <w:pPr>
        <w:spacing w:after="0" w:line="118"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Outside the United States, an increasing number of laws and regulations may govern data privacy and security. EU member states, the United Kingdom, Switzerland and other countries have adopted data protection laws and regulations, which impose significant compliance obligations. These laws include the GDPR and similar national legislation within the EEA, the United Kingdom GDPR, Switzerland’s Federal Data Protection Act, the EU Clinical Trials Regulation, and the e-Privacy Directive (2002/58/EC), and are discussed in more detail in “Business—Government Regulation—Data Privacy and Security Laws” in Part I, Item 1 of our most recent Annual Report on Form 10-K. Failure to comply with the requirements of these laws may result in significant fines. For example, the GDPR or related national data protection laws, which may deviate from the GDPR, may result in significant fines of up to 4% of global revenues, or €20.0 million, whichever is greater.</w:t>
      </w:r>
    </w:p>
    <w:p>
      <w:pPr>
        <w:spacing w:after="0" w:line="148"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In addition to such fines, failure to comply with the requirements of the GDPR or similar national legislation may result in temporary or definitive bans on data processing and other corrective actions and subject us to litigation and/or adverse publicity, which could have material adverse effects on our reputation and business. As a result of the implementation of the GDPR, we are required to put in place additional mechanisms to ensure compliance with the data protection rules. For example, the GDPR requires us to make more detailed disclosures to data subjects, requires disclosure of the legal basis on which we can process personal data, makes it harder for us to obtain valid consent for processing, requires the appointment of a data protection officer where sensitive personal data (i.e., health data) is processed on a large scale, introduces mandatory data breach notification throughout the European Union, imposes additional obligations on us when we are contracting with service providers and requires us to adopt appropriate privacy governance including policies, procedures, training and data audits. We depend on a number of third parties in relation to the provision of our services, a number of which process personal data of EU individuals on our behalf. With each such provider, we are required to enter into contractual arrangements under which they are contractually obligated to only process personal data according to our instructions, and conduct diligence to ensure that they have sufficient technical and organizational security measures in place.</w:t>
      </w:r>
    </w:p>
    <w:p>
      <w:pPr>
        <w:spacing w:after="0" w:line="165"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Compliance with evolving laws regarding the transfer of personal data to the United States and other countries also requires increased resources and may result in increased exposure to regulatory actions, fines and penalties, the inability to transfer data and work with partners, vendors and other third parties, and injunctions against our processing or transferring of personal data necessary to operate our business. We are also subject to evolving European privacy laws on electronic marketing and cookies. The European Union is in the process of replacing the e-Privacy Directive (2002/58/EC) with a new set of rules taking the form of a regulation that will be directly implemented in the laws of each EU member state. While this e-Privacy Regulation was originally intended to be adopted on May 25, 2018, it is still going through the European legislative process and the timing of its adoption remains unclear.</w:t>
      </w:r>
    </w:p>
    <w:p>
      <w:pPr>
        <w:spacing w:after="0" w:line="147"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Compliance with the requirements imposed by the GDPR and other such laws can be time-consuming, expensive and difficult, and may increase our cost of doing business or require us to change our business practices, and despite our efforts we may not be successful in achieving compliance if our personnel, collaborators, partners or vendors do not comply with applicable data protection obligations. Despite our efforts, our personnel or third parties on whom we rely may fail to comply with such obligations, which could negatively impact our business operations. If we or the third parties on which we rely fail, or are perceived to have failed, to address or comply with applicable data privacy and security obligations, we could face significant consequences, including but not limited to: regulatory investigations or actions; litigation; fines and penalties; disruptions of our business operations; reputational harm; loss of revenue or profits; and other adverse business consequences.</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1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United Kingdom</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 decision to withdraw from the European Union could result in increased regulatory and legal complexity, which may make it more difficult for us to do business in Europe and impose additional challenges in securing regulatory approval of our product candidates in Europe.</w:t>
      </w:r>
    </w:p>
    <w:p>
      <w:pPr>
        <w:spacing w:after="0" w:line="109"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The United Kingdom’s exit from the European Union, or Brexit, has caused political and economic uncertainty, including in the regulatory framework applicable to our operations and product candidates, and this uncertainty may persist for years. Brexit could, among other outcomes, disrupt the free movement of goods, services and people between the United Kingdom and the European Union, and result in increased legal and regulatory complexities, as well as potential higher costs of conducting business in Europe. The long-term effects of Brexit will depend in part on how the current and future trade agreements between the United Kingdom and the European Union take effect in practice. Changes in U.K. or EU regulations may cause disruption or delays in granting clinical trial authorization or opinions for marketing authorization, disruption of importation and export of active substance and other components of new drug formulations, and disruption of the supply chain for clinical trial product and final authorized formulations.</w:t>
      </w:r>
    </w:p>
    <w:p>
      <w:pPr>
        <w:spacing w:after="0" w:line="148"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The cumulative effects of the disruption to the regulatory framework may add considerably to the development lead time to marketing authorization and commercialization of products in the European Union and/or the United Kingdom. It is possible that there will be increased regulatory complexities, which can disrupt the timing of our clinical trials and regulatory approvals. In addition, changes in, and legal uncertainty with regard to, national and international laws and regulations may present difficulties for our clinical and regulatory strategy. Any delay in obtaining, or an inability to obtain, any marketing approvals, as a result of Brexit or otherwise, would prevent us from commercializing our product candidates in the United Kingdom and/or the European Union and restrict our ability to generate revenues and achieve and sustain profitability.</w:t>
      </w:r>
    </w:p>
    <w:p>
      <w:pPr>
        <w:spacing w:after="0" w:line="147" w:lineRule="exact"/>
        <w:rPr>
          <w:sz w:val="20"/>
          <w:szCs w:val="20"/>
          <w:color w:val="auto"/>
        </w:rPr>
      </w:pPr>
    </w:p>
    <w:p>
      <w:pPr>
        <w:ind w:right="200" w:firstLine="486"/>
        <w:spacing w:after="0" w:line="261" w:lineRule="auto"/>
        <w:rPr>
          <w:sz w:val="20"/>
          <w:szCs w:val="20"/>
          <w:color w:val="auto"/>
        </w:rPr>
      </w:pPr>
      <w:r>
        <w:rPr>
          <w:rFonts w:ascii="Times New Roman" w:cs="Times New Roman" w:eastAsia="Times New Roman" w:hAnsi="Times New Roman"/>
          <w:sz w:val="18"/>
          <w:szCs w:val="18"/>
          <w:color w:val="auto"/>
        </w:rPr>
        <w:t>In addition, as a result of Brexit, other European countries may seek to conduct referenda with respect to their continuing membership with the European Union. Given these possibilities and others we may not anticipate, as well as the absence of comparable precedent, it is unclear what financial, regulatory and legal implications the withdrawal of the United Kingdom from the European Union will have and how such withdrawal will affect us, and the full extent to which our business could be adversely affected.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Relating to Technology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facilities, or the facilities of our third-party vendors, incur damage or power is lost for a significant length of time, our business will suffer.</w:t>
      </w:r>
    </w:p>
    <w:p>
      <w:pPr>
        <w:spacing w:after="0" w:line="189" w:lineRule="exact"/>
        <w:rPr>
          <w:sz w:val="20"/>
          <w:szCs w:val="20"/>
          <w:color w:val="auto"/>
        </w:rPr>
      </w:pPr>
    </w:p>
    <w:p>
      <w:pPr>
        <w:ind w:right="180" w:firstLine="486"/>
        <w:spacing w:after="0" w:line="261" w:lineRule="auto"/>
        <w:rPr>
          <w:sz w:val="20"/>
          <w:szCs w:val="20"/>
          <w:color w:val="auto"/>
        </w:rPr>
      </w:pPr>
      <w:r>
        <w:rPr>
          <w:rFonts w:ascii="Times New Roman" w:cs="Times New Roman" w:eastAsia="Times New Roman" w:hAnsi="Times New Roman"/>
          <w:sz w:val="18"/>
          <w:szCs w:val="18"/>
          <w:color w:val="auto"/>
        </w:rPr>
        <w:t>We and our third-party vendors store commercial product, clinical and stability samples, and manufacturing data at our facilities that could be damaged if the facilities incur physical damage or in the event of an extended power failure. We have backup power systems in addition to backup generators to maintain power to all critical functions, but any loss of these products or samples could result in significant delays in our commercialization or drug development process.</w:t>
      </w:r>
    </w:p>
    <w:p>
      <w:pPr>
        <w:spacing w:after="0" w:line="153"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In addition, we store most of our preclinical and clinical data at our facilities. While duplicate copies of most clinical data are secured off-site, and a significant portion of our data is included in regular backups of our systems, we could lose important data if our facilities incur damage, or if our vendor data systems fail, suffer damage or are destroyed. Any significant degradation or failure of our computer systems could cause us to inaccurately calculate or lose our data. Loss of data could result in significant delays in our drug development process, and any system failure could harm our business and operations.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 incidents and related disruptions in our or our third-party vendors’ information technology systems could adversely affect our business.</w:t>
      </w:r>
    </w:p>
    <w:p>
      <w:pPr>
        <w:spacing w:after="0" w:line="18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We are increasingly dependent on information technology systems to operate our business. In addition, the FDA and comparable foreign regulatory authorities regulate, among other things, the record keeping and storage of data pertaining to potential pharmaceutical products. Like other companies in our industry, our information technology systems and infrastructure (as well as those of our third-party providers) and our lab equipment and operations technology may be vulnerable to cyber incidents, intrusions, and other similar activities that threaten the confidentiality, integrity, and availability of our information. These threats come from a variety of sources, including by computer hackers, foreign governments, foreign companies, or competitors, or may be breached by employee error, malfeasance or other disruption. These threats are prevalent, continue to rise, and are becoming increasingly difficult to detect. Recently, there have been reports of disruptions in billing and data systems in healthcare (e.g., the cybersecurity incident affecting Change Healthcare). Such cybersecurity events which materially disrupt the healthcare system upon which our business relies could adversely affect our business if such disruption is widespread and continues for an extended period of time.</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Cyber incidents could also include the use of artificial intelligence (“AI”) and machine learning to launch more automated, targeted and coordinated attacks on targets. Cyber incidents may lead to operational outages, loss of intellectual property due to industrial espionage, malware, and financial or data attacks via social engineering. These risks have increased as we have experienced significant growth in the number of our employees and the scope of our operations and as virtual and remote working have become more widely used, and sensitive data is accessed by employees working in less secure, home-based environments. A breakdown, invasion, corruption, destruction, or interruption of information technology systems could negatively impact operations. If our systems are damaged, fail to function properly or otherwise become unavailable, we may incur substantial costs to repair or replace them, and we may experience loss of critical data and interruptions or delays in our ability to perform critical functions, which could adversely affect our business, financial condition or results of operations.</w:t>
      </w:r>
    </w:p>
    <w:p>
      <w:pPr>
        <w:spacing w:after="0" w:line="165"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Similarly, the increasing use of AI and machine learning technology in the biopharmaceutical industry presents new risks and challenges. The use of AI-based software may lead to the inadvertent release of confidential or proprietary information, which may adversely impact our ability to realize the benefit of our intellectual property, cause us to incur liabilities as the result of any breaches of confidentiality or impact our ability to comply with data security and privacy laws. Further, as the regulatory framework for these technologies evolves, it is possible that new laws and regulations will be adopted, or that existing laws and regulations may be interpreted in ways that would affect our business, including as a result of the cost to comply with such laws or regulations. In addition, we rely on third-party service providers and technologies to operate significant information technology systems and business infrastructure, and we currently use these providers to perform business critical information technology and business services. Supply-chain attacks have increased in frequency and severity, and we cannot guarantee that third parties’ infrastructure in our supply chain or our third-party partners’ supply chains have not been compromised.</w:t>
      </w:r>
    </w:p>
    <w:p>
      <w:pPr>
        <w:spacing w:after="0" w:line="148" w:lineRule="exact"/>
        <w:rPr>
          <w:sz w:val="20"/>
          <w:szCs w:val="20"/>
          <w:color w:val="auto"/>
        </w:rPr>
      </w:pPr>
    </w:p>
    <w:p>
      <w:pPr>
        <w:ind w:right="660" w:firstLine="486"/>
        <w:spacing w:after="0" w:line="282" w:lineRule="auto"/>
        <w:rPr>
          <w:sz w:val="20"/>
          <w:szCs w:val="20"/>
          <w:color w:val="auto"/>
        </w:rPr>
      </w:pPr>
      <w:r>
        <w:rPr>
          <w:rFonts w:ascii="Times New Roman" w:cs="Times New Roman" w:eastAsia="Times New Roman" w:hAnsi="Times New Roman"/>
          <w:sz w:val="18"/>
          <w:szCs w:val="18"/>
          <w:color w:val="auto"/>
        </w:rPr>
        <w:t>We have experienced cybersecurity threats and incidents, which to date have not had a material impact on our reputation, business, financial condition, or operations; however; there is no assurance that such impacts will not be material in the future.</w:t>
      </w:r>
    </w:p>
    <w:p>
      <w:pPr>
        <w:spacing w:after="0" w:line="121"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Any compromise of our data security could also result in a violation of applicable privacy and other laws, significant legal, regulatory, and financial exposure, damage to our reputation, loss or misuse of the information and a loss of confidence in our data security measures, which could harm our business. Loss or misuse of our intellectual property, clinical trial data, or commercially sensitive data could adversely impact our business. While we have implemented security measures designed to protect against security incidents and a significant portion of our data is included in regular backups of our systems, there can be no assurance that our efforts to protect our data and information technology systems will prevent breakdowns or breaches in our systems, or those of third parties with which we do business, and any such events could adversely affect our business.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Operational Risks</w:t>
      </w:r>
    </w:p>
    <w:p>
      <w:pPr>
        <w:spacing w:after="0" w:line="181"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Health epidemics or pandemics could materially adversely affect our business, operations, clinical development or commercialization plans and timelines, or that of third parties with whom we conduct business, including without limitation our development partners, manufacturers, CROs, and others, as well as the regulatory and government agencies with whom we work.</w:t>
      </w:r>
    </w:p>
    <w:p>
      <w:pPr>
        <w:spacing w:after="0" w:line="134" w:lineRule="exact"/>
        <w:rPr>
          <w:sz w:val="20"/>
          <w:szCs w:val="20"/>
          <w:color w:val="auto"/>
        </w:rPr>
      </w:pPr>
    </w:p>
    <w:p>
      <w:pPr>
        <w:ind w:right="420" w:firstLine="486"/>
        <w:spacing w:after="0" w:line="266" w:lineRule="auto"/>
        <w:rPr>
          <w:sz w:val="20"/>
          <w:szCs w:val="20"/>
          <w:color w:val="auto"/>
        </w:rPr>
      </w:pPr>
      <w:r>
        <w:rPr>
          <w:rFonts w:ascii="Times New Roman" w:cs="Times New Roman" w:eastAsia="Times New Roman" w:hAnsi="Times New Roman"/>
          <w:sz w:val="18"/>
          <w:szCs w:val="18"/>
          <w:color w:val="auto"/>
        </w:rPr>
        <w:t>A health epidemic or pandemic, such as the COVID-19 pandemic, and related government orders or evolving business policies and procedures, could cause disruptions to our business, operations, and clinical development or commercialization plans and timelines, as well as the business and operations of third parties with whom we conduct business.</w:t>
      </w:r>
    </w:p>
    <w:p>
      <w:pPr>
        <w:spacing w:after="0" w:line="149" w:lineRule="exact"/>
        <w:rPr>
          <w:sz w:val="20"/>
          <w:szCs w:val="20"/>
          <w:color w:val="auto"/>
        </w:rPr>
      </w:pPr>
    </w:p>
    <w:p>
      <w:pPr>
        <w:ind w:right="480" w:firstLine="486"/>
        <w:spacing w:after="0" w:line="256" w:lineRule="auto"/>
        <w:rPr>
          <w:sz w:val="20"/>
          <w:szCs w:val="20"/>
          <w:color w:val="auto"/>
        </w:rPr>
      </w:pPr>
      <w:r>
        <w:rPr>
          <w:rFonts w:ascii="Times New Roman" w:cs="Times New Roman" w:eastAsia="Times New Roman" w:hAnsi="Times New Roman"/>
          <w:sz w:val="18"/>
          <w:szCs w:val="18"/>
          <w:color w:val="auto"/>
        </w:rPr>
        <w:t>If our operations or those of third parties with whom we conduct business, such as development partners, manufacturers, CROs and others, are impaired or curtailed as a result of such events, the development and commercialization of our products and product candidates could be stopped or delayed, or the costs of such development and commercialization activities could increase, any of which could have a material adverse impact on our business. For example, our suppliers or other vendors may be unable to meet their obligations to us or perform their services as expected. In such circumstances, we may not be able to enter into arrangements with alternative suppliers or vendors or do so on commercially reasonable terms or in a timely manner. Such delays could adversely impact our ability to meet our desired clinical development and any commercialization timelines.</w:t>
      </w:r>
    </w:p>
    <w:p>
      <w:pPr>
        <w:spacing w:after="0" w:line="147"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In addition, our clinical trials were affected by the COVID-19 pandemic and we may experience similar delays or interruptions due to COVID-19 or other health epidemics or pandemics in the future, which could adversely impact our clinical trial operations. Health epidemics or pandemics could also affect the operations of regulators and other health and</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governmental authorities, which could result in delays of reviews and approvals, inspections, or other regulatory activities, including as we continue to expand internationally and bring ORLADEYO to additional global markets.</w:t>
      </w:r>
    </w:p>
    <w:p>
      <w:pPr>
        <w:spacing w:after="0" w:line="135" w:lineRule="exact"/>
        <w:rPr>
          <w:sz w:val="20"/>
          <w:szCs w:val="20"/>
          <w:color w:val="auto"/>
        </w:rPr>
      </w:pPr>
    </w:p>
    <w:p>
      <w:pPr>
        <w:jc w:val="both"/>
        <w:ind w:right="60" w:firstLine="486"/>
        <w:spacing w:after="0" w:line="261" w:lineRule="auto"/>
        <w:rPr>
          <w:sz w:val="20"/>
          <w:szCs w:val="20"/>
          <w:color w:val="auto"/>
        </w:rPr>
      </w:pPr>
      <w:r>
        <w:rPr>
          <w:rFonts w:ascii="Times New Roman" w:cs="Times New Roman" w:eastAsia="Times New Roman" w:hAnsi="Times New Roman"/>
          <w:sz w:val="18"/>
          <w:szCs w:val="18"/>
          <w:color w:val="auto"/>
        </w:rPr>
        <w:t>The global impact of a health epidemic or pandemic such as COVID-19 could also materially affect global economies and financial markets, which could reduce our ability to access the equity or debt capital markets or obtain other sources of capital if needed, which could negatively affect our liquidity. In addition, a recession or market correction could materially affect our business and the value of our common stock. Health epidemics or pandemics could also have the effect of heightening many of the other risks described in this report.</w:t>
      </w:r>
    </w:p>
    <w:p>
      <w:pPr>
        <w:spacing w:after="0" w:line="13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operations, clinical development or commercialization plans and timelines, and access to capital could be adversely affected by unpredictable and unstable market and economic conditions.</w:t>
      </w:r>
    </w:p>
    <w:p>
      <w:pPr>
        <w:spacing w:after="0" w:line="118"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Our business, operations, clinical development or commercialization plans and timelines, and access to capital could be adversely affected by unpredictable and unstable market and economic conditions, including as a result of inflation, increased interest rates, disruption or instability in the banking industry, foreign exchange rate fluctuations, potential U.S. Government shutdowns, instability in connection with the upcoming presidential election in the United States, geopolitical instability (such as the Ukraine-Russia and Israel-Hamas conflicts or rising tensions between China and Taiwan), or public health emergencies, such as the COVID-19 pandemic. The magnitude, duration and long-term effect of each of these factors, as well as the effects of actions taken by governments to address them, are unknown at this time, but they could result in further significant disruption of the global economy and financial markets. Our business may be adversely affected by any related economic downturn, volatile geopolitical and business environment, or continued market instability.</w:t>
      </w:r>
    </w:p>
    <w:p>
      <w:pPr>
        <w:spacing w:after="0" w:line="165"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Unstable market and economic conditions could materially affect our ability to access the equity or debt capital markets or obtain other sources of capital if needed in the future, which could negatively affect our liquidity. In addition, a recession or market correction could materially affect our business and the value of our common stock.</w:t>
      </w:r>
    </w:p>
    <w:p>
      <w:pPr>
        <w:spacing w:after="0" w:line="135"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Market and economic conditions continue to evolve, with the ultimate impacts being uncertain and subject to change. These effects could be material, and we will continue to monitor the economic climate closely. We do not yet know the full extent and magnitude of the impacts that these developments will have on our business, on the healthcare system, or on the global economy. In addition, unstable market conditions could have the effect of heightening many of the other risks described in this report.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Insurance coverage is increasingly more costly and difficult to obtain or maintain.</w:t>
      </w:r>
    </w:p>
    <w:p>
      <w:pPr>
        <w:spacing w:after="0" w:line="202"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While we currently have insurance for our business, property, directors and officers, and our products, insurance is increasingly more costly and narrower in scope, and we may be required to assume more risk in the future. If we are subject to claims or suffer a loss or damage in excess of our insurance coverage, we will be required to bear any loss in excess of our insurance limits. If we are subject to claims or suffer a loss or damage that is outside of our insurance coverage, we may incur significant uninsured costs associated with loss or damage that could have an adverse effect on our operations and financial position. Furthermore, any claims made on our insurance policies may impact our ability to obtain or maintain insurance coverage at reasonable costs or at all.</w:t>
      </w:r>
    </w:p>
    <w:p>
      <w:pPr>
        <w:spacing w:after="0" w:line="143"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retain our existing key personnel or fail to attract and retain additional key personnel, the development of our product candidates, the commercialization of our products, and the related expansion of our business will be delayed or stopped.</w:t>
      </w:r>
    </w:p>
    <w:p>
      <w:pPr>
        <w:spacing w:after="0" w:line="118"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We are highly dependent upon our senior management and scientific team, the unexpected loss of whose services might impede the achievement of our development and commercial objectives. Competition for key personnel with the experience that we require is intense and is expected to continue to increase. Our inability to attract and retain the required number of skilled and experienced management, commercial, operational and scientific personnel would harm our business because we rely upon these personnel for many important functions of our business.</w:t>
      </w:r>
    </w:p>
    <w:p>
      <w:pPr>
        <w:spacing w:after="0" w:line="149"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risk management committee and other compliance methods are not effective, our business, financial condition and operating results may be adversely affected.</w:t>
      </w:r>
    </w:p>
    <w:p>
      <w:pPr>
        <w:spacing w:after="0" w:line="118" w:lineRule="exact"/>
        <w:rPr>
          <w:sz w:val="20"/>
          <w:szCs w:val="20"/>
          <w:color w:val="auto"/>
        </w:rPr>
      </w:pPr>
    </w:p>
    <w:p>
      <w:pPr>
        <w:ind w:right="320" w:firstLine="486"/>
        <w:spacing w:after="0" w:line="258" w:lineRule="auto"/>
        <w:rPr>
          <w:sz w:val="20"/>
          <w:szCs w:val="20"/>
          <w:color w:val="auto"/>
        </w:rPr>
      </w:pPr>
      <w:r>
        <w:rPr>
          <w:rFonts w:ascii="Times New Roman" w:cs="Times New Roman" w:eastAsia="Times New Roman" w:hAnsi="Times New Roman"/>
          <w:sz w:val="18"/>
          <w:szCs w:val="18"/>
          <w:color w:val="auto"/>
        </w:rPr>
        <w:t>Our ability to identify, manage and respond to the various risks related to our business is largely dependent on our established and maintained compliance, risk, audit and reporting systems and procedures. The Board of Directors has ultimate responsibility for risk oversight of the Company and carries out this duty through its committees. The Board of Directors may delegate oversight authority with respect to certain issues in a committee’s applicable areas of expertise. At the Company level, our senior management team similarly monitors risk through the risk management committee and other</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sub-committees focused on specific areas of risk (e.g., cybersecurity, quality assurance). Membership of the risk management committee consists primarily of key department heads who are asked to bring to such committee relevant items for discussion that they or their teams have identified at the numerous sub-committees these individuals chair or attend. The risk management committee, along with the other sub-committees in the Company, identifies key risks and mitigation strategies which are reported directly to our senior management, the Audit Committee and to the full Board of Directors on a regular basis.</w:t>
      </w:r>
    </w:p>
    <w:p>
      <w:pPr>
        <w:spacing w:after="0" w:line="156" w:lineRule="exact"/>
        <w:rPr>
          <w:sz w:val="20"/>
          <w:szCs w:val="20"/>
          <w:color w:val="auto"/>
        </w:rPr>
      </w:pPr>
    </w:p>
    <w:p>
      <w:pPr>
        <w:ind w:right="280" w:firstLine="486"/>
        <w:spacing w:after="0" w:line="258" w:lineRule="auto"/>
        <w:rPr>
          <w:sz w:val="20"/>
          <w:szCs w:val="20"/>
          <w:color w:val="auto"/>
        </w:rPr>
      </w:pPr>
      <w:r>
        <w:rPr>
          <w:rFonts w:ascii="Times New Roman" w:cs="Times New Roman" w:eastAsia="Times New Roman" w:hAnsi="Times New Roman"/>
          <w:sz w:val="18"/>
          <w:szCs w:val="18"/>
          <w:color w:val="auto"/>
        </w:rPr>
        <w:t>If our policies, procedures, and compliance systems, including our risk management committee, are not effective, or if we are not successful in monitoring or evaluating the risks to which we are or may be exposed, our business, reputation, financial condition and operating results could be materially adversely affected. We cannot provide assurance that our policies and procedures will always be effective, or that our management or the risk management committee would be able to identify any such ineffectiveness. If our compliance and risk management strategies are not effective, our business, financial condition and operating results may be adversely affected.</w:t>
      </w:r>
    </w:p>
    <w:p>
      <w:pPr>
        <w:spacing w:after="0" w:line="13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Future acquisitions, strategic investments, partnerships, alliances, or divestitures could be difficult to identify and integrate, divert the attention of management, disrupt our business, dilute stockholder value, materially change the risk profile of the Company and could fail to meet our expectations, any of which could adversely affect our operating results and financial condition.</w:t>
      </w:r>
    </w:p>
    <w:p>
      <w:pPr>
        <w:spacing w:after="0" w:line="134"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We may in the future seek to acquire or invest in businesses, products or technologies that we believe could complement or expand our portfolio or otherwise offer growth opportunities. The pursuit of potential acquisitions may divert the attention of management and cause us to incur various expenses in identifying, investigating and pursuing businesses or products. In addition, we may not be able to find and identify desirable acquisition targets or be successful in entering into an agreement with any particular target or consummating any such agreement. Even if we do consummate an acquisition, in connection therewith we may be required to issue equity (thereby diluting our current stockholders) or debt, we may not be able to integrate successfully the acquired personnel, operations and technologies, or effectively manage the combined business following the acquisition, or the acquired business could otherwise fail to meet our expectations, which, in each case, could have a material adverse effect on our business projections, financial condition, results of operations and prospects.</w:t>
      </w:r>
    </w:p>
    <w:p>
      <w:pPr>
        <w:spacing w:after="0" w:line="165"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In addition, we may divest or license all or a portion of certain business or product categories, which could cause a decline in revenue or profitability and may make our financial results more volatile. We may be unable to complete any such divestiture or license on terms favorable to us, within the expected timeframes, or at all. We may have continued financial exposure to divested or licensed businesses following the completion of any such transaction, including increased costs due to potential litigation, contingent liabilities and indemnification of the buyer or licensee related to, among other things, lawsuits, regulatory matters or tax liabilities. Such divestitures or licenses may also divert management’s attention from our core businesses and lead to potential issues with employees, customers or suppliers.</w:t>
      </w:r>
    </w:p>
    <w:p>
      <w:pPr>
        <w:spacing w:after="0" w:line="143"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operations could be negatively affected if we become subject to stockholder activism or hostile bids, which could cause us to incur significant expense, hinder execution of our business strategy and impact our stock price.</w:t>
      </w:r>
    </w:p>
    <w:p>
      <w:pPr>
        <w:spacing w:after="0" w:line="118" w:lineRule="exact"/>
        <w:rPr>
          <w:sz w:val="20"/>
          <w:szCs w:val="20"/>
          <w:color w:val="auto"/>
        </w:rPr>
      </w:pPr>
    </w:p>
    <w:p>
      <w:pPr>
        <w:ind w:firstLine="486"/>
        <w:spacing w:after="0" w:line="274" w:lineRule="auto"/>
        <w:rPr>
          <w:sz w:val="20"/>
          <w:szCs w:val="20"/>
          <w:color w:val="auto"/>
        </w:rPr>
      </w:pPr>
      <w:r>
        <w:rPr>
          <w:rFonts w:ascii="Times New Roman" w:cs="Times New Roman" w:eastAsia="Times New Roman" w:hAnsi="Times New Roman"/>
          <w:sz w:val="17"/>
          <w:szCs w:val="17"/>
          <w:color w:val="auto"/>
        </w:rPr>
        <w:t>Stockholder activism, which takes many forms and arises in a variety of situations, has been increasingly prevalent. Stock price declines may also increase our vulnerability to unsolicited approaches. If we become the subject of certain forms of stockholder activism, such as proxy contests or hostile bids, the attention of our management and our Board of Directors may be diverted from execution of our strategy. Such stockholder activism could give rise to perceived uncertainties as to our future strategy, adversely affect our relationships with business partners and make it more difficult to attract and retain qualified personnel. Also, we may incur substantial costs, including significant legal fees and other expenses, related to activist stockholder matters. Our stock price could be subject to significant fluctuation or otherwise be adversely affected by the events, risks and uncertainties of any stockholder activism.</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Investing in Our Common Stock</w:t>
      </w:r>
    </w:p>
    <w:p>
      <w:pPr>
        <w:spacing w:after="0" w:line="185"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existing principal stockholders hold a substantial amount of our common stock and may be able to influence significant corporate decisions, which may conflict with the interest of other stockholders.</w:t>
      </w:r>
    </w:p>
    <w:p>
      <w:pPr>
        <w:spacing w:after="0" w:line="11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Some of our stockholders own greater than 5% of our outstanding common stock. Our top ten stockholders own approximately 45% of our common stock and can individually, and as a group, influence our operations based upon their concentrated ownership and may also be able to influence the outcome of matters requiring approval of the stockholders, including the election of our directors and other corporate actions.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stock price has been, and is likely to continue to be, highly volatile, which could cause the value of an investment in our common stock to decline significantly.</w:t>
      </w:r>
    </w:p>
    <w:p>
      <w:pPr>
        <w:spacing w:after="0" w:line="132"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The market prices for securities of biotechnology companies in general have been highly volatile and may continue to be highly volatile in the future. Moreover, our stock price has fluctuated frequently, and these fluctuations are often not related to our financial results. For the twelve months ended March 31, 2024, the 52-week range of the market price of our stock was from $4.82 to $9.07 per share. The following factors, in addition to other risk factors described in this section, may have, and in some cases have had, a significant impact on the market price of our common stock:</w:t>
      </w:r>
    </w:p>
    <w:p>
      <w:pPr>
        <w:spacing w:after="0" w:line="139" w:lineRule="exact"/>
        <w:rPr>
          <w:sz w:val="20"/>
          <w:szCs w:val="20"/>
          <w:color w:val="auto"/>
        </w:rPr>
      </w:pPr>
    </w:p>
    <w:p>
      <w:pPr>
        <w:ind w:left="1140" w:hanging="322"/>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innovations or new products by us or our competitors;</w:t>
      </w:r>
    </w:p>
    <w:p>
      <w:pPr>
        <w:spacing w:after="0" w:line="2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patents or proprietary rights;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dilution through sales of our common stock or other derivative securities;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status of new or existing licensing or collaborative agreements and government contracts;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relating to the status of our programs;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or our partners achieving or failing to achieve development milestones;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regarding actual or potential medical results relating to products under development by us or our competitors;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regarding certain public health concerns for which we are or may be developing treatments;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both the United States and foreign countries;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concern as to the safety of pharmaceutical products;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operating results;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or recommendations by securities analysts and the comparison of such estimates to our actual results;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online automated financial platforms’ treatment or classification of our financial information;</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public guidance;</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 including developments in price control legislation;</w:t>
      </w:r>
    </w:p>
    <w:p>
      <w:pPr>
        <w:spacing w:after="0" w:line="9" w:lineRule="exact"/>
        <w:rPr>
          <w:rFonts w:ascii="Times New Roman" w:cs="Times New Roman" w:eastAsia="Times New Roman" w:hAnsi="Times New Roman"/>
          <w:sz w:val="18"/>
          <w:szCs w:val="18"/>
          <w:color w:val="auto"/>
        </w:rPr>
      </w:pPr>
    </w:p>
    <w:p>
      <w:pPr>
        <w:ind w:left="1140" w:right="360" w:hanging="322"/>
        <w:spacing w:after="0" w:line="250" w:lineRule="auto"/>
        <w:tabs>
          <w:tab w:leader="none" w:pos="11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joint ventures, capital commitments or other monetization transactions;</w:t>
      </w:r>
    </w:p>
    <w:p>
      <w:pPr>
        <w:ind w:left="1140" w:hanging="322"/>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 or members of our Board of Directors;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or sales of substantial amounts of our stock by existing stockholders, including officers or directors;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other external factors or other disasters or crises; and</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fluctuations in our financial results.</w:t>
      </w:r>
    </w:p>
    <w:p>
      <w:pPr>
        <w:spacing w:after="0" w:line="166" w:lineRule="exact"/>
        <w:rPr>
          <w:sz w:val="20"/>
          <w:szCs w:val="20"/>
          <w:color w:val="auto"/>
        </w:rPr>
      </w:pPr>
    </w:p>
    <w:p>
      <w:pPr>
        <w:ind w:right="220" w:firstLine="486"/>
        <w:spacing w:after="0" w:line="261" w:lineRule="auto"/>
        <w:rPr>
          <w:sz w:val="20"/>
          <w:szCs w:val="20"/>
          <w:color w:val="auto"/>
        </w:rPr>
      </w:pPr>
      <w:r>
        <w:rPr>
          <w:rFonts w:ascii="Times New Roman" w:cs="Times New Roman" w:eastAsia="Times New Roman" w:hAnsi="Times New Roman"/>
          <w:sz w:val="18"/>
          <w:szCs w:val="18"/>
          <w:color w:val="auto"/>
        </w:rPr>
        <w:t>This volatility could cause the value of an investment in our common stock to decline significantly. In addition, companies that have experienced volatility in the market price of their stock in the past have been subject to securities class action litigation. Securities litigation, and any other type of litigation, brought against us could result in substantial costs and divert our management’s attention from other business concerns, which could seriously harm our business and adversely affect our results of operations.</w:t>
      </w:r>
    </w:p>
    <w:p>
      <w:pPr>
        <w:spacing w:after="0" w:line="149"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a material weakness in our internal control over financial reporting. This material weakness could divert management’s attention and adversely affect our ability to produce accurate and timely financial statements, which may adversely affect investor confidence in us and our financial reporting, adversely affect our business and operating results and may negatively impact the trading price of our common stock.</w:t>
      </w:r>
    </w:p>
    <w:p>
      <w:pPr>
        <w:spacing w:after="0" w:line="134"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Our management has identified a material weakness in our internal control over financial reporting, as described in “Controls and Procedures” in Part I, Item 4 of this report. As further described in that section, we are implementing measures, and will continue to implement measures, to remediate the material weakness identified by management and to improve our internal control over financial reporting such that these controls are designed, implemented, and operating effectively. This material weakness will not be considered remediated until the applicable remediated controls are operating for a sufficient period of time and management has concluded, through testing, that these controls are operating effectively. Remediating the material weakness could take longer than expected and divert management’s attention away from other areas of the business.</w:t>
      </w:r>
    </w:p>
    <w:p>
      <w:pPr>
        <w:spacing w:after="0" w:line="147"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A material weakness, as defined in Rule 12b-2 under the Exchange Act, is a deficiency, or combination of deficiencies, in internal control over financial reporting such that there is a reasonable possibility that a material misstatement of annual or interim financial statements will not be prevented or detected on a timely basis. Although we believe the financial statements included in this report fairly present, in all material respects, our financial condition, results of operations and cash flows for the periods presented in conformity with U.S. GAAP, any failure to maintain effective</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internal control over financial reporting could severely inhibit our ability to accurately report our financial condition, results of operations or cash flows. If our internal control over financial reporting is not effective, investors may lose confidence in the accuracy and completeness of our financial reports, the market price of our common stock could decline, and we could be subject to sanctions or investigations by Nasdaq, the SEC or other regulatory authorities.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and issuances of securities may dilute the ownership interests of our current stockholders and cause our stock price to decline.</w:t>
      </w:r>
    </w:p>
    <w:p>
      <w:pPr>
        <w:spacing w:after="0" w:line="189"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Future sales of our common stock by us or our current stockholders into the public market could cause the market price of our stock to fall. As of April 30, 2024, there were 206,377,088 shares of our common stock outstanding. We may from time to time issue securities in relation to a license arrangement, collaboration, merger or acquisition. We may also sell, for our own account, shares of common stock or other equity securities, from time to time at prices and on terms to be determined at the time of sale.</w:t>
      </w:r>
    </w:p>
    <w:p>
      <w:pPr>
        <w:spacing w:after="0" w:line="139"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As of April 30, 2024, there were 39,059,426 stock options and restricted stock units outstanding and 12,256,098 shares available for issuance under our Amended and Restated Stock Incentive Plan (inclusive of the 7,000,000 shares that are subject to stockholder approval at our annual meeting of stockholders to be held on June 12, 2024), 5,933,562 stock options and restricted stock units outstanding and 1,955,303 shares available for issuance under our Amended and Restated Inducement Equity Incentive Plan, and 5,203,583 shares available for issuance under our Amended and Restated Employee Stock Purchase Plan. In addition, we could also make equity grants outside of our Amended and Restated Stock Incentive Plan or Amended and Restated Inducement Equity Incentive Plan. The shares underlying existing stock options, restricted stock units and possible future stock options, stock appreciation rights, restricted stock units and stock awards have been, or will be, registered pursuant to registration statements on Form S-8.</w:t>
      </w:r>
    </w:p>
    <w:p>
      <w:pPr>
        <w:spacing w:after="0" w:line="162"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If some or all of such shares are sold or otherwise issued into the public market over a short period of time, our current stockholders’ ownership interests may be diluted and the value of all publicly traded shares is likely to decline, as the market may not be able to absorb those shares at then-current market prices. Additionally, such sales and issuances may make it more difficult for us to sell equity securities or equity-related securities in the future at a time and price that our management deems acceptable, or at all.</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anti-takeover provisions in our corporate charter documents that may result in outcomes with which you do not agree.</w:t>
      </w:r>
    </w:p>
    <w:p>
      <w:pPr>
        <w:spacing w:after="0" w:line="189" w:lineRule="exact"/>
        <w:rPr>
          <w:sz w:val="20"/>
          <w:szCs w:val="20"/>
          <w:color w:val="auto"/>
        </w:rPr>
      </w:pPr>
    </w:p>
    <w:p>
      <w:pPr>
        <w:jc w:val="both"/>
        <w:ind w:right="200" w:firstLine="486"/>
        <w:spacing w:after="0" w:line="261" w:lineRule="auto"/>
        <w:rPr>
          <w:sz w:val="20"/>
          <w:szCs w:val="20"/>
          <w:color w:val="auto"/>
        </w:rPr>
      </w:pPr>
      <w:r>
        <w:rPr>
          <w:rFonts w:ascii="Times New Roman" w:cs="Times New Roman" w:eastAsia="Times New Roman" w:hAnsi="Times New Roman"/>
          <w:sz w:val="18"/>
          <w:szCs w:val="18"/>
          <w:color w:val="auto"/>
        </w:rPr>
        <w:t>Our Board of Directors has the authority to issue up to 5,000,000 shares of undesignated preferred stock and to determine the rights, preferences, privileges and restrictions of those shares without further vote or action by our stockholders. The rights of the holders of any preferred stock that may be issued in the future may adversely affect the rights of the holders of common stock. The issuance of preferred stock could make it more difficult for third parties to acquire a majority of our outstanding voting stock.</w:t>
      </w:r>
    </w:p>
    <w:p>
      <w:pPr>
        <w:spacing w:after="0" w:line="153"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In addition, our Certificate of Incorporation provides for staggered terms for the members of the Board of Directors and supermajority approval of the removal of any member of the Board of Directors and prevents our stockholders from acting by written consent. Our Certificate of Incorporation also requires supermajority approval of any amendment of these provisions. These provisions and other provisions of our Amended and Restated By-Laws and of Delaware law applicable to us could delay or make more difficult a merger, tender offer or proxy contest involving us.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never paid dividends on our common stock and do not anticipate doing so in the foreseeable future.</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have never paid cash dividends on our stock. We currently intend to retain all future earnings, if any, for use in the operation of our business.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we do not anticipate paying cash dividends on our common stock in the foreseeable future.</w:t>
      </w:r>
    </w:p>
    <w:p>
      <w:pPr>
        <w:spacing w:after="0" w:line="176"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By-Laws provide that the Court of Chancery of the State of Delaware will be the sole and exclusive forum for certain litigation that may be initiated by our stockholders, which may limit a stockholder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ability to obtain a favorable judicial forum for such disputes with us or our directors, officers or employees.</w:t>
      </w:r>
    </w:p>
    <w:p>
      <w:pPr>
        <w:spacing w:after="0" w:line="134"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Our Amended and Restated By-Laws provide that, unless we consent in writing to the selection of an alternative forum, the Court of Chancery of the State of Delaware will be the sole and exclusive forum for (i) any derivative action or proceeding brought on our behalf, (ii) any action asserting a claim of breach of a fiduciary duty owed by any of our directors, officers, stockholders, employees or agents to us or our stockholders, (iii) any action asserting a claim against us or any of our directors, officers, stockholders, employees or agents arising out of or relating to any provision of the General</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Corporation Law of Delaware or our Certificate of Incorporation or Amended and Restated By-Laws, or (iv) any action against us or any of our directors, officers, stockholders, employees or agents governed by the internal affairs doctrine of the State of Delaware. This exclusive forum provision does not apply to establish the Delaware Court of Chancery as the forum for actions or proceedings brought to enforce a duty or liability created by the Securities Act or the Exchange Act, or any other claim for which the federal courts have exclusive jurisdiction.</w:t>
      </w:r>
    </w:p>
    <w:p>
      <w:pPr>
        <w:spacing w:after="0" w:line="153"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This exclusive forum provision may limit a stockholder’s ability to choose its preferred judicial forum for disputes with us or our directors, officers, employees or agents, which may discourage the filing of lawsuits with respect to such claims. If a court were to find this exclusive forum provision to be inapplicable or unenforceable in an action, we may incur additional costs associated with resolving such action in another jurisdiction, which could adversely affect our business and financial condition.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8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Natural disasters, epidemic or pandemic disease outbreaks, trade wars, armed conflicts, political unrest or other events could disrupt our business or operations or those of our development partners, manufacturers, regulators or other third parties with whom we conduct business now or in the future.</w:t>
      </w:r>
    </w:p>
    <w:p>
      <w:pPr>
        <w:spacing w:after="0" w:line="132"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A wide variety of events beyond our control, such as natural disasters (including as a result of climate change), epidemic or pandemic disease outbreaks (such as the COVID-19 pandemic), trade wars, armed conflict, political unrest, government shutdowns, instability in connection with the upcoming presidential election in the United States, or other events could disrupt our business or operations or those of our development partners, manufacturers, regulatory authorities, or other third parties with whom we conduct business. These events may cause businesses and government agencies to be shut down, supply chains or trade to be interrupted, slowed, or rendered inoperable, and individuals to become ill, quarantined, or otherwise unable to work and/or travel due to health reasons or governmental restrictions. If our operations or those of third parties with whom we conduct business are impaired or curtailed as a result of these events, the development and commercialization of our products and product candidates could be impaired or halted, which could have a material adverse impact on our business. See, for example, “Risk Factors—Risks Relating to Our Business—Other Operational Risks—Our business, operations, clinical development or commercialization plans and timelines, and access to capital could be adversely affected by unpredictable and unstable market and economic conditions.” In addition, other events, such as the Ukraine-Russia and Israel-Hamas conflicts, or rising tensions between China and Taiwan, could adversely impact our business. For example, the conflicts could lead to sanctions, embargoes, supply shortages, regional instability, geopolitical shifts, cyber-attacks, other retaliatory actions, and adverse effects on macroeconomic conditions, currency exchange rates, and financial markets, which could adversely impact our operations and financial results, as well as those of third parties with whom we conduct business.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legal proceedings, which could harm our reputation or result in other losses or unexpected expenditure of time and resources.</w:t>
      </w:r>
    </w:p>
    <w:p>
      <w:pPr>
        <w:spacing w:after="0" w:line="189"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From time to time, we may be involved in disputes, including, without limitation, disputes with our employees, collaborative partners, and third-party vendors. We may be called upon to initiate legal proceedings or to defend ourselves in such legal proceedings relating to our relationships with these parties, our decisions and actions or omissions with respect thereto, and our business. In addition, if our stock price is volatile, we may become involved in securities class action lawsuits in the future. Due to the inherent uncertainties in legal proceedings, we cannot accurately predict the ultimate outcome of any such proceeding. An unfavorable outcome in any such proceeding could have an adverse impact on our business, financial condition and results of operations. Any current or future dispute resolution or legal proceeding, regardless of the merits of any such proceeding, could harm our reputation and result in substantial costs and a diversion of management’s attention and resources that are needed to successfully run our business.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6"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no director or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ectPr>
          <w:pgSz w:w="11900" w:h="16838" w:orient="portrait"/>
          <w:cols w:equalWidth="0" w:num="1">
            <w:col w:w="10139"/>
          </w:cols>
          <w:pgMar w:left="320" w:top="121" w:right="1440" w:bottom="1440" w:gutter="0" w:footer="0" w:header="0"/>
        </w:sectPr>
      </w:pPr>
    </w:p>
    <w:p>
      <w:pPr>
        <w:spacing w:after="0" w:line="50" w:lineRule="exact"/>
        <w:rPr>
          <w:sz w:val="20"/>
          <w:szCs w:val="20"/>
          <w:color w:val="auto"/>
        </w:rPr>
      </w:pPr>
    </w:p>
    <w:p>
      <w:pPr>
        <w:ind w:left="20"/>
        <w:spacing w:after="0" w:line="349" w:lineRule="auto"/>
        <w:rPr>
          <w:sz w:val="20"/>
          <w:szCs w:val="20"/>
          <w:color w:val="auto"/>
        </w:rPr>
      </w:pPr>
      <w:r>
        <w:rPr>
          <w:rFonts w:ascii="Times New Roman" w:cs="Times New Roman" w:eastAsia="Times New Roman" w:hAnsi="Times New Roman"/>
          <w:sz w:val="18"/>
          <w:szCs w:val="18"/>
          <w:b w:val="1"/>
          <w:bCs w:val="1"/>
          <w:color w:val="auto"/>
        </w:rPr>
        <w:t xml:space="preserve">Number </w:t>
      </w:r>
      <w:r>
        <w:rPr>
          <w:rFonts w:ascii="Times New Roman" w:cs="Times New Roman" w:eastAsia="Times New Roman" w:hAnsi="Times New Roman"/>
          <w:sz w:val="18"/>
          <w:szCs w:val="18"/>
          <w:color w:val="auto"/>
        </w:rPr>
        <w:t>3.1</w:t>
      </w: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3.3</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3.4</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3.5</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3.6</w:t>
      </w:r>
    </w:p>
    <w:p>
      <w:pPr>
        <w:spacing w:after="0" w:line="200" w:lineRule="exact"/>
        <w:rPr>
          <w:sz w:val="20"/>
          <w:szCs w:val="20"/>
          <w:color w:val="auto"/>
        </w:rPr>
      </w:pPr>
    </w:p>
    <w:p>
      <w:pPr>
        <w:spacing w:after="0" w:line="3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(31.1)</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(31.2)</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(32.1)</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(32.2)</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40" w:lineRule="exact"/>
        <w:rPr>
          <w:sz w:val="20"/>
          <w:szCs w:val="20"/>
          <w:color w:val="auto"/>
        </w:rPr>
      </w:pPr>
    </w:p>
    <w:p>
      <w:pPr>
        <w:ind w:right="1479"/>
        <w:spacing w:after="0" w:line="282" w:lineRule="auto"/>
        <w:rPr>
          <w:rFonts w:ascii="Times New Roman" w:cs="Times New Roman" w:eastAsia="Times New Roman" w:hAnsi="Times New Roman"/>
          <w:sz w:val="18"/>
          <w:szCs w:val="18"/>
          <w:u w:val="single" w:color="auto"/>
          <w:color w:val="0000FF"/>
        </w:rPr>
      </w:pPr>
      <w:hyperlink r:id="rId108">
        <w:r>
          <w:rPr>
            <w:rFonts w:ascii="Times New Roman" w:cs="Times New Roman" w:eastAsia="Times New Roman" w:hAnsi="Times New Roman"/>
            <w:sz w:val="18"/>
            <w:szCs w:val="18"/>
            <w:u w:val="single" w:color="auto"/>
            <w:color w:val="0000FF"/>
          </w:rPr>
          <w:t>Third Restated Certificate of Incorporation of Registrant. Incorporated by reference to Exhibit 3.1 to the</w:t>
        </w:r>
      </w:hyperlink>
      <w:r>
        <w:rPr>
          <w:rFonts w:ascii="Times New Roman" w:cs="Times New Roman" w:eastAsia="Times New Roman" w:hAnsi="Times New Roman"/>
          <w:sz w:val="18"/>
          <w:szCs w:val="18"/>
          <w:u w:val="single" w:color="auto"/>
          <w:color w:val="0000FF"/>
        </w:rPr>
        <w:t xml:space="preserve"> </w:t>
      </w:r>
      <w:hyperlink r:id="rId108">
        <w:r>
          <w:rPr>
            <w:rFonts w:ascii="Times New Roman" w:cs="Times New Roman" w:eastAsia="Times New Roman" w:hAnsi="Times New Roman"/>
            <w:sz w:val="18"/>
            <w:szCs w:val="18"/>
            <w:u w:val="single" w:color="auto"/>
            <w:color w:val="0000FF"/>
          </w:rPr>
          <w:t>Company’s Form 8-K filed December 22, 2006.</w:t>
        </w:r>
      </w:hyperlink>
    </w:p>
    <w:p>
      <w:pPr>
        <w:spacing w:after="0" w:line="270" w:lineRule="exact"/>
        <w:rPr>
          <w:sz w:val="20"/>
          <w:szCs w:val="20"/>
          <w:color w:val="auto"/>
        </w:rPr>
      </w:pPr>
    </w:p>
    <w:p>
      <w:pPr>
        <w:ind w:right="1299"/>
        <w:spacing w:after="0" w:line="282" w:lineRule="auto"/>
        <w:rPr>
          <w:rFonts w:ascii="Times New Roman" w:cs="Times New Roman" w:eastAsia="Times New Roman" w:hAnsi="Times New Roman"/>
          <w:sz w:val="18"/>
          <w:szCs w:val="18"/>
          <w:u w:val="single" w:color="auto"/>
          <w:color w:val="0000FF"/>
        </w:rPr>
      </w:pPr>
      <w:hyperlink r:id="rId109">
        <w:r>
          <w:rPr>
            <w:rFonts w:ascii="Times New Roman" w:cs="Times New Roman" w:eastAsia="Times New Roman" w:hAnsi="Times New Roman"/>
            <w:sz w:val="18"/>
            <w:szCs w:val="18"/>
            <w:u w:val="single" w:color="auto"/>
            <w:color w:val="0000FF"/>
          </w:rPr>
          <w:t>Certificate of Amendment to the Third Restated Certificate of Incorporation of Registrant. Incorporated by</w:t>
        </w:r>
      </w:hyperlink>
      <w:r>
        <w:rPr>
          <w:rFonts w:ascii="Times New Roman" w:cs="Times New Roman" w:eastAsia="Times New Roman" w:hAnsi="Times New Roman"/>
          <w:sz w:val="18"/>
          <w:szCs w:val="18"/>
          <w:u w:val="single" w:color="auto"/>
          <w:color w:val="0000FF"/>
        </w:rPr>
        <w:t xml:space="preserve"> </w:t>
      </w:r>
      <w:hyperlink r:id="rId109">
        <w:r>
          <w:rPr>
            <w:rFonts w:ascii="Times New Roman" w:cs="Times New Roman" w:eastAsia="Times New Roman" w:hAnsi="Times New Roman"/>
            <w:sz w:val="18"/>
            <w:szCs w:val="18"/>
            <w:u w:val="single" w:color="auto"/>
            <w:color w:val="0000FF"/>
          </w:rPr>
          <w:t>reference to Exhibit 3.1 to the Company’s Form 8-K filed July 24, 2007.</w:t>
        </w:r>
      </w:hyperlink>
    </w:p>
    <w:p>
      <w:pPr>
        <w:spacing w:after="0" w:line="270" w:lineRule="exact"/>
        <w:rPr>
          <w:sz w:val="20"/>
          <w:szCs w:val="20"/>
          <w:color w:val="auto"/>
        </w:rPr>
      </w:pPr>
    </w:p>
    <w:p>
      <w:pPr>
        <w:ind w:right="1299"/>
        <w:spacing w:after="0" w:line="282" w:lineRule="auto"/>
        <w:rPr>
          <w:rFonts w:ascii="Times New Roman" w:cs="Times New Roman" w:eastAsia="Times New Roman" w:hAnsi="Times New Roman"/>
          <w:sz w:val="18"/>
          <w:szCs w:val="18"/>
          <w:u w:val="single" w:color="auto"/>
          <w:color w:val="0000FF"/>
        </w:rPr>
      </w:pPr>
      <w:hyperlink r:id="rId110">
        <w:r>
          <w:rPr>
            <w:rFonts w:ascii="Times New Roman" w:cs="Times New Roman" w:eastAsia="Times New Roman" w:hAnsi="Times New Roman"/>
            <w:sz w:val="18"/>
            <w:szCs w:val="18"/>
            <w:u w:val="single" w:color="auto"/>
            <w:color w:val="0000FF"/>
          </w:rPr>
          <w:t>Certificate of Amendment to the Third Restated Certificate of Incorporation of Registrant. Incorporated by</w:t>
        </w:r>
      </w:hyperlink>
      <w:r>
        <w:rPr>
          <w:rFonts w:ascii="Times New Roman" w:cs="Times New Roman" w:eastAsia="Times New Roman" w:hAnsi="Times New Roman"/>
          <w:sz w:val="18"/>
          <w:szCs w:val="18"/>
          <w:u w:val="single" w:color="auto"/>
          <w:color w:val="0000FF"/>
        </w:rPr>
        <w:t xml:space="preserve"> </w:t>
      </w:r>
      <w:hyperlink r:id="rId110">
        <w:r>
          <w:rPr>
            <w:rFonts w:ascii="Times New Roman" w:cs="Times New Roman" w:eastAsia="Times New Roman" w:hAnsi="Times New Roman"/>
            <w:sz w:val="18"/>
            <w:szCs w:val="18"/>
            <w:u w:val="single" w:color="auto"/>
            <w:color w:val="0000FF"/>
          </w:rPr>
          <w:t>reference to Exhibit 3.1 to the Company’s Form 8-K filed May 7, 2014.</w:t>
        </w:r>
      </w:hyperlink>
    </w:p>
    <w:p>
      <w:pPr>
        <w:spacing w:after="0" w:line="270" w:lineRule="exact"/>
        <w:rPr>
          <w:sz w:val="20"/>
          <w:szCs w:val="20"/>
          <w:color w:val="auto"/>
        </w:rPr>
      </w:pPr>
    </w:p>
    <w:p>
      <w:pPr>
        <w:ind w:right="1259"/>
        <w:spacing w:after="0" w:line="282" w:lineRule="auto"/>
        <w:rPr>
          <w:rFonts w:ascii="Times New Roman" w:cs="Times New Roman" w:eastAsia="Times New Roman" w:hAnsi="Times New Roman"/>
          <w:sz w:val="18"/>
          <w:szCs w:val="18"/>
          <w:u w:val="single" w:color="auto"/>
          <w:color w:val="0000FF"/>
        </w:rPr>
      </w:pPr>
      <w:hyperlink r:id="rId111">
        <w:r>
          <w:rPr>
            <w:rFonts w:ascii="Times New Roman" w:cs="Times New Roman" w:eastAsia="Times New Roman" w:hAnsi="Times New Roman"/>
            <w:sz w:val="18"/>
            <w:szCs w:val="18"/>
            <w:u w:val="single" w:color="auto"/>
            <w:color w:val="0000FF"/>
          </w:rPr>
          <w:t>Certificate of Elimination of the Series B Junior Participating Preferred Stock. Incorporated by reference to</w:t>
        </w:r>
      </w:hyperlink>
      <w:r>
        <w:rPr>
          <w:rFonts w:ascii="Times New Roman" w:cs="Times New Roman" w:eastAsia="Times New Roman" w:hAnsi="Times New Roman"/>
          <w:sz w:val="18"/>
          <w:szCs w:val="18"/>
          <w:u w:val="single" w:color="auto"/>
          <w:color w:val="0000FF"/>
        </w:rPr>
        <w:t xml:space="preserve"> </w:t>
      </w:r>
      <w:hyperlink r:id="rId111">
        <w:r>
          <w:rPr>
            <w:rFonts w:ascii="Times New Roman" w:cs="Times New Roman" w:eastAsia="Times New Roman" w:hAnsi="Times New Roman"/>
            <w:sz w:val="18"/>
            <w:szCs w:val="18"/>
            <w:u w:val="single" w:color="auto"/>
            <w:color w:val="0000FF"/>
          </w:rPr>
          <w:t xml:space="preserve">Exhibit 3.1 to the Company’s Form 8-K filed May 13, </w:t>
        </w:r>
      </w:hyperlink>
      <w:hyperlink r:id="rId112">
        <w:r>
          <w:rPr>
            <w:rFonts w:ascii="Times New Roman" w:cs="Times New Roman" w:eastAsia="Times New Roman" w:hAnsi="Times New Roman"/>
            <w:sz w:val="18"/>
            <w:szCs w:val="18"/>
            <w:u w:val="single" w:color="auto"/>
            <w:color w:val="0000FF"/>
          </w:rPr>
          <w:t>2020.</w:t>
        </w:r>
      </w:hyperlink>
    </w:p>
    <w:p>
      <w:pPr>
        <w:spacing w:after="0" w:line="270" w:lineRule="exact"/>
        <w:rPr>
          <w:rFonts w:ascii="Times New Roman" w:cs="Times New Roman" w:eastAsia="Times New Roman" w:hAnsi="Times New Roman"/>
          <w:sz w:val="18"/>
          <w:szCs w:val="18"/>
          <w:u w:val="single" w:color="auto"/>
          <w:color w:val="0000FF"/>
        </w:rPr>
      </w:pPr>
    </w:p>
    <w:p>
      <w:pPr>
        <w:ind w:right="1379"/>
        <w:spacing w:after="0" w:line="282" w:lineRule="auto"/>
        <w:rPr>
          <w:rFonts w:ascii="Times New Roman" w:cs="Times New Roman" w:eastAsia="Times New Roman" w:hAnsi="Times New Roman"/>
          <w:sz w:val="18"/>
          <w:szCs w:val="18"/>
          <w:u w:val="single" w:color="auto"/>
          <w:color w:val="0000FF"/>
        </w:rPr>
      </w:pPr>
      <w:hyperlink r:id="rId113">
        <w:r>
          <w:rPr>
            <w:rFonts w:ascii="Times New Roman" w:cs="Times New Roman" w:eastAsia="Times New Roman" w:hAnsi="Times New Roman"/>
            <w:sz w:val="18"/>
            <w:szCs w:val="18"/>
            <w:u w:val="single" w:color="auto"/>
            <w:color w:val="0000FF"/>
          </w:rPr>
          <w:t>Certificate of Amendment to the Third Restated Certificate of Incorporation. Incorporated by reference to</w:t>
        </w:r>
      </w:hyperlink>
      <w:r>
        <w:rPr>
          <w:rFonts w:ascii="Times New Roman" w:cs="Times New Roman" w:eastAsia="Times New Roman" w:hAnsi="Times New Roman"/>
          <w:sz w:val="18"/>
          <w:szCs w:val="18"/>
          <w:u w:val="single" w:color="auto"/>
          <w:color w:val="0000FF"/>
        </w:rPr>
        <w:t xml:space="preserve"> </w:t>
      </w:r>
      <w:hyperlink r:id="rId113">
        <w:r>
          <w:rPr>
            <w:rFonts w:ascii="Times New Roman" w:cs="Times New Roman" w:eastAsia="Times New Roman" w:hAnsi="Times New Roman"/>
            <w:sz w:val="18"/>
            <w:szCs w:val="18"/>
            <w:u w:val="single" w:color="auto"/>
            <w:color w:val="0000FF"/>
          </w:rPr>
          <w:t>Exhibit 3.2 to the Company’s Form 8-K filed May 13, 2020.</w:t>
        </w:r>
      </w:hyperlink>
    </w:p>
    <w:p>
      <w:pPr>
        <w:spacing w:after="0" w:line="270"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14">
        <w:r>
          <w:rPr>
            <w:rFonts w:ascii="Times New Roman" w:cs="Times New Roman" w:eastAsia="Times New Roman" w:hAnsi="Times New Roman"/>
            <w:sz w:val="18"/>
            <w:szCs w:val="18"/>
            <w:u w:val="single" w:color="auto"/>
            <w:color w:val="0000FF"/>
          </w:rPr>
          <w:t>Amended and Restated By-Laws of BioCryst Pharmaceuticals, Inc., effective January 16, 2024.</w:t>
        </w:r>
      </w:hyperlink>
    </w:p>
    <w:p>
      <w:pPr>
        <w:spacing w:after="0" w:line="2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14">
        <w:r>
          <w:rPr>
            <w:rFonts w:ascii="Times New Roman" w:cs="Times New Roman" w:eastAsia="Times New Roman" w:hAnsi="Times New Roman"/>
            <w:sz w:val="18"/>
            <w:szCs w:val="18"/>
            <w:u w:val="single" w:color="auto"/>
            <w:color w:val="0000FF"/>
          </w:rPr>
          <w:t>Incorporated by reference to Exhibit 3.1 to the Company’s Form 8-K filed January 18, 2024.</w:t>
        </w:r>
      </w:hyperlink>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the Chief Executive Officer Pursuant to Section 302 of the Sarbanes-Oxley Act of 2002.</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the Chief Financial Officer Pursuant to Section 302 of the Sarbanes-Oxley Act of 2002.</w:t>
      </w:r>
    </w:p>
    <w:p>
      <w:pPr>
        <w:spacing w:after="0" w:line="306" w:lineRule="exact"/>
        <w:rPr>
          <w:sz w:val="20"/>
          <w:szCs w:val="20"/>
          <w:color w:val="auto"/>
        </w:rPr>
      </w:pPr>
    </w:p>
    <w:p>
      <w:pPr>
        <w:ind w:right="1659"/>
        <w:spacing w:after="0" w:line="282" w:lineRule="auto"/>
        <w:rPr>
          <w:sz w:val="20"/>
          <w:szCs w:val="20"/>
          <w:color w:val="auto"/>
        </w:rPr>
      </w:pPr>
      <w:r>
        <w:rPr>
          <w:rFonts w:ascii="Times New Roman" w:cs="Times New Roman" w:eastAsia="Times New Roman" w:hAnsi="Times New Roman"/>
          <w:sz w:val="18"/>
          <w:szCs w:val="18"/>
          <w:u w:val="single" w:color="auto"/>
          <w:color w:val="0000FF"/>
        </w:rPr>
        <w:t>Certification pursuant to 18 U.S.C. Section 1350, as adopted pursuant to Section 906 of the Sarbanes-Oxley Act of 2002.</w:t>
      </w:r>
    </w:p>
    <w:p>
      <w:pPr>
        <w:spacing w:after="0" w:line="270" w:lineRule="exact"/>
        <w:rPr>
          <w:sz w:val="20"/>
          <w:szCs w:val="20"/>
          <w:color w:val="auto"/>
        </w:rPr>
      </w:pPr>
    </w:p>
    <w:p>
      <w:pPr>
        <w:ind w:right="1659"/>
        <w:spacing w:after="0" w:line="282" w:lineRule="auto"/>
        <w:rPr>
          <w:sz w:val="20"/>
          <w:szCs w:val="20"/>
          <w:color w:val="auto"/>
        </w:rPr>
      </w:pPr>
      <w:r>
        <w:rPr>
          <w:rFonts w:ascii="Times New Roman" w:cs="Times New Roman" w:eastAsia="Times New Roman" w:hAnsi="Times New Roman"/>
          <w:sz w:val="18"/>
          <w:szCs w:val="18"/>
          <w:u w:val="single" w:color="auto"/>
          <w:color w:val="0000FF"/>
        </w:rPr>
        <w:t>Certification pursuant to 18 U.S.C. Section 1350, as adopted pursuant to Section 906 of the Sarbanes-Oxley Act of 2002.</w:t>
      </w:r>
    </w:p>
    <w:p>
      <w:pPr>
        <w:spacing w:after="0" w:line="200" w:lineRule="exact"/>
        <w:rPr>
          <w:sz w:val="20"/>
          <w:szCs w:val="20"/>
          <w:color w:val="auto"/>
        </w:rPr>
      </w:pPr>
    </w:p>
    <w:p>
      <w:pPr>
        <w:sectPr>
          <w:pgSz w:w="11900" w:h="16838" w:orient="portrait"/>
          <w:cols w:equalWidth="0" w:num="2">
            <w:col w:w="660" w:space="500"/>
            <w:col w:w="8979"/>
          </w:cols>
          <w:pgMar w:left="320" w:top="121" w:right="1440" w:bottom="1440" w:gutter="0" w:footer="0" w:header="0"/>
          <w:type w:val="continuous"/>
        </w:sectPr>
      </w:pPr>
    </w:p>
    <w:p>
      <w:pPr>
        <w:spacing w:after="0" w:line="70" w:lineRule="exact"/>
        <w:rPr>
          <w:sz w:val="20"/>
          <w:szCs w:val="20"/>
          <w:color w:val="auto"/>
        </w:rPr>
      </w:pPr>
    </w:p>
    <w:p>
      <w:pPr>
        <w:ind w:left="1160" w:right="1499" w:hanging="1134"/>
        <w:spacing w:after="0" w:line="256" w:lineRule="auto"/>
        <w:tabs>
          <w:tab w:leader="none" w:pos="11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from the Quarterly Report on Form 10-Q of BioCryst Pharmaceuticals, Inc. for the three months ended March 31, 2024, formatted in Inline XBRL: (i) Condensed Consolidated Balance Sheets, (ii) Condensed Consolidated Statements of Comprehensive Loss, (iii) Condensed Consolidated Statements of Cash Flows, (iv) Condensed Consolidated Statements of Stockholders’ Deficit, and (v) Notes to Condensed Consolidated Financial Statements, tagged as blocks of text and including detailed tags.</w:t>
      </w:r>
    </w:p>
    <w:p>
      <w:pPr>
        <w:spacing w:after="0" w:line="295" w:lineRule="exact"/>
        <w:rPr>
          <w:sz w:val="20"/>
          <w:szCs w:val="20"/>
          <w:color w:val="auto"/>
        </w:rPr>
      </w:pPr>
    </w:p>
    <w:p>
      <w:pPr>
        <w:ind w:left="1160" w:hanging="1134"/>
        <w:spacing w:after="0"/>
        <w:tabs>
          <w:tab w:leader="none" w:pos="11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320" w:lineRule="exact"/>
        <w:rPr>
          <w:sz w:val="20"/>
          <w:szCs w:val="20"/>
          <w:color w:val="auto"/>
        </w:rPr>
      </w:pPr>
    </w:p>
    <w:p>
      <w:pPr>
        <w:ind w:left="20"/>
        <w:spacing w:after="0"/>
        <w:tabs>
          <w:tab w:leader="none" w:pos="114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7"/>
          <w:szCs w:val="17"/>
          <w:color w:val="auto"/>
        </w:rPr>
        <w:t>Filed or furnished herewith.</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on this 7th day of May, 2024.</w:t>
      </w:r>
    </w:p>
    <w:p>
      <w:pPr>
        <w:spacing w:after="0" w:line="17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BIOCRYST PHARMACEUTICALS, INC.</w:t>
      </w:r>
    </w:p>
    <w:p>
      <w:pPr>
        <w:spacing w:after="0" w:line="320"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/s/ Jon P. Stonehouse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26035</wp:posOffset>
            </wp:positionV>
            <wp:extent cx="368617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6">
                      <a:extLst>
                        <a:ext uri="{28A0092B-C50C-407E-A947-70E740481C1C}"/>
                      </a:extLst>
                    </a:blip>
                    <a:srcRect/>
                    <a:stretch>
                      <a:fillRect/>
                    </a:stretch>
                  </pic:blipFill>
                  <pic:spPr bwMode="auto">
                    <a:xfrm>
                      <a:off x="0" y="0"/>
                      <a:ext cx="3686175" cy="8255"/>
                    </a:xfrm>
                    <a:prstGeom prst="rect">
                      <a:avLst/>
                    </a:prstGeom>
                    <a:noFill/>
                  </pic:spPr>
                </pic:pic>
              </a:graphicData>
            </a:graphic>
          </wp:anchor>
        </w:drawing>
      </w:r>
    </w:p>
    <w:p>
      <w:pPr>
        <w:spacing w:after="0" w:line="4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Jon P. Stonehouse</w:t>
      </w:r>
    </w:p>
    <w:p>
      <w:pPr>
        <w:spacing w:after="0" w:line="4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50"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32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/s/ Anthony Doyle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26035</wp:posOffset>
            </wp:positionV>
            <wp:extent cx="368617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7">
                      <a:extLst>
                        <a:ext uri="{28A0092B-C50C-407E-A947-70E740481C1C}"/>
                      </a:extLst>
                    </a:blip>
                    <a:srcRect/>
                    <a:stretch>
                      <a:fillRect/>
                    </a:stretch>
                  </pic:blipFill>
                  <pic:spPr bwMode="auto">
                    <a:xfrm>
                      <a:off x="0" y="0"/>
                      <a:ext cx="3686175" cy="8255"/>
                    </a:xfrm>
                    <a:prstGeom prst="rect">
                      <a:avLst/>
                    </a:prstGeom>
                    <a:noFill/>
                  </pic:spPr>
                </pic:pic>
              </a:graphicData>
            </a:graphic>
          </wp:anchor>
        </w:drawing>
      </w:r>
    </w:p>
    <w:p>
      <w:pPr>
        <w:spacing w:after="0" w:line="4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Anthony Doyle</w:t>
      </w:r>
    </w:p>
    <w:p>
      <w:pPr>
        <w:spacing w:after="0" w:line="4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50"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7"/>
          <w:szCs w:val="17"/>
          <w:i w:val="1"/>
          <w:iCs w:val="1"/>
          <w:color w:val="auto"/>
        </w:rPr>
        <w:t>(Principal Financial Officer and Interim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0580"/>
          </w:cols>
          <w:pgMar w:left="320" w:top="121" w:right="99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Jon P. Stonehouse, certify that:</w:t>
      </w:r>
    </w:p>
    <w:p>
      <w:pPr>
        <w:spacing w:after="0" w:line="198" w:lineRule="exact"/>
        <w:rPr>
          <w:sz w:val="20"/>
          <w:szCs w:val="20"/>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BioCryst Pharmaceuticals, Inc.;</w:t>
      </w:r>
    </w:p>
    <w:p>
      <w:pPr>
        <w:spacing w:after="0" w:line="184" w:lineRule="exact"/>
        <w:rPr>
          <w:rFonts w:ascii="Times New Roman" w:cs="Times New Roman" w:eastAsia="Times New Roman" w:hAnsi="Times New Roman"/>
          <w:sz w:val="18"/>
          <w:szCs w:val="18"/>
          <w:color w:val="auto"/>
        </w:rPr>
      </w:pPr>
    </w:p>
    <w:p>
      <w:pPr>
        <w:jc w:val="both"/>
        <w:ind w:left="980" w:right="60" w:hanging="324"/>
        <w:spacing w:after="0" w:line="266"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1620" w:right="20" w:hanging="316"/>
        <w:spacing w:after="0" w:line="266" w:lineRule="auto"/>
        <w:tabs>
          <w:tab w:leader="none" w:pos="161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1620" w:right="120" w:hanging="316"/>
        <w:spacing w:after="0" w:line="266" w:lineRule="auto"/>
        <w:tabs>
          <w:tab w:leader="none" w:pos="16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1620" w:right="220" w:hanging="316"/>
        <w:spacing w:after="0" w:line="266" w:lineRule="auto"/>
        <w:tabs>
          <w:tab w:leader="none" w:pos="161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Times New Roman" w:cs="Times New Roman" w:eastAsia="Times New Roman" w:hAnsi="Times New Roman"/>
          <w:sz w:val="18"/>
          <w:szCs w:val="18"/>
          <w:color w:val="auto"/>
        </w:rPr>
      </w:pPr>
    </w:p>
    <w:p>
      <w:pPr>
        <w:ind w:left="1620" w:right="320" w:hanging="316"/>
        <w:spacing w:after="0" w:line="266" w:lineRule="auto"/>
        <w:tabs>
          <w:tab w:leader="none" w:pos="16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980" w:right="460" w:hanging="324"/>
        <w:spacing w:after="0" w:line="266"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ind w:left="1620" w:right="180" w:hanging="316"/>
        <w:spacing w:after="0" w:line="282" w:lineRule="auto"/>
        <w:tabs>
          <w:tab w:leader="none" w:pos="161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1620" w:right="460" w:hanging="316"/>
        <w:spacing w:after="0" w:line="282" w:lineRule="auto"/>
        <w:tabs>
          <w:tab w:leader="none" w:pos="16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2024</w:t>
            </w:r>
          </w:p>
        </w:tc>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Jon P. Stonehouse</w:t>
            </w:r>
          </w:p>
        </w:tc>
      </w:tr>
      <w:tr>
        <w:trPr>
          <w:trHeight w:val="218"/>
        </w:trPr>
        <w:tc>
          <w:tcPr>
            <w:tcW w:w="5980" w:type="dxa"/>
            <w:vAlign w:val="bottom"/>
          </w:tcPr>
          <w:p>
            <w:pPr>
              <w:spacing w:after="0"/>
              <w:rPr>
                <w:sz w:val="18"/>
                <w:szCs w:val="18"/>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Jon P. Stonehouse</w:t>
            </w:r>
          </w:p>
        </w:tc>
      </w:tr>
      <w:tr>
        <w:trPr>
          <w:trHeight w:val="234"/>
        </w:trPr>
        <w:tc>
          <w:tcPr>
            <w:tcW w:w="598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941"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Anthony Doyle, certify that:</w:t>
      </w:r>
    </w:p>
    <w:p>
      <w:pPr>
        <w:spacing w:after="0" w:line="198" w:lineRule="exact"/>
        <w:rPr>
          <w:sz w:val="20"/>
          <w:szCs w:val="20"/>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BioCryst Pharmaceuticals, Inc.;</w:t>
      </w:r>
    </w:p>
    <w:p>
      <w:pPr>
        <w:spacing w:after="0" w:line="184" w:lineRule="exact"/>
        <w:rPr>
          <w:rFonts w:ascii="Times New Roman" w:cs="Times New Roman" w:eastAsia="Times New Roman" w:hAnsi="Times New Roman"/>
          <w:sz w:val="18"/>
          <w:szCs w:val="18"/>
          <w:color w:val="auto"/>
        </w:rPr>
      </w:pPr>
    </w:p>
    <w:p>
      <w:pPr>
        <w:jc w:val="both"/>
        <w:ind w:left="980" w:right="60" w:hanging="324"/>
        <w:spacing w:after="0" w:line="266"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1620" w:right="20" w:hanging="316"/>
        <w:spacing w:after="0" w:line="266" w:lineRule="auto"/>
        <w:tabs>
          <w:tab w:leader="none" w:pos="161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1620" w:right="120" w:hanging="316"/>
        <w:spacing w:after="0" w:line="266" w:lineRule="auto"/>
        <w:tabs>
          <w:tab w:leader="none" w:pos="16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1620" w:right="220" w:hanging="316"/>
        <w:spacing w:after="0" w:line="266" w:lineRule="auto"/>
        <w:tabs>
          <w:tab w:leader="none" w:pos="161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Times New Roman" w:cs="Times New Roman" w:eastAsia="Times New Roman" w:hAnsi="Times New Roman"/>
          <w:sz w:val="18"/>
          <w:szCs w:val="18"/>
          <w:color w:val="auto"/>
        </w:rPr>
      </w:pPr>
    </w:p>
    <w:p>
      <w:pPr>
        <w:ind w:left="1620" w:right="320" w:hanging="316"/>
        <w:spacing w:after="0" w:line="266" w:lineRule="auto"/>
        <w:tabs>
          <w:tab w:leader="none" w:pos="16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980" w:right="460" w:hanging="324"/>
        <w:spacing w:after="0" w:line="266"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ind w:left="1620" w:right="180" w:hanging="316"/>
        <w:spacing w:after="0" w:line="282" w:lineRule="auto"/>
        <w:tabs>
          <w:tab w:leader="none" w:pos="161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1620" w:right="460" w:hanging="316"/>
        <w:spacing w:after="0" w:line="282" w:lineRule="auto"/>
        <w:tabs>
          <w:tab w:leader="none" w:pos="16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2024</w:t>
            </w:r>
          </w:p>
        </w:tc>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Anthony Doyle</w:t>
            </w:r>
          </w:p>
        </w:tc>
      </w:tr>
      <w:tr>
        <w:trPr>
          <w:trHeight w:val="218"/>
        </w:trPr>
        <w:tc>
          <w:tcPr>
            <w:tcW w:w="5980" w:type="dxa"/>
            <w:vAlign w:val="bottom"/>
          </w:tcPr>
          <w:p>
            <w:pPr>
              <w:spacing w:after="0"/>
              <w:rPr>
                <w:sz w:val="18"/>
                <w:szCs w:val="18"/>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Anthony Doyle</w:t>
            </w:r>
          </w:p>
        </w:tc>
      </w:tr>
      <w:tr>
        <w:trPr>
          <w:trHeight w:val="234"/>
        </w:trPr>
        <w:tc>
          <w:tcPr>
            <w:tcW w:w="598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941"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80"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BioCryst Pharmaceuticals, Inc. (the “Company”) on Form 10-Q for the period ended March 31, 2024 as filed with the Securities and Exchange Commission on the date hereof (the “Report”), I, Jon P. Stonehouse, Chief Executive Officer of the Company, certify, pursuant to 18 U.S.C. § 1350, as adopted pursuant to § 906 of the Sarbanes-Oxley Act of 2002, that, to the best of my knowledge:</w:t>
      </w:r>
    </w:p>
    <w:p>
      <w:pPr>
        <w:spacing w:after="0" w:line="135" w:lineRule="exact"/>
        <w:rPr>
          <w:sz w:val="20"/>
          <w:szCs w:val="20"/>
          <w:color w:val="auto"/>
        </w:rPr>
      </w:pPr>
    </w:p>
    <w:p>
      <w:pPr>
        <w:ind w:left="640" w:hanging="308"/>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Jon P. Stonehouse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572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8">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Jon P. Stonehouse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7, 2024</w:t>
      </w:r>
    </w:p>
    <w:p>
      <w:pPr>
        <w:sectPr>
          <w:pgSz w:w="11900" w:h="16838" w:orient="portrait"/>
          <w:cols w:equalWidth="0" w:num="1">
            <w:col w:w="11240"/>
          </w:cols>
          <w:pgMar w:left="320" w:top="941"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8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BioCryst Pharmaceuticals, Inc. (the “Company”) on Form 10-Q for the period ended March 31, 2024 as filed with the Securities and Exchange Commission on the date hereof (the “Report”), I, Anthony Doyle, Chief Financial Officer of the Company, certify, pursuant to 18 U.S.C. § 1350, as adopted pursuant to § 906 of the Sarbanes-Oxley Act of 2002, that, to the best of my knowledge:</w:t>
      </w:r>
    </w:p>
    <w:p>
      <w:pPr>
        <w:spacing w:after="0" w:line="135" w:lineRule="exact"/>
        <w:rPr>
          <w:sz w:val="20"/>
          <w:szCs w:val="20"/>
          <w:color w:val="auto"/>
        </w:rPr>
      </w:pPr>
    </w:p>
    <w:p>
      <w:pPr>
        <w:ind w:left="640" w:hanging="308"/>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Anthony Doyle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572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9">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Anthony Doyle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7, 2024</w:t>
      </w:r>
    </w:p>
    <w:sectPr>
      <w:pgSz w:w="11900" w:h="16838" w:orient="portrait"/>
      <w:cols w:equalWidth="0" w:num="1">
        <w:col w:w="11240"/>
      </w:cols>
      <w:pgMar w:left="320" w:top="94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1)"/>
      <w:numFmt w:val="decimal"/>
      <w:start w:val="101"/>
    </w:lvl>
  </w:abstractNum>
  <w:abstractNum w:abstractNumId="30">
    <w:nsid w:val="4516DDE9"/>
    <w:multiLevelType w:val="hybridMultilevel"/>
    <w:lvl w:ilvl="0">
      <w:lvlJc w:val="left"/>
      <w:lvlText w:val="(%1)"/>
      <w:numFmt w:val="decimal"/>
      <w:start w:val="104"/>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15" Type="http://schemas.openxmlformats.org/officeDocument/2006/relationships/image" Target="media/image101.png"/><Relationship Id="rId116" Type="http://schemas.openxmlformats.org/officeDocument/2006/relationships/image" Target="media/image102.png"/><Relationship Id="rId117" Type="http://schemas.openxmlformats.org/officeDocument/2006/relationships/image" Target="media/image103.png"/><Relationship Id="rId118" Type="http://schemas.openxmlformats.org/officeDocument/2006/relationships/image" Target="media/image104.png"/><Relationship Id="rId119" Type="http://schemas.openxmlformats.org/officeDocument/2006/relationships/image" Target="media/image105.png"/><Relationship Id="rId108" Type="http://schemas.openxmlformats.org/officeDocument/2006/relationships/hyperlink" Target="https://www.sec.gov/Archives/edgar/data/882796/000103570406000836/d42297exv3w1.htm" TargetMode="External"/><Relationship Id="rId109" Type="http://schemas.openxmlformats.org/officeDocument/2006/relationships/hyperlink" Target="https://www.sec.gov/Archives/edgar/data/882796/000136231007001386/c70813exv3w1.htm" TargetMode="External"/><Relationship Id="rId110" Type="http://schemas.openxmlformats.org/officeDocument/2006/relationships/hyperlink" Target="https://www.sec.gov/Archives/edgar/data/882796/000119312514186707/d722313dex31.htm" TargetMode="External"/><Relationship Id="rId111" Type="http://schemas.openxmlformats.org/officeDocument/2006/relationships/hyperlink" Target="https://www.sec.gov/Archives/edgar/data/882796/000117184320003680/exh_31.htm" TargetMode="External"/><Relationship Id="rId112" Type="http://schemas.openxmlformats.org/officeDocument/2006/relationships/hyperlink" Target="http://www.sec.gov/Archives/edgar/data/882796/000117184320003680/exh_32.htm" TargetMode="External"/><Relationship Id="rId113" Type="http://schemas.openxmlformats.org/officeDocument/2006/relationships/hyperlink" Target="https://www.sec.gov/Archives/edgar/data/882796/000117184320003680/exh_32.htm" TargetMode="External"/><Relationship Id="rId114" Type="http://schemas.openxmlformats.org/officeDocument/2006/relationships/hyperlink" Target="https://www.sec.gov/Archives/edgar/data/882796/000117184324000297/exh_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2024-05-07T15:15:10Z</dcterms:created>
  <dcterms:modified xsi:type="dcterms:W3CDTF">2024-05-07T15:15:10Z</dcterms:modified>
</cp:coreProperties>
</file>