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right="23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40" w:firstLine="8"/>
        <w:spacing w:after="0" w:line="498"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4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Commission File Number 000-23186</w:t>
            </w:r>
          </w:p>
        </w:tc>
        <w:tc>
          <w:tcPr>
            <w:tcW w:w="3700" w:type="dxa"/>
            <w:vAlign w:val="bottom"/>
          </w:tcPr>
          <w:p>
            <w:pPr>
              <w:spacing w:after="0"/>
              <w:rPr>
                <w:sz w:val="20"/>
                <w:szCs w:val="20"/>
                <w:color w:val="auto"/>
              </w:rPr>
            </w:pPr>
          </w:p>
        </w:tc>
      </w:tr>
      <w:tr>
        <w:trPr>
          <w:trHeight w:val="418"/>
        </w:trPr>
        <w:tc>
          <w:tcPr>
            <w:tcW w:w="3720" w:type="dxa"/>
            <w:vAlign w:val="bottom"/>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BIOCRYST PHARMACEUTICALS, INC.</w:t>
            </w:r>
          </w:p>
        </w:tc>
        <w:tc>
          <w:tcPr>
            <w:tcW w:w="37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p>
        </w:tc>
        <w:tc>
          <w:tcPr>
            <w:tcW w:w="3820" w:type="dxa"/>
            <w:vAlign w:val="bottom"/>
            <w:gridSpan w:val="2"/>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700" w:type="dxa"/>
            <w:vAlign w:val="bottom"/>
          </w:tcPr>
          <w:p>
            <w:pPr>
              <w:spacing w:after="0"/>
              <w:rPr>
                <w:sz w:val="20"/>
                <w:szCs w:val="20"/>
                <w:color w:val="auto"/>
              </w:rPr>
            </w:pPr>
          </w:p>
        </w:tc>
      </w:tr>
      <w:tr>
        <w:trPr>
          <w:trHeight w:val="418"/>
        </w:trPr>
        <w:tc>
          <w:tcPr>
            <w:tcW w:w="420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spacing w:after="0"/>
              <w:rPr>
                <w:sz w:val="24"/>
                <w:szCs w:val="24"/>
                <w:color w:val="auto"/>
              </w:rPr>
            </w:pPr>
          </w:p>
        </w:tc>
        <w:tc>
          <w:tcPr>
            <w:tcW w:w="3700" w:type="dxa"/>
            <w:vAlign w:val="bottom"/>
          </w:tcPr>
          <w:p>
            <w:pPr>
              <w:jc w:val="right"/>
              <w:ind w:right="2290"/>
              <w:spacing w:after="0"/>
              <w:rPr>
                <w:sz w:val="20"/>
                <w:szCs w:val="20"/>
                <w:color w:val="auto"/>
              </w:rPr>
            </w:pPr>
            <w:r>
              <w:rPr>
                <w:rFonts w:ascii="Arial" w:cs="Arial" w:eastAsia="Arial" w:hAnsi="Arial"/>
                <w:sz w:val="18"/>
                <w:szCs w:val="18"/>
                <w:b w:val="1"/>
                <w:bCs w:val="1"/>
                <w:color w:val="auto"/>
              </w:rPr>
              <w:t>62-1413174</w:t>
            </w:r>
          </w:p>
        </w:tc>
      </w:tr>
      <w:tr>
        <w:trPr>
          <w:trHeight w:val="216"/>
        </w:trPr>
        <w:tc>
          <w:tcPr>
            <w:tcW w:w="4200" w:type="dxa"/>
            <w:vAlign w:val="bottom"/>
            <w:gridSpan w:val="2"/>
          </w:tcPr>
          <w:p>
            <w:pPr>
              <w:jc w:val="center"/>
              <w:ind w:left="1350"/>
              <w:spacing w:after="0"/>
              <w:rPr>
                <w:sz w:val="20"/>
                <w:szCs w:val="20"/>
                <w:color w:val="auto"/>
              </w:rPr>
            </w:pPr>
            <w:r>
              <w:rPr>
                <w:rFonts w:ascii="Arial" w:cs="Arial" w:eastAsia="Arial" w:hAnsi="Arial"/>
                <w:sz w:val="18"/>
                <w:szCs w:val="18"/>
                <w:color w:val="auto"/>
                <w:w w:val="92"/>
              </w:rPr>
              <w:t>(State or other jurisdiction of</w:t>
            </w:r>
          </w:p>
        </w:tc>
        <w:tc>
          <w:tcPr>
            <w:tcW w:w="3340" w:type="dxa"/>
            <w:vAlign w:val="bottom"/>
          </w:tcPr>
          <w:p>
            <w:pPr>
              <w:spacing w:after="0"/>
              <w:rPr>
                <w:sz w:val="18"/>
                <w:szCs w:val="18"/>
                <w:color w:val="auto"/>
              </w:rPr>
            </w:pPr>
          </w:p>
        </w:tc>
        <w:tc>
          <w:tcPr>
            <w:tcW w:w="3700" w:type="dxa"/>
            <w:vAlign w:val="bottom"/>
          </w:tcPr>
          <w:p>
            <w:pPr>
              <w:jc w:val="center"/>
              <w:ind w:righ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200" w:type="dxa"/>
            <w:vAlign w:val="bottom"/>
            <w:gridSpan w:val="2"/>
          </w:tcPr>
          <w:p>
            <w:pPr>
              <w:jc w:val="center"/>
              <w:ind w:left="1350"/>
              <w:spacing w:after="0"/>
              <w:rPr>
                <w:sz w:val="20"/>
                <w:szCs w:val="20"/>
                <w:color w:val="auto"/>
              </w:rPr>
            </w:pPr>
            <w:r>
              <w:rPr>
                <w:rFonts w:ascii="Arial" w:cs="Arial" w:eastAsia="Arial" w:hAnsi="Arial"/>
                <w:sz w:val="18"/>
                <w:szCs w:val="18"/>
                <w:color w:val="auto"/>
                <w:w w:val="92"/>
              </w:rPr>
              <w:t>incorporation or organization)</w:t>
            </w:r>
          </w:p>
        </w:tc>
        <w:tc>
          <w:tcPr>
            <w:tcW w:w="3340" w:type="dxa"/>
            <w:vAlign w:val="bottom"/>
          </w:tcPr>
          <w:p>
            <w:pPr>
              <w:spacing w:after="0"/>
              <w:rPr>
                <w:sz w:val="20"/>
                <w:szCs w:val="20"/>
                <w:color w:val="auto"/>
              </w:rPr>
            </w:pPr>
          </w:p>
        </w:tc>
        <w:tc>
          <w:tcPr>
            <w:tcW w:w="370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0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0"/>
              </w:rPr>
              <w:t>4505 Emperor Blvd., Suite 200</w:t>
            </w:r>
          </w:p>
        </w:tc>
        <w:tc>
          <w:tcPr>
            <w:tcW w:w="33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0"/>
        </w:trPr>
        <w:tc>
          <w:tcPr>
            <w:tcW w:w="420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4"/>
              </w:rPr>
              <w:t>Durham, North Carolina</w:t>
            </w:r>
          </w:p>
        </w:tc>
        <w:tc>
          <w:tcPr>
            <w:tcW w:w="3340" w:type="dxa"/>
            <w:vAlign w:val="bottom"/>
          </w:tcPr>
          <w:p>
            <w:pPr>
              <w:spacing w:after="0"/>
              <w:rPr>
                <w:sz w:val="19"/>
                <w:szCs w:val="19"/>
                <w:color w:val="auto"/>
              </w:rPr>
            </w:pPr>
          </w:p>
        </w:tc>
        <w:tc>
          <w:tcPr>
            <w:tcW w:w="3700" w:type="dxa"/>
            <w:vAlign w:val="bottom"/>
          </w:tcPr>
          <w:p>
            <w:pPr>
              <w:jc w:val="right"/>
              <w:ind w:right="2490"/>
              <w:spacing w:after="0"/>
              <w:rPr>
                <w:sz w:val="20"/>
                <w:szCs w:val="20"/>
                <w:color w:val="auto"/>
              </w:rPr>
            </w:pPr>
            <w:r>
              <w:rPr>
                <w:rFonts w:ascii="Arial" w:cs="Arial" w:eastAsia="Arial" w:hAnsi="Arial"/>
                <w:sz w:val="18"/>
                <w:szCs w:val="18"/>
                <w:b w:val="1"/>
                <w:bCs w:val="1"/>
                <w:color w:val="auto"/>
              </w:rPr>
              <w:t>27703</w:t>
            </w:r>
          </w:p>
        </w:tc>
      </w:tr>
      <w:tr>
        <w:trPr>
          <w:trHeight w:val="230"/>
        </w:trPr>
        <w:tc>
          <w:tcPr>
            <w:tcW w:w="7540" w:type="dxa"/>
            <w:vAlign w:val="bottom"/>
            <w:gridSpan w:val="3"/>
          </w:tcPr>
          <w:p>
            <w:pPr>
              <w:jc w:val="center"/>
              <w:ind w:right="183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right="1830"/>
              <w:spacing w:after="0"/>
              <w:rPr>
                <w:sz w:val="20"/>
                <w:szCs w:val="20"/>
                <w:color w:val="auto"/>
              </w:rPr>
            </w:pPr>
            <w:r>
              <w:rPr>
                <w:rFonts w:ascii="Arial" w:cs="Arial" w:eastAsia="Arial" w:hAnsi="Arial"/>
                <w:sz w:val="18"/>
                <w:szCs w:val="18"/>
                <w:color w:val="auto"/>
                <w:w w:val="91"/>
              </w:rPr>
              <w:t>(Zip Code)</w:t>
            </w:r>
          </w:p>
        </w:tc>
      </w:tr>
      <w:tr>
        <w:trPr>
          <w:trHeight w:val="418"/>
        </w:trPr>
        <w:tc>
          <w:tcPr>
            <w:tcW w:w="3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+1-919-859-1302</w:t>
            </w:r>
          </w:p>
        </w:tc>
        <w:tc>
          <w:tcPr>
            <w:tcW w:w="37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p>
        </w:tc>
        <w:tc>
          <w:tcPr>
            <w:tcW w:w="3820" w:type="dxa"/>
            <w:vAlign w:val="bottom"/>
            <w:gridSpan w:val="2"/>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70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33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3"/>
        </w:trPr>
        <w:tc>
          <w:tcPr>
            <w:tcW w:w="3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480" w:type="dxa"/>
            <w:vAlign w:val="bottom"/>
            <w:tcBorders>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Arial" w:cs="Arial" w:eastAsia="Arial" w:hAnsi="Arial"/>
                <w:sz w:val="18"/>
                <w:szCs w:val="18"/>
                <w:color w:val="auto"/>
                <w:w w:val="92"/>
              </w:rPr>
              <w:t>Trading Symbol(s)</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w:t>
            </w:r>
          </w:p>
        </w:tc>
        <w:tc>
          <w:tcPr>
            <w:tcW w:w="48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410"/>
              <w:spacing w:after="0" w:line="193" w:lineRule="exact"/>
              <w:rPr>
                <w:sz w:val="20"/>
                <w:szCs w:val="20"/>
                <w:color w:val="auto"/>
              </w:rPr>
            </w:pPr>
            <w:r>
              <w:rPr>
                <w:rFonts w:ascii="Arial" w:cs="Arial" w:eastAsia="Arial" w:hAnsi="Arial"/>
                <w:sz w:val="18"/>
                <w:szCs w:val="18"/>
                <w:color w:val="auto"/>
                <w:w w:val="95"/>
              </w:rPr>
              <w:t>BCRX</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560" w:val="left"/>
          <w:tab w:leader="none" w:pos="9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July 30, 2021 was 178,869,928.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74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rPr>
              <w:t>BIOCRYST PHARMACEUTICALS, INC.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gridSpan w:val="6"/>
          </w:tcPr>
          <w:p>
            <w:pPr>
              <w:jc w:val="center"/>
              <w:ind w:right="396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Page No.</w:t>
            </w:r>
          </w:p>
        </w:tc>
      </w:tr>
      <w:tr>
        <w:trPr>
          <w:trHeight w:val="385"/>
        </w:trPr>
        <w:tc>
          <w:tcPr>
            <w:tcW w:w="41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Cautionary Note Regarding Forward-Looking Statements</w:t>
              </w:r>
            </w:hyperlink>
          </w:p>
        </w:tc>
        <w:tc>
          <w:tcPr>
            <w:tcW w:w="6140" w:type="dxa"/>
            <w:vAlign w:val="bottom"/>
            <w:gridSpan w:val="7"/>
          </w:tcPr>
          <w:p>
            <w:pPr>
              <w:spacing w:after="0"/>
              <w:rPr>
                <w:sz w:val="24"/>
                <w:szCs w:val="24"/>
                <w:color w:val="auto"/>
              </w:rPr>
            </w:pPr>
          </w:p>
        </w:tc>
        <w:tc>
          <w:tcPr>
            <w:tcW w:w="94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196"/>
        </w:trPr>
        <w:tc>
          <w:tcPr>
            <w:tcW w:w="103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Risk Factor Summary</w:t>
              </w:r>
            </w:hyperlink>
          </w:p>
        </w:tc>
        <w:tc>
          <w:tcPr>
            <w:tcW w:w="94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30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Part I. Financial Information</w:t>
              </w:r>
            </w:hyperlink>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120" w:type="dxa"/>
            <w:vAlign w:val="bottom"/>
            <w:gridSpan w:val="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 Financial Statements:</w:t>
              </w:r>
            </w:hyperlink>
          </w:p>
        </w:tc>
        <w:tc>
          <w:tcPr>
            <w:tcW w:w="8180" w:type="dxa"/>
            <w:vAlign w:val="bottom"/>
            <w:gridSpan w:val="10"/>
          </w:tcPr>
          <w:p>
            <w:pPr>
              <w:spacing w:after="0"/>
              <w:rPr>
                <w:sz w:val="17"/>
                <w:szCs w:val="17"/>
                <w:color w:val="auto"/>
              </w:rPr>
            </w:pPr>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20" w:type="dxa"/>
            <w:vAlign w:val="bottom"/>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 June 30, 2021 and December 31, 2020</w:t>
              </w:r>
            </w:hyperlink>
          </w:p>
        </w:tc>
        <w:tc>
          <w:tcPr>
            <w:tcW w:w="4880" w:type="dxa"/>
            <w:vAlign w:val="bottom"/>
            <w:gridSpan w:val="5"/>
          </w:tcPr>
          <w:p>
            <w:pPr>
              <w:spacing w:after="0"/>
              <w:rPr>
                <w:sz w:val="17"/>
                <w:szCs w:val="17"/>
                <w:color w:val="auto"/>
              </w:rPr>
            </w:pPr>
          </w:p>
        </w:tc>
        <w:tc>
          <w:tcPr>
            <w:tcW w:w="80" w:type="dxa"/>
            <w:vAlign w:val="bottom"/>
          </w:tcPr>
          <w:p>
            <w:pPr>
              <w:spacing w:after="0"/>
              <w:rPr>
                <w:rFonts w:ascii="Arial" w:cs="Arial" w:eastAsia="Arial" w:hAnsi="Arial"/>
                <w:sz w:val="10"/>
                <w:szCs w:val="10"/>
                <w:color w:val="0000EE"/>
                <w:w w:val="71"/>
              </w:rPr>
            </w:pPr>
            <w:hyperlink w:anchor="page6">
              <w:r>
                <w:rPr>
                  <w:rFonts w:ascii="Arial" w:cs="Arial" w:eastAsia="Arial" w:hAnsi="Arial"/>
                  <w:sz w:val="10"/>
                  <w:szCs w:val="10"/>
                  <w:color w:val="0000EE"/>
                  <w:w w:val="71"/>
                </w:rPr>
                <w:t>1</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Loss - Three and Six Months Ended June 30, 2021 and 2020</w:t>
              </w:r>
            </w:hyperlink>
          </w:p>
        </w:tc>
        <w:tc>
          <w:tcPr>
            <w:tcW w:w="2340" w:type="dxa"/>
            <w:vAlign w:val="bottom"/>
            <w:gridSpan w:val="2"/>
          </w:tcPr>
          <w:p>
            <w:pPr>
              <w:spacing w:after="0"/>
              <w:rPr>
                <w:sz w:val="17"/>
                <w:szCs w:val="17"/>
                <w:color w:val="auto"/>
              </w:rPr>
            </w:pPr>
          </w:p>
        </w:tc>
        <w:tc>
          <w:tcPr>
            <w:tcW w:w="80" w:type="dxa"/>
            <w:vAlign w:val="bottom"/>
          </w:tcPr>
          <w:p>
            <w:pPr>
              <w:spacing w:after="0"/>
              <w:rPr>
                <w:rFonts w:ascii="Arial" w:cs="Arial" w:eastAsia="Arial" w:hAnsi="Arial"/>
                <w:sz w:val="10"/>
                <w:szCs w:val="10"/>
                <w:color w:val="0000EE"/>
                <w:w w:val="71"/>
              </w:rPr>
            </w:pPr>
            <w:hyperlink w:anchor="page7">
              <w:r>
                <w:rPr>
                  <w:rFonts w:ascii="Arial" w:cs="Arial" w:eastAsia="Arial" w:hAnsi="Arial"/>
                  <w:sz w:val="10"/>
                  <w:szCs w:val="10"/>
                  <w:color w:val="0000EE"/>
                  <w:w w:val="71"/>
                </w:rPr>
                <w:t>2</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 Six Months Ended June 30, 2021 and 2020</w:t>
              </w:r>
            </w:hyperlink>
          </w:p>
        </w:tc>
        <w:tc>
          <w:tcPr>
            <w:tcW w:w="2340" w:type="dxa"/>
            <w:vAlign w:val="bottom"/>
            <w:gridSpan w:val="2"/>
          </w:tcPr>
          <w:p>
            <w:pPr>
              <w:spacing w:after="0"/>
              <w:rPr>
                <w:sz w:val="17"/>
                <w:szCs w:val="17"/>
                <w:color w:val="auto"/>
              </w:rPr>
            </w:pPr>
          </w:p>
        </w:tc>
        <w:tc>
          <w:tcPr>
            <w:tcW w:w="80" w:type="dxa"/>
            <w:vAlign w:val="bottom"/>
          </w:tcPr>
          <w:p>
            <w:pPr>
              <w:spacing w:after="0"/>
              <w:rPr>
                <w:rFonts w:ascii="Arial" w:cs="Arial" w:eastAsia="Arial" w:hAnsi="Arial"/>
                <w:sz w:val="10"/>
                <w:szCs w:val="10"/>
                <w:color w:val="0000EE"/>
                <w:w w:val="71"/>
              </w:rPr>
            </w:pPr>
            <w:hyperlink w:anchor="page8">
              <w:r>
                <w:rPr>
                  <w:rFonts w:ascii="Arial" w:cs="Arial" w:eastAsia="Arial" w:hAnsi="Arial"/>
                  <w:sz w:val="10"/>
                  <w:szCs w:val="10"/>
                  <w:color w:val="0000EE"/>
                  <w:w w:val="71"/>
                </w:rPr>
                <w:t>3</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Stockholders’ Equity (Deficit) – Three and Six Months Ended June 30, 2021 and 2020</w:t>
              </w:r>
            </w:hyperlink>
          </w:p>
        </w:tc>
        <w:tc>
          <w:tcPr>
            <w:tcW w:w="80" w:type="dxa"/>
            <w:vAlign w:val="bottom"/>
          </w:tcPr>
          <w:p>
            <w:pPr>
              <w:spacing w:after="0"/>
              <w:rPr>
                <w:rFonts w:ascii="Arial" w:cs="Arial" w:eastAsia="Arial" w:hAnsi="Arial"/>
                <w:sz w:val="10"/>
                <w:szCs w:val="10"/>
                <w:color w:val="0000EE"/>
                <w:w w:val="71"/>
              </w:rPr>
            </w:pPr>
            <w:hyperlink w:anchor="page9">
              <w:r>
                <w:rPr>
                  <w:rFonts w:ascii="Arial" w:cs="Arial" w:eastAsia="Arial" w:hAnsi="Arial"/>
                  <w:sz w:val="10"/>
                  <w:szCs w:val="10"/>
                  <w:color w:val="0000EE"/>
                  <w:w w:val="71"/>
                </w:rPr>
                <w:t>4</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160" w:type="dxa"/>
            <w:vAlign w:val="bottom"/>
            <w:gridSpan w:val="1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508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rFonts w:ascii="Arial" w:cs="Arial" w:eastAsia="Arial" w:hAnsi="Arial"/>
                <w:sz w:val="10"/>
                <w:szCs w:val="10"/>
                <w:color w:val="0000EE"/>
                <w:w w:val="71"/>
              </w:rPr>
            </w:pPr>
            <w:hyperlink w:anchor="page10">
              <w:r>
                <w:rPr>
                  <w:rFonts w:ascii="Arial" w:cs="Arial" w:eastAsia="Arial" w:hAnsi="Arial"/>
                  <w:sz w:val="10"/>
                  <w:szCs w:val="10"/>
                  <w:color w:val="0000EE"/>
                  <w:w w:val="71"/>
                </w:rPr>
                <w:t>5</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3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c>
          <w:tcPr>
            <w:tcW w:w="760" w:type="dxa"/>
            <w:vAlign w:val="bottom"/>
          </w:tcPr>
          <w:p>
            <w:pPr>
              <w:spacing w:after="0"/>
              <w:rPr>
                <w:sz w:val="17"/>
                <w:szCs w:val="17"/>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3. Quantitative and Qualitative Disclosures About Market Risk</w:t>
              </w:r>
            </w:hyperlink>
          </w:p>
        </w:tc>
        <w:tc>
          <w:tcPr>
            <w:tcW w:w="5380" w:type="dxa"/>
            <w:vAlign w:val="bottom"/>
            <w:gridSpan w:val="6"/>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c>
          <w:tcPr>
            <w:tcW w:w="760" w:type="dxa"/>
            <w:vAlign w:val="bottom"/>
          </w:tcPr>
          <w:p>
            <w:pPr>
              <w:spacing w:after="0"/>
              <w:rPr>
                <w:sz w:val="17"/>
                <w:szCs w:val="17"/>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Controls and Procedures</w:t>
              </w:r>
            </w:hyperlink>
          </w:p>
        </w:tc>
        <w:tc>
          <w:tcPr>
            <w:tcW w:w="7960" w:type="dxa"/>
            <w:vAlign w:val="bottom"/>
            <w:gridSpan w:val="9"/>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c>
          <w:tcPr>
            <w:tcW w:w="760" w:type="dxa"/>
            <w:vAlign w:val="bottom"/>
          </w:tcPr>
          <w:p>
            <w:pPr>
              <w:spacing w:after="0"/>
              <w:rPr>
                <w:sz w:val="17"/>
                <w:szCs w:val="17"/>
                <w:color w:val="auto"/>
              </w:rPr>
            </w:pPr>
          </w:p>
        </w:tc>
      </w:tr>
      <w:tr>
        <w:trPr>
          <w:trHeight w:val="196"/>
        </w:trPr>
        <w:tc>
          <w:tcPr>
            <w:tcW w:w="1030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1A. Risk Factors</w:t>
              </w:r>
            </w:hyperlink>
          </w:p>
        </w:tc>
        <w:tc>
          <w:tcPr>
            <w:tcW w:w="260" w:type="dxa"/>
            <w:vAlign w:val="bottom"/>
            <w:tcBorders>
              <w:top w:val="single" w:sz="8" w:color="0000EE"/>
            </w:tcBorders>
          </w:tcPr>
          <w:p>
            <w:pPr>
              <w:spacing w:after="0"/>
              <w:rPr>
                <w:sz w:val="17"/>
                <w:szCs w:val="17"/>
                <w:color w:val="auto"/>
              </w:rPr>
            </w:pPr>
          </w:p>
        </w:tc>
        <w:tc>
          <w:tcPr>
            <w:tcW w:w="8440" w:type="dxa"/>
            <w:vAlign w:val="bottom"/>
            <w:gridSpan w:val="13"/>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33</w:t>
              </w:r>
            </w:hyperlink>
          </w:p>
        </w:tc>
        <w:tc>
          <w:tcPr>
            <w:tcW w:w="760" w:type="dxa"/>
            <w:vAlign w:val="bottom"/>
          </w:tcPr>
          <w:p>
            <w:pPr>
              <w:spacing w:after="0"/>
              <w:rPr>
                <w:sz w:val="17"/>
                <w:szCs w:val="17"/>
                <w:color w:val="auto"/>
              </w:rPr>
            </w:pPr>
          </w:p>
        </w:tc>
      </w:tr>
      <w:tr>
        <w:trPr>
          <w:trHeight w:val="196"/>
        </w:trPr>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5. Other Information</w:t>
              </w:r>
            </w:hyperlink>
          </w:p>
        </w:tc>
        <w:tc>
          <w:tcPr>
            <w:tcW w:w="8420" w:type="dxa"/>
            <w:vAlign w:val="bottom"/>
            <w:gridSpan w:val="12"/>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760" w:type="dxa"/>
            <w:vAlign w:val="bottom"/>
          </w:tcPr>
          <w:p>
            <w:pPr>
              <w:spacing w:after="0"/>
              <w:rPr>
                <w:sz w:val="17"/>
                <w:szCs w:val="17"/>
                <w:color w:val="auto"/>
              </w:rPr>
            </w:pPr>
          </w:p>
        </w:tc>
      </w:tr>
      <w:tr>
        <w:trPr>
          <w:trHeight w:val="196"/>
        </w:trPr>
        <w:tc>
          <w:tcPr>
            <w:tcW w:w="10300" w:type="dxa"/>
            <w:vAlign w:val="bottom"/>
            <w:gridSpan w:val="1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6. Exhibits</w:t>
              </w:r>
            </w:hyperlink>
          </w:p>
        </w:tc>
        <w:tc>
          <w:tcPr>
            <w:tcW w:w="940" w:type="dxa"/>
            <w:vAlign w:val="bottom"/>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56</w:t>
              </w:r>
            </w:hyperlink>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9140" w:type="dxa"/>
            <w:vAlign w:val="bottom"/>
            <w:gridSpan w:val="16"/>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EX-10.3</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EX-10.4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EX-10.5</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EX-10.6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EX-31.1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EX-31.2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EX-32.1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ind w:left="500"/>
        <w:spacing w:after="0"/>
        <w:rPr>
          <w:sz w:val="20"/>
          <w:szCs w:val="20"/>
          <w:color w:val="auto"/>
        </w:rPr>
      </w:pPr>
      <w:r>
        <w:rPr>
          <w:rFonts w:ascii="Arial" w:cs="Arial" w:eastAsia="Arial" w:hAnsi="Arial"/>
          <w:sz w:val="17"/>
          <w:szCs w:val="17"/>
          <w:i w:val="1"/>
          <w:iCs w:val="1"/>
          <w:color w:val="auto"/>
        </w:rPr>
        <w:t xml:space="preserve">When used in this report, unless otherwise indicated,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 xml:space="preserve"> the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BioCryst</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BioCryst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where appropriate,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85" w:lineRule="exact"/>
        <w:rPr>
          <w:sz w:val="20"/>
          <w:szCs w:val="20"/>
          <w:color w:val="auto"/>
        </w:rPr>
      </w:pPr>
    </w:p>
    <w:p>
      <w:pPr>
        <w:ind w:left="980" w:right="40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preclinical development, clinical development, commercialization, or post-marketing studies of our products and product candidates, including ORLADEYO® (berotralstat), BCX9930, BCX9250, peramivir, galidesivir, and early-stage discovery programs;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our commercialization of ORLADEYO in the U.S. and elsewhere;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70" w:lineRule="exact"/>
        <w:rPr>
          <w:rFonts w:ascii="Arial" w:cs="Arial" w:eastAsia="Arial" w:hAnsi="Arial"/>
          <w:sz w:val="18"/>
          <w:szCs w:val="18"/>
          <w:color w:val="auto"/>
        </w:rPr>
      </w:pPr>
    </w:p>
    <w:p>
      <w:pPr>
        <w:jc w:val="both"/>
        <w:ind w:left="980" w:right="4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regulatory approvals, or milestones, royalties or profit from sales of our products by us or our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products and product candidates;</w:t>
      </w:r>
    </w:p>
    <w:p>
      <w:pPr>
        <w:spacing w:after="0" w:line="225"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programs, progress and potential success of our collaborations, including with Torii Pharmaceutical Co., Ltd. (“Torii”) for ORLADEYO in Japan, Shionogi &amp; Co., Ltd. (“Shionogi”) and Green Cross Corporation (“Green Cross”) for peramivir in their territories, and Mundipharma International Corporation Limited (“Mundipharma”) for mundesine;</w:t>
      </w:r>
    </w:p>
    <w:p>
      <w:pPr>
        <w:spacing w:after="0" w:line="183"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subsidiary guarantors’ ability to satisfy obligations under our Credit Agreement and to comply with the covenants as set forth in the agreements governing our debt obligations;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subsidiary, JPR Royalty Sub LLC (“Royalty Sub”), to satisfy its obligations in respect of the PhaRMA Notes (as defined in</w:t>
      </w:r>
    </w:p>
    <w:p>
      <w:pPr>
        <w:spacing w:after="0" w:line="72" w:lineRule="exact"/>
        <w:rPr>
          <w:rFonts w:ascii="Arial" w:cs="Arial" w:eastAsia="Arial" w:hAnsi="Arial"/>
          <w:sz w:val="16"/>
          <w:szCs w:val="16"/>
          <w:color w:val="auto"/>
        </w:rPr>
      </w:pPr>
    </w:p>
    <w:p>
      <w:pPr>
        <w:ind w:left="980" w:right="240"/>
        <w:spacing w:after="0" w:line="277" w:lineRule="auto"/>
        <w:rPr>
          <w:rFonts w:ascii="Arial" w:cs="Arial" w:eastAsia="Arial" w:hAnsi="Arial"/>
          <w:sz w:val="16"/>
          <w:szCs w:val="16"/>
          <w:color w:val="auto"/>
        </w:rPr>
      </w:pPr>
      <w:r>
        <w:rPr>
          <w:rFonts w:ascii="Arial" w:cs="Arial" w:eastAsia="Arial" w:hAnsi="Arial"/>
          <w:sz w:val="18"/>
          <w:szCs w:val="18"/>
          <w:color w:val="auto"/>
        </w:rPr>
        <w:t>“Note 2 Royalty Monetizations RAPIACTA Royalty Monetization” in the Notes to Consolidated Financial Statements in Part I, Item 1 of this report);</w:t>
      </w:r>
    </w:p>
    <w:p>
      <w:pPr>
        <w:spacing w:after="0" w:line="170"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product candidates, and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revenues, capital requirements, annual cash utilization, and our needs for additional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and approvals;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liquidity needs, including our ability to raise additional capital, to fund our operations or repay our recourse debt obligations;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3" w:name="page4"/>
    <w:bookmarkEnd w:id="3"/>
    <w:p>
      <w:pPr>
        <w:ind w:right="20" w:firstLine="486"/>
        <w:spacing w:after="0" w:line="270" w:lineRule="auto"/>
        <w:rPr>
          <w:sz w:val="20"/>
          <w:szCs w:val="20"/>
          <w:color w:val="auto"/>
        </w:rPr>
      </w:pPr>
      <w:r>
        <w:rPr>
          <w:rFonts w:ascii="Arial" w:cs="Arial" w:eastAsia="Arial" w:hAnsi="Arial"/>
          <w:sz w:val="17"/>
          <w:szCs w:val="17"/>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576"/>
        <w:spacing w:after="0" w:line="279" w:lineRule="auto"/>
        <w:rPr>
          <w:sz w:val="20"/>
          <w:szCs w:val="20"/>
          <w:color w:val="auto"/>
        </w:rPr>
      </w:pPr>
      <w:r>
        <w:rPr>
          <w:rFonts w:ascii="Arial" w:cs="Arial" w:eastAsia="Arial" w:hAnsi="Arial"/>
          <w:sz w:val="17"/>
          <w:szCs w:val="17"/>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Securities and Exchange Commission, before deciding to invest in the Company. A summary of the principal factors that make an investment in the Company speculative or risky is set forth below.</w:t>
      </w:r>
    </w:p>
    <w:p>
      <w:pPr>
        <w:spacing w:after="0" w:line="171" w:lineRule="exact"/>
        <w:rPr>
          <w:sz w:val="20"/>
          <w:szCs w:val="20"/>
          <w:color w:val="auto"/>
        </w:rPr>
      </w:pPr>
    </w:p>
    <w:p>
      <w:pPr>
        <w:ind w:left="660" w:right="8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since our inception, expect to continue to incur losses, and may never be profitable.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need to raise additional capital in the future. If we are unable to raise capital when needed, we may need to adjust our operations.</w:t>
      </w:r>
    </w:p>
    <w:p>
      <w:pPr>
        <w:spacing w:after="0" w:line="236" w:lineRule="exact"/>
        <w:rPr>
          <w:rFonts w:ascii="Arial" w:cs="Arial" w:eastAsia="Arial" w:hAnsi="Arial"/>
          <w:sz w:val="17"/>
          <w:szCs w:val="17"/>
          <w:color w:val="auto"/>
        </w:rPr>
      </w:pPr>
    </w:p>
    <w:p>
      <w:pPr>
        <w:ind w:left="660" w:right="4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77" w:lineRule="exact"/>
        <w:rPr>
          <w:rFonts w:ascii="Arial" w:cs="Arial" w:eastAsia="Arial" w:hAnsi="Arial"/>
          <w:sz w:val="17"/>
          <w:szCs w:val="17"/>
          <w:color w:val="auto"/>
        </w:rPr>
      </w:pPr>
    </w:p>
    <w:p>
      <w:pPr>
        <w:ind w:left="660" w:right="18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87"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obtain additional financing or acceptable partnership arrangements, we may be unable to complete the development and commercialization of our products and product candidates or continue operations.</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ind w:left="328" w:right="60" w:hanging="328"/>
        <w:spacing w:after="0" w:line="279"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171" w:lineRule="exact"/>
        <w:rPr>
          <w:rFonts w:ascii="Arial" w:cs="Arial" w:eastAsia="Arial" w:hAnsi="Arial"/>
          <w:sz w:val="17"/>
          <w:szCs w:val="17"/>
          <w:color w:val="auto"/>
        </w:rPr>
      </w:pPr>
    </w:p>
    <w:p>
      <w:pPr>
        <w:ind w:left="328" w:right="460"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rFonts w:ascii="Arial" w:cs="Arial" w:eastAsia="Arial" w:hAnsi="Arial"/>
          <w:sz w:val="18"/>
          <w:szCs w:val="18"/>
          <w:color w:val="auto"/>
        </w:rPr>
      </w:pPr>
    </w:p>
    <w:p>
      <w:pPr>
        <w:ind w:left="328" w:right="80"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83"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reach milestones or to make annual minimum payments or otherwise breach our obligations under our license agreements, our licensors may terminate our agreements with them and seek additional remedies.</w:t>
      </w:r>
    </w:p>
    <w:p>
      <w:pPr>
        <w:spacing w:after="0" w:line="170" w:lineRule="exact"/>
        <w:rPr>
          <w:rFonts w:ascii="Arial" w:cs="Arial" w:eastAsia="Arial" w:hAnsi="Arial"/>
          <w:sz w:val="18"/>
          <w:szCs w:val="18"/>
          <w:color w:val="auto"/>
        </w:rPr>
      </w:pPr>
    </w:p>
    <w:p>
      <w:pPr>
        <w:ind w:left="328" w:right="40" w:hanging="328"/>
        <w:spacing w:after="0" w:line="259"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contains conditions and restrictions that limit our flexibility in drawing on the additional funds thereunder and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86" w:lineRule="exact"/>
        <w:rPr>
          <w:rFonts w:ascii="Arial" w:cs="Arial" w:eastAsia="Arial" w:hAnsi="Arial"/>
          <w:sz w:val="18"/>
          <w:szCs w:val="18"/>
          <w:color w:val="auto"/>
        </w:rPr>
      </w:pPr>
    </w:p>
    <w:p>
      <w:pPr>
        <w:ind w:left="328" w:right="180" w:hanging="328"/>
        <w:spacing w:after="0" w:line="25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expansion of our business exposes us to business, regulatory, political, operational, financial, and economic risks. For example, our actual or perceived failure to comply with European governmental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8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facilities incur damage or power is lost for a significant length of time, our business will suffer.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disruption in our information technology systems or a cybersecurity breach could adversely affect our business.</w:t>
      </w:r>
    </w:p>
    <w:p>
      <w:pPr>
        <w:spacing w:after="0" w:line="22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70" w:lineRule="exact"/>
        <w:rPr>
          <w:rFonts w:ascii="Arial" w:cs="Arial" w:eastAsia="Arial" w:hAnsi="Arial"/>
          <w:sz w:val="18"/>
          <w:szCs w:val="18"/>
          <w:color w:val="auto"/>
        </w:rPr>
      </w:pPr>
    </w:p>
    <w:p>
      <w:pPr>
        <w:ind w:left="328" w:right="3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has been, and is likely to continue to be, highly volatile, which could cause the value of an investment in our common stock to decline significantly.</w:t>
      </w:r>
    </w:p>
    <w:p>
      <w:pPr>
        <w:spacing w:after="0" w:line="170" w:lineRule="exact"/>
        <w:rPr>
          <w:rFonts w:ascii="Arial" w:cs="Arial" w:eastAsia="Arial" w:hAnsi="Arial"/>
          <w:sz w:val="18"/>
          <w:szCs w:val="18"/>
          <w:color w:val="auto"/>
        </w:rPr>
      </w:pPr>
    </w:p>
    <w:p>
      <w:pPr>
        <w:ind w:left="328" w:right="120" w:hanging="328"/>
        <w:spacing w:after="0" w:line="34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Natural disasters, epidemic or pandemic disease outbreaks, trade wars, political unrest, or other events could disrupt our business or operations or those of our development partners, manufacturers, regulators, or third parties with whom we conduct business now or in the future.</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subject to legal proceedings, which could harm our reputation or result in other losses or unexpected expenditure of time and resources.</w:t>
      </w:r>
    </w:p>
    <w:p>
      <w:pPr>
        <w:spacing w:after="0" w:line="248" w:lineRule="exact"/>
        <w:rPr>
          <w:rFonts w:ascii="Arial" w:cs="Arial" w:eastAsia="Arial" w:hAnsi="Arial"/>
          <w:sz w:val="16"/>
          <w:szCs w:val="16"/>
          <w:color w:val="auto"/>
        </w:rPr>
      </w:pPr>
    </w:p>
    <w:p>
      <w:pPr>
        <w:ind w:left="328" w:right="1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080" w:type="dxa"/>
            <w:vAlign w:val="bottom"/>
          </w:tcPr>
          <w:p>
            <w:pPr>
              <w:jc w:val="center"/>
              <w:ind w:left="225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7080" w:type="dxa"/>
            <w:vAlign w:val="bottom"/>
          </w:tcPr>
          <w:p>
            <w:pPr>
              <w:jc w:val="center"/>
              <w:ind w:left="2250"/>
              <w:spacing w:after="0"/>
              <w:rPr>
                <w:sz w:val="20"/>
                <w:szCs w:val="20"/>
                <w:color w:val="auto"/>
              </w:rPr>
            </w:pPr>
            <w:r>
              <w:rPr>
                <w:rFonts w:ascii="Arial" w:cs="Arial" w:eastAsia="Arial" w:hAnsi="Arial"/>
                <w:sz w:val="18"/>
                <w:szCs w:val="18"/>
                <w:b w:val="1"/>
                <w:bCs w:val="1"/>
                <w:color w:val="auto"/>
              </w:rPr>
              <w:t>BIOCRYST PHARMACEUTICALS,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June 30, 2021 and December 31, 2020</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9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34"/>
        </w:trPr>
        <w:tc>
          <w:tcPr>
            <w:tcW w:w="9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(Note 1)</w:t>
            </w:r>
          </w:p>
        </w:tc>
      </w:tr>
      <w:tr>
        <w:trPr>
          <w:trHeight w:val="209"/>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210,314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272,127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92"/>
              </w:rPr>
              <w:t>Investments</w:t>
            </w: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28,239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Inventories</w:t>
            </w: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5,528</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265,802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323,800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88"/>
              </w:rPr>
              <w:t>Other assets</w:t>
            </w:r>
          </w:p>
        </w:tc>
        <w:tc>
          <w:tcPr>
            <w:tcW w:w="7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3,802</w:t>
            </w:r>
          </w:p>
        </w:tc>
      </w:tr>
      <w:tr>
        <w:trPr>
          <w:trHeight w:val="24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277,284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334,715</w:t>
            </w:r>
          </w:p>
        </w:tc>
      </w:tr>
      <w:tr>
        <w:trPr>
          <w:trHeight w:val="197"/>
        </w:trPr>
        <w:tc>
          <w:tcPr>
            <w:tcW w:w="800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10,087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18,713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33,942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25,217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21,670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Lease financing obligation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115,601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105,654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financing obligation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Royalty financing obligation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136,862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124,717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term loan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119,735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shares authorized - 5,000; no shares issued and outstanding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Common stock, $0.01 par value: shares authorized - 450,000; shares issued and outstanding – 178,725 in</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2021 and 176,883 in 2020</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1,022,975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1,002,408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(1,130,924)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(1,023,442)</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(19,262)</w:t>
            </w:r>
          </w:p>
        </w:tc>
      </w:tr>
      <w:tr>
        <w:trPr>
          <w:trHeight w:val="25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334,715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w:t>
            </w:r>
          </w:p>
        </w:tc>
        <w:tc>
          <w:tcPr>
            <w:tcW w:w="86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33,430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51,301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Milestone revenue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Collaborative and other research and development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5,487</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49,959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7,694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48,439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29,748</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79,541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149,977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87,182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9,204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gain on foreign currency</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 gain on available for sale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(43,293)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(107,398)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(76,242)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178,127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161,569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177,737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157,862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(107,482)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(76,206)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interest expense on royalty financing obligation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paid in-kind interest on secured term loan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premium/discount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fair value of foreign currency derivative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(86,422)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(54,322)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21,417</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19,177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5,792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Sale of pre-funded warrants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common stock issued under stock-based compensation plans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7,474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108,463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(59,686)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59,933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274,348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115,723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214,662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175,656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8" w:name="page9"/>
    <w:bookmarkEnd w:id="8"/>
    <w:p>
      <w:pPr>
        <w:jc w:val="center"/>
        <w:ind w:left="48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Three and Six Months Ended June 30, 2021 and 2020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per share amounts-Unaudited)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(Deficit)</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1,002,408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(1,023,442)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Employee stock purchase plan sales, 193 shares, net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593 shares,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1,010,779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(1,087,726)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(74,988)</w:t>
            </w:r>
          </w:p>
        </w:tc>
      </w:tr>
      <w:tr>
        <w:trPr>
          <w:trHeight w:val="210"/>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(43,198)</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 1,056 shares, net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4,574</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7,632</w:t>
            </w: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1,787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1,022,975</w:t>
            </w:r>
          </w:p>
        </w:tc>
        <w:tc>
          <w:tcPr>
            <w:tcW w:w="3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(1,130,924)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(106,075)</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(Loss) 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(Deficit)</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877,300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38,252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(37,599)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Employee stock purchase plan sales, 110 shares, net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880,319</w:t>
            </w:r>
          </w:p>
        </w:tc>
        <w:tc>
          <w:tcPr>
            <w:tcW w:w="3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(878,227)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3,648</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193 shares,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22,044 shares, net</w:t>
            </w: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92,628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92,848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pre-funded warrants, 3,511 warrants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3,280</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991,574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(916,834)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76,507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BioCryst Pharmaceuticals, Inc. (the “Company”) is a commercial-stage biotechnology company that discovers novel,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 The Company has incurred losses and negative cash flows from operations since inception.</w:t>
      </w:r>
    </w:p>
    <w:p>
      <w:pPr>
        <w:spacing w:after="0" w:line="19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Based on the Company’s expectations for revenue, operating expenses, and its option to access an additional $75 million from its existing credit facility, the Company believes its financial resources available at June 30, 2021 will be sufficient to fund its operations into 2023. The Company has sustained operating losses for the majority of its corporate history and expects that its 2021 expenses will exceed its 2021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also may consider other plans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commercial expenses and key development and regulatory events, and its decisions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70" w:lineRule="exact"/>
        <w:rPr>
          <w:sz w:val="20"/>
          <w:szCs w:val="20"/>
          <w:color w:val="auto"/>
        </w:rPr>
      </w:pPr>
    </w:p>
    <w:p>
      <w:pPr>
        <w:ind w:right="80" w:firstLine="522"/>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88" w:lineRule="exact"/>
        <w:rPr>
          <w:sz w:val="20"/>
          <w:szCs w:val="20"/>
          <w:color w:val="auto"/>
        </w:rPr>
      </w:pPr>
    </w:p>
    <w:p>
      <w:pPr>
        <w:ind w:right="80" w:firstLine="522"/>
        <w:spacing w:after="0" w:line="259" w:lineRule="auto"/>
        <w:rPr>
          <w:sz w:val="20"/>
          <w:szCs w:val="20"/>
          <w:color w:val="auto"/>
        </w:rPr>
      </w:pPr>
      <w:r>
        <w:rPr>
          <w:rFonts w:ascii="Arial" w:cs="Arial" w:eastAsia="Arial" w:hAnsi="Arial"/>
          <w:sz w:val="18"/>
          <w:szCs w:val="18"/>
          <w:color w:val="auto"/>
        </w:rPr>
        <w:t>These financial statements should be read in conjunction with the financial statements for the year ended December 31, 2020 and the notes thereto included in the Company’s 2020 Annual Report on Form 10-K. Interim operating results are not necessarily indicative of operating results for the full year. The balance sheet as of December 31, 2020 has been derived from the audited consolidated financial statements included in the Company’s most recent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522"/>
        <w:spacing w:after="0" w:line="263"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522"/>
        <w:spacing w:after="0" w:line="286" w:lineRule="auto"/>
        <w:rPr>
          <w:sz w:val="20"/>
          <w:szCs w:val="20"/>
          <w:color w:val="auto"/>
        </w:rPr>
      </w:pPr>
      <w:r>
        <w:rPr>
          <w:rFonts w:ascii="Arial" w:cs="Arial" w:eastAsia="Arial" w:hAnsi="Arial"/>
          <w:sz w:val="17"/>
          <w:szCs w:val="17"/>
          <w:color w:val="auto"/>
        </w:rPr>
        <w:t>Restricted cash as of June 30, 2021 and December 31, 2020 reflects $2,920 and $796, respectively, in royalty revenue paid by Shionogi &amp; Co., Ltd. (“Shionogi”) designated for interest on the PhaRMA Notes (defined in Note 2) and $1,428 and $1,425, respectively, the Company is required to maintain as collateral for a letter of credit associated with the lease execution and build-out of its Birmingham research facilities.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municipal and corporate notes and bonds, commercial paper and asset or mortgage-backed securities, among others. The Company’s investment policy requires it to purchase high-quality marketable securities with a maximum individual maturity of three years and requires an average portfolio maturity of no more than 18 months.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7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June 30, 2021, the Company believes that the cost of its investments is recoverable in all material respects.</w:t>
      </w:r>
    </w:p>
    <w:p>
      <w:pPr>
        <w:spacing w:after="0" w:line="181" w:lineRule="exact"/>
        <w:rPr>
          <w:sz w:val="20"/>
          <w:szCs w:val="20"/>
          <w:color w:val="auto"/>
        </w:rPr>
      </w:pPr>
    </w:p>
    <w:p>
      <w:pPr>
        <w:ind w:right="280" w:firstLine="522"/>
        <w:spacing w:after="0" w:line="279"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1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412"/>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88"/>
              </w:rPr>
              <w:t>December 31, 2020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1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and its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3,239</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28,239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investments at June 30, 2021 and December 31, 2020 have maturities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Receivables from product sales are recorded for amounts due to the Company related to sales of ORLADEYO® and RAPIVAB®. At June 30, 2021 and December 31, 2020, receivables related to sales of ORLADEYO were $20,925 and $149, respectively. At June 30, 2021 and December 31, 2020, receivables related to sales of RAPIVAB were $182 and $254, respectively. Receivables from product sales are evaluated to determine if any reserve or allowance should be recorded based on consideration of the current economic environment, expectations of future economic conditions and the Company’s own historical collection experience. No reserve or allowance amounts were recorded as of June 30, 2021 and December 31,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Collaborations</w:t>
      </w:r>
    </w:p>
    <w:p>
      <w:pPr>
        <w:spacing w:after="0" w:line="225"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Receivables from collaborations are recorded for amounts due to the Company related to reimbursable research and development costs from the U.S. Department of Health and Human Services, royalty receivables from Shionogi, Green Cross Corporation (“Green Cross”), Torii Pharmaceutical Co., Ltd. (“Torii”) and Mundipharma International Holdings Limited (“Mundipharma”). These receivables are evaluated to determine if any reserve or allowance should be established at each reporting date based on historical collection experience or specific circumstances, and no amounts were recorded at June 30, 2021 and December 31,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2021 and December 31, 2020, the Company had the following receivables.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June 30, 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Billed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5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Royalty receivables from partners</w:t>
            </w:r>
          </w:p>
        </w:tc>
        <w:tc>
          <w:tcPr>
            <w:tcW w:w="14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5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6,513</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Billed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Royalty receivables from partners</w:t>
            </w:r>
          </w:p>
        </w:tc>
        <w:tc>
          <w:tcPr>
            <w:tcW w:w="1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2,816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w:t>
            </w: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24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2,816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8,243</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At June 30, 2021 and December 31, 2020, the Company’s inventory related to ORLADEYO and peramivir, which are being manufactured for the Company’s partners and, in the case of peramivir, the U.S. Government. 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drug product. Finished goods include packaged and labelled products.</w:t>
      </w:r>
    </w:p>
    <w:p>
      <w:pPr>
        <w:spacing w:after="0" w:line="1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w w:val="94"/>
              </w:rPr>
              <w:t>The Company’s inventories as of June 30, 2021 and December 31, 2020 consisted of the following: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10,116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7,309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Inventory,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7,039</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87" w:lineRule="exact"/>
        <w:rPr>
          <w:sz w:val="20"/>
          <w:szCs w:val="20"/>
          <w:color w:val="auto"/>
        </w:rPr>
      </w:pPr>
    </w:p>
    <w:p>
      <w:pPr>
        <w:ind w:right="140" w:firstLine="522"/>
        <w:spacing w:after="0" w:line="257"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727"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225" w:lineRule="exact"/>
        <w:rPr>
          <w:sz w:val="20"/>
          <w:szCs w:val="20"/>
          <w:color w:val="auto"/>
        </w:rPr>
      </w:pPr>
    </w:p>
    <w:p>
      <w:pPr>
        <w:ind w:right="240" w:firstLine="522"/>
        <w:spacing w:after="0" w:line="277" w:lineRule="auto"/>
        <w:rPr>
          <w:sz w:val="20"/>
          <w:szCs w:val="20"/>
          <w:color w:val="auto"/>
        </w:rPr>
      </w:pPr>
      <w:r>
        <w:rPr>
          <w:rFonts w:ascii="Arial" w:cs="Arial" w:eastAsia="Arial" w:hAnsi="Arial"/>
          <w:sz w:val="18"/>
          <w:szCs w:val="18"/>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60" w:firstLine="558"/>
        <w:spacing w:after="0" w:line="270" w:lineRule="auto"/>
        <w:rPr>
          <w:sz w:val="20"/>
          <w:szCs w:val="20"/>
          <w:color w:val="auto"/>
        </w:rPr>
      </w:pPr>
      <w:r>
        <w:rPr>
          <w:rFonts w:ascii="Arial" w:cs="Arial" w:eastAsia="Arial" w:hAnsi="Arial"/>
          <w:sz w:val="17"/>
          <w:szCs w:val="17"/>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w:t>
      </w:r>
    </w:p>
    <w:p>
      <w:pPr>
        <w:spacing w:after="0" w:line="181"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820" w:right="46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the Company’s raw materials, drug substance, drug products, and product candidates; and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firstLine="558"/>
        <w:spacing w:after="0" w:line="272" w:lineRule="auto"/>
        <w:rPr>
          <w:sz w:val="20"/>
          <w:szCs w:val="20"/>
          <w:color w:val="auto"/>
        </w:rPr>
      </w:pPr>
      <w:r>
        <w:rPr>
          <w:rFonts w:ascii="Arial" w:cs="Arial" w:eastAsia="Arial" w:hAnsi="Arial"/>
          <w:sz w:val="17"/>
          <w:szCs w:val="17"/>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June 30, 2021 and December 31, 2020, the carrying value of accrued expenses approximates their fair value due to their short-term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00" w:firstLine="522"/>
        <w:spacing w:after="0" w:line="263"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right="80" w:firstLine="522"/>
        <w:spacing w:after="0" w:line="275" w:lineRule="auto"/>
        <w:rPr>
          <w:sz w:val="20"/>
          <w:szCs w:val="20"/>
          <w:color w:val="auto"/>
        </w:rPr>
      </w:pPr>
      <w:r>
        <w:rPr>
          <w:rFonts w:ascii="Arial" w:cs="Arial" w:eastAsia="Arial" w:hAnsi="Arial"/>
          <w:sz w:val="17"/>
          <w:szCs w:val="17"/>
          <w:color w:val="auto"/>
        </w:rPr>
        <w:t>Accumulated other comprehensive loss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For the six months ended June 30, 2021, realized gains of $1 were reclassified out of accumulated other comprehensive loss. For the six months ended June 30, 2020, realized gains of $1 were reclassified out of accumulated other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3" w:name="page14"/>
    <w:bookmarkEnd w:id="13"/>
    <w:p>
      <w:pPr>
        <w:ind w:right="280" w:firstLine="648"/>
        <w:spacing w:after="0" w:line="263" w:lineRule="auto"/>
        <w:rPr>
          <w:sz w:val="20"/>
          <w:szCs w:val="20"/>
          <w:color w:val="auto"/>
        </w:rPr>
      </w:pPr>
      <w:r>
        <w:rPr>
          <w:rFonts w:ascii="Arial" w:cs="Arial" w:eastAsia="Arial" w:hAnsi="Arial"/>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the following revenues for the three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ORLADEYO</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28,374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39,312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Peramivir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RAPIVAB</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sales,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Royalty revenue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Collaborative and other research and development revenues: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Department of Health and Human Services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Torii Pharmaceutical Co., Ltd.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collaborative and other research and development revenues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5,487</w:t>
            </w: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49,959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2,871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69,018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7,694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right="60" w:firstLine="522"/>
        <w:spacing w:after="0" w:line="275" w:lineRule="auto"/>
        <w:rPr>
          <w:sz w:val="20"/>
          <w:szCs w:val="20"/>
          <w:color w:val="auto"/>
        </w:rPr>
      </w:pPr>
      <w:r>
        <w:rPr>
          <w:rFonts w:ascii="Arial" w:cs="Arial" w:eastAsia="Arial" w:hAnsi="Arial"/>
          <w:sz w:val="17"/>
          <w:szCs w:val="17"/>
          <w:color w:val="auto"/>
        </w:rPr>
        <w:t>The Company’s principal sources of product sales are sales of ORLADEYO, which the Company began shipping to customers in December 2020, sales of peramivir to the Company’s licensing partners and sales of RAPIVAB to the U.S. Department of Health and Human Services under the Company’s procurement contract. The Company recognizes revenue for sales when the customer obtains control of the product, which generally occurs upon delivery. For ORLADEYO, the Company classifies payments to its customer for certain services provided by its customer as selling, general and administrative expenses to the extent such services provided are determined to be distinct from the sale of its product.</w:t>
      </w:r>
    </w:p>
    <w:p>
      <w:pPr>
        <w:spacing w:after="0" w:line="176" w:lineRule="exact"/>
        <w:rPr>
          <w:sz w:val="20"/>
          <w:szCs w:val="20"/>
          <w:color w:val="auto"/>
        </w:rPr>
      </w:pPr>
    </w:p>
    <w:p>
      <w:pPr>
        <w:ind w:firstLine="522"/>
        <w:spacing w:after="0" w:line="287" w:lineRule="auto"/>
        <w:rPr>
          <w:sz w:val="20"/>
          <w:szCs w:val="20"/>
          <w:color w:val="auto"/>
        </w:rPr>
      </w:pPr>
      <w:r>
        <w:rPr>
          <w:rFonts w:ascii="Arial" w:cs="Arial" w:eastAsia="Arial" w:hAnsi="Arial"/>
          <w:sz w:val="16"/>
          <w:szCs w:val="16"/>
          <w:color w:val="auto"/>
        </w:rPr>
        <w:t>The Company sells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w:t>
      </w:r>
    </w:p>
    <w:p>
      <w:pPr>
        <w:spacing w:after="0" w:line="2" w:lineRule="exact"/>
        <w:rPr>
          <w:sz w:val="20"/>
          <w:szCs w:val="20"/>
          <w:color w:val="auto"/>
        </w:rPr>
      </w:pPr>
    </w:p>
    <w:p>
      <w:pPr>
        <w:ind w:right="20" w:firstLine="8"/>
        <w:spacing w:after="0" w:line="287"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the Company’s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7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Government and Managed Care Rebates</w:t>
      </w:r>
      <w:r>
        <w:rPr>
          <w:rFonts w:ascii="Arial" w:cs="Arial" w:eastAsia="Arial" w:hAnsi="Arial"/>
          <w:sz w:val="16"/>
          <w:szCs w:val="16"/>
          <w:color w:val="auto"/>
        </w:rPr>
        <w:t>. The Company contracts with government agencies and managed care organizations or,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6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 Chargebacks are discounts that occur when certain contracted customers, pharmacy benefit managers, insurance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programs and group purchasing organizations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ind w:right="100" w:firstLine="648"/>
        <w:spacing w:after="0" w:line="293" w:lineRule="auto"/>
        <w:rPr>
          <w:sz w:val="20"/>
          <w:szCs w:val="20"/>
          <w:color w:val="auto"/>
        </w:rPr>
      </w:pPr>
      <w:r>
        <w:rPr>
          <w:rFonts w:ascii="Arial" w:cs="Arial" w:eastAsia="Arial" w:hAnsi="Arial"/>
          <w:sz w:val="16"/>
          <w:szCs w:val="16"/>
          <w:i w:val="1"/>
          <w:iCs w:val="1"/>
          <w:color w:val="auto"/>
        </w:rPr>
        <w:t>Co-payment assistance and patient assistance programs</w:t>
      </w:r>
      <w:r>
        <w:rPr>
          <w:rFonts w:ascii="Arial" w:cs="Arial" w:eastAsia="Arial" w:hAnsi="Arial"/>
          <w:sz w:val="16"/>
          <w:szCs w:val="16"/>
          <w:color w:val="auto"/>
        </w:rPr>
        <w:t>. Patients who have commercial insurance and meet certain eligibility requirements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64" w:lineRule="exact"/>
        <w:rPr>
          <w:sz w:val="20"/>
          <w:szCs w:val="20"/>
          <w:color w:val="auto"/>
        </w:rPr>
      </w:pPr>
    </w:p>
    <w:p>
      <w:pPr>
        <w:jc w:val="both"/>
        <w:ind w:right="300" w:firstLine="648"/>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The Company does not provide contractual return rights to its customer, except in instances where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120" w:firstLine="414"/>
        <w:spacing w:after="0" w:line="263"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84" w:lineRule="exact"/>
        <w:rPr>
          <w:sz w:val="20"/>
          <w:szCs w:val="20"/>
          <w:color w:val="auto"/>
        </w:rPr>
      </w:pPr>
    </w:p>
    <w:p>
      <w:pPr>
        <w:ind w:right="20" w:firstLine="414"/>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84"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1"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84" w:lineRule="exact"/>
        <w:rPr>
          <w:sz w:val="20"/>
          <w:szCs w:val="20"/>
          <w:color w:val="auto"/>
        </w:rPr>
      </w:pPr>
    </w:p>
    <w:p>
      <w:pPr>
        <w:jc w:val="both"/>
        <w:ind w:right="240" w:firstLine="414"/>
        <w:spacing w:after="0" w:line="279"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171" w:lineRule="exact"/>
        <w:rPr>
          <w:sz w:val="20"/>
          <w:szCs w:val="20"/>
          <w:color w:val="auto"/>
        </w:rPr>
      </w:pPr>
    </w:p>
    <w:p>
      <w:pPr>
        <w:ind w:right="100" w:firstLine="414"/>
        <w:spacing w:after="0" w:line="263"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25" w:lineRule="exact"/>
        <w:rPr>
          <w:sz w:val="20"/>
          <w:szCs w:val="20"/>
          <w:color w:val="auto"/>
        </w:rPr>
      </w:pPr>
    </w:p>
    <w:p>
      <w:pPr>
        <w:ind w:right="220" w:firstLine="522"/>
        <w:spacing w:after="0" w:line="263" w:lineRule="auto"/>
        <w:rPr>
          <w:sz w:val="20"/>
          <w:szCs w:val="20"/>
          <w:color w:val="auto"/>
        </w:rPr>
      </w:pPr>
      <w:r>
        <w:rPr>
          <w:rFonts w:ascii="Arial" w:cs="Arial" w:eastAsia="Arial" w:hAnsi="Arial"/>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80" w:firstLine="522"/>
        <w:spacing w:after="0" w:line="263" w:lineRule="auto"/>
        <w:rPr>
          <w:sz w:val="20"/>
          <w:szCs w:val="20"/>
          <w:color w:val="auto"/>
        </w:rPr>
      </w:pPr>
      <w:r>
        <w:rPr>
          <w:rFonts w:ascii="Arial" w:cs="Arial" w:eastAsia="Arial" w:hAnsi="Arial"/>
          <w:sz w:val="18"/>
          <w:szCs w:val="18"/>
          <w:color w:val="auto"/>
        </w:rPr>
        <w:t>Advertising and promotional costs are expensed in “Selling, general and administrative” as the costs are incurred. Advertising expenses related to ORLADEYO were $1,800 and $3,204 for the three and six months ended June 30, 2021, respectively. The Company did not incur advertising and product promotion expenses in the corresponding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522"/>
        <w:spacing w:after="0" w:line="290" w:lineRule="auto"/>
        <w:rPr>
          <w:sz w:val="20"/>
          <w:szCs w:val="20"/>
          <w:color w:val="auto"/>
        </w:rPr>
      </w:pPr>
      <w:r>
        <w:rPr>
          <w:rFonts w:ascii="Arial" w:cs="Arial" w:eastAsia="Arial" w:hAnsi="Arial"/>
          <w:sz w:val="16"/>
          <w:szCs w:val="16"/>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65" w:lineRule="exact"/>
        <w:rPr>
          <w:sz w:val="20"/>
          <w:szCs w:val="20"/>
          <w:color w:val="auto"/>
        </w:rPr>
      </w:pPr>
    </w:p>
    <w:p>
      <w:pPr>
        <w:ind w:right="240" w:firstLine="522"/>
        <w:spacing w:after="0" w:line="257" w:lineRule="auto"/>
        <w:rPr>
          <w:sz w:val="20"/>
          <w:szCs w:val="20"/>
          <w:color w:val="auto"/>
        </w:rPr>
      </w:pPr>
      <w:r>
        <w:rPr>
          <w:rFonts w:ascii="Arial" w:cs="Arial" w:eastAsia="Arial" w:hAnsi="Arial"/>
          <w:sz w:val="18"/>
          <w:szCs w:val="18"/>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88" w:lineRule="exact"/>
        <w:rPr>
          <w:sz w:val="20"/>
          <w:szCs w:val="20"/>
          <w:color w:val="auto"/>
        </w:rPr>
      </w:pPr>
    </w:p>
    <w:p>
      <w:pPr>
        <w:ind w:firstLine="522"/>
        <w:spacing w:after="0" w:line="257"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522"/>
        <w:spacing w:after="0" w:line="275"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is deemed to have occurred.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225" w:lineRule="exact"/>
        <w:rPr>
          <w:sz w:val="20"/>
          <w:szCs w:val="20"/>
          <w:color w:val="auto"/>
        </w:rPr>
      </w:pPr>
    </w:p>
    <w:p>
      <w:pPr>
        <w:ind w:firstLine="522"/>
        <w:spacing w:after="0" w:line="271" w:lineRule="auto"/>
        <w:rPr>
          <w:sz w:val="20"/>
          <w:szCs w:val="20"/>
          <w:color w:val="auto"/>
        </w:rPr>
      </w:pPr>
      <w:r>
        <w:rPr>
          <w:rFonts w:ascii="Arial" w:cs="Arial" w:eastAsia="Arial" w:hAnsi="Arial"/>
          <w:sz w:val="17"/>
          <w:szCs w:val="17"/>
          <w:color w:val="auto"/>
        </w:rPr>
        <w:t>Interest expense for the three and six months ended June 30, 2021 was $13,495 and $26,399, respectively, and primarily relates to the royalty financing obligation (Note 2), the secured term loan borrowing from the Credit Agreement (Note 3) and the PhaRMA Notes (Note 2). Interest expense for the three and six months ended June 30, 2020 was $2,918 and $5,965, respectively, and primarily relates to the secured term loan borrowing from the PhaRMA Notes (Note 2) and the Senior Credit Facility (Note 4).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$(154) and $(211) for the three and six months ended June 30, 2021, respectively. Amortization of deferred financing costs and original issue discount included in interest expense was $341 and $681 for the three and six months ended June 30,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5" w:lineRule="exact"/>
        <w:rPr>
          <w:sz w:val="20"/>
          <w:szCs w:val="20"/>
          <w:color w:val="auto"/>
        </w:rPr>
      </w:pPr>
    </w:p>
    <w:p>
      <w:pPr>
        <w:ind w:right="40" w:firstLine="522"/>
        <w:spacing w:after="0" w:line="290" w:lineRule="auto"/>
        <w:rPr>
          <w:sz w:val="20"/>
          <w:szCs w:val="20"/>
          <w:color w:val="auto"/>
        </w:rPr>
      </w:pPr>
      <w:r>
        <w:rPr>
          <w:rFonts w:ascii="Arial" w:cs="Arial" w:eastAsia="Arial" w:hAnsi="Arial"/>
          <w:sz w:val="16"/>
          <w:szCs w:val="16"/>
          <w:color w:val="auto"/>
        </w:rPr>
        <w:t>The royalty financing obligation is eligible to be repaid based on royalties from net sales of ORLADEYO. Interest expense is accrued using the effective interest rate method over the estimated period the related liability will be paid. This requires the Company to estimate the total amount of future royalty payments to be generated from product sales over the life of the agreement. The Company imputes interest on the carrying value of the royalty financing obligation and records interest expense using an imputed effective interest rate. The Company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225" w:lineRule="exact"/>
        <w:rPr>
          <w:sz w:val="20"/>
          <w:szCs w:val="20"/>
          <w:color w:val="auto"/>
        </w:rPr>
      </w:pPr>
    </w:p>
    <w:p>
      <w:pPr>
        <w:ind w:right="100" w:firstLine="522"/>
        <w:spacing w:after="0" w:line="255" w:lineRule="auto"/>
        <w:rPr>
          <w:sz w:val="20"/>
          <w:szCs w:val="20"/>
          <w:color w:val="auto"/>
        </w:rPr>
      </w:pPr>
      <w:r>
        <w:rPr>
          <w:rFonts w:ascii="Arial" w:cs="Arial" w:eastAsia="Arial" w:hAnsi="Arial"/>
          <w:sz w:val="18"/>
          <w:szCs w:val="18"/>
          <w:color w:val="auto"/>
        </w:rPr>
        <w:t>In connection with the issuance by JPR Royalty Sub LLC of the PhaRMA Notes, the Company entered into a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therefore mark-to-market adjustments were recognized in the Company’s Consolidated Statements of Comprehensive Loss. For the six months ended June 30, 2020, cumulative mark-to-market adjustments resulted in a loss of $590. In addition, the Company realized currency exchange gains of $632 during the first six months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522"/>
        <w:spacing w:after="0" w:line="273" w:lineRule="auto"/>
        <w:rPr>
          <w:sz w:val="20"/>
          <w:szCs w:val="20"/>
          <w:color w:val="auto"/>
        </w:rPr>
      </w:pPr>
      <w:r>
        <w:rPr>
          <w:rFonts w:ascii="Arial" w:cs="Arial" w:eastAsia="Arial" w:hAnsi="Arial"/>
          <w:sz w:val="17"/>
          <w:szCs w:val="17"/>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employee stock purchase plan were anti-dilutive. The calculation of diluted earnings per share for the three months ended June 30, 2021 and 2020 does not include 27,419 and 14,007, respectively, of such potential common shares, as their impact would be anti-dilutive. The calculation of diluted earnings per share for the six months ended June 30, 2021 and 2020 does not include 25,871 and 12,963, respectively, of such potential common shares, as their impact would be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firstLine="522"/>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royalty financing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Company’s primary sources of revenue and cash flow are the sales of ORLADEYO to a specialty pharmacy, the reimbursement of galidesivir (formerly BCX4430) development expenses earned under cost-plus-fixed-fee contracts with BARDA/HHS and NIAID/HHS and sales of RAPIVAB (peramivir injection) under our procurement contract with the Assistant Secretary for Preparedness and Response within the United States Department of Health and Human Services.</w:t>
      </w:r>
    </w:p>
    <w:p>
      <w:pPr>
        <w:spacing w:after="0" w:line="187"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ORLADEYO is distributed through an arrangement with a single specialty pharmacy in the U.S.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spacing w:after="0" w:line="18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Third-Party Manufacturing and Distribution Concentration</w:t>
      </w:r>
    </w:p>
    <w:p>
      <w:pPr>
        <w:spacing w:after="0" w:line="225" w:lineRule="exact"/>
        <w:rPr>
          <w:sz w:val="20"/>
          <w:szCs w:val="20"/>
          <w:color w:val="auto"/>
        </w:rPr>
      </w:pPr>
    </w:p>
    <w:p>
      <w:pPr>
        <w:ind w:right="300" w:firstLine="486"/>
        <w:spacing w:after="0" w:line="311" w:lineRule="auto"/>
        <w:rPr>
          <w:sz w:val="20"/>
          <w:szCs w:val="20"/>
          <w:color w:val="auto"/>
        </w:rPr>
      </w:pPr>
      <w:r>
        <w:rPr>
          <w:rFonts w:ascii="Arial" w:cs="Arial" w:eastAsia="Arial" w:hAnsi="Arial"/>
          <w:sz w:val="16"/>
          <w:szCs w:val="16"/>
          <w:color w:val="auto"/>
        </w:rPr>
        <w:t>The Company relies on single source manufacturers for active pharmaceutical ingredient and finished drug product manufacturing of product candidates in development and on single source distributors for distribution of approved drug products. Delays in the manufacture or distribution of any product could adversely impact the commercial revenue and future procurement stockpiling of the Company’s product candidates.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18 months or less.</w:t>
      </w:r>
    </w:p>
    <w:p>
      <w:pPr>
        <w:spacing w:after="0" w:line="176"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majority of the Company’s receivables from collaborations are due from the U.S. Government, for which there is no assumed credit risk.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In December 2019, the FASB issued ASU No. 2019-12 (ASC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simplifies accounting for income taxes by removing certain exceptions to the general principles and clarifying existing guidance. This standard is effective for fiscal years, and interim periods within those years, beginning after December 15, 2020. The adoption of this standard did not have a material impact to the Company’s financial position, results of operations or cash flows.</w:t>
      </w:r>
    </w:p>
    <w:p>
      <w:pPr>
        <w:spacing w:after="0" w:line="187" w:lineRule="exact"/>
        <w:rPr>
          <w:sz w:val="20"/>
          <w:szCs w:val="20"/>
          <w:color w:val="auto"/>
        </w:rPr>
      </w:pPr>
    </w:p>
    <w:p>
      <w:pPr>
        <w:jc w:val="both"/>
        <w:ind w:right="940" w:firstLine="486"/>
        <w:spacing w:after="0" w:line="342" w:lineRule="auto"/>
        <w:rPr>
          <w:sz w:val="20"/>
          <w:szCs w:val="20"/>
          <w:color w:val="auto"/>
        </w:rPr>
      </w:pPr>
      <w:r>
        <w:rPr>
          <w:rFonts w:ascii="Arial" w:cs="Arial" w:eastAsia="Arial" w:hAnsi="Arial"/>
          <w:sz w:val="16"/>
          <w:szCs w:val="16"/>
          <w:color w:val="auto"/>
        </w:rPr>
        <w:t>The Company has reviewed other new accounting pronouncements that were issued as of June 30, 2021 and does not believe that these pronouncements are either applicable to the Company, or that they will have a material impact on its financial position or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Royalty Monetizations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RAPIACTA Royalty Monetization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76"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Notes Payable</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8" w:name="page19"/>
    <w:bookmarkEnd w:id="18"/>
    <w:p>
      <w:pPr>
        <w:ind w:firstLine="486"/>
        <w:spacing w:after="0" w:line="286" w:lineRule="auto"/>
        <w:rPr>
          <w:sz w:val="20"/>
          <w:szCs w:val="20"/>
          <w:color w:val="auto"/>
        </w:rPr>
      </w:pPr>
      <w:r>
        <w:rPr>
          <w:rFonts w:ascii="Arial" w:cs="Arial" w:eastAsia="Arial" w:hAnsi="Arial"/>
          <w:sz w:val="16"/>
          <w:szCs w:val="16"/>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The PhaRMA Notes had a final legal maturity date of December 1, 2020, at which time the outstanding principal amount of the PhaRMA Notes, together with accrued and unpaid interest, was due in full. As of June 30, 2021, the PhaRMA Notes remained outstanding and in default, and the Company will continue to record the liability and accrued interest owed until the Company is determined to no longer be the financial obligor, which is anticipated during 2021. As a result of the continuing events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from Shionogi and legal costs associated with retiring the PhaRMA Notes. As the PhaRMA Notes are the obligation of Royalty Sub and non-recourse to the Company, the events of default of the PhaRMA Notes are not expected to have a significant impact on the Company’s future results of operations or cash flows. As of June 30, 2021, the outstanding principal amount of the PhaRMA Notes was $30,000 and accrued and unpaid interest was $23,874.</w:t>
      </w:r>
    </w:p>
    <w:p>
      <w:pPr>
        <w:spacing w:after="0" w:line="171" w:lineRule="exact"/>
        <w:rPr>
          <w:sz w:val="20"/>
          <w:szCs w:val="20"/>
          <w:color w:val="auto"/>
        </w:rPr>
      </w:pPr>
    </w:p>
    <w:p>
      <w:pPr>
        <w:ind w:right="800" w:firstLine="486"/>
        <w:spacing w:after="0" w:line="286" w:lineRule="auto"/>
        <w:rPr>
          <w:sz w:val="20"/>
          <w:szCs w:val="20"/>
          <w:color w:val="auto"/>
        </w:rPr>
      </w:pPr>
      <w:r>
        <w:rPr>
          <w:rFonts w:ascii="Arial" w:cs="Arial" w:eastAsia="Arial" w:hAnsi="Arial"/>
          <w:sz w:val="17"/>
          <w:szCs w:val="17"/>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16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As of June 30, 2021, the aggregate fair value of the PhaRMA Notes was estimated to be approximately 3% of its carrying value of $30,000. The estimated fair value of the PhaRMA Notes is classified as Level 3 in the fair value hierarchy as defined in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had the right to purchase dollars and sell yen at a rate of 100 yen per dollar. The Currency Hedge Agreement did not qualify for hedge accounting treatment; therefore mark-to-market adjustments were recognized in the Company’s Consolidated Statements of Comprehensive Loss. The final tranche of the options under the Currency Hedge Agreement expired in November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Royalty Monetization</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December 7, 2020, the Company and RPI 2019 Intermediate Finance Trust (“RPI”) entered into a Purchase and Sale Agreement (the “Royalty Purchase Agreement”), pursuant to which the Company sold to RPI the right to receive certain royalty payments from the Company for a purchase price of $125,000 in cash (the “Royalty Sale”). Under the Royalty Purchase Agreement, RPI is entitled to receive tiered, sales-based royalties on net product sales of ORLADEYO in the United States, certain key European markets, and other markets where the Company sells ORLADEYO directly or through distributors (collectively, the “Key Territories”) in an amount equal to: (i) 8.75% of aggregate annual net sales of ORLADEYO in the Key Territories for annual net sales up to $350,000 and (ii) 2.75% of annual net sales in the Key Territories for annual net sales between $350,000 and $550,000. No royalty payments are payable on annual net sales in the Key Territories over $550,000. In addition, RPI will be entitled to receive 1.0% of global net sales, if any, of BCX9930.</w:t>
      </w:r>
    </w:p>
    <w:p>
      <w:pPr>
        <w:spacing w:after="0" w:line="19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Under the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 No payment will be due to RPI for any achievement milestone which may be payable under the existing out-license for ORLADEYO.</w:t>
      </w:r>
    </w:p>
    <w:p>
      <w:pPr>
        <w:spacing w:after="0" w:line="19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Company will be required to make royalty payments of amounts owed to RPI each calendar quarter following the first commercial sale of ORLADEYO in any country.</w:t>
      </w:r>
    </w:p>
    <w:p>
      <w:pPr>
        <w:spacing w:after="0" w:line="17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Under the Royalty Purchase Agreement, the Company has agreed to specified affirmative and negative covenants, including covenants regarding periodic reporting of information by the Company to RPI, third-party audits of royalties paid under the Royalty Purchase Agreement, and restrictions on the ability of the Company or any of its subsidiaries to incur indebtedness other than certain royalty sales and as is permitted to be incurred under the terms of the Company’s Credit Agreement with Athyrium Opportunities III Co-Invest 1 LP. Refer to Note 3 for further details on the Credit Agreement. The restrictions on the ability of the Company or any of its subsidiaries to incur indebtedness are eliminated after the achievement of certain specified milestones in the Royalty Purchase Agreement.</w:t>
      </w:r>
    </w:p>
    <w:p>
      <w:pPr>
        <w:spacing w:after="0" w:line="19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cash consideration of $125,000 obtained pursuant to the Royalty Purchase Agreement is recorded in “Royalty financing obligation” on the Company’s consolidated balance sheet as of December 31, 2020. The fair value for the royalty financing obligation at the time of the transaction was based on the Company’s estimates of future royalties expected to be paid to RPI over the life of the arrangement. The estimates of future net product sales (and resulting royalty payments) are based on key assumptions including population, penetration and sales price and are determined using forecasts from market data sources, which are considered Level 3 inputs. Deferred issuance costs, which consist primarily of advisory and legal fees, totaled $2,370 as of June 30, 2021. The royalty financing obligation and the deferred issuance costs are amortized using the effective interest method over the term of the arrangement, in accordance with the respective guidance. The effective interest rate as of June 30, 2021 was approximately 24%. For the six months ended June 30, 2021, accrued interest expense in the amount of $15,604 was added to the balance of the royalty financing obligation. Additionally, as of June 30, 2021, the Company had accrued royalties payable to RPI of $2,502, which reduced the royalty financing obligation. The Company will utilize the prospective method to account for subsequent changes in the estimated future payments to be made to RPI.</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551"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Credit Agreement</w:t>
      </w:r>
    </w:p>
    <w:p>
      <w:pPr>
        <w:spacing w:after="0" w:line="22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On December 7, 2020, the Company entered into a $200,000 Credit Agreement with Athyrium Opportunities III Co-Invest 1 LP (“Athyrium”), as lender and as administrative agent for the lenders. BioCryst Ireland Limited, BioCryst US Sales Co., LLC, and BioCryst UK Limited, each of which is a wholly-owned subsidiary of the Company, are guarantors to the Credit Agreement. The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then-existing credit facility with MidCap Financial Trust.</w:t>
      </w:r>
    </w:p>
    <w:p>
      <w:pPr>
        <w:spacing w:after="0" w:line="17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Credit Agreement also provides for two additional term loans, at the Company’s option, in the respective principal amounts of $25,000 (the “Term B Loan”) and $50,000 (the “Term C Loan” and collectively with the Term A Loan and the Term B Loan, the “Term Loans”). The Term B Loan and the Term C Loan may be drawn upon if, among other conditions, the Company reaches defined revenue milestones and, with respect to a draw on the Term C Loan, the Term B Loan has been funded prior to or contemporaneously with the Term C Loan. The maturity date of the Credit Agreement is December 7, 2025.</w:t>
      </w:r>
    </w:p>
    <w:p>
      <w:pPr>
        <w:spacing w:after="0" w:line="18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9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Subject to certain exceptions, the Company is required to make mandatory prepayments of the Term Loans with the proceeds of certain asset sales, certain ORLADEYO out-licensing or royalty monetization transactions (excluding the Royalty Sale), extraordinary receipts, debt issuances, or upon a change of control of the Company and specified other events, subject to certain exceptions.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74"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 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 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ind w:right="300" w:firstLine="486"/>
        <w:spacing w:after="0" w:line="277" w:lineRule="auto"/>
        <w:rPr>
          <w:sz w:val="20"/>
          <w:szCs w:val="20"/>
          <w:color w:val="auto"/>
        </w:rPr>
      </w:pPr>
      <w:r>
        <w:rPr>
          <w:rFonts w:ascii="Arial" w:cs="Arial" w:eastAsia="Arial" w:hAnsi="Arial"/>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7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Company's obligations under the Credit Agreement are secured by a security interest in, subject to certain exceptions, substantially all of the Company's assets.</w:t>
      </w:r>
    </w:p>
    <w:p>
      <w:pPr>
        <w:spacing w:after="0" w:line="17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The Credit Agreement provides for quarterly interest-only payments until the maturity date, with the unpaid principal amount of the outstanding Term Loans due and payable on the maturity date of December 7, 2025. The Term Loan is accruing interest at a rate of 12.17%. The Company has elected both the first and second quarterly interest payments in 2021 to be PIK Interest Payments. For the six months ended June 30, 2021, total PIK Interest Payments of $7,745 were added to the outstanding balance of the Term Loan. As of June 30, 2021, debt fees and issuance costs totaled $8,163 and are being amortized as part of interest expense on an effective interest rate method over the term of the Term A Loan. As of June 30, 2021, borrowings, including the PIK Interest Payment, under the Credit Agreement totaled $132,459. The fair value of the debt approximates its carrying value based on prevailing interest rates as of the balance sheet date and is considered as Level 2 in the fair value hierarchy.</w:t>
      </w:r>
    </w:p>
    <w:p>
      <w:pPr>
        <w:spacing w:after="0" w:line="16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Senior Credit Facility</w:t>
      </w:r>
    </w:p>
    <w:p>
      <w:pPr>
        <w:spacing w:after="0" w:line="229"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On February 5, 2019, the Company entered into a $100,000 Senior Credit Facility with an affiliate of MidCap Financial Services, LLC, as administrative agent (the “Second Amended and Restated Senior Credit Facility”). Borrowings under the Second Amended and Restated Senior Credit Facility were available in three tranches, with (i) the first tranche comprised of $50,000 funded at closing, which included $30,000 of proceeds that were deemed rolled over from the outstanding principal amount under the Company’s prior credit agreement, (ii) the second tranche comprised of $30,000, and</w:t>
      </w:r>
    </w:p>
    <w:p>
      <w:pPr>
        <w:spacing w:after="0" w:line="1" w:lineRule="exact"/>
        <w:rPr>
          <w:sz w:val="20"/>
          <w:szCs w:val="20"/>
          <w:color w:val="auto"/>
        </w:rPr>
      </w:pPr>
    </w:p>
    <w:p>
      <w:pPr>
        <w:ind w:right="20" w:firstLine="8"/>
        <w:spacing w:after="0" w:line="290"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third tranche comprised of $20,000, with the second and third tranches to have been funded upon the completion of certain contingencies related to the Company’s development activities of its product candidates and the establishment of certain financial covenants.</w:t>
      </w:r>
    </w:p>
    <w:p>
      <w:pPr>
        <w:spacing w:after="0" w:line="16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Second Amended and Restated Senior Credit Facility had a variable interest rate of LIBOR (which was not to be less than 0.5%) plus 8%. The Second Amended and Restated Senior Credit Facility included an interest-only payment period through June 2020 and scheduled monthly principal and interest payments for the subsequent 30 months.</w:t>
      </w:r>
    </w:p>
    <w:p>
      <w:pPr>
        <w:spacing w:after="0" w:line="18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 the six months ended June 30, 2020, the Company recognized $2,779 in interest expense related to the Second Amended and Restated Senior Credit Facility. In December 2020, the Company repaid the outstanding principal of the Second Amended and Restated Senior Credit Facility of $40,000 along with exit fees and accrued interest through the payoff date that totaled $3,298. The unamortized deferred financing cost and original issue discount of $1,211 was expensed as a loss on debt extinguishment.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Lease Obligations and Other Contingencies</w:t>
      </w:r>
    </w:p>
    <w:p>
      <w:pPr>
        <w:spacing w:after="0" w:line="229"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 xml:space="preserve">The Company leases certain assets under operating leases, which primarily consisted of real estate leases, laboratory equipment leases and office equipment leases as of June 30, 2021. The Company accounts for its leases in accordance with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ASU requires a lessee to recognize a right-of-use asset and a lease liability on its balance sheet for most operating leases. Certain operating leases provide for renewal options, which can vary by lease. The right-of-use asset and lease liabilities on the Company’s Consolidated Balance Sheets represent payments over the lease term, which includes renewal options for certain real estate leases that we are likely to exercise. As part of the Company’s assessment of the lease term, the Company elected the hindsight practical expedient, which allows companies to use current knowledge and expectations when determining the likelihood to extend lease options. Renewal options for the Company’s leases range from 1 to 5 years in length and begin from 2023 through 2026. The weighted average lease term for the Company’s operating leases was 13.5 years. The discount rate used in the calculation of the Company’s right-of-use asset and lease liability was determined based on the stated rate within each contract when available, or the Company’s collateralized borrowing rate from lending institutions. The weighted average discount rate for the Company’s operating leases was 12.8%.</w:t>
      </w:r>
    </w:p>
    <w:p>
      <w:pPr>
        <w:spacing w:after="0" w:line="16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Company has not made any residual value guarantees related to its operating leases; therefore, the Company has no corresponding liability recorded on its Consolidated Balance Sheets.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Aggregate lease expense under operating leases was $913 and $935 for the six months ended June 30, 2021 and 2020, respectively. Certain operating leases include rent escalation provisions, which the Company recognizes as expense on a straight-line basis. Lease expense for leases with an initial term of twelve months or less was not material. Cash paid for amounts included in the measurement of lease liabilities was $819 and $841 for the six months ended June 30, 2021 and 2020,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560" w:type="dxa"/>
            <w:vAlign w:val="bottom"/>
          </w:tcPr>
          <w:p>
            <w:pPr>
              <w:ind w:left="500"/>
              <w:spacing w:after="0"/>
              <w:rPr>
                <w:sz w:val="20"/>
                <w:szCs w:val="20"/>
                <w:color w:val="auto"/>
              </w:rPr>
            </w:pPr>
            <w:r>
              <w:rPr>
                <w:rFonts w:ascii="Arial" w:cs="Arial" w:eastAsia="Arial" w:hAnsi="Arial"/>
                <w:sz w:val="18"/>
                <w:szCs w:val="18"/>
                <w:color w:val="auto"/>
              </w:rPr>
              <w:t>Future lease payments for assets under operating leases as of June 30, 2021, are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9560" w:type="dxa"/>
            <w:vAlign w:val="bottom"/>
          </w:tcPr>
          <w:p>
            <w:pPr>
              <w:spacing w:after="0"/>
              <w:rPr>
                <w:sz w:val="20"/>
                <w:szCs w:val="20"/>
                <w:color w:val="auto"/>
              </w:rPr>
            </w:pPr>
            <w:r>
              <w:rPr>
                <w:rFonts w:ascii="Arial" w:cs="Arial" w:eastAsia="Arial" w:hAnsi="Arial"/>
                <w:sz w:val="18"/>
                <w:szCs w:val="18"/>
                <w:b w:val="1"/>
                <w:bCs w:val="1"/>
                <w:color w:val="auto"/>
              </w:rPr>
              <w:t>Remaining Maturities of Lease Liabilities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Operating Leases</w:t>
            </w:r>
          </w:p>
        </w:tc>
      </w:tr>
      <w:tr>
        <w:trPr>
          <w:trHeight w:val="20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7,327</w:t>
            </w:r>
          </w:p>
        </w:tc>
      </w:tr>
      <w:tr>
        <w:trPr>
          <w:trHeight w:val="209"/>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5,081</w:t>
            </w:r>
          </w:p>
        </w:tc>
      </w:tr>
    </w:tbl>
    <w:p>
      <w:pPr>
        <w:spacing w:after="0" w:line="20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Company’s current lease liability as of June 30, 2021 and December 31, 2020 was $981 and $1,179, respectively. The Company’s long-term lease liability as of June 30, 2021 and December 31, 2020 was $4,100 and $3,871, respectively. The current and long-term portions of the Company’s lease liability are presented within “Lease financing obligations” on the Consolidated Balance Sheets. The Company’s right-of use asset balance associated with operating leases totaled $3,813 and $3,802 at June 30, 2021 and December 31, 2020, respectively. These amounts are presented within “Other assets” on the Consolidated Balance Sheets. Operating right-of-use assets are recorded net of accumulated amortization of $2,111 and $2,641 as of June 30, 2021 and December 31, 2020,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June 1, 2020, the Company issued 22,044 shares of common stock to the public at a purchase price of $4.50 per share and pre-funded warrants to purchase 3,511 shares of common stock at a purchase of $4.49 per pre-funded warrant, for total net proceeds to the Company of $108,096 million after deducting underwriting discounts and commissions and other offering expenses. Each pre-funded warrant is exercisable, subject to conditions in the warrant agreement, into one share of common stock at an exercise price of $0.01 per share. All warrants issued in this offering remain outstanding at June 30, 2021.</w:t>
      </w:r>
    </w:p>
    <w:p>
      <w:pPr>
        <w:spacing w:after="0" w:line="188"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29" w:lineRule="exact"/>
        <w:rPr>
          <w:sz w:val="20"/>
          <w:szCs w:val="20"/>
          <w:color w:val="auto"/>
        </w:rPr>
      </w:pPr>
    </w:p>
    <w:p>
      <w:pPr>
        <w:ind w:right="120" w:firstLine="522"/>
        <w:spacing w:after="0" w:line="296" w:lineRule="auto"/>
        <w:rPr>
          <w:sz w:val="20"/>
          <w:szCs w:val="20"/>
          <w:color w:val="auto"/>
        </w:rPr>
      </w:pPr>
      <w:r>
        <w:rPr>
          <w:rFonts w:ascii="Arial" w:cs="Arial" w:eastAsia="Arial" w:hAnsi="Arial"/>
          <w:sz w:val="16"/>
          <w:szCs w:val="16"/>
          <w:color w:val="auto"/>
        </w:rPr>
        <w:t>As of June 30, 2021,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amended and restated in April 2021 and approved by the Company’s stockholders on May 25, 2021. The Inducement Plan was adopted by the Board of Directors on April 24, 2019 and amended and restated by the Board of Directors in February 2020, July 2020, and July 2021. The ESPP was amended and restated in April 2021 and approved by the Company’s stockholders on May 25, 2021.</w:t>
      </w:r>
    </w:p>
    <w:p>
      <w:pPr>
        <w:spacing w:after="0" w:line="161" w:lineRule="exact"/>
        <w:rPr>
          <w:sz w:val="20"/>
          <w:szCs w:val="20"/>
          <w:color w:val="auto"/>
        </w:rPr>
      </w:pPr>
    </w:p>
    <w:p>
      <w:pPr>
        <w:ind w:right="40" w:firstLine="522"/>
        <w:spacing w:after="0" w:line="255" w:lineRule="auto"/>
        <w:rPr>
          <w:sz w:val="20"/>
          <w:szCs w:val="20"/>
          <w:color w:val="auto"/>
        </w:rPr>
      </w:pPr>
      <w:r>
        <w:rPr>
          <w:rFonts w:ascii="Arial" w:cs="Arial" w:eastAsia="Arial" w:hAnsi="Arial"/>
          <w:sz w:val="18"/>
          <w:szCs w:val="18"/>
          <w:color w:val="auto"/>
        </w:rPr>
        <w:t>Stock-based compensation expense of $13,111 ($11,073 of expense related to the Incentive Plan, $1,274 of expense related to the Inducement Plan, and $764 of expense related to the ESPP) was recognized during the six months ended June 30, 2021, while $6,034 ($5,205 of expense related to the Incentive Plan, $710 of expense related to the Inducement Plan and $119 of expense related to the ESPP) was recognized during the six months ended June 30, 2020. In August 2021, the Company modified outstanding stock option awards held by an executive officer separating from employment with the Company. In connection with this separation of employment, the Company accelerated the vesting of 582,084 unvested stock options held by the executive, making them immediately exercisable.</w:t>
      </w:r>
    </w:p>
    <w:p>
      <w:pPr>
        <w:spacing w:after="0" w:line="192" w:lineRule="exact"/>
        <w:rPr>
          <w:sz w:val="20"/>
          <w:szCs w:val="20"/>
          <w:color w:val="auto"/>
        </w:rPr>
      </w:pPr>
    </w:p>
    <w:p>
      <w:pPr>
        <w:ind w:right="160" w:firstLine="522"/>
        <w:spacing w:after="0" w:line="259" w:lineRule="auto"/>
        <w:rPr>
          <w:sz w:val="20"/>
          <w:szCs w:val="20"/>
          <w:color w:val="auto"/>
        </w:rPr>
      </w:pPr>
      <w:r>
        <w:rPr>
          <w:rFonts w:ascii="Arial" w:cs="Arial" w:eastAsia="Arial" w:hAnsi="Arial"/>
          <w:sz w:val="18"/>
          <w:szCs w:val="18"/>
          <w:color w:val="auto"/>
        </w:rPr>
        <w:t>There was approximately $60,067 of total unrecognized compensation expense related to non-vested stock option awards granted by the Company as of June 30, 2021. As of June 30, 2021, the Company expected to recognize that expense as follows: $11,248 during the remainder of 2021, $20,080 in 2022, $15,347 in 2023, $12,525 in 2024 and $867 in 2025. In addition, the Company has outstanding performance-based stock options for which no compensation expense is recognized until “performance” has occurred and the award vests.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grants stock option awards and restricted stock unit awards to its employees, directors, and consultants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Incentive Plan, stock option awards are granted with an exercise price equal to the market price of the Company’s stock at the date of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awards and restricted stock units granted to employees generally vest 25% each year until fully vested after four years.</w:t>
      </w:r>
    </w:p>
    <w:p>
      <w:pPr>
        <w:spacing w:after="0" w:line="211" w:lineRule="exact"/>
        <w:rPr>
          <w:sz w:val="20"/>
          <w:szCs w:val="20"/>
          <w:color w:val="auto"/>
        </w:rPr>
      </w:pPr>
    </w:p>
    <w:p>
      <w:pPr>
        <w:ind w:right="340" w:firstLine="522"/>
        <w:spacing w:after="0" w:line="301" w:lineRule="auto"/>
        <w:rPr>
          <w:sz w:val="20"/>
          <w:szCs w:val="20"/>
          <w:color w:val="auto"/>
        </w:rPr>
      </w:pPr>
      <w:r>
        <w:rPr>
          <w:rFonts w:ascii="Arial" w:cs="Arial" w:eastAsia="Arial" w:hAnsi="Arial"/>
          <w:sz w:val="16"/>
          <w:szCs w:val="16"/>
          <w:color w:val="auto"/>
        </w:rPr>
        <w:t>In August 2013, December 2014 and December 2019, the Company issued 1,032, 1,250 and 315 performance-based stock options, respectively. These awards vest upon successful completion of specific development milestones. As of June 30, 2021, 100%, 85% and 100% of the August 2013, December 2014 and December 2019 grants, respectively, have vested. During 2020, the Company recognized $1,768 and $684 of stock compensation expense related to two milestones within the August 2013 and December 2019 grants for which achievement became probable.</w:t>
      </w:r>
    </w:p>
    <w:p>
      <w:pPr>
        <w:spacing w:after="0" w:line="157" w:lineRule="exact"/>
        <w:rPr>
          <w:sz w:val="20"/>
          <w:szCs w:val="20"/>
          <w:color w:val="auto"/>
        </w:rPr>
      </w:pPr>
    </w:p>
    <w:p>
      <w:pPr>
        <w:jc w:val="both"/>
        <w:ind w:right="420" w:firstLine="522"/>
        <w:spacing w:after="0" w:line="286" w:lineRule="auto"/>
        <w:rPr>
          <w:sz w:val="20"/>
          <w:szCs w:val="20"/>
          <w:color w:val="auto"/>
        </w:rPr>
      </w:pPr>
      <w:r>
        <w:rPr>
          <w:rFonts w:ascii="Arial" w:cs="Arial" w:eastAsia="Arial" w:hAnsi="Arial"/>
          <w:sz w:val="17"/>
          <w:szCs w:val="17"/>
          <w:color w:val="auto"/>
        </w:rPr>
        <w:t>Stock option awards granted to non-employee directors of the Company generally vest over one year. All stock option awards have contractual terms of 10 years.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20"/>
              <w:spacing w:after="0"/>
              <w:rPr>
                <w:sz w:val="20"/>
                <w:szCs w:val="20"/>
                <w:color w:val="auto"/>
              </w:rPr>
            </w:pPr>
            <w:r>
              <w:rPr>
                <w:rFonts w:ascii="Arial" w:cs="Arial" w:eastAsia="Arial" w:hAnsi="Arial"/>
                <w:sz w:val="18"/>
                <w:szCs w:val="18"/>
                <w:color w:val="auto"/>
              </w:rPr>
              <w:t>Related activity under the Incentive Plan is as follows: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6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320" w:type="dxa"/>
            <w:vAlign w:val="bottom"/>
          </w:tcPr>
          <w:p>
            <w:pPr>
              <w:spacing w:after="0"/>
              <w:rPr>
                <w:sz w:val="18"/>
                <w:szCs w:val="18"/>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Price</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4,592</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24,885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(1,928)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Stock option awards cancelled</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10,169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25,089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bl>
    <w:p>
      <w:pPr>
        <w:spacing w:after="0" w:line="202" w:lineRule="exact"/>
        <w:rPr>
          <w:sz w:val="20"/>
          <w:szCs w:val="20"/>
          <w:color w:val="auto"/>
        </w:rPr>
      </w:pPr>
    </w:p>
    <w:p>
      <w:pPr>
        <w:ind w:right="80" w:firstLine="522"/>
        <w:spacing w:after="0" w:line="259" w:lineRule="auto"/>
        <w:rPr>
          <w:sz w:val="20"/>
          <w:szCs w:val="20"/>
          <w:color w:val="auto"/>
        </w:rPr>
      </w:pPr>
      <w:r>
        <w:rPr>
          <w:rFonts w:ascii="Arial" w:cs="Arial" w:eastAsia="Arial" w:hAnsi="Arial"/>
          <w:sz w:val="18"/>
          <w:szCs w:val="18"/>
          <w:color w:val="auto"/>
        </w:rPr>
        <w:t>For stock option awards granted under the Incentive Plan during the first six months of 2021 and 2020, the fair value was estimated on the date of grant using a Black-Scholes option pricing model and the assumptions noted in the table below. The weighted average grant date fair value per share of the awards granted during the first six months of 2021 and 2020 was $7.84 and $3.35, respectively. The fair value of the stock option awards is amortized to expense over the vesting periods using a straight-line expense attribution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Equity Incentive Plan</w:t>
      </w:r>
    </w:p>
    <w:p>
      <w:pPr>
        <w:spacing w:after="0" w:line="225" w:lineRule="exact"/>
        <w:rPr>
          <w:sz w:val="20"/>
          <w:szCs w:val="20"/>
          <w:color w:val="auto"/>
        </w:rPr>
      </w:pPr>
    </w:p>
    <w:p>
      <w:pPr>
        <w:ind w:right="40" w:firstLine="450"/>
        <w:spacing w:after="0" w:line="296" w:lineRule="auto"/>
        <w:rPr>
          <w:sz w:val="20"/>
          <w:szCs w:val="20"/>
          <w:color w:val="auto"/>
        </w:rPr>
      </w:pPr>
      <w:r>
        <w:rPr>
          <w:rFonts w:ascii="Arial" w:cs="Arial" w:eastAsia="Arial" w:hAnsi="Arial"/>
          <w:sz w:val="16"/>
          <w:szCs w:val="16"/>
          <w:color w:val="auto"/>
        </w:rPr>
        <w:t>The Company has the ability to grant stock option awards to newly-hired employees as inducements material to each employee entering employment with the Company. Stock option awards granted to newly hired employees are granted with an exercise price equal to the market price of the Company’s stock at the date of grant and generally vest 25% each year until fully vested after four years. Each stock option has a term of 10 years and is subject to the terms and conditions of the Inducement Plan. The vesting and exercise provisions of all awards granted under the Inducement Plan are subject to acceleration in the event of certain stockholder-approved transactions, or upon the occurrence of a change in control as defined in the Inducement Plan.</w:t>
      </w:r>
    </w:p>
    <w:p>
      <w:pPr>
        <w:sectPr>
          <w:pgSz w:w="11900" w:h="16838" w:orient="portrait"/>
          <w:cols w:equalWidth="0" w:num="1">
            <w:col w:w="11240"/>
          </w:cols>
          <w:pgMar w:left="320" w:top="611" w:right="339" w:bottom="1440" w:gutter="0" w:footer="0" w:header="0"/>
        </w:sectPr>
      </w:pP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Related activity under the Inducement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2020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exercised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 awards cancelled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Awards</w:t>
            </w:r>
          </w:p>
        </w:tc>
        <w:tc>
          <w:tcPr>
            <w:tcW w:w="1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Available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Price</w:t>
            </w:r>
          </w:p>
        </w:tc>
      </w:tr>
      <w:tr>
        <w:trPr>
          <w:trHeight w:val="195"/>
        </w:trPr>
        <w:tc>
          <w:tcPr>
            <w:tcW w:w="15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6"/>
                <w:szCs w:val="16"/>
                <w:color w:val="auto"/>
              </w:rPr>
            </w:pPr>
          </w:p>
        </w:tc>
        <w:tc>
          <w:tcPr>
            <w:tcW w:w="15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4,171</w:t>
            </w:r>
          </w:p>
        </w:tc>
        <w:tc>
          <w:tcPr>
            <w:tcW w:w="10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3.88</w:t>
            </w: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16"/>
        </w:trPr>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30"/>
        </w:trPr>
        <w:tc>
          <w:tcPr>
            <w:tcW w:w="15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09"/>
        </w:trPr>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611" w:right="339" w:bottom="1440" w:gutter="0" w:footer="0" w:header="0"/>
          <w:type w:val="continuous"/>
        </w:sectPr>
      </w:pPr>
    </w:p>
    <w:p>
      <w:pPr>
        <w:spacing w:after="0" w:line="2" w:lineRule="exact"/>
        <w:rPr>
          <w:sz w:val="20"/>
          <w:szCs w:val="20"/>
          <w:color w:val="auto"/>
        </w:rPr>
      </w:pPr>
    </w:p>
    <w:p>
      <w:pPr>
        <w:jc w:val="both"/>
        <w:ind w:right="80" w:firstLine="450"/>
        <w:spacing w:after="0" w:line="263" w:lineRule="auto"/>
        <w:rPr>
          <w:sz w:val="20"/>
          <w:szCs w:val="20"/>
          <w:color w:val="auto"/>
        </w:rPr>
      </w:pPr>
      <w:r>
        <w:rPr>
          <w:rFonts w:ascii="Arial" w:cs="Arial" w:eastAsia="Arial" w:hAnsi="Arial"/>
          <w:sz w:val="18"/>
          <w:szCs w:val="18"/>
          <w:color w:val="auto"/>
        </w:rPr>
        <w:t>For stock option awards granted under the Inducement Plan during the first six months of 2021 and 2020, the fair value was estimated on the date of grant using a Black-Scholes option pricing model and the assumptions noted in the table below. The weighted average grant date fair value per share of the awards granted during the first six months of 2021 and 2020 was $5.86 and $3.67,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3" w:name="page24"/>
    <w:bookmarkEnd w:id="23"/>
    <w:p>
      <w:pPr>
        <w:ind w:firstLine="450"/>
        <w:spacing w:after="0" w:line="272" w:lineRule="auto"/>
        <w:rPr>
          <w:sz w:val="20"/>
          <w:szCs w:val="20"/>
          <w:color w:val="auto"/>
        </w:rPr>
      </w:pPr>
      <w:r>
        <w:rPr>
          <w:rFonts w:ascii="Arial" w:cs="Arial" w:eastAsia="Arial" w:hAnsi="Arial"/>
          <w:sz w:val="17"/>
          <w:szCs w:val="17"/>
          <w:color w:val="auto"/>
        </w:rPr>
        <w:t>The following table summarizes the key assumptions used by the Company to value the stock option awards granted under the Incentive Plan and the Inducement Plan during the first six months of 2021 and 2020,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Weighted Average Assumptions for Stock Option Awards Granted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Directors under the Plans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84.2%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w:t>
      </w:r>
      <w:r>
        <w:rPr>
          <w:rFonts w:ascii="Arial" w:cs="Arial" w:eastAsia="Arial" w:hAnsi="Arial"/>
          <w:sz w:val="18"/>
          <w:szCs w:val="18"/>
          <w:color w:val="auto"/>
        </w:rPr>
        <w:t>“</w:t>
      </w:r>
      <w:r>
        <w:rPr>
          <w:rFonts w:ascii="Arial" w:cs="Arial" w:eastAsia="Arial" w:hAnsi="Arial"/>
          <w:sz w:val="18"/>
          <w:szCs w:val="18"/>
          <w:b w:val="1"/>
          <w:bCs w:val="1"/>
          <w:i w:val="1"/>
          <w:i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100" w:firstLine="522"/>
        <w:spacing w:after="0" w:line="293" w:lineRule="auto"/>
        <w:rPr>
          <w:sz w:val="20"/>
          <w:szCs w:val="20"/>
          <w:color w:val="auto"/>
        </w:rPr>
      </w:pPr>
      <w:r>
        <w:rPr>
          <w:rFonts w:ascii="Arial" w:cs="Arial" w:eastAsia="Arial" w:hAnsi="Arial"/>
          <w:sz w:val="16"/>
          <w:szCs w:val="16"/>
          <w:color w:val="auto"/>
        </w:rPr>
        <w:t>The Company has reserved a total of 7,975 shares of common stock to be purchased under the ESPP, of which 6,180 shares remain available for purchase as of June 30, 2021.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The Company issued 193 shares during the first six months of 2021 under the ESPP. Compensation expense for shares purchased under the ESPP related to the purchase discount and the “look-back” option were determined using a Black-Scholes option pricing model.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Collaborative and Other Research and Development Contracts</w:t>
      </w:r>
    </w:p>
    <w:p>
      <w:pPr>
        <w:spacing w:after="0" w:line="229"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i w:val="1"/>
          <w:iCs w:val="1"/>
          <w:color w:val="auto"/>
        </w:rPr>
        <w:t>National Institute of Allergy and Infectious Diseases (</w:t>
      </w:r>
      <w:r>
        <w:rPr>
          <w:rFonts w:ascii="Arial" w:cs="Arial" w:eastAsia="Arial" w:hAnsi="Arial"/>
          <w:sz w:val="17"/>
          <w:szCs w:val="17"/>
          <w:color w:val="auto"/>
        </w:rPr>
        <w:t>“</w:t>
      </w:r>
      <w:r>
        <w:rPr>
          <w:rFonts w:ascii="Arial" w:cs="Arial" w:eastAsia="Arial" w:hAnsi="Arial"/>
          <w:sz w:val="17"/>
          <w:szCs w:val="17"/>
          <w:i w:val="1"/>
          <w:iCs w:val="1"/>
          <w:color w:val="auto"/>
        </w:rPr>
        <w:t>NIAID/HHS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In September 2013, NIAID/HHS contracted with the Company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galidesivir as a treatment for Marburg virus disease and subsequently, Yellow Fever and Ebola virus disease. As of June 30, 2021, all options under this contract, as amended, have been awarded, and the total value of the contract, as amended, is $45,931, inclusive of the $2,897 added to the contract in August 2020 to support the development of galidesivir. In August 2020, NIAID/HHS awarded the Company a new contract, with potential aggregate funding up of to $43,908 if all contract options are exercised, to manufacture and evaluate the safety, efficacy and tolerability of galidesivir. NIAID/HHS made an initial award of $6,326 to the Company under this contract.</w:t>
      </w:r>
    </w:p>
    <w:p>
      <w:pPr>
        <w:spacing w:after="0" w:line="17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Biomedical Advanced Research and Development Authority (</w:t>
      </w:r>
      <w:r>
        <w:rPr>
          <w:rFonts w:ascii="Arial" w:cs="Arial" w:eastAsia="Arial" w:hAnsi="Arial"/>
          <w:sz w:val="17"/>
          <w:szCs w:val="17"/>
          <w:color w:val="auto"/>
        </w:rPr>
        <w:t>“</w:t>
      </w:r>
      <w:r>
        <w:rPr>
          <w:rFonts w:ascii="Arial" w:cs="Arial" w:eastAsia="Arial" w:hAnsi="Arial"/>
          <w:sz w:val="17"/>
          <w:szCs w:val="17"/>
          <w:i w:val="1"/>
          <w:iCs w:val="1"/>
          <w:color w:val="auto"/>
        </w:rPr>
        <w:t>BARDA/HHS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In March 2015, BARDA/HHS awarded the Company a contract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June 30, 2021, a total of $20,574 has been awarded under exercised options within this contract. The most recent development option was completed as of June 30, 2021.</w:t>
      </w:r>
    </w:p>
    <w:p>
      <w:pPr>
        <w:spacing w:after="0" w:line="17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8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U.S. Department of Health and Human Services (</w:t>
      </w:r>
      <w:r>
        <w:rPr>
          <w:rFonts w:ascii="Arial" w:cs="Arial" w:eastAsia="Arial" w:hAnsi="Arial"/>
          <w:sz w:val="17"/>
          <w:szCs w:val="17"/>
          <w:color w:val="auto"/>
        </w:rPr>
        <w:t>“</w:t>
      </w:r>
      <w:r>
        <w:rPr>
          <w:rFonts w:ascii="Arial" w:cs="Arial" w:eastAsia="Arial" w:hAnsi="Arial"/>
          <w:sz w:val="17"/>
          <w:szCs w:val="17"/>
          <w:i w:val="1"/>
          <w:iCs w:val="1"/>
          <w:color w:val="auto"/>
        </w:rPr>
        <w:t>HHS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In September 2018, HHS awarded the Company a $34,660 contract for the procurement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up to 50,000 doses of RAPIVAB (peramivir injection) over a five-year period, including an initial base order of 10,000 doses. On September 3, 2020, the Company announced that HHS had exercised an option under this contract to purchase an additional 10,000 doses of RAPIVAB for $6,932, which the Company partially delivered in June 2021. In June 2021, the Company delivered 6,560 doses for $4,547. As of June 30, 2021, the Company has delivered a total of 26,560 RAPIVAB doses of the 50,000 RAPIVAB doses available under the contract with HHS.</w:t>
      </w:r>
    </w:p>
    <w:p>
      <w:pPr>
        <w:spacing w:after="0" w:line="17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i w:val="1"/>
          <w:iCs w:val="1"/>
          <w:color w:val="auto"/>
        </w:rPr>
        <w:t>Torii Pharmaceutical Co., Ltd. (</w:t>
      </w:r>
      <w:r>
        <w:rPr>
          <w:rFonts w:ascii="Arial" w:cs="Arial" w:eastAsia="Arial" w:hAnsi="Arial"/>
          <w:sz w:val="18"/>
          <w:szCs w:val="18"/>
          <w:color w:val="auto"/>
        </w:rPr>
        <w:t>“</w:t>
      </w:r>
      <w:r>
        <w:rPr>
          <w:rFonts w:ascii="Arial" w:cs="Arial" w:eastAsia="Arial" w:hAnsi="Arial"/>
          <w:sz w:val="18"/>
          <w:szCs w:val="18"/>
          <w:i w:val="1"/>
          <w:iCs w:val="1"/>
          <w:color w:val="auto"/>
        </w:rPr>
        <w:t>Torii</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On November 5, 2019, the Company entered into a Commercialization and License Agreement with Torii</w:t>
      </w:r>
      <w:r>
        <w:rPr>
          <w:rFonts w:ascii="Arial" w:cs="Arial" w:eastAsia="Arial" w:hAnsi="Arial"/>
          <w:sz w:val="18"/>
          <w:szCs w:val="18"/>
          <w:i w:val="1"/>
          <w:iCs w:val="1"/>
          <w:color w:val="auto"/>
        </w:rPr>
        <w:t xml:space="preserve"> </w:t>
      </w:r>
      <w:r>
        <w:rPr>
          <w:rFonts w:ascii="Arial" w:cs="Arial" w:eastAsia="Arial" w:hAnsi="Arial"/>
          <w:sz w:val="18"/>
          <w:szCs w:val="18"/>
          <w:color w:val="auto"/>
        </w:rPr>
        <w:t>(the “Torii Agreement”), granting Torii the exclusive right to commercialize ORLADEYO for the prevention of hereditary angioedema (“HAE”) attacks in Japan.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24" w:name="page25"/>
    <w:bookmarkEnd w:id="24"/>
    <w:p>
      <w:pPr>
        <w:ind w:right="240" w:firstLine="486"/>
        <w:spacing w:after="0" w:line="263" w:lineRule="auto"/>
        <w:rPr>
          <w:sz w:val="20"/>
          <w:szCs w:val="20"/>
          <w:color w:val="auto"/>
        </w:rPr>
      </w:pPr>
      <w:r>
        <w:rPr>
          <w:rFonts w:ascii="Arial" w:cs="Arial" w:eastAsia="Arial" w:hAnsi="Arial"/>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will be responsible for supplying Torii with its required amounts of ORLADEYO. The activities of the parties pursuant to the Torii Agreement will be overseen by a joint steering committee, to be composed of an equal number of representatives from each party to coordinate the development and commercialization of ORLADEYO in Japan. Torii launched ORLADEYO in Japan on April 23, 2021.</w:t>
      </w:r>
    </w:p>
    <w:p>
      <w:pPr>
        <w:spacing w:after="0" w:line="16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For the six months ended June 30, 2020, $1,335 of the $22,000 upfront payment was recognized as revenue as the services were delivered. Prior to 2020, the Company had recognized as revenue $20,101 of the $22,000 upfront payment.</w:t>
      </w:r>
    </w:p>
    <w:p>
      <w:pPr>
        <w:spacing w:after="0" w:line="195"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i w:val="1"/>
          <w:iCs w:val="1"/>
          <w:color w:val="auto"/>
        </w:rPr>
        <w:t>Seqirus UK Limited (</w:t>
      </w:r>
      <w:r>
        <w:rPr>
          <w:rFonts w:ascii="Arial" w:cs="Arial" w:eastAsia="Arial" w:hAnsi="Arial"/>
          <w:sz w:val="16"/>
          <w:szCs w:val="16"/>
          <w:color w:val="auto"/>
        </w:rPr>
        <w:t>“</w:t>
      </w:r>
      <w:r>
        <w:rPr>
          <w:rFonts w:ascii="Arial" w:cs="Arial" w:eastAsia="Arial" w:hAnsi="Arial"/>
          <w:sz w:val="16"/>
          <w:szCs w:val="16"/>
          <w:i w:val="1"/>
          <w:iCs w:val="1"/>
          <w:color w:val="auto"/>
        </w:rPr>
        <w:t>SUL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16, 2015, the Company and SUL, a limited company organized under the laws of the United Kingdom and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Under the terms of the SUL Agreement, the Company received an upfront payment of $33,740 and has achieved all development milestones under the contract totaling $12,000.</w:t>
      </w:r>
    </w:p>
    <w:p>
      <w:pPr>
        <w:spacing w:after="0" w:line="16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On March 4, 2020, the International Court of Arbitration of the International Chamber of Commerce (“ICC Tribunal”) delivered a Partial Arbitration Award (the “Partial Arbitration Award”) in an arbitration matter between the Company and SUL with respect to the SUL Agreement. In the Partial Arbitration Award, the ICC Tribunal found that, during the term, SUL materially breached and abandoned its core duties to the Company under the Diligent Efforts (as defined in the SUL Agreement) requirements of the SUL Agreement as applicable in the U.S. The ICC Tribunal granted a declaratory judgment in favor of the Company terminating the SUL Agreement and restoring all rights to peramivir to the Company. The parties agreed on a transition process for the product, with a full transition of commercialization of the product in the U.S. and Australia returned to the Company as of August 1, 2020 and November 1, 2020, respectively. The ICC Tribunal also awarded the Company its attorneys’ fees and expenses incurred in securing the declaratory judgment as well as the costs incurred by the Company in the arbitration. Finally, the ICC Tribunal found that SUL breached the SUL Agreement by failing to pay the milestone payment due to the Company within 30 days of the approval of peramivir for adult use in the European Union and awarded the Company $5,000 (plus interest) for this claim. The ICC Tribunal retained jurisdiction for further proceedings relating to the award of attorneys’ fees and for any dispute relating to the return to the Company of all rights to peramivir in the Territory. The Company recognized a settlement gain of $8,893 in other income and legal fees and other expenses of $5,026 in selling, general and administrative expenses for the six months ended June 30, 2020.</w:t>
      </w:r>
    </w:p>
    <w:p>
      <w:pPr>
        <w:spacing w:after="0" w:line="168"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i w:val="1"/>
          <w:iCs w:val="1"/>
          <w:color w:val="auto"/>
        </w:rPr>
        <w:t>Shionogi &amp; Co., Ltd. (</w:t>
      </w:r>
      <w:r>
        <w:rPr>
          <w:rFonts w:ascii="Arial" w:cs="Arial" w:eastAsia="Arial" w:hAnsi="Arial"/>
          <w:sz w:val="17"/>
          <w:szCs w:val="17"/>
          <w:color w:val="auto"/>
        </w:rPr>
        <w:t>“</w:t>
      </w:r>
      <w:r>
        <w:rPr>
          <w:rFonts w:ascii="Arial" w:cs="Arial" w:eastAsia="Arial" w:hAnsi="Arial"/>
          <w:sz w:val="17"/>
          <w:szCs w:val="17"/>
          <w:i w:val="1"/>
          <w:iCs w:val="1"/>
          <w:color w:val="auto"/>
        </w:rPr>
        <w:t>Shionogi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2007, the Company entered into an exclusive license agreement with Shionogi to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7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December 2017, the Company, on behalf of Royalty Sub, instituted arbitration proceedings against Shionogi in order to resolve a dispute with Shionogi under the Shionogi Agreement regarding the achievement of sales milestones and escalating royalties. The arbitration proceedings have concluded, with the decision that no sale milestones had been achieved and that royalties would remain the same. The costs associated with the arbitration proceedings are recoverable from the assets of Royalty Sub in accordance with the terms of the indenture and servicing agreement relating to the PhaRMA Notes.</w:t>
      </w:r>
    </w:p>
    <w:p>
      <w:pPr>
        <w:spacing w:after="0" w:line="188"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i w:val="1"/>
          <w:iCs w:val="1"/>
          <w:color w:val="auto"/>
        </w:rPr>
        <w:t>Green Cross Corporation (</w:t>
      </w:r>
      <w:r>
        <w:rPr>
          <w:rFonts w:ascii="Arial" w:cs="Arial" w:eastAsia="Arial" w:hAnsi="Arial"/>
          <w:sz w:val="16"/>
          <w:szCs w:val="16"/>
          <w:color w:val="auto"/>
        </w:rPr>
        <w:t>“</w:t>
      </w:r>
      <w:r>
        <w:rPr>
          <w:rFonts w:ascii="Arial" w:cs="Arial" w:eastAsia="Arial" w:hAnsi="Arial"/>
          <w:sz w:val="16"/>
          <w:szCs w:val="16"/>
          <w:i w:val="1"/>
          <w:iCs w:val="1"/>
          <w:color w:val="auto"/>
        </w:rPr>
        <w:t>Green Cross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June 2006, the Company entered into an agreement with Green Cross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 Korea. Under the terms of the agreement, Green Cross will be responsible for all development, regulatory, and commercialization costs in Korea. The Company received a one-time license fee of $250.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ind w:firstLine="486"/>
        <w:spacing w:after="0" w:line="273" w:lineRule="auto"/>
        <w:rPr>
          <w:sz w:val="20"/>
          <w:szCs w:val="20"/>
          <w:color w:val="auto"/>
        </w:rPr>
      </w:pPr>
      <w:r>
        <w:rPr>
          <w:rFonts w:ascii="Arial" w:cs="Arial" w:eastAsia="Arial" w:hAnsi="Arial"/>
          <w:sz w:val="17"/>
          <w:szCs w:val="17"/>
          <w:i w:val="1"/>
          <w:iCs w:val="1"/>
          <w:color w:val="auto"/>
        </w:rPr>
        <w:t>Mundipharma International Holdings Limited (</w:t>
      </w:r>
      <w:r>
        <w:rPr>
          <w:rFonts w:ascii="Arial" w:cs="Arial" w:eastAsia="Arial" w:hAnsi="Arial"/>
          <w:sz w:val="17"/>
          <w:szCs w:val="17"/>
          <w:color w:val="auto"/>
        </w:rPr>
        <w:t>“</w:t>
      </w:r>
      <w:r>
        <w:rPr>
          <w:rFonts w:ascii="Arial" w:cs="Arial" w:eastAsia="Arial" w:hAnsi="Arial"/>
          <w:sz w:val="17"/>
          <w:szCs w:val="17"/>
          <w:i w:val="1"/>
          <w:iCs w:val="1"/>
          <w:color w:val="auto"/>
        </w:rPr>
        <w:t>Mundipharma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the Company entered into an exclusive, royalty bearing right</w:t>
      </w:r>
      <w:r>
        <w:rPr>
          <w:rFonts w:ascii="Arial" w:cs="Arial" w:eastAsia="Arial" w:hAnsi="Arial"/>
          <w:sz w:val="17"/>
          <w:szCs w:val="17"/>
          <w:i w:val="1"/>
          <w:iCs w:val="1"/>
          <w:color w:val="auto"/>
        </w:rPr>
        <w:t xml:space="preserve"> </w:t>
      </w:r>
      <w:r>
        <w:rPr>
          <w:rFonts w:ascii="Arial" w:cs="Arial" w:eastAsia="Arial" w:hAnsi="Arial"/>
          <w:sz w:val="17"/>
          <w:szCs w:val="17"/>
          <w:color w:val="auto"/>
        </w:rPr>
        <w:t>and license agreement with Mundipharma for the development and commercialization of Mundesine, a Purine Nucleoside Phosphorylase (“PNP”) inhibitor, for use in oncology. The agreement, as amended and restated, provides for the possibility of future event payments totaling $15,000 for achieving specified regulatory events for certain indications and tiered royalties ranging from mid to high single-digit percentages of net product sales in each country where Mundesine is sold by Mundipharma. The Company licensed forodesine and other PNP inhibitors from AECOM/IRL (as defined below) and will owe sublicense payments to AECOM/IRL on all milestone payments and royalties received from Mundipharma.</w:t>
      </w:r>
    </w:p>
    <w:p>
      <w:pPr>
        <w:spacing w:after="0" w:line="17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Albert Einstein College of Medicine of Yeshiva University and Industrial Research, Ltd. (</w:t>
      </w:r>
      <w:r>
        <w:rPr>
          <w:rFonts w:ascii="Arial" w:cs="Arial" w:eastAsia="Arial" w:hAnsi="Arial"/>
          <w:sz w:val="17"/>
          <w:szCs w:val="17"/>
          <w:color w:val="auto"/>
        </w:rPr>
        <w:t>“</w:t>
      </w:r>
      <w:r>
        <w:rPr>
          <w:rFonts w:ascii="Arial" w:cs="Arial" w:eastAsia="Arial" w:hAnsi="Arial"/>
          <w:sz w:val="17"/>
          <w:szCs w:val="17"/>
          <w:i w:val="1"/>
          <w:iCs w:val="1"/>
          <w:color w:val="auto"/>
        </w:rPr>
        <w:t>AECOM</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IRL,</w:t>
      </w:r>
      <w:r>
        <w:rPr>
          <w:rFonts w:ascii="Arial" w:cs="Arial" w:eastAsia="Arial" w:hAnsi="Arial"/>
          <w:sz w:val="17"/>
          <w:szCs w:val="17"/>
          <w:color w:val="auto"/>
        </w:rPr>
        <w:t>”</w:t>
      </w:r>
      <w:r>
        <w:rPr>
          <w:rFonts w:ascii="Arial" w:cs="Arial" w:eastAsia="Arial" w:hAnsi="Arial"/>
          <w:sz w:val="17"/>
          <w:szCs w:val="17"/>
          <w:i w:val="1"/>
          <w:iCs w:val="1"/>
          <w:color w:val="auto"/>
        </w:rPr>
        <w:t xml:space="preserve"> respectively). </w:t>
      </w:r>
      <w:r>
        <w:rPr>
          <w:rFonts w:ascii="Arial" w:cs="Arial" w:eastAsia="Arial" w:hAnsi="Arial"/>
          <w:sz w:val="17"/>
          <w:szCs w:val="17"/>
          <w:color w:val="auto"/>
        </w:rPr>
        <w:t>In June 2000,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licensed a series of potent inhibitors of PNP from AECOM and IRL, (together, the “Licensors”). The lead product candidate from this collaboration is forodesine. The Company has obtained worldwide exclusive rights to develop and ultimately distribute this, or any other, product candidates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and to pay certain milestone payments for each licensed product (which range in the aggregate from $1,400 to almost $4,000 per indication) for future development, single digit royalties on net sales of any resulting product made by the Company, and to share a portion of future payments received from other third-party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spacing w:after="0" w:line="18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i w:val="1"/>
          <w:iCs w:val="1"/>
          <w:color w:val="auto"/>
        </w:rPr>
        <w:t>The University of Alabama at Birmingham (</w:t>
      </w:r>
      <w:r>
        <w:rPr>
          <w:rFonts w:ascii="Arial" w:cs="Arial" w:eastAsia="Arial" w:hAnsi="Arial"/>
          <w:sz w:val="16"/>
          <w:szCs w:val="16"/>
          <w:color w:val="auto"/>
        </w:rPr>
        <w:t>“</w:t>
      </w:r>
      <w:r>
        <w:rPr>
          <w:rFonts w:ascii="Arial" w:cs="Arial" w:eastAsia="Arial" w:hAnsi="Arial"/>
          <w:sz w:val="16"/>
          <w:szCs w:val="16"/>
          <w:i w:val="1"/>
          <w:iCs w:val="1"/>
          <w:color w:val="auto"/>
        </w:rPr>
        <w:t>UAB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currently has agreements with UAB for influenza neuraminidase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 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1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9" w:lineRule="exact"/>
        <w:rPr>
          <w:sz w:val="20"/>
          <w:szCs w:val="20"/>
          <w:color w:val="auto"/>
        </w:rPr>
      </w:pPr>
    </w:p>
    <w:p>
      <w:pPr>
        <w:ind w:right="60" w:firstLine="522"/>
        <w:spacing w:after="0" w:line="259" w:lineRule="auto"/>
        <w:rPr>
          <w:sz w:val="20"/>
          <w:szCs w:val="20"/>
          <w:color w:val="auto"/>
        </w:rPr>
      </w:pPr>
      <w:r>
        <w:rPr>
          <w:rFonts w:ascii="Arial" w:cs="Arial" w:eastAsia="Arial" w:hAnsi="Arial"/>
          <w:sz w:val="18"/>
          <w:szCs w:val="18"/>
          <w:i w:val="1"/>
          <w:iCs w:val="1"/>
          <w:color w:val="auto"/>
        </w:rPr>
        <w:t>The following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at the beginning of this report and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in Part II, Item 1A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are a commercial-stage biotechnology company that discovers novel,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U.S. and certain other regions upon regulatory approval. By focusing on rare disease markets, we believe that we can more effectively control the costs of, and our strategic allocation of financial resources toward, post-approval commercialization.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225"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i w:val="1"/>
          <w:iCs w:val="1"/>
          <w:color w:val="auto"/>
        </w:rPr>
        <w:t>ORLADEYO</w:t>
      </w:r>
      <w:r>
        <w:rPr>
          <w:rFonts w:ascii="Arial" w:cs="Arial" w:eastAsia="Arial" w:hAnsi="Arial"/>
          <w:sz w:val="18"/>
          <w:szCs w:val="18"/>
          <w:color w:val="auto"/>
        </w:rPr>
        <w:t>®</w:t>
      </w:r>
      <w:r>
        <w:rPr>
          <w:rFonts w:ascii="Arial" w:cs="Arial" w:eastAsia="Arial" w:hAnsi="Arial"/>
          <w:sz w:val="18"/>
          <w:szCs w:val="18"/>
          <w:i w:val="1"/>
          <w:iCs w:val="1"/>
          <w:color w:val="auto"/>
        </w:rPr>
        <w:t xml:space="preserve"> (berotralstat)</w:t>
      </w:r>
      <w:r>
        <w:rPr>
          <w:rFonts w:ascii="Arial" w:cs="Arial" w:eastAsia="Arial" w:hAnsi="Arial"/>
          <w:sz w:val="18"/>
          <w:szCs w:val="18"/>
          <w:color w:val="auto"/>
        </w:rPr>
        <w:t>. ORLADEYO is an oral, once-daily therapy discovered and developed by us for the prevention of hereditary</w:t>
      </w:r>
      <w:r>
        <w:rPr>
          <w:rFonts w:ascii="Arial" w:cs="Arial" w:eastAsia="Arial" w:hAnsi="Arial"/>
          <w:sz w:val="18"/>
          <w:szCs w:val="18"/>
          <w:i w:val="1"/>
          <w:iCs w:val="1"/>
          <w:color w:val="auto"/>
        </w:rPr>
        <w:t xml:space="preserve"> </w:t>
      </w:r>
      <w:r>
        <w:rPr>
          <w:rFonts w:ascii="Arial" w:cs="Arial" w:eastAsia="Arial" w:hAnsi="Arial"/>
          <w:sz w:val="18"/>
          <w:szCs w:val="18"/>
          <w:color w:val="auto"/>
        </w:rPr>
        <w:t>angioedema (“HAE”) attacks. ORLADEYO is approved in the U.S., the European Union, Japan, and the United Kingdom for the prevention of HAE attacks in adults and pediatric patients 12 years and older.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26" w:name="page27"/>
    <w:bookmarkEnd w:id="26"/>
    <w:p>
      <w:pPr>
        <w:ind w:right="20" w:firstLine="486"/>
        <w:spacing w:after="0" w:line="301" w:lineRule="auto"/>
        <w:rPr>
          <w:sz w:val="20"/>
          <w:szCs w:val="20"/>
          <w:color w:val="auto"/>
        </w:rPr>
      </w:pPr>
      <w:r>
        <w:rPr>
          <w:rFonts w:ascii="Arial" w:cs="Arial" w:eastAsia="Arial" w:hAnsi="Arial"/>
          <w:sz w:val="16"/>
          <w:szCs w:val="16"/>
          <w:i w:val="1"/>
          <w:iCs w:val="1"/>
          <w:color w:val="auto"/>
        </w:rPr>
        <w:t>BCX9930</w:t>
      </w:r>
      <w:r>
        <w:rPr>
          <w:rFonts w:ascii="Arial" w:cs="Arial" w:eastAsia="Arial" w:hAnsi="Arial"/>
          <w:sz w:val="16"/>
          <w:szCs w:val="16"/>
          <w:color w:val="auto"/>
        </w:rPr>
        <w:t>. BCX9930 is a novel, oral, potent, and selective small molecule inhibitor of Factor D currently in clinical development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complement-mediated diseases. Based on the safety and proof-of-concept data generated to date in patients with paroxysmal nocturnal hemoglobinuria (“PNH”), the program has advanced to pivotal studies in PNH. We are working closely with key opinion leaders in hematology and nephrology to map the development strategy across a broad set of indications. Our goal is to develop BCX9930 as an oral monotherapy for complement-mediated diseases.</w:t>
      </w:r>
    </w:p>
    <w:p>
      <w:pPr>
        <w:spacing w:after="0" w:line="15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Galidesivir</w:t>
      </w:r>
      <w:r>
        <w:rPr>
          <w:rFonts w:ascii="Arial" w:cs="Arial" w:eastAsia="Arial" w:hAnsi="Arial"/>
          <w:sz w:val="18"/>
          <w:szCs w:val="18"/>
          <w:color w:val="auto"/>
        </w:rPr>
        <w:t>. Galidesivir, a broad-spectrum antiviral drug, is an adenosine nucleoside analog that acts to block viral RNA polymerase. It is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development for the treatment of Marburg virus disease. Phase 1 clinical safety and pharmacokinetics trials of galidesivir by both intravenous and intramuscular routes of administration in healthy subjects have been conducted. We are developing galidesivir in collaboration with U.S. government agencies and other institutions.</w:t>
      </w:r>
    </w:p>
    <w:p>
      <w:pPr>
        <w:spacing w:after="0" w:line="187"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galidesivir program has been substantially funded with federal funds from the National Institute of Allergy and Infectious Diseases within the U.S. Department of Health and Human Services (“NIAID/HHS”) and by the Biomedical Advanced Research and Development Authority within the HHS (“BARDA/HHS”).</w:t>
      </w:r>
    </w:p>
    <w:p>
      <w:pPr>
        <w:spacing w:after="0" w:line="1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BCX9250</w:t>
      </w:r>
      <w:r>
        <w:rPr>
          <w:rFonts w:ascii="Arial" w:cs="Arial" w:eastAsia="Arial" w:hAnsi="Arial"/>
          <w:sz w:val="18"/>
          <w:szCs w:val="18"/>
          <w:color w:val="auto"/>
        </w:rPr>
        <w:t>. The goal of our activin receptor-like kinase-2 (“ALK2”) inhibitor program is to discover and develop orally administered kinase 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drug candidates that are able to slow or prevent the progressive formation of bone in soft tissues, also known as heterotopic ossification (“HO”), that affects patients with fibrodysplasia ossificans progressiva (“FOP”). In a phase 1 clinical trial in healthy volunteers, BCX9250 was safe and well tolerated at all doses studied, with linear and dose-proportional exposure supporting once-daily dosing.</w:t>
      </w:r>
    </w:p>
    <w:p>
      <w:pPr>
        <w:spacing w:after="0" w:line="187" w:lineRule="exact"/>
        <w:rPr>
          <w:sz w:val="20"/>
          <w:szCs w:val="20"/>
          <w:color w:val="auto"/>
        </w:rPr>
      </w:pPr>
    </w:p>
    <w:p>
      <w:pPr>
        <w:jc w:val="both"/>
        <w:ind w:right="480" w:firstLine="486"/>
        <w:spacing w:after="0" w:line="263" w:lineRule="auto"/>
        <w:rPr>
          <w:sz w:val="20"/>
          <w:szCs w:val="20"/>
          <w:color w:val="auto"/>
        </w:rPr>
      </w:pPr>
      <w:r>
        <w:rPr>
          <w:rFonts w:ascii="Arial" w:cs="Arial" w:eastAsia="Arial" w:hAnsi="Arial"/>
          <w:sz w:val="18"/>
          <w:szCs w:val="18"/>
          <w:i w:val="1"/>
          <w:iCs w:val="1"/>
          <w:color w:val="auto"/>
        </w:rPr>
        <w:t>RAPIVAB</w:t>
      </w:r>
      <w:r>
        <w:rPr>
          <w:rFonts w:ascii="Arial" w:cs="Arial" w:eastAsia="Arial" w:hAnsi="Arial"/>
          <w:sz w:val="18"/>
          <w:szCs w:val="18"/>
          <w:color w:val="auto"/>
        </w:rPr>
        <w:t>®</w:t>
      </w:r>
      <w:r>
        <w:rPr>
          <w:rFonts w:ascii="Arial" w:cs="Arial" w:eastAsia="Arial" w:hAnsi="Arial"/>
          <w:sz w:val="18"/>
          <w:szCs w:val="18"/>
          <w:i w:val="1"/>
          <w:iCs w:val="1"/>
          <w:color w:val="auto"/>
        </w:rPr>
        <w:t xml:space="preserve">/RAPIACTA/PERAMIFLU (peramivir injection). </w:t>
      </w:r>
      <w:r>
        <w:rPr>
          <w:rFonts w:ascii="Arial" w:cs="Arial" w:eastAsia="Arial" w:hAnsi="Arial"/>
          <w:sz w:val="18"/>
          <w:szCs w:val="18"/>
          <w:color w:val="auto"/>
        </w:rPr>
        <w:t>RAPIVAB (peramivir injection) is approved in the U.S. for the treatment of acute</w:t>
      </w:r>
      <w:r>
        <w:rPr>
          <w:rFonts w:ascii="Arial" w:cs="Arial" w:eastAsia="Arial" w:hAnsi="Arial"/>
          <w:sz w:val="18"/>
          <w:szCs w:val="18"/>
          <w:i w:val="1"/>
          <w:iCs w:val="1"/>
          <w:color w:val="auto"/>
        </w:rPr>
        <w:t xml:space="preserve"> </w:t>
      </w:r>
      <w:r>
        <w:rPr>
          <w:rFonts w:ascii="Arial" w:cs="Arial" w:eastAsia="Arial" w:hAnsi="Arial"/>
          <w:sz w:val="18"/>
          <w:szCs w:val="18"/>
          <w:color w:val="auto"/>
        </w:rPr>
        <w:t>uncomplicated influenza for patients six months and older. Peramivir injection is also approved in Canada (RAPIVAB), Australia (RAPIVAB), Japan (RAPIACTA), Taiwan (RAPIACTA), and Korea (PERAMIFLU).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Expenses</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6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operating expenses are also difficult to predict and depend on several factors, including commercialization expenses, research and development expenses (and whether these expenses are reimbursable under government contracts), drug manufacturing, and clinical research activities, the ongoing requirements of our development programs,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92" w:lineRule="exact"/>
        <w:rPr>
          <w:sz w:val="20"/>
          <w:szCs w:val="20"/>
          <w:color w:val="auto"/>
        </w:rPr>
      </w:pPr>
    </w:p>
    <w:p>
      <w:pPr>
        <w:ind w:right="360" w:firstLine="522"/>
        <w:spacing w:after="0" w:line="311" w:lineRule="auto"/>
        <w:rPr>
          <w:sz w:val="20"/>
          <w:szCs w:val="20"/>
          <w:color w:val="auto"/>
        </w:rPr>
      </w:pPr>
      <w:r>
        <w:rPr>
          <w:rFonts w:ascii="Arial" w:cs="Arial" w:eastAsia="Arial" w:hAnsi="Arial"/>
          <w:sz w:val="16"/>
          <w:szCs w:val="16"/>
          <w:color w:val="auto"/>
        </w:rPr>
        <w:t>As a result of these factors, we believe that period-to-period comparisons are not necessarily meaningful, and you should not rely on them as an indication of future performance. Due to all of the foregoing factors, it is possible that our operating results will be below the expectations of market analysts and investors. In such event, the prevailing market price of our common stock could be materially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522"/>
        <w:spacing w:after="0" w:line="287" w:lineRule="auto"/>
        <w:rPr>
          <w:sz w:val="20"/>
          <w:szCs w:val="20"/>
          <w:color w:val="auto"/>
        </w:rPr>
      </w:pPr>
      <w:r>
        <w:rPr>
          <w:rFonts w:ascii="Arial" w:cs="Arial" w:eastAsia="Arial" w:hAnsi="Arial"/>
          <w:sz w:val="16"/>
          <w:szCs w:val="16"/>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00" w:firstLine="450"/>
        <w:spacing w:after="0" w:line="308" w:lineRule="auto"/>
        <w:rPr>
          <w:sz w:val="20"/>
          <w:szCs w:val="20"/>
          <w:color w:val="auto"/>
        </w:rPr>
      </w:pPr>
      <w:r>
        <w:rPr>
          <w:rFonts w:ascii="Arial" w:cs="Arial" w:eastAsia="Arial" w:hAnsi="Arial"/>
          <w:sz w:val="16"/>
          <w:szCs w:val="16"/>
          <w:color w:val="auto"/>
        </w:rPr>
        <w:t>The ongoing COVID-19 pandemic has severely impacted global economic activity and caused significant volatility in financial markets. While our financial condition, results of operations, and liquidity have not been materially impacted by the direct effects of the COVID-19 pandemic, the COVID-19</w:t>
      </w:r>
    </w:p>
    <w:p>
      <w:pPr>
        <w:spacing w:after="0" w:line="254" w:lineRule="auto"/>
        <w:rPr>
          <w:sz w:val="20"/>
          <w:szCs w:val="20"/>
          <w:color w:val="auto"/>
        </w:rPr>
      </w:pPr>
      <w:r>
        <w:rPr>
          <w:rFonts w:ascii="Arial" w:cs="Arial" w:eastAsia="Arial" w:hAnsi="Arial"/>
          <w:sz w:val="18"/>
          <w:szCs w:val="18"/>
          <w:color w:val="auto"/>
        </w:rPr>
        <w:t>pandemic continues to evolve. Please refer to “Risk Factors Risks Related to Our Business Risks Related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are ongoing where possible, and we continue to limit business-related travel. To date, implementation of these measures has not required material expenditures or significantly impacted our ability to operate our business or our internal control over financial reporting and disclosure controls and procedures. We are continuing to monitor the potential impacts of COVID-19 on our operations and those of our partners, suppliers, customers, and regulators.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(berotralstat)</w:t>
      </w:r>
    </w:p>
    <w:p>
      <w:pPr>
        <w:spacing w:after="0" w:line="225"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ORLADEYO is an oral, once-daily therapy discovered and developed by BioCryst for the prevention of hereditary angioedema (“HAE”) attacks. ORLADEYO was approved by the U.S. Food and Drug Administration (“FDA”) in December 2020 for prophylaxis to prevent attacks of HAE in adults and pediatric patients 12 years and older.</w:t>
      </w:r>
    </w:p>
    <w:p>
      <w:pPr>
        <w:spacing w:after="0" w:line="18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ORLADEYO also received marketing and manufacturing approval from the Ministry of Health, Labor and Welfare (“MHLW”) in Japan in January 2021 for prophylactic treatment of HAE in adults and pediatric patients 12 years and older. On April 14, 2021, we announced that the Japanese National Health Insurance System (“NHI”) approved the addition of ORLADEYO to the NHI drug price list on April 21, 2021. Torii Pharmaceutical Co., Ltd. (“Torii”), our collaborative partner commercializing ORLADEYO in Japan, launched ORLADEYO in Japan on April 23, 2021. The NHI price listing triggered a $15.0 million milestone payment from Torii to us, which we received and recognized in the second quarter of 2021. In addition, under our agreement with Torii, we are entitled to receive tiered royalty payments, ranging from 20% to 40% of net sales of ORLADEYO in Japan during each calendar year. ORLADEYO is the first and only prophylactic HAE medication approved in Japan.</w:t>
      </w:r>
    </w:p>
    <w:p>
      <w:pPr>
        <w:spacing w:after="0" w:line="17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On April 30, 2021, we announced that the European Commission (“EC”) approved ORLADEYO for routine prevention of recurrent attacks of HAE in adult and adolescent patients aged 12 years and older. The EC approval is applicable to all European Union (“EU”) member states plus Iceland, Norway, and Liechtenstein. ORLADEYO is the first oral, once-daily prophylactic therapy for the prevention of HAE attacks approved in Europe. On June 3, 2021, we announced the launch of ORLADEYO in Germany.</w:t>
      </w:r>
    </w:p>
    <w:p>
      <w:pPr>
        <w:spacing w:after="0" w:line="187" w:lineRule="exact"/>
        <w:rPr>
          <w:sz w:val="20"/>
          <w:szCs w:val="20"/>
          <w:color w:val="auto"/>
        </w:rPr>
      </w:pPr>
    </w:p>
    <w:p>
      <w:pPr>
        <w:ind w:right="480" w:firstLine="486"/>
        <w:spacing w:after="0" w:line="259" w:lineRule="auto"/>
        <w:rPr>
          <w:sz w:val="20"/>
          <w:szCs w:val="20"/>
          <w:color w:val="auto"/>
        </w:rPr>
      </w:pPr>
      <w:r>
        <w:rPr>
          <w:rFonts w:ascii="Arial" w:cs="Arial" w:eastAsia="Arial" w:hAnsi="Arial"/>
          <w:sz w:val="18"/>
          <w:szCs w:val="18"/>
          <w:color w:val="auto"/>
        </w:rPr>
        <w:t>On May 12, 2021, we announced that the United Kingdom’s Medicines and Healthcare Regulatory Agency (“MHRA”) granted marketing authorization for ORLADEYO for the routine prevention of recurrent HAE attacks in HAE patients 12 years and older. A decision from the National Institute for Health and Care Excellence and Scottish Medicines Consortium for use of ORLADEYO under the U.K.’s National Health Service is anticipated in the fourth quarter of 2021.</w:t>
      </w:r>
    </w:p>
    <w:p>
      <w:pPr>
        <w:spacing w:after="0" w:line="18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On June 16, 2021, we announced that the Israeli Ministry of Health has accepted the regulatory submission of ORLADEYO for the prevention of recurrent attacks in patients with HAE 12 years and older and that the Israeli Ministry of Health has granted an accelerated review. In addition, we entered into a distribution and supply agreement granting Neopharm Ltd., a corporation organized under the laws of the State of Israel, the exclusive rights to commercialize ORLADEYO in Israel.</w:t>
      </w:r>
    </w:p>
    <w:p>
      <w:pPr>
        <w:spacing w:after="0" w:line="187" w:lineRule="exact"/>
        <w:rPr>
          <w:sz w:val="20"/>
          <w:szCs w:val="20"/>
          <w:color w:val="auto"/>
        </w:rPr>
      </w:pPr>
    </w:p>
    <w:p>
      <w:pPr>
        <w:ind w:right="160" w:firstLine="486"/>
        <w:spacing w:after="0" w:line="287" w:lineRule="auto"/>
        <w:rPr>
          <w:sz w:val="20"/>
          <w:szCs w:val="20"/>
          <w:color w:val="auto"/>
        </w:rPr>
      </w:pPr>
      <w:r>
        <w:rPr>
          <w:rFonts w:ascii="Arial" w:cs="Arial" w:eastAsia="Arial" w:hAnsi="Arial"/>
          <w:sz w:val="16"/>
          <w:szCs w:val="16"/>
          <w:color w:val="auto"/>
        </w:rPr>
        <w:t>On July 10, 2021, we announced data presented at the European Academy of Allergy and Clinical Immunology (EAACI) Hybrid Congress 2021. HAE patients who were randomized to receive 150 mg of ORLADEYO at the start of the APeX-2 trial had an 80 percent average reduction in their mean attack rate per month during weeks 25-96 of the trial, compared to baseline. Median attack rates also decreased from 2.7 attacks per month at baseline to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0.0 attacks per month in 16 of 17 months through the same period. ORLADEYO was generally well-tolerated during the treatment period with fewer drug-related adverse events reported in part 3 (weeks 49-96) as compared to part 1 (weeks 0-24) and part 2 (weeks 25-48). Eighty-one percent of the patients who entered part 3 completed the trial.</w:t>
      </w:r>
    </w:p>
    <w:p>
      <w:pPr>
        <w:spacing w:after="0" w:line="19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Revenue from sales of ORLADEYO in the second quarter of 2021, which was our second full quarter of ORLADEYO sales, is discussed under “Results of Operations.” Revenue from sales of ORLADEYO in future periods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and market trends. We are continuing to monitor and analyze this data during the initial launch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Paroxysmal Nocturnal Hemoglobinuria ("PNH")</w:t>
      </w:r>
    </w:p>
    <w:p>
      <w:pPr>
        <w:spacing w:after="0" w:line="225"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On July 15, 2021, we announced the designs for REDEEM-1 and REDEEM-2, two upcoming pivotal trials with BCX9930 in patients with PNH. REDEEM-1 is a randomized, open-label, active, comparator-controlled comparison of the efficacy and safety of BCX9930 (500 mg twice-daily) monotherapy in approximately 81 PNH patients with an inadequate response to a C5 inhibitor. REDEEM-2 is a randomized, placebo-controlled trial to evaluate the efficacy and safety of BCX9930 (500 mg twice-daily) as monotherapy versus placebo in approximately 57 PNH patients not currently receiving complement inhibitor therapy. The primary endpoint for both trials is the change from baseline in hemoglobin, assessed at weeks 12 to 24 in REDEEM-1 and at week 12 in REDEEM-2. Trial site startup activities are underway at sites around the world, and both pivotal trials are expected to begin enrolling patients in the second half of 2021.</w:t>
      </w:r>
    </w:p>
    <w:p>
      <w:pPr>
        <w:spacing w:after="0" w:line="195" w:lineRule="exact"/>
        <w:rPr>
          <w:sz w:val="20"/>
          <w:szCs w:val="20"/>
          <w:color w:val="auto"/>
        </w:rPr>
      </w:pPr>
    </w:p>
    <w:p>
      <w:pPr>
        <w:jc w:val="both"/>
        <w:ind w:right="200" w:firstLine="450"/>
        <w:spacing w:after="0" w:line="311" w:lineRule="auto"/>
        <w:rPr>
          <w:sz w:val="20"/>
          <w:szCs w:val="20"/>
          <w:color w:val="auto"/>
        </w:rPr>
      </w:pPr>
      <w:r>
        <w:rPr>
          <w:rFonts w:ascii="Arial" w:cs="Arial" w:eastAsia="Arial" w:hAnsi="Arial"/>
          <w:sz w:val="16"/>
          <w:szCs w:val="16"/>
          <w:color w:val="auto"/>
        </w:rPr>
        <w:t>On August 5, 2021, we announced that in our ongoing rollover study for our dose-ranging trial with PNH patients, patients have continued to take BCX9930 twice-daily, with average dosing duration now exceeding 9 months and with the longest time on drug of 17 months. Nine treatment-naïve (no prior treatment with C5 inhibitors) patients have continued to benefit from BCX9930 monotherapy. All nine of these patients have continued on therapy.</w:t>
      </w:r>
    </w:p>
    <w:p>
      <w:pPr>
        <w:spacing w:after="0" w:line="149" w:lineRule="exact"/>
        <w:rPr>
          <w:sz w:val="20"/>
          <w:szCs w:val="20"/>
          <w:color w:val="auto"/>
        </w:rPr>
      </w:pPr>
    </w:p>
    <w:p>
      <w:pPr>
        <w:ind w:right="240" w:firstLine="450"/>
        <w:spacing w:after="0" w:line="257" w:lineRule="auto"/>
        <w:rPr>
          <w:sz w:val="20"/>
          <w:szCs w:val="20"/>
          <w:color w:val="auto"/>
        </w:rPr>
      </w:pPr>
      <w:r>
        <w:rPr>
          <w:rFonts w:ascii="Arial" w:cs="Arial" w:eastAsia="Arial" w:hAnsi="Arial"/>
          <w:sz w:val="18"/>
          <w:szCs w:val="18"/>
          <w:color w:val="auto"/>
        </w:rPr>
        <w:t>Six patients in the rollover study are patients who have had an inadequate response to C5 inhibitors. Five of these patients had high levels of C3 opsonization on PNH red blood cells at baseline, and all five patients continue to benefit from BCX9930. Investigators have recently decided to discontinue C5 inhibitor in four of these patients. These four patients are now continuing on BCX9930 monotherapy. One patient with an inadequate response to C5 inhibitors and ongoing medical complications prior to study had very low levels of C3 opsonization at baseline. This patient continued to need red blood cell transfusions during dosing and has discontinued from the trial.</w:t>
      </w:r>
    </w:p>
    <w:p>
      <w:pPr>
        <w:spacing w:after="0" w:line="188"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BCX9930 has continued to be safe and generally well-tolerated with increased duration of dosing in the trial. No serious drug-related adverse events were reported. As previously reported, one subject discontinued due to an unrelated serious adverse event.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Renal Complement-Mediated Diseases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second half of 2021, we plan to initiate a proof-of-concept trial of oral BCX9930 (500 mg twice-daily) in renal complement-mediated diseases.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trial will be a basket study including cohorts of patients with C3 glomerulopathy, IgA nephropathy, and primary membranous nephropathy.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2021 compared to the three months ended June 30, 2020)</w:t>
      </w:r>
    </w:p>
    <w:p>
      <w:pPr>
        <w:spacing w:after="0" w:line="229"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For the three months ended June 30, 2021, total revenues were $50.0 million as compared to $2.9 million for the three months ended June 30, 2020. The increase was primarily due to $28.5 million of ORLADEYO net revenue following our commercial launch in December 2020. Additionally, for the three months ended June 30, 2021, RAPIVAB product revenue was $4.6 million, primarily related to sales to HHS, and a $15.0 million milestone payment related to the NHI approval of ORLADEYO in Japan was recognized. These increases in revenue were partially offset by a reduction in contract and other collaborative revenue of $1.4 million.</w:t>
      </w:r>
    </w:p>
    <w:p>
      <w:pPr>
        <w:spacing w:after="0" w:line="188"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Cost of product sales for the three months ended June 30, 2021 was $0.3 million and was primarily associated with the peramivir product sales to our partners. There was no cost of product sales in the three months ended June 30, 2020.</w:t>
      </w:r>
    </w:p>
    <w:p>
      <w:pPr>
        <w:spacing w:after="0" w:line="170" w:lineRule="exact"/>
        <w:rPr>
          <w:sz w:val="20"/>
          <w:szCs w:val="20"/>
          <w:color w:val="auto"/>
        </w:rPr>
      </w:pPr>
    </w:p>
    <w:p>
      <w:pPr>
        <w:ind w:right="100" w:firstLine="450"/>
        <w:spacing w:after="0" w:line="311" w:lineRule="auto"/>
        <w:rPr>
          <w:sz w:val="20"/>
          <w:szCs w:val="20"/>
          <w:color w:val="auto"/>
        </w:rPr>
      </w:pPr>
      <w:r>
        <w:rPr>
          <w:rFonts w:ascii="Arial" w:cs="Arial" w:eastAsia="Arial" w:hAnsi="Arial"/>
          <w:sz w:val="16"/>
          <w:szCs w:val="16"/>
          <w:color w:val="auto"/>
        </w:rPr>
        <w:t>Research and development (“R&amp;D”) expenses increased to $52.9 million for the three months ended June 30, 2021 from $27.5 million for the three months ended June 30, 2020, primarily due to increased investment in the development of BCX9930, as well as other research, preclinical and development costs, which were partially offset by a reduction in spend on the ORLADEYO program following our commercial launch in December 2020.</w:t>
      </w:r>
    </w:p>
    <w:p>
      <w:pPr>
        <w:spacing w:after="0" w:line="149" w:lineRule="exact"/>
        <w:rPr>
          <w:sz w:val="20"/>
          <w:szCs w:val="20"/>
          <w:color w:val="auto"/>
        </w:rPr>
      </w:pPr>
    </w:p>
    <w:p>
      <w:pPr>
        <w:jc w:val="both"/>
        <w:ind w:right="60" w:firstLine="522"/>
        <w:spacing w:after="0" w:line="263" w:lineRule="auto"/>
        <w:rPr>
          <w:sz w:val="20"/>
          <w:szCs w:val="20"/>
          <w:color w:val="auto"/>
        </w:rPr>
      </w:pPr>
      <w:r>
        <w:rPr>
          <w:rFonts w:ascii="Arial" w:cs="Arial" w:eastAsia="Arial" w:hAnsi="Arial"/>
          <w:sz w:val="18"/>
          <w:szCs w:val="18"/>
          <w:color w:val="auto"/>
        </w:rPr>
        <w:t>Selling, general and administrative (“SG&amp;A”) expenses for the three months ended June 30, 2021 were $26.3 million compared to $13.9 million in the three months ended June 30, 2020. The increase was primarily due to increased investment to support the U.S. commercial launch of ORLADEYO and our expanded international operations.</w:t>
      </w:r>
    </w:p>
    <w:p>
      <w:pPr>
        <w:spacing w:after="0" w:line="184" w:lineRule="exact"/>
        <w:rPr>
          <w:sz w:val="20"/>
          <w:szCs w:val="20"/>
          <w:color w:val="auto"/>
        </w:rPr>
      </w:pPr>
    </w:p>
    <w:p>
      <w:pPr>
        <w:ind w:firstLine="522"/>
        <w:spacing w:after="0" w:line="263" w:lineRule="auto"/>
        <w:rPr>
          <w:sz w:val="20"/>
          <w:szCs w:val="20"/>
          <w:color w:val="auto"/>
        </w:rPr>
      </w:pPr>
      <w:r>
        <w:rPr>
          <w:rFonts w:ascii="Arial" w:cs="Arial" w:eastAsia="Arial" w:hAnsi="Arial"/>
          <w:sz w:val="18"/>
          <w:szCs w:val="18"/>
          <w:color w:val="auto"/>
        </w:rPr>
        <w:t>For the three months ended June 30, 2021, other expense of $0.1 million was primarily related to foreign currency losses as compared to interest and other income of $2.8 million for the three months ended June 30, 2020, which primarily related to recognition of income from the partial arbitration award related to our Seqirus arbitration proceedings.</w:t>
      </w:r>
    </w:p>
    <w:p>
      <w:pPr>
        <w:spacing w:after="0" w:line="184" w:lineRule="exact"/>
        <w:rPr>
          <w:sz w:val="20"/>
          <w:szCs w:val="20"/>
          <w:color w:val="auto"/>
        </w:rPr>
      </w:pPr>
    </w:p>
    <w:p>
      <w:pPr>
        <w:ind w:right="60" w:firstLine="522"/>
        <w:spacing w:after="0" w:line="287" w:lineRule="auto"/>
        <w:rPr>
          <w:sz w:val="20"/>
          <w:szCs w:val="20"/>
          <w:color w:val="auto"/>
        </w:rPr>
      </w:pPr>
      <w:r>
        <w:rPr>
          <w:rFonts w:ascii="Arial" w:cs="Arial" w:eastAsia="Arial" w:hAnsi="Arial"/>
          <w:sz w:val="16"/>
          <w:szCs w:val="16"/>
          <w:color w:val="auto"/>
        </w:rPr>
        <w:t>Interest expense for the three months ended June 30, 2021 was $13.5 million as compared to $2.9 million for the three months ended June 30, 2020. The increase in interest expense was primarily associated with the sale of certain royalty payments to RPI 2019 Intermediate Finance Trust (“RPI”) in December 2020 (the “Royalty Sale”) and the $125.0 million Term A Loan under the Credit Agreement that we entered into with Athyrium Opportunities</w:t>
      </w:r>
    </w:p>
    <w:p>
      <w:pPr>
        <w:spacing w:after="0" w:line="2" w:lineRule="exact"/>
        <w:rPr>
          <w:sz w:val="20"/>
          <w:szCs w:val="20"/>
          <w:color w:val="auto"/>
        </w:rPr>
      </w:pPr>
    </w:p>
    <w:p>
      <w:pPr>
        <w:ind w:right="20" w:firstLine="8"/>
        <w:spacing w:after="0" w:line="251"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Co-Invest 1 LP (“Athyrium”) in December 2020 (the “Credit Agreement”). The nature of the Royalty Sale requires that we recognize a liability (the “Royalty Financing Obligation”) for the future sale of royalties under the agreement. This liability is amortized using the effective interest rate method, resulting in the recognition of non-cash interest expense over the estimated term of the Royalty Purchase Agreement (as defined in “Note 2--Royalty Monetizations--ORLADEYO Royalty Monetization” in the Notes to Consolidated Financial Statements in Part I, Item 1 of this report). Interest expense for the three months ended June 30, 2021 included $8.1 million of non-cash interest expense due to the amortization of interest associated with the Royalty Financing Obligation and $3.8 million of interest expense, net of deferred financing amortization, associated with the Term A Loan under the Credit Agreement. Additionally, we recognized $1.6 million in interest expense on the non-recourse PhaRMA Notes issued in March 2011. Interest expense for the three months ended June 30, 2020 consisted of $1.6 million associated with the non-recourse PhaRMA Notes and $1.3 million associated with the borrowings under our secured credit facility with MidCap, which terminated in in December 2020 when we repaid the outstanding indebtedness under the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2021 compared to the six months ended June 30, 2020)</w:t>
      </w:r>
    </w:p>
    <w:p>
      <w:pPr>
        <w:spacing w:after="0" w:line="229" w:lineRule="exact"/>
        <w:rPr>
          <w:sz w:val="20"/>
          <w:szCs w:val="20"/>
          <w:color w:val="auto"/>
        </w:rPr>
      </w:pPr>
    </w:p>
    <w:p>
      <w:pPr>
        <w:ind w:right="40" w:firstLine="522"/>
        <w:spacing w:after="0" w:line="296" w:lineRule="auto"/>
        <w:rPr>
          <w:sz w:val="20"/>
          <w:szCs w:val="20"/>
          <w:color w:val="auto"/>
        </w:rPr>
      </w:pPr>
      <w:r>
        <w:rPr>
          <w:rFonts w:ascii="Arial" w:cs="Arial" w:eastAsia="Arial" w:hAnsi="Arial"/>
          <w:sz w:val="16"/>
          <w:szCs w:val="16"/>
          <w:color w:val="auto"/>
        </w:rPr>
        <w:t>For the six months ended June 30, 2021, total revenues were $69.0 million as compared to $7.7 million for the six months ended June 30, 2020. The increase was primarily due to $39.4 million of ORLADEYO net revenue following our commercial launch in December 2020. Additionally, RAPIVAB revenues, primarily from sales to HHS, were $4.7 million. Peramivir product revenue from inventory sales to our partners increased by $7.0 million. The Company also recognized a $15.0 million milestone payment related to the NHI approval of ORLADEYO in Japan. These increases in revenue were partially offset by a reduction in royalty revenue of $2.8 million, a reduction in contract revenue of $0.7 million and the recognition of $1.3 million of</w:t>
      </w:r>
    </w:p>
    <w:p>
      <w:pPr>
        <w:sectPr>
          <w:pgSz w:w="11900" w:h="16838" w:orient="portrait"/>
          <w:cols w:equalWidth="0" w:num="1">
            <w:col w:w="11240"/>
          </w:cols>
          <w:pgMar w:left="320" w:top="584" w:right="339" w:bottom="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deferred revenue in the prior year period compared to none in the current year period. The decrease in royalty revenue was due to peramivir product replacement under Green Cross’s supply agreement with the Korean government.</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30" w:name="page31"/>
    <w:bookmarkEnd w:id="30"/>
    <w:p>
      <w:pPr>
        <w:ind w:right="120" w:firstLine="522"/>
        <w:spacing w:after="0" w:line="277" w:lineRule="auto"/>
        <w:rPr>
          <w:sz w:val="20"/>
          <w:szCs w:val="20"/>
          <w:color w:val="auto"/>
        </w:rPr>
      </w:pPr>
      <w:r>
        <w:rPr>
          <w:rFonts w:ascii="Arial" w:cs="Arial" w:eastAsia="Arial" w:hAnsi="Arial"/>
          <w:sz w:val="18"/>
          <w:szCs w:val="18"/>
          <w:color w:val="auto"/>
        </w:rPr>
        <w:t>Cost of product sales for the six months ended June 30, 2021 was $6.2 million and was primarily associated with the peramivir product sales to our partners. There was no cost of product sales in the six months ended June 30, 2020.</w:t>
      </w:r>
    </w:p>
    <w:p>
      <w:pPr>
        <w:spacing w:after="0" w:line="170" w:lineRule="exact"/>
        <w:rPr>
          <w:sz w:val="20"/>
          <w:szCs w:val="20"/>
          <w:color w:val="auto"/>
        </w:rPr>
      </w:pPr>
    </w:p>
    <w:p>
      <w:pPr>
        <w:ind w:right="160" w:firstLine="522"/>
        <w:spacing w:after="0" w:line="263" w:lineRule="auto"/>
        <w:rPr>
          <w:sz w:val="20"/>
          <w:szCs w:val="20"/>
          <w:color w:val="auto"/>
        </w:rPr>
      </w:pPr>
      <w:r>
        <w:rPr>
          <w:rFonts w:ascii="Arial" w:cs="Arial" w:eastAsia="Arial" w:hAnsi="Arial"/>
          <w:sz w:val="18"/>
          <w:szCs w:val="18"/>
          <w:color w:val="auto"/>
        </w:rPr>
        <w:t>R&amp;D expenses increased to $95.3 million for the six months ended June 30, 2021 from $57.4 million for the six months ended June 30, 2020, primarily due to increased investment in the development of BCX9930, as well as other research, preclinical and development costs, which were partially offset by a reduction in spend on the ORLADEYO program following our commercial launch in December 2020.</w:t>
      </w:r>
    </w:p>
    <w:p>
      <w:pPr>
        <w:spacing w:after="0" w:line="184" w:lineRule="exact"/>
        <w:rPr>
          <w:sz w:val="20"/>
          <w:szCs w:val="20"/>
          <w:color w:val="auto"/>
        </w:rPr>
      </w:pPr>
    </w:p>
    <w:p>
      <w:pPr>
        <w:ind w:right="200" w:firstLine="522"/>
        <w:spacing w:after="0" w:line="308" w:lineRule="auto"/>
        <w:rPr>
          <w:sz w:val="20"/>
          <w:szCs w:val="20"/>
          <w:color w:val="auto"/>
        </w:rPr>
      </w:pPr>
      <w:r>
        <w:rPr>
          <w:rFonts w:ascii="Arial" w:cs="Arial" w:eastAsia="Arial" w:hAnsi="Arial"/>
          <w:sz w:val="17"/>
          <w:szCs w:val="17"/>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by program:</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Berotralstat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9,729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10,845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17,651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26,390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BCX9930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Galidesivir</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BCX9250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Peramivir</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12,939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12,537</w:t>
            </w: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R&amp;D expenses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52,873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27,498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95,308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57,365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SG&amp;A expenses for the six months ended June 30, 2021 were $48.4 million compared to $29.7 million in the six months ended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increased investment to support the U.S. commercial launch of ORLADEYO and our expanded international operations.</w:t>
      </w:r>
    </w:p>
    <w:p>
      <w:pPr>
        <w:spacing w:after="0" w:line="234" w:lineRule="exact"/>
        <w:rPr>
          <w:sz w:val="20"/>
          <w:szCs w:val="20"/>
          <w:color w:val="auto"/>
        </w:rPr>
      </w:pPr>
    </w:p>
    <w:p>
      <w:pPr>
        <w:jc w:val="both"/>
        <w:ind w:right="160" w:firstLine="522"/>
        <w:spacing w:after="0" w:line="263" w:lineRule="auto"/>
        <w:rPr>
          <w:sz w:val="20"/>
          <w:szCs w:val="20"/>
          <w:color w:val="auto"/>
        </w:rPr>
      </w:pPr>
      <w:r>
        <w:rPr>
          <w:rFonts w:ascii="Arial" w:cs="Arial" w:eastAsia="Arial" w:hAnsi="Arial"/>
          <w:sz w:val="18"/>
          <w:szCs w:val="18"/>
          <w:color w:val="auto"/>
        </w:rPr>
        <w:t>For the six months ended June 30, 2021, other expense of $0.1 million was primarily related to foreign currency losses as compared to interest and other income of $9.2 million for the six months ended June 30, 2020, which primarily consisted of $8.9 million related to recognition of income from the partial arbitration award related to our Seqirus arbitration proceedings.</w:t>
      </w:r>
    </w:p>
    <w:p>
      <w:pPr>
        <w:spacing w:after="0" w:line="184" w:lineRule="exact"/>
        <w:rPr>
          <w:sz w:val="20"/>
          <w:szCs w:val="20"/>
          <w:color w:val="auto"/>
        </w:rPr>
      </w:pPr>
    </w:p>
    <w:p>
      <w:pPr>
        <w:ind w:right="40" w:firstLine="522"/>
        <w:spacing w:after="0" w:line="254" w:lineRule="auto"/>
        <w:rPr>
          <w:sz w:val="20"/>
          <w:szCs w:val="20"/>
          <w:color w:val="auto"/>
        </w:rPr>
      </w:pPr>
      <w:r>
        <w:rPr>
          <w:rFonts w:ascii="Arial" w:cs="Arial" w:eastAsia="Arial" w:hAnsi="Arial"/>
          <w:sz w:val="18"/>
          <w:szCs w:val="18"/>
          <w:color w:val="auto"/>
        </w:rPr>
        <w:t>Interest expense for the six months ended June 30, 2021 was $26.4 million as compared to $6.0 million for the six months ended June 30, 2020. The increase in interest expense was primarily associated with the Royalty Sale and the $125.0 million Term A Loan under the Credit Agreement. Interest expense for the six months ended June 30, 2021 included $15.6 million of non-cash interest expense due to the amortization of interest associated with the Royalty Financing Obligation and $7.5 million of interest expense, net of deferred financing amortization, associated with the Term A Loan under the Credit Agreement. Additionally, we recognized $3.3 million in interest expense on the non-recourse PhaRMA Notes issued in March 2011. Interest expense for the six months ended June 30, 2020 consisted of $3.2 million associated with the non-recourse PhaRMA Notes and $2.8 million associated with the borrowings under our secured credit facility with MidCap, which terminated in in December 2020 when we repaid the outstanding indebtedness under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and our credit facilities; and more recently, the Royalty Sale. To date, we have been awarded a BARDA/HHS RAPIVAB development contract totaling $234.8 million, which expired on June 30, 2014; a NIAID/HHS galidesivir development contract totaling $45.9 million, which is ongoing; a second NIAID/HHS galidesivir development contract with a potential value totaling $43.9 million, which is ongoing; and a BARDA/HHS galidesivir development contract with a potential value totaling $39.1 million, which is also ongoing. The total amount of funding obligated under awarded options under the active NIAID/HHS and BARDA/HHS galidesivir contracts is $52.2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40" w:firstLine="486"/>
        <w:spacing w:after="0" w:line="294" w:lineRule="auto"/>
        <w:rPr>
          <w:sz w:val="20"/>
          <w:szCs w:val="20"/>
          <w:color w:val="auto"/>
        </w:rPr>
      </w:pPr>
      <w:r>
        <w:rPr>
          <w:rFonts w:ascii="Arial" w:cs="Arial" w:eastAsia="Arial" w:hAnsi="Arial"/>
          <w:sz w:val="16"/>
          <w:szCs w:val="16"/>
          <w:color w:val="auto"/>
        </w:rPr>
        <w:t>Our Credit Agreement with Athyrium provides for three term loans. We received the proceeds from the $125.0 million Term A Loan in December 2020. The two additional term loans are available, at our option, in the respective principal amounts of $25.0 million for the Term B Loan and $50.0 million for the Term C Loan. The Term B Loan and the Term C Loan may be drawn upon if, among other conditions, we reach defined revenue milestones and, with respect to a draw on the Term C Loan, the Term B Loan has been funded prior to or contemporaneously with the Term C Loan. The maturity date</w:t>
      </w:r>
    </w:p>
    <w:p>
      <w:pPr>
        <w:spacing w:after="0" w:line="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Credit Agreement is December 7, 2025. See “Note 3 Credit Agreement” in the Notes to Consolidated Financial Statements in Part I, Item 1 of this report for additional information about the Credit Agreement.</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of June 30, 2021, we had net working capital of $150.2 million, a decrease of approximately $67.9 million from $218.1 million at December 31, 2020. The decrease in working capital was primarily due to normal operating expenses associated with the development of our product candidates and expenses incurred as a result of the launch and commercialization of ORLADEYO. Our principal sources of liquidity at June 30, 2021 were approximately $210.3 million in cash and cash equivalents and approximately $8.1 million in investments considered available-for-sale.</w:t>
      </w:r>
    </w:p>
    <w:p>
      <w:pPr>
        <w:spacing w:after="0" w:line="171"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225"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 royalty, or loan financing and future public or private equity and/or debt financing;</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existing capital resources and interest earned on that capital;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from product sales;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existing, and executing new, contracts with the U.S. Government;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current or future collaborative and licensing agreements with corporate partners.</w:t>
      </w:r>
    </w:p>
    <w:p>
      <w:pPr>
        <w:spacing w:after="0" w:line="21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18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Based on our expectations for revenue, operating expenses, and our option to access an additional $75 million under the Credit Agreement, we believe our financial resources will be sufficient to fund our operations into 2023. However, we have sustained operating losses for the majority of our corporate history and expect that our 2021 expenses will exceed our 2021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also may consider other plans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commercial expenses; and key development and regulatory events and our decisions in the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approved products and successful commercialization of such products by either us or our partners;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perform under our government contracts and to receive reimbursement and stockpiling procurement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magnitude of work under our government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existing collaborative relationships or government contracts;</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ind w:left="980" w:right="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our partners, including governmental agencies, will share in the costs associated with the development of our programs or run the development programs themselves;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decision to build or expand internal development and commercial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9" w:lineRule="exact"/>
        <w:rPr>
          <w:rFonts w:ascii="Arial" w:cs="Arial" w:eastAsia="Arial" w:hAnsi="Arial"/>
          <w:sz w:val="18"/>
          <w:szCs w:val="18"/>
          <w:color w:val="auto"/>
        </w:rPr>
      </w:pPr>
    </w:p>
    <w:p>
      <w:pPr>
        <w:ind w:left="980" w:right="3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manufacturing of our products to support our commercial operations and of our product candidates to support our preclinical research and clinical trials;</w:t>
      </w: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products and product candidates;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manufacturing of our drug substance and product candidates required for future NDA filings;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post-approval commitments for ORLADEYO, RAPIVAB, and other products that receive regulatory approval; and</w:t>
      </w:r>
    </w:p>
    <w:p>
      <w:pPr>
        <w:spacing w:after="0" w:line="9" w:lineRule="exact"/>
        <w:rPr>
          <w:rFonts w:ascii="Arial" w:cs="Arial" w:eastAsia="Arial" w:hAnsi="Arial"/>
          <w:sz w:val="18"/>
          <w:szCs w:val="18"/>
          <w:color w:val="auto"/>
        </w:rPr>
      </w:pPr>
    </w:p>
    <w:p>
      <w:pPr>
        <w:ind w:left="980" w:right="80" w:hanging="324"/>
        <w:spacing w:after="0" w:line="26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products and product candidates, and we may seek to raise capital in the future, including to take advantage of attractive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76" w:lineRule="exact"/>
        <w:rPr>
          <w:sz w:val="20"/>
          <w:szCs w:val="20"/>
          <w:color w:val="auto"/>
        </w:rPr>
      </w:pPr>
    </w:p>
    <w:p>
      <w:pPr>
        <w:ind w:right="80" w:firstLine="594"/>
        <w:spacing w:after="0" w:line="291" w:lineRule="auto"/>
        <w:rPr>
          <w:sz w:val="20"/>
          <w:szCs w:val="20"/>
          <w:color w:val="auto"/>
        </w:rPr>
      </w:pPr>
      <w:r>
        <w:rPr>
          <w:rFonts w:ascii="Arial" w:cs="Arial" w:eastAsia="Arial" w:hAnsi="Arial"/>
          <w:sz w:val="16"/>
          <w:szCs w:val="16"/>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June 30, 2021, we were in compliance with the covenants under the Credit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2021</w:t>
      </w:r>
    </w:p>
    <w:p>
      <w:pPr>
        <w:spacing w:after="0" w:line="229" w:lineRule="exact"/>
        <w:rPr>
          <w:sz w:val="20"/>
          <w:szCs w:val="20"/>
          <w:color w:val="auto"/>
        </w:rPr>
      </w:pPr>
    </w:p>
    <w:p>
      <w:pPr>
        <w:ind w:right="120" w:firstLine="558"/>
        <w:spacing w:after="0" w:line="263" w:lineRule="auto"/>
        <w:rPr>
          <w:sz w:val="20"/>
          <w:szCs w:val="20"/>
          <w:color w:val="auto"/>
        </w:rPr>
      </w:pPr>
      <w:r>
        <w:rPr>
          <w:rFonts w:ascii="Arial" w:cs="Arial" w:eastAsia="Arial" w:hAnsi="Arial"/>
          <w:sz w:val="18"/>
          <w:szCs w:val="18"/>
          <w:color w:val="auto"/>
        </w:rPr>
        <w:t>In the launch period for ORLADEYO, the Company is not providing specific revenue or operating guidance. Based on our expectations for revenue, operating expenses, and our option to access an additional $75 million from our existing credit facility, we believe our current cash runway takes us into 2023.</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we do not have any unconsolidated entities or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78" w:lineRule="exact"/>
        <w:rPr>
          <w:sz w:val="20"/>
          <w:szCs w:val="20"/>
          <w:color w:val="auto"/>
        </w:rPr>
      </w:pPr>
    </w:p>
    <w:p>
      <w:pPr>
        <w:ind w:right="140" w:firstLine="414"/>
        <w:spacing w:after="0" w:line="311" w:lineRule="auto"/>
        <w:rPr>
          <w:sz w:val="20"/>
          <w:szCs w:val="20"/>
          <w:color w:val="auto"/>
        </w:rPr>
      </w:pPr>
      <w:r>
        <w:rPr>
          <w:rFonts w:ascii="Arial" w:cs="Arial" w:eastAsia="Arial" w:hAnsi="Arial"/>
          <w:sz w:val="16"/>
          <w:szCs w:val="16"/>
          <w:color w:val="auto"/>
        </w:rPr>
        <w:t>While our significant accounting policies are more fully described in “Note 1−Significant Accounting Policies” to the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inventories relate to ORLADEYO and peramivir, which are being manufactured for the Company’s partners and, in the case of peramivir, the U.S. Government. 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8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65" w:lineRule="exact"/>
        <w:rPr>
          <w:sz w:val="20"/>
          <w:szCs w:val="20"/>
          <w:color w:val="auto"/>
        </w:rPr>
      </w:pPr>
    </w:p>
    <w:p>
      <w:pPr>
        <w:jc w:val="both"/>
        <w:ind w:firstLine="522"/>
        <w:spacing w:after="0" w:line="263" w:lineRule="auto"/>
        <w:rPr>
          <w:sz w:val="20"/>
          <w:szCs w:val="20"/>
          <w:color w:val="auto"/>
        </w:rPr>
      </w:pPr>
      <w:r>
        <w:rPr>
          <w:rFonts w:ascii="Arial" w:cs="Arial" w:eastAsia="Arial" w:hAnsi="Arial"/>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40" w:firstLine="414"/>
        <w:spacing w:after="0" w:line="271" w:lineRule="auto"/>
        <w:rPr>
          <w:sz w:val="20"/>
          <w:szCs w:val="20"/>
          <w:color w:val="auto"/>
        </w:rPr>
      </w:pPr>
      <w:r>
        <w:rPr>
          <w:rFonts w:ascii="Arial" w:cs="Arial" w:eastAsia="Arial" w:hAnsi="Arial"/>
          <w:sz w:val="17"/>
          <w:szCs w:val="17"/>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our raw materials, drug substance, drug products, and product candidates;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right="60" w:firstLine="414"/>
        <w:spacing w:after="0" w:line="254"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firstLine="414"/>
        <w:spacing w:after="0" w:line="257" w:lineRule="auto"/>
        <w:rPr>
          <w:sz w:val="20"/>
          <w:szCs w:val="20"/>
          <w:color w:val="auto"/>
        </w:rPr>
      </w:pPr>
      <w:r>
        <w:rPr>
          <w:rFonts w:ascii="Arial" w:cs="Arial" w:eastAsia="Arial" w:hAnsi="Arial"/>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ind w:right="140" w:firstLine="414"/>
        <w:spacing w:after="0" w:line="263" w:lineRule="auto"/>
        <w:rPr>
          <w:sz w:val="20"/>
          <w:szCs w:val="20"/>
          <w:color w:val="auto"/>
        </w:rPr>
      </w:pPr>
      <w:r>
        <w:rPr>
          <w:rFonts w:ascii="Arial" w:cs="Arial" w:eastAsia="Arial" w:hAnsi="Arial"/>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firstLine="522"/>
        <w:spacing w:after="0" w:line="257" w:lineRule="auto"/>
        <w:rPr>
          <w:sz w:val="20"/>
          <w:szCs w:val="20"/>
          <w:color w:val="auto"/>
        </w:rPr>
      </w:pPr>
      <w:r>
        <w:rPr>
          <w:rFonts w:ascii="Arial" w:cs="Arial" w:eastAsia="Arial" w:hAnsi="Arial"/>
          <w:sz w:val="18"/>
          <w:szCs w:val="18"/>
          <w:color w:val="auto"/>
        </w:rPr>
        <w:t>Our principal sources of product sales are sales of ORLADEYO, which we began shipping to customers in December 2020, sales of peramivir to our licensing partners and sales of RAPIVAB to the U.S. Department of Health and Human Services under our procurement contract. We recognize revenue for sales when the customer obtains control of the product, which generally occurs upon delivery. For ORLADEYO, we classify payments to our customer for certain services provided by our customer as selling, general and administrative expenses to the extent such services provided are determined to be distinct from the sale of our product.</w:t>
      </w:r>
    </w:p>
    <w:p>
      <w:pPr>
        <w:spacing w:after="0" w:line="188"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We sell ORLADEYO directly to patients through a single specialty pharmacy in the United States. 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Where appropriate, these estimates take into consideration a range of possible outcomes, which are probability-weighted for relevant factors, such as our current contractual and statutory requirements and forecasted customer buying and payment patterns. Overall, these reserves reflect our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72" w:lineRule="exact"/>
        <w:rPr>
          <w:sz w:val="20"/>
          <w:szCs w:val="20"/>
          <w:color w:val="auto"/>
        </w:rPr>
      </w:pPr>
    </w:p>
    <w:p>
      <w:pPr>
        <w:ind w:right="60" w:firstLine="414"/>
        <w:spacing w:after="0" w:line="272" w:lineRule="auto"/>
        <w:rPr>
          <w:sz w:val="20"/>
          <w:szCs w:val="20"/>
          <w:color w:val="auto"/>
        </w:rPr>
      </w:pPr>
      <w:r>
        <w:rPr>
          <w:rFonts w:ascii="Arial" w:cs="Arial" w:eastAsia="Arial" w:hAnsi="Arial"/>
          <w:sz w:val="17"/>
          <w:szCs w:val="17"/>
          <w:i w:val="1"/>
          <w:iCs w:val="1"/>
          <w:color w:val="auto"/>
        </w:rPr>
        <w:t>Government and Managed Care Rebates</w:t>
      </w:r>
      <w:r>
        <w:rPr>
          <w:rFonts w:ascii="Arial" w:cs="Arial" w:eastAsia="Arial" w:hAnsi="Arial"/>
          <w:sz w:val="17"/>
          <w:szCs w:val="17"/>
          <w:color w:val="auto"/>
        </w:rPr>
        <w:t>. We contract with government agencies and managed care organizations or, collectively, third-party payors,</w:t>
      </w:r>
      <w:r>
        <w:rPr>
          <w:rFonts w:ascii="Arial" w:cs="Arial" w:eastAsia="Arial" w:hAnsi="Arial"/>
          <w:sz w:val="17"/>
          <w:szCs w:val="17"/>
          <w:i w:val="1"/>
          <w:iCs w:val="1"/>
          <w:color w:val="auto"/>
        </w:rPr>
        <w:t xml:space="preserve"> </w:t>
      </w:r>
      <w:r>
        <w:rPr>
          <w:rFonts w:ascii="Arial" w:cs="Arial" w:eastAsia="Arial" w:hAnsi="Arial"/>
          <w:sz w:val="17"/>
          <w:szCs w:val="17"/>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77" w:lineRule="exact"/>
        <w:rPr>
          <w:sz w:val="20"/>
          <w:szCs w:val="20"/>
          <w:color w:val="auto"/>
        </w:rPr>
      </w:pPr>
    </w:p>
    <w:p>
      <w:pPr>
        <w:ind w:right="260" w:firstLine="414"/>
        <w:spacing w:after="0" w:line="255"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Chargebacks are discounts that occur when certain contracted customers, pharmacy benefit managers, insurance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programs and group purchasing organizations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92" w:lineRule="exact"/>
        <w:rPr>
          <w:sz w:val="20"/>
          <w:szCs w:val="20"/>
          <w:color w:val="auto"/>
        </w:rPr>
      </w:pPr>
    </w:p>
    <w:p>
      <w:pPr>
        <w:ind w:right="60" w:firstLine="414"/>
        <w:spacing w:after="0" w:line="273" w:lineRule="auto"/>
        <w:rPr>
          <w:sz w:val="20"/>
          <w:szCs w:val="20"/>
          <w:color w:val="auto"/>
        </w:rPr>
      </w:pPr>
      <w:r>
        <w:rPr>
          <w:rFonts w:ascii="Arial" w:cs="Arial" w:eastAsia="Arial" w:hAnsi="Arial"/>
          <w:sz w:val="17"/>
          <w:szCs w:val="17"/>
          <w:i w:val="1"/>
          <w:iCs w:val="1"/>
          <w:color w:val="auto"/>
        </w:rPr>
        <w:t>Co-payment assistance and patient assistance programs</w:t>
      </w:r>
      <w:r>
        <w:rPr>
          <w:rFonts w:ascii="Arial" w:cs="Arial" w:eastAsia="Arial" w:hAnsi="Arial"/>
          <w:sz w:val="17"/>
          <w:szCs w:val="17"/>
          <w:color w:val="auto"/>
        </w:rPr>
        <w:t>. 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78" w:lineRule="exact"/>
        <w:rPr>
          <w:sz w:val="20"/>
          <w:szCs w:val="20"/>
          <w:color w:val="auto"/>
        </w:rPr>
      </w:pPr>
    </w:p>
    <w:p>
      <w:pPr>
        <w:ind w:right="320" w:firstLine="414"/>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We do not provide contractual return rights to our customer,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7" w:lineRule="exact"/>
        <w:rPr>
          <w:sz w:val="20"/>
          <w:szCs w:val="20"/>
          <w:color w:val="auto"/>
        </w:rPr>
      </w:pPr>
    </w:p>
    <w:p>
      <w:pPr>
        <w:ind w:right="860" w:firstLine="414"/>
        <w:spacing w:after="0" w:line="277"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primary sources of revenue from these collaborative and other research and development arrangements are license, service and royalty revenues.</w:t>
      </w:r>
    </w:p>
    <w:p>
      <w:pPr>
        <w:spacing w:after="0" w:line="248" w:lineRule="exact"/>
        <w:rPr>
          <w:sz w:val="20"/>
          <w:szCs w:val="20"/>
          <w:color w:val="auto"/>
        </w:rPr>
      </w:pPr>
    </w:p>
    <w:p>
      <w:pPr>
        <w:jc w:val="both"/>
        <w:ind w:right="160" w:firstLine="414"/>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84" w:lineRule="exact"/>
        <w:rPr>
          <w:sz w:val="20"/>
          <w:szCs w:val="20"/>
          <w:color w:val="auto"/>
        </w:rPr>
      </w:pPr>
    </w:p>
    <w:p>
      <w:pPr>
        <w:ind w:firstLine="414"/>
        <w:spacing w:after="0" w:line="268" w:lineRule="auto"/>
        <w:rPr>
          <w:sz w:val="20"/>
          <w:szCs w:val="20"/>
          <w:color w:val="auto"/>
        </w:rPr>
      </w:pPr>
      <w:r>
        <w:rPr>
          <w:rFonts w:ascii="Arial" w:cs="Arial" w:eastAsia="Arial" w:hAnsi="Arial"/>
          <w:sz w:val="17"/>
          <w:szCs w:val="17"/>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84"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84" w:lineRule="exact"/>
        <w:rPr>
          <w:sz w:val="20"/>
          <w:szCs w:val="20"/>
          <w:color w:val="auto"/>
        </w:rPr>
      </w:pPr>
    </w:p>
    <w:p>
      <w:pPr>
        <w:ind w:right="20" w:firstLine="414"/>
        <w:spacing w:after="0" w:line="263"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84" w:lineRule="exact"/>
        <w:rPr>
          <w:sz w:val="20"/>
          <w:szCs w:val="20"/>
          <w:color w:val="auto"/>
        </w:rPr>
      </w:pPr>
    </w:p>
    <w:p>
      <w:pPr>
        <w:ind w:right="120" w:firstLine="414"/>
        <w:spacing w:after="0" w:line="263"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540" w:firstLine="414"/>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46" w:lineRule="exact"/>
        <w:rPr>
          <w:sz w:val="20"/>
          <w:szCs w:val="20"/>
          <w:color w:val="auto"/>
        </w:rPr>
      </w:pPr>
    </w:p>
    <w:p>
      <w:pPr>
        <w:ind w:right="200" w:firstLine="414"/>
        <w:spacing w:after="0" w:line="263" w:lineRule="auto"/>
        <w:rPr>
          <w:sz w:val="20"/>
          <w:szCs w:val="20"/>
          <w:color w:val="auto"/>
        </w:rPr>
      </w:pPr>
      <w:r>
        <w:rPr>
          <w:rFonts w:ascii="Arial" w:cs="Arial" w:eastAsia="Arial" w:hAnsi="Arial"/>
          <w:sz w:val="18"/>
          <w:szCs w:val="18"/>
          <w:i w:val="1"/>
          <w:iCs w:val="1"/>
          <w:color w:val="auto"/>
        </w:rPr>
        <w:t>Contract assets</w:t>
      </w:r>
      <w:r>
        <w:rPr>
          <w:rFonts w:ascii="Arial" w:cs="Arial" w:eastAsia="Arial" w:hAnsi="Arial"/>
          <w:sz w:val="18"/>
          <w:szCs w:val="18"/>
          <w:color w:val="auto"/>
        </w:rPr>
        <w:t>. Our long-term contracts are billed as work progresses in accordance with the contract terms and conditions, either at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intervals or upon achievement of certain milestones. Often this results in billing occurring subsequent to revenue recognition, resulting in contract assets. Contract assets are generally classified as current assets in the Consolidated Balance Sheets.</w:t>
      </w:r>
    </w:p>
    <w:p>
      <w:pPr>
        <w:spacing w:after="0" w:line="184" w:lineRule="exact"/>
        <w:rPr>
          <w:sz w:val="20"/>
          <w:szCs w:val="20"/>
          <w:color w:val="auto"/>
        </w:rPr>
      </w:pPr>
    </w:p>
    <w:p>
      <w:pPr>
        <w:ind w:right="100" w:firstLine="414"/>
        <w:spacing w:after="0" w:line="342"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 We often receive cash payments from customers in advance of our performance, resulting in contract liabilities. These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classified as either current or long-term in the Consolidated Balance Sheets based on the timing of when we expect to recognize the revenue.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right="200" w:firstLine="414"/>
        <w:spacing w:after="0" w:line="342" w:lineRule="auto"/>
        <w:rPr>
          <w:sz w:val="20"/>
          <w:szCs w:val="20"/>
          <w:color w:val="auto"/>
        </w:rPr>
      </w:pPr>
      <w:r>
        <w:rPr>
          <w:rFonts w:ascii="Arial" w:cs="Arial" w:eastAsia="Arial" w:hAnsi="Arial"/>
          <w:sz w:val="16"/>
          <w:szCs w:val="16"/>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414"/>
        <w:spacing w:after="0" w:line="272" w:lineRule="auto"/>
        <w:rPr>
          <w:sz w:val="20"/>
          <w:szCs w:val="20"/>
          <w:color w:val="auto"/>
        </w:rPr>
      </w:pPr>
      <w:r>
        <w:rPr>
          <w:rFonts w:ascii="Arial" w:cs="Arial" w:eastAsia="Arial" w:hAnsi="Arial"/>
          <w:sz w:val="17"/>
          <w:szCs w:val="17"/>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77" w:lineRule="exact"/>
        <w:rPr>
          <w:sz w:val="20"/>
          <w:szCs w:val="20"/>
          <w:color w:val="auto"/>
        </w:rPr>
      </w:pPr>
    </w:p>
    <w:p>
      <w:pPr>
        <w:ind w:right="220" w:firstLine="414"/>
        <w:spacing w:after="0" w:line="279" w:lineRule="auto"/>
        <w:rPr>
          <w:sz w:val="20"/>
          <w:szCs w:val="20"/>
          <w:color w:val="auto"/>
        </w:rPr>
      </w:pPr>
      <w:r>
        <w:rPr>
          <w:rFonts w:ascii="Arial" w:cs="Arial" w:eastAsia="Arial" w:hAnsi="Arial"/>
          <w:sz w:val="17"/>
          <w:szCs w:val="17"/>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71"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71" w:lineRule="exact"/>
        <w:rPr>
          <w:sz w:val="20"/>
          <w:szCs w:val="20"/>
          <w:color w:val="auto"/>
        </w:rPr>
      </w:pPr>
    </w:p>
    <w:p>
      <w:pPr>
        <w:ind w:right="140" w:firstLine="414"/>
        <w:spacing w:after="0" w:line="296"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414"/>
        <w:spacing w:after="0" w:line="269"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w:t>
      </w:r>
    </w:p>
    <w:p>
      <w:pPr>
        <w:spacing w:after="0" w:line="225"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The Royalty Financing Obligation is eligible to be repaid based on royalties from net sales of ORLADEYO. Interest expense is accrued using the effective interest rate method over the estimated period the related liability will be paid. This requires us to estimate the total amount of future royalty payments to be generated from product sales over the life of the agreement. We impute interest on the carrying value of the Royalty Financing Obligation and record interest expense using an imputed effective interest rate. We will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 that we make estimates that could impact the carrying value of the liability, as well as the period over which associated issuance costs will be amortized. A significant increase or decrease in forecasted net sales could materially impact the liability balance, interest expense and the time period for repayment.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225" w:lineRule="exact"/>
        <w:rPr>
          <w:sz w:val="20"/>
          <w:szCs w:val="20"/>
          <w:color w:val="auto"/>
        </w:rPr>
      </w:pPr>
    </w:p>
    <w:p>
      <w:pPr>
        <w:ind w:right="20" w:firstLine="576"/>
        <w:spacing w:after="0" w:line="259" w:lineRule="auto"/>
        <w:rPr>
          <w:sz w:val="20"/>
          <w:szCs w:val="20"/>
          <w:color w:val="auto"/>
        </w:rPr>
      </w:pPr>
      <w:r>
        <w:rPr>
          <w:rFonts w:ascii="Arial" w:cs="Arial" w:eastAsia="Arial" w:hAnsi="Arial"/>
          <w:sz w:val="18"/>
          <w:szCs w:val="18"/>
          <w:color w:val="auto"/>
        </w:rPr>
        <w:t>In connection with our issuance of the PhaRMA Notes, we entered into a foreign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and therefore mark-to-market adjustments were recognized in our Consolidated Statements of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are subject to interest rate risk on our investment portfolio and borrowings under our Credit Agreement. The Term A Loan under the Credit Agreement bears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June 30, 2021, interest was accrued at 12.2% on the $125.0 million Term A Loan under the Credit Agreement.</w:t>
      </w:r>
    </w:p>
    <w:p>
      <w:pPr>
        <w:spacing w:after="0" w:line="18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6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79" w:lineRule="exact"/>
        <w:rPr>
          <w:sz w:val="20"/>
          <w:szCs w:val="20"/>
          <w:color w:val="auto"/>
        </w:rPr>
      </w:pPr>
    </w:p>
    <w:p>
      <w:pPr>
        <w:ind w:right="320" w:firstLine="522"/>
        <w:spacing w:after="0" w:line="342"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right="140" w:firstLine="450"/>
        <w:spacing w:after="0" w:line="263" w:lineRule="auto"/>
        <w:rPr>
          <w:sz w:val="20"/>
          <w:szCs w:val="20"/>
          <w:color w:val="auto"/>
        </w:rPr>
      </w:pPr>
      <w:r>
        <w:rPr>
          <w:rFonts w:ascii="Arial" w:cs="Arial" w:eastAsia="Arial" w:hAnsi="Arial"/>
          <w:sz w:val="18"/>
          <w:szCs w:val="18"/>
          <w:color w:val="auto"/>
        </w:rPr>
        <w:t>The majority of our transactions and the greatest magnitude of these transactions occur in U.S. dollars and although we have initiated operations in Europe, we did not have significant operating activities or significant investments in foreign countries as of June 30, 2021. Therefore, we were not subject to significant foreign currency exchange risk in our normal operations.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00" w:firstLine="522"/>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2021,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760" w:firstLine="52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quarter ended June 30, 2021 that have materially affected, or are reasonably likely to materially affect, the Company’s internal control over financial reporting.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ind w:right="20" w:firstLine="522"/>
        <w:spacing w:after="0" w:line="263"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COVID-19</w:t>
      </w:r>
    </w:p>
    <w:p>
      <w:pPr>
        <w:spacing w:after="0" w:line="225" w:lineRule="exact"/>
        <w:rPr>
          <w:sz w:val="20"/>
          <w:szCs w:val="20"/>
          <w:color w:val="auto"/>
        </w:rPr>
      </w:pPr>
    </w:p>
    <w:p>
      <w:pPr>
        <w:jc w:val="both"/>
        <w:ind w:left="240" w:hanging="17"/>
        <w:spacing w:after="0" w:line="340" w:lineRule="auto"/>
        <w:rPr>
          <w:sz w:val="20"/>
          <w:szCs w:val="20"/>
          <w:color w:val="auto"/>
        </w:rPr>
      </w:pPr>
      <w:r>
        <w:rPr>
          <w:rFonts w:ascii="Arial" w:cs="Arial" w:eastAsia="Arial" w:hAnsi="Arial"/>
          <w:sz w:val="15"/>
          <w:szCs w:val="15"/>
          <w:b w:val="1"/>
          <w:bCs w:val="1"/>
          <w:i w:val="1"/>
          <w:iCs w:val="1"/>
          <w:color w:val="auto"/>
        </w:rPr>
        <w:t>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w:t>
      </w:r>
      <w:r>
        <w:rPr>
          <w:rFonts w:ascii="Arial" w:cs="Arial" w:eastAsia="Arial" w:hAnsi="Arial"/>
          <w:sz w:val="15"/>
          <w:szCs w:val="15"/>
          <w:color w:val="auto"/>
        </w:rPr>
        <w:t>“</w:t>
      </w:r>
      <w:r>
        <w:rPr>
          <w:rFonts w:ascii="Arial" w:cs="Arial" w:eastAsia="Arial" w:hAnsi="Arial"/>
          <w:sz w:val="15"/>
          <w:szCs w:val="15"/>
          <w:b w:val="1"/>
          <w:bCs w:val="1"/>
          <w:i w:val="1"/>
          <w:iCs w:val="1"/>
          <w:color w:val="auto"/>
        </w:rPr>
        <w:t>CROs</w:t>
      </w:r>
      <w:r>
        <w:rPr>
          <w:rFonts w:ascii="Arial" w:cs="Arial" w:eastAsia="Arial" w:hAnsi="Arial"/>
          <w:sz w:val="15"/>
          <w:szCs w:val="15"/>
          <w:color w:val="auto"/>
        </w:rPr>
        <w:t>”</w:t>
      </w:r>
      <w:r>
        <w:rPr>
          <w:rFonts w:ascii="Arial" w:cs="Arial" w:eastAsia="Arial" w:hAnsi="Arial"/>
          <w:sz w:val="15"/>
          <w:szCs w:val="15"/>
          <w:b w:val="1"/>
          <w:bCs w:val="1"/>
          <w:i w:val="1"/>
          <w:iCs w:val="1"/>
          <w:color w:val="auto"/>
        </w:rPr>
        <w:t>), and others, as well as on the regulatory and government agencies with whom we work.</w:t>
      </w:r>
    </w:p>
    <w:p>
      <w:pPr>
        <w:spacing w:after="0" w:line="131" w:lineRule="exact"/>
        <w:rPr>
          <w:sz w:val="20"/>
          <w:szCs w:val="20"/>
          <w:color w:val="auto"/>
        </w:rPr>
      </w:pPr>
    </w:p>
    <w:p>
      <w:pPr>
        <w:ind w:right="120" w:firstLine="450"/>
        <w:spacing w:after="0" w:line="272" w:lineRule="auto"/>
        <w:rPr>
          <w:sz w:val="20"/>
          <w:szCs w:val="20"/>
          <w:color w:val="auto"/>
        </w:rPr>
      </w:pPr>
      <w:r>
        <w:rPr>
          <w:rFonts w:ascii="Arial" w:cs="Arial" w:eastAsia="Arial" w:hAnsi="Arial"/>
          <w:sz w:val="17"/>
          <w:szCs w:val="17"/>
          <w:color w:val="auto"/>
        </w:rPr>
        <w:t>The global COVID-19 pandemic continues to affect the United States and global economies, and may cause significant disruptions to our business, operations, and clinical development or commercialization plans and timelines, as well as the business and operations of third parties with whom we conduct business. For example, quarantines, shelter-in-place, similar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w:t>
      </w:r>
    </w:p>
    <w:p>
      <w:pPr>
        <w:spacing w:after="0" w:line="177"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16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the acceleration of COVID-19 slowed startup of the inadequate C5 responder cohorts in our complement oral Factor D inhibitor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77" w:lineRule="exact"/>
        <w:rPr>
          <w:sz w:val="20"/>
          <w:szCs w:val="20"/>
          <w:color w:val="auto"/>
        </w:rPr>
      </w:pPr>
    </w:p>
    <w:p>
      <w:pPr>
        <w:ind w:right="220" w:firstLine="450"/>
        <w:spacing w:after="0" w:line="311" w:lineRule="auto"/>
        <w:rPr>
          <w:sz w:val="20"/>
          <w:szCs w:val="20"/>
          <w:color w:val="auto"/>
        </w:rPr>
      </w:pPr>
      <w:r>
        <w:rPr>
          <w:rFonts w:ascii="Arial" w:cs="Arial" w:eastAsia="Arial" w:hAnsi="Arial"/>
          <w:sz w:val="16"/>
          <w:szCs w:val="16"/>
          <w:color w:val="auto"/>
        </w:rPr>
        <w:t>If global health concerns prevent the FDA, EMA, PMDA or other regulatory authorities from conducting their inspections, reviews, or other regulatory activities, it could significantly impact the ability of the FDA, EMA, PMDA or other regulatory authorities to timely review and process our regulatory submissions, which could have a material adverse effect on our business and clinical development and commercialization plans and timelines.</w:t>
      </w:r>
    </w:p>
    <w:p>
      <w:pPr>
        <w:spacing w:after="0" w:line="149" w:lineRule="exact"/>
        <w:rPr>
          <w:sz w:val="20"/>
          <w:szCs w:val="20"/>
          <w:color w:val="auto"/>
        </w:rPr>
      </w:pPr>
    </w:p>
    <w:p>
      <w:pPr>
        <w:ind w:right="260" w:firstLine="450"/>
        <w:spacing w:after="0" w:line="259" w:lineRule="auto"/>
        <w:rPr>
          <w:sz w:val="20"/>
          <w:szCs w:val="20"/>
          <w:color w:val="auto"/>
        </w:rPr>
      </w:pPr>
      <w:r>
        <w:rPr>
          <w:rFonts w:ascii="Arial" w:cs="Arial" w:eastAsia="Arial" w:hAnsi="Arial"/>
          <w:sz w:val="18"/>
          <w:szCs w:val="18"/>
          <w:color w:val="auto"/>
        </w:rPr>
        <w:t>We continue to utilize work-from-home policies for our employees, which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360" w:firstLine="450"/>
        <w:spacing w:after="0" w:line="257" w:lineRule="auto"/>
        <w:rPr>
          <w:sz w:val="20"/>
          <w:szCs w:val="20"/>
          <w:color w:val="auto"/>
        </w:rPr>
      </w:pPr>
      <w:r>
        <w:rPr>
          <w:rFonts w:ascii="Arial" w:cs="Arial" w:eastAsia="Arial" w:hAnsi="Arial"/>
          <w:sz w:val="18"/>
          <w:szCs w:val="18"/>
          <w:color w:val="auto"/>
        </w:rPr>
        <w:t>The spread of COVID-19, which has caused a broad impact globally, may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100" w:firstLine="450"/>
        <w:spacing w:after="0" w:line="279" w:lineRule="auto"/>
        <w:rPr>
          <w:sz w:val="20"/>
          <w:szCs w:val="20"/>
          <w:color w:val="auto"/>
        </w:rPr>
      </w:pPr>
      <w:r>
        <w:rPr>
          <w:rFonts w:ascii="Arial" w:cs="Arial" w:eastAsia="Arial" w:hAnsi="Arial"/>
          <w:sz w:val="17"/>
          <w:szCs w:val="17"/>
          <w:color w:val="auto"/>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and Liquidity Risks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225"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royalties on certain ORLADEYO and BCX9930 revenues under the Royalty Purchase Agreement, may reduce the profitability of such products.</w:t>
      </w:r>
    </w:p>
    <w:p>
      <w:pPr>
        <w:spacing w:after="0" w:line="165" w:lineRule="exact"/>
        <w:rPr>
          <w:sz w:val="20"/>
          <w:szCs w:val="20"/>
          <w:color w:val="auto"/>
        </w:rPr>
      </w:pPr>
    </w:p>
    <w:p>
      <w:pPr>
        <w:jc w:val="both"/>
        <w:ind w:right="180" w:firstLine="450"/>
        <w:spacing w:after="0" w:line="311" w:lineRule="auto"/>
        <w:rPr>
          <w:sz w:val="20"/>
          <w:szCs w:val="20"/>
          <w:color w:val="auto"/>
        </w:rPr>
      </w:pPr>
      <w:r>
        <w:rPr>
          <w:rFonts w:ascii="Arial" w:cs="Arial" w:eastAsia="Arial" w:hAnsi="Arial"/>
          <w:sz w:val="16"/>
          <w:szCs w:val="16"/>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need to raise additional capital in the future. If we are unable to raise capital when needed, we may need to adjust our operations.</w:t>
      </w:r>
    </w:p>
    <w:p>
      <w:pPr>
        <w:spacing w:after="0" w:line="248" w:lineRule="exact"/>
        <w:rPr>
          <w:sz w:val="20"/>
          <w:szCs w:val="20"/>
          <w:color w:val="auto"/>
        </w:rPr>
      </w:pPr>
    </w:p>
    <w:p>
      <w:pPr>
        <w:ind w:right="240" w:firstLine="450"/>
        <w:spacing w:after="0" w:line="342"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2021 expenses will exceed our 2021 revenues. We expect to continue to incur operating losses and negative cash flows unless and until revenues reach a level sufficient to support ongoing operations.</w:t>
      </w:r>
    </w:p>
    <w:p>
      <w:pPr>
        <w:spacing w:after="0" w:line="124" w:lineRule="exact"/>
        <w:rPr>
          <w:sz w:val="20"/>
          <w:szCs w:val="20"/>
          <w:color w:val="auto"/>
        </w:rPr>
      </w:pPr>
    </w:p>
    <w:p>
      <w:pPr>
        <w:ind w:right="80" w:firstLine="450"/>
        <w:spacing w:after="0" w:line="270" w:lineRule="auto"/>
        <w:rPr>
          <w:sz w:val="20"/>
          <w:szCs w:val="20"/>
          <w:color w:val="auto"/>
        </w:rPr>
      </w:pPr>
      <w:r>
        <w:rPr>
          <w:rFonts w:ascii="Arial" w:cs="Arial" w:eastAsia="Arial" w:hAnsi="Arial"/>
          <w:sz w:val="17"/>
          <w:szCs w:val="17"/>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also may consider other plans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8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Drug Development and Commercialization</w:t>
      </w:r>
    </w:p>
    <w:p>
      <w:pPr>
        <w:spacing w:after="0" w:line="225" w:lineRule="exact"/>
        <w:rPr>
          <w:sz w:val="20"/>
          <w:szCs w:val="20"/>
          <w:color w:val="auto"/>
        </w:rPr>
      </w:pPr>
    </w:p>
    <w:p>
      <w:pPr>
        <w:ind w:left="240" w:right="120"/>
        <w:spacing w:after="0" w:line="308" w:lineRule="auto"/>
        <w:rPr>
          <w:sz w:val="20"/>
          <w:szCs w:val="20"/>
          <w:color w:val="auto"/>
        </w:rPr>
      </w:pPr>
      <w:r>
        <w:rPr>
          <w:rFonts w:ascii="Arial" w:cs="Arial" w:eastAsia="Arial" w:hAnsi="Arial"/>
          <w:sz w:val="17"/>
          <w:szCs w:val="17"/>
          <w:b w:val="1"/>
          <w:bCs w:val="1"/>
          <w:i w:val="1"/>
          <w:iCs w:val="1"/>
          <w:color w:val="auto"/>
        </w:rPr>
        <w:t>Our success depends upon our ability to advance our product candidates through the various stages of development, especially through the clinical trial process, and to receive regulatory approval for the commercial sale of our product candidates.</w:t>
      </w:r>
    </w:p>
    <w:p>
      <w:pPr>
        <w:spacing w:after="0" w:line="146"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firstLine="450"/>
        <w:spacing w:after="0" w:line="269"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cause undesirable or unexpected side effects that could result in delays in the development of our product candidates, significant unexpected costs, or the termination of programs. The development plans for our product candidates, including our clinical trials, may not be adequately designed or executed, which could negatively affect the outcome and analysis of study results. Because of the cost and duration of clinical trials, we may decide to discontinue development of product candidates that are unlikely to show favorable results in clinical trials, unlikely to help advance a product to the point of a meaningful collaboration, or unlikely to have reasonable commercial potential.</w:t>
      </w:r>
    </w:p>
    <w:p>
      <w:pPr>
        <w:spacing w:after="0" w:line="179"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Undesirable or inconclusive data in our pre-clinical studies and clinical trials or side effects in humans could result in the FDA or foreign regulatory authorities (including, e.g., the EMA, the MHLW or the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may suspend or terminate clinical trials at any time if we or they believe the trial participants face unacceptable health risks.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successfully complete the clinical development process is dependent upon many factors, including but not limited to:</w:t>
      </w:r>
    </w:p>
    <w:p>
      <w:pPr>
        <w:spacing w:after="0" w:line="225" w:lineRule="exact"/>
        <w:rPr>
          <w:sz w:val="20"/>
          <w:szCs w:val="20"/>
          <w:color w:val="auto"/>
        </w:rPr>
      </w:pPr>
    </w:p>
    <w:p>
      <w:pPr>
        <w:ind w:left="980" w:right="24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 our partners’ ability to secure suitable clinical sites and investigators and to enroll and maintain an adequate number of patients on a timely basis or at all;</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that enroll in a clinical trial may not comply with the clinical trial protocol or maintain contact with investigators to provide complete data during and after treatment;</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 or may produce unfavorable or inconclusive results;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partners may decide, or be required by regulatory authorities, to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disagree with our or our partners’ clinical trial protocols or our or their interpretation of data from preclinical studies and clinical trials;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formulation improvements may not work as expected, which could negatively impact commercial demand for our product candidates;</w:t>
      </w:r>
    </w:p>
    <w:p>
      <w:pPr>
        <w:spacing w:after="0" w:line="20" w:lineRule="exact"/>
        <w:rPr>
          <w:rFonts w:ascii="Arial" w:cs="Arial" w:eastAsia="Arial" w:hAnsi="Arial"/>
          <w:sz w:val="17"/>
          <w:szCs w:val="17"/>
          <w:color w:val="auto"/>
        </w:rPr>
      </w:pPr>
    </w:p>
    <w:p>
      <w:pPr>
        <w:ind w:left="980" w:right="10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80" w:right="280" w:hanging="324"/>
        <w:spacing w:after="0" w:line="28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spacing w:after="0" w:line="1" w:lineRule="exact"/>
        <w:rPr>
          <w:rFonts w:ascii="Arial" w:cs="Arial" w:eastAsia="Arial" w:hAnsi="Arial"/>
          <w:sz w:val="16"/>
          <w:szCs w:val="16"/>
          <w:color w:val="auto"/>
        </w:rPr>
      </w:pPr>
    </w:p>
    <w:p>
      <w:pPr>
        <w:ind w:left="980" w:right="5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may be greater than we anticipate;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COVID-19 pandemic on one or more of the foregoing factors.</w:t>
      </w:r>
    </w:p>
    <w:p>
      <w:pPr>
        <w:spacing w:after="0" w:line="211"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1" w:name="page42"/>
    <w:bookmarkEnd w:id="41"/>
    <w:p>
      <w:pPr>
        <w:ind w:left="240" w:right="280"/>
        <w:spacing w:after="0" w:line="277"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980" w:right="14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discovery of natural proteins that cause or enable biological reactions necessary for the progression of the disease or disorder, called enzyme targets;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laboratory testing, and data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formulation improvement strategies and methods;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of certain regulatory interactions outside of the United States.</w:t>
      </w:r>
    </w:p>
    <w:p>
      <w:pPr>
        <w:spacing w:after="0" w:line="211" w:lineRule="exact"/>
        <w:rPr>
          <w:sz w:val="20"/>
          <w:szCs w:val="20"/>
          <w:color w:val="auto"/>
        </w:rPr>
      </w:pPr>
    </w:p>
    <w:p>
      <w:pPr>
        <w:ind w:right="20" w:firstLine="450"/>
        <w:spacing w:after="0" w:line="254" w:lineRule="auto"/>
        <w:rPr>
          <w:sz w:val="20"/>
          <w:szCs w:val="20"/>
          <w:color w:val="auto"/>
        </w:rPr>
      </w:pPr>
      <w:r>
        <w:rPr>
          <w:rFonts w:ascii="Arial" w:cs="Arial" w:eastAsia="Arial" w:hAnsi="Arial"/>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95"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92" w:lineRule="exact"/>
        <w:rPr>
          <w:sz w:val="20"/>
          <w:szCs w:val="20"/>
          <w:color w:val="auto"/>
        </w:rPr>
      </w:pPr>
    </w:p>
    <w:p>
      <w:pPr>
        <w:ind w:left="240" w:right="1180"/>
        <w:spacing w:after="0" w:line="277"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we may be unable to complete the development and commercialization of our products and product candidates or continue operations.</w:t>
      </w:r>
    </w:p>
    <w:p>
      <w:pPr>
        <w:spacing w:after="0" w:line="170"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65"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40" w:firstLine="450"/>
        <w:spacing w:after="0" w:line="286" w:lineRule="auto"/>
        <w:rPr>
          <w:sz w:val="20"/>
          <w:szCs w:val="20"/>
          <w:color w:val="auto"/>
        </w:rPr>
      </w:pPr>
      <w:r>
        <w:rPr>
          <w:rFonts w:ascii="Arial" w:cs="Arial" w:eastAsia="Arial" w:hAnsi="Arial"/>
          <w:sz w:val="16"/>
          <w:szCs w:val="16"/>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and carcinogenicity, drug-drug interaction, toxicity, or other required studies) for BCX9250 for the treatment of FOP, BCX9930 for diseases of the complement system, our broad-spectrum antiviral program, including galidesivir, and other 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71" w:lineRule="exact"/>
        <w:rPr>
          <w:sz w:val="20"/>
          <w:szCs w:val="20"/>
          <w:color w:val="auto"/>
        </w:rPr>
      </w:pPr>
    </w:p>
    <w:p>
      <w:pPr>
        <w:ind w:left="240" w:right="120"/>
        <w:spacing w:after="0" w:line="263" w:lineRule="auto"/>
        <w:rPr>
          <w:sz w:val="20"/>
          <w:szCs w:val="20"/>
          <w:color w:val="auto"/>
        </w:rPr>
      </w:pPr>
      <w:r>
        <w:rPr>
          <w:rFonts w:ascii="Arial" w:cs="Arial" w:eastAsia="Arial" w:hAnsi="Arial"/>
          <w:sz w:val="18"/>
          <w:szCs w:val="18"/>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84"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 product candidates,” we or our partners may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78" w:lineRule="exact"/>
        <w:rPr>
          <w:sz w:val="20"/>
          <w:szCs w:val="20"/>
          <w:color w:val="auto"/>
        </w:rPr>
      </w:pPr>
    </w:p>
    <w:p>
      <w:pPr>
        <w:ind w:right="360" w:firstLine="450"/>
        <w:spacing w:after="0" w:line="279" w:lineRule="auto"/>
        <w:rPr>
          <w:sz w:val="20"/>
          <w:szCs w:val="20"/>
          <w:color w:val="auto"/>
        </w:rPr>
      </w:pPr>
      <w:r>
        <w:rPr>
          <w:rFonts w:ascii="Arial" w:cs="Arial" w:eastAsia="Arial" w:hAnsi="Arial"/>
          <w:sz w:val="17"/>
          <w:szCs w:val="17"/>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171"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drug experience reporting regulations;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promotion;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manufacturing, including good manufacturing practice requirements;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changes or modifications.</w:t>
      </w:r>
    </w:p>
    <w:p>
      <w:pPr>
        <w:spacing w:after="0" w:line="211" w:lineRule="exact"/>
        <w:rPr>
          <w:sz w:val="20"/>
          <w:szCs w:val="20"/>
          <w:color w:val="auto"/>
        </w:rPr>
      </w:pPr>
    </w:p>
    <w:p>
      <w:pPr>
        <w:ind w:right="240" w:firstLine="450"/>
        <w:spacing w:after="0" w:line="263" w:lineRule="auto"/>
        <w:rPr>
          <w:sz w:val="20"/>
          <w:szCs w:val="20"/>
          <w:color w:val="auto"/>
        </w:rPr>
      </w:pPr>
      <w:r>
        <w:rPr>
          <w:rFonts w:ascii="Arial" w:cs="Arial" w:eastAsia="Arial" w:hAnsi="Arial"/>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225" w:lineRule="exact"/>
        <w:rPr>
          <w:sz w:val="20"/>
          <w:szCs w:val="20"/>
          <w:color w:val="auto"/>
        </w:rPr>
      </w:pPr>
    </w:p>
    <w:p>
      <w:pPr>
        <w:ind w:right="100" w:firstLine="450"/>
        <w:spacing w:after="0" w:line="268" w:lineRule="auto"/>
        <w:rPr>
          <w:sz w:val="20"/>
          <w:szCs w:val="20"/>
          <w:color w:val="auto"/>
        </w:rPr>
      </w:pPr>
      <w:r>
        <w:rPr>
          <w:rFonts w:ascii="Arial" w:cs="Arial" w:eastAsia="Arial" w:hAnsi="Arial"/>
          <w:sz w:val="17"/>
          <w:szCs w:val="17"/>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we may not experience a faster development, review or approval process compared to the conventional process in the relevant jurisdictions. We may not be able to obtain or maintain these designations for BCX9930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left="240"/>
        <w:spacing w:after="0" w:line="277" w:lineRule="auto"/>
        <w:rPr>
          <w:sz w:val="20"/>
          <w:szCs w:val="20"/>
          <w:color w:val="auto"/>
        </w:rPr>
      </w:pPr>
      <w:r>
        <w:rPr>
          <w:rFonts w:ascii="Arial" w:cs="Arial" w:eastAsia="Arial" w:hAnsi="Arial"/>
          <w:sz w:val="18"/>
          <w:szCs w:val="18"/>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70"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70" w:lineRule="exact"/>
        <w:rPr>
          <w:sz w:val="20"/>
          <w:szCs w:val="20"/>
          <w:color w:val="auto"/>
        </w:rPr>
      </w:pPr>
    </w:p>
    <w:p>
      <w:pPr>
        <w:ind w:left="820" w:right="240" w:hanging="326"/>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spacing w:after="0" w:line="1" w:lineRule="exact"/>
        <w:rPr>
          <w:rFonts w:ascii="Arial" w:cs="Arial" w:eastAsia="Arial" w:hAnsi="Arial"/>
          <w:sz w:val="18"/>
          <w:szCs w:val="18"/>
          <w:color w:val="auto"/>
        </w:rPr>
      </w:pPr>
    </w:p>
    <w:p>
      <w:pPr>
        <w:ind w:left="820" w:right="340" w:hanging="326"/>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partners may be required to recall the product, change the way the product is administered, conduct additional clinical trials, or be subject to civil or criminal penalties; and</w:t>
      </w: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11"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78"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84"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Our business strategy is to increase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49"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Currently, we have established collaborative relationships with Torii for the commercialization of ORLADEYO in Japan, with each of Shionogi and Green Cross for the development and commercialization of peramivir, and with Mundipharma for the development and commercialization of Mundesine (forodesine). The process of establishing and implementing collaborative relationships is difficult, time-consuming and involves significant uncertainty, including:</w:t>
      </w:r>
    </w:p>
    <w:p>
      <w:pPr>
        <w:spacing w:after="0" w:line="187" w:lineRule="exact"/>
        <w:rPr>
          <w:sz w:val="20"/>
          <w:szCs w:val="20"/>
          <w:color w:val="auto"/>
        </w:rPr>
      </w:pPr>
    </w:p>
    <w:p>
      <w:pPr>
        <w:ind w:left="980" w:right="220" w:hanging="324"/>
        <w:spacing w:after="0" w:line="274"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partners may seek to renegotiate or terminate their relationships with us due to unsatisfactory commercial, regulatory or clinical results, including post-approval clinical commitments, a change in business strategy, a change of control or other reasons;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that expiration or termination of collaborative relationships, such as those with certain of our distribution partners, may trigger repurchase obligations of the Company for unsold product held by our partner;</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disputes with a partner that could lead to litigation or arbitration, such as the recent arbitration proceeding between us and Seqirus UK Limited, which could result in substantial costs and divert the attention of our management;</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have day-to-day control over the activities of our partners and have limited control over their decisions;</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 our products and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211" w:lineRule="exact"/>
        <w:rPr>
          <w:sz w:val="20"/>
          <w:szCs w:val="20"/>
          <w:color w:val="auto"/>
        </w:rPr>
      </w:pPr>
    </w:p>
    <w:p>
      <w:pPr>
        <w:ind w:right="100" w:firstLine="450"/>
        <w:spacing w:after="0" w:line="291" w:lineRule="auto"/>
        <w:rPr>
          <w:sz w:val="20"/>
          <w:szCs w:val="20"/>
          <w:color w:val="auto"/>
        </w:rPr>
      </w:pPr>
      <w:r>
        <w:rPr>
          <w:rFonts w:ascii="Arial" w:cs="Arial" w:eastAsia="Arial" w:hAnsi="Arial"/>
          <w:sz w:val="16"/>
          <w:szCs w:val="16"/>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b w:val="1"/>
          <w:bCs w:val="1"/>
          <w:i w:val="1"/>
          <w:iCs w:val="1"/>
          <w:color w:val="auto"/>
        </w:rPr>
        <w:t>The results of our partnership with Torii may not meet our current expectations.</w:t>
      </w:r>
    </w:p>
    <w:p>
      <w:pPr>
        <w:spacing w:after="0" w:line="225"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We have an agreement with Torii for the development and commercialization of ORLADEYO in Japan. We do not have a history of working with Torii and cannot predict the success of this collaboration.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88" w:lineRule="exact"/>
        <w:rPr>
          <w:sz w:val="20"/>
          <w:szCs w:val="20"/>
          <w:color w:val="auto"/>
        </w:rPr>
      </w:pPr>
    </w:p>
    <w:p>
      <w:pPr>
        <w:ind w:right="100" w:firstLine="450"/>
        <w:spacing w:after="0" w:line="273" w:lineRule="auto"/>
        <w:rPr>
          <w:sz w:val="20"/>
          <w:szCs w:val="20"/>
          <w:color w:val="auto"/>
        </w:rPr>
      </w:pPr>
      <w:r>
        <w:rPr>
          <w:rFonts w:ascii="Arial" w:cs="Arial" w:eastAsia="Arial" w:hAnsi="Arial"/>
          <w:sz w:val="17"/>
          <w:szCs w:val="17"/>
          <w:color w:val="auto"/>
        </w:rPr>
        <w:t>The Torii Agreement provides that we will be entitled to receive tiered royalty payments, the amounts of which will depend upon the amount of annual net sales of ORLADEYO in Japan during each calendar year and other factors. We remain responsible for regulatory activities with respect to ORLADEYO in Japan for one year after the first commercial sale.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78" w:lineRule="exact"/>
        <w:rPr>
          <w:sz w:val="20"/>
          <w:szCs w:val="20"/>
          <w:color w:val="auto"/>
        </w:rPr>
      </w:pPr>
    </w:p>
    <w:p>
      <w:pPr>
        <w:jc w:val="both"/>
        <w:ind w:right="140" w:firstLine="450"/>
        <w:spacing w:after="0" w:line="311" w:lineRule="auto"/>
        <w:rPr>
          <w:sz w:val="20"/>
          <w:szCs w:val="20"/>
          <w:color w:val="auto"/>
        </w:rPr>
      </w:pPr>
      <w:r>
        <w:rPr>
          <w:rFonts w:ascii="Arial" w:cs="Arial" w:eastAsia="Arial" w:hAnsi="Arial"/>
          <w:sz w:val="16"/>
          <w:szCs w:val="16"/>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spacing w:after="0" w:line="149" w:lineRule="exact"/>
        <w:rPr>
          <w:sz w:val="20"/>
          <w:szCs w:val="20"/>
          <w:color w:val="auto"/>
        </w:rPr>
      </w:pPr>
    </w:p>
    <w:p>
      <w:pPr>
        <w:ind w:right="120" w:firstLine="450"/>
        <w:spacing w:after="0" w:line="275" w:lineRule="auto"/>
        <w:rPr>
          <w:sz w:val="20"/>
          <w:szCs w:val="20"/>
          <w:color w:val="auto"/>
        </w:rPr>
      </w:pPr>
      <w:r>
        <w:rPr>
          <w:rFonts w:ascii="Arial" w:cs="Arial" w:eastAsia="Arial" w:hAnsi="Arial"/>
          <w:sz w:val="17"/>
          <w:szCs w:val="17"/>
          <w:color w:val="auto"/>
        </w:rPr>
        <w:t>Torii will have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would be entitled to receive under the Torii Agreement.</w:t>
      </w:r>
    </w:p>
    <w:p>
      <w:pPr>
        <w:spacing w:after="0" w:line="176" w:lineRule="exact"/>
        <w:rPr>
          <w:sz w:val="20"/>
          <w:szCs w:val="20"/>
          <w:color w:val="auto"/>
        </w:rPr>
      </w:pPr>
    </w:p>
    <w:p>
      <w:pPr>
        <w:jc w:val="both"/>
        <w:ind w:right="140" w:firstLine="450"/>
        <w:spacing w:after="0" w:line="259" w:lineRule="auto"/>
        <w:rPr>
          <w:sz w:val="20"/>
          <w:szCs w:val="20"/>
          <w:color w:val="auto"/>
        </w:rPr>
      </w:pPr>
      <w:r>
        <w:rPr>
          <w:rFonts w:ascii="Arial" w:cs="Arial" w:eastAsia="Arial" w:hAnsi="Arial"/>
          <w:sz w:val="18"/>
          <w:szCs w:val="18"/>
          <w:color w:val="auto"/>
        </w:rPr>
        <w:t>Under the Torii Agreement, we will be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87" w:lineRule="exact"/>
        <w:rPr>
          <w:sz w:val="20"/>
          <w:szCs w:val="20"/>
          <w:color w:val="auto"/>
        </w:rPr>
      </w:pPr>
    </w:p>
    <w:p>
      <w:pPr>
        <w:ind w:firstLine="450"/>
        <w:spacing w:after="0" w:line="308" w:lineRule="auto"/>
        <w:rPr>
          <w:sz w:val="20"/>
          <w:szCs w:val="20"/>
          <w:color w:val="auto"/>
        </w:rPr>
      </w:pPr>
      <w:r>
        <w:rPr>
          <w:rFonts w:ascii="Arial" w:cs="Arial" w:eastAsia="Arial" w:hAnsi="Arial"/>
          <w:sz w:val="17"/>
          <w:szCs w:val="17"/>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4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commercialization efforts, methods, and strategies for our products or technologies will succeed, and our future revenue generation is uncertain.</w:t>
      </w:r>
    </w:p>
    <w:p>
      <w:pPr>
        <w:spacing w:after="0" w:line="170"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There can be no assurance that our and our partners’ commercialization efforts, methods and strategies will succeed. Although we have expanded and added experienced professionals to our internal commercial team, as a company we do not have a great deal of experience in commercializing our products or technologies. In addition,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88" w:lineRule="exact"/>
        <w:rPr>
          <w:sz w:val="20"/>
          <w:szCs w:val="20"/>
          <w:color w:val="auto"/>
        </w:rPr>
      </w:pPr>
    </w:p>
    <w:p>
      <w:pPr>
        <w:ind w:left="980" w:right="46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fail to successfully complete clinical trials, or satisfy post-marketing commitments, sufficient to obtain and keep regulatory agency marketing approval;</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980" w:right="1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Arial" w:cs="Arial" w:eastAsia="Arial" w:hAnsi="Arial"/>
          <w:sz w:val="18"/>
          <w:szCs w:val="18"/>
          <w:color w:val="auto"/>
        </w:rPr>
      </w:pPr>
    </w:p>
    <w:p>
      <w:pPr>
        <w:ind w:left="980" w:right="100" w:hanging="324"/>
        <w:spacing w:after="0" w:line="26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left="980" w:right="50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partners’ ability to successfully commercialize our products is affected by the competitive landscape, which cannot be fully known at this time;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from product sales would depend on our ability to obtain and maintain favorable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revenue from product sales would depend on our ability to successfully complete clinical studies, obtain regulatory approvals, and manufacture, market, distribute and commercialize our approved drugs; and</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us or our partners.</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future revenue from sales of ORLADEYO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w:t>
      </w:r>
    </w:p>
    <w:p>
      <w:pPr>
        <w:spacing w:after="0" w:line="187"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ORLADEYO and BCX9930 revenues under the Royalty Purchase Agreement may reduce the profitability of such products.</w:t>
      </w:r>
    </w:p>
    <w:p>
      <w:pPr>
        <w:spacing w:after="0" w:line="184" w:lineRule="exact"/>
        <w:rPr>
          <w:sz w:val="20"/>
          <w:szCs w:val="20"/>
          <w:color w:val="auto"/>
        </w:rPr>
      </w:pPr>
    </w:p>
    <w:p>
      <w:pPr>
        <w:ind w:left="240" w:right="100"/>
        <w:spacing w:after="0" w:line="308" w:lineRule="auto"/>
        <w:rPr>
          <w:sz w:val="20"/>
          <w:szCs w:val="20"/>
          <w:color w:val="auto"/>
        </w:rPr>
      </w:pPr>
      <w:r>
        <w:rPr>
          <w:rFonts w:ascii="Arial" w:cs="Arial" w:eastAsia="Arial" w:hAnsi="Arial"/>
          <w:sz w:val="17"/>
          <w:szCs w:val="17"/>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46" w:lineRule="exact"/>
        <w:rPr>
          <w:sz w:val="20"/>
          <w:szCs w:val="20"/>
          <w:color w:val="auto"/>
        </w:rPr>
      </w:pPr>
    </w:p>
    <w:p>
      <w:pPr>
        <w:ind w:right="100" w:firstLine="450"/>
        <w:spacing w:after="0" w:line="269" w:lineRule="auto"/>
        <w:rPr>
          <w:sz w:val="20"/>
          <w:szCs w:val="20"/>
          <w:color w:val="auto"/>
        </w:rPr>
      </w:pPr>
      <w:r>
        <w:rPr>
          <w:rFonts w:ascii="Arial" w:cs="Arial" w:eastAsia="Arial" w:hAnsi="Arial"/>
          <w:sz w:val="17"/>
          <w:szCs w:val="17"/>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85" w:lineRule="exact"/>
        <w:rPr>
          <w:sz w:val="20"/>
          <w:szCs w:val="20"/>
          <w:color w:val="auto"/>
        </w:rPr>
      </w:pPr>
    </w:p>
    <w:p>
      <w:pPr>
        <w:ind w:left="240"/>
        <w:spacing w:after="0" w:line="340" w:lineRule="auto"/>
        <w:rPr>
          <w:sz w:val="20"/>
          <w:szCs w:val="20"/>
          <w:color w:val="auto"/>
        </w:rPr>
      </w:pPr>
      <w:r>
        <w:rPr>
          <w:rFonts w:ascii="Arial" w:cs="Arial" w:eastAsia="Arial" w:hAnsi="Arial"/>
          <w:sz w:val="15"/>
          <w:szCs w:val="15"/>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1"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spacing w:after="0" w:line="16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resources being devoted in the manner necessary to satisfy our requirements within expected timeframes;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distribute commercial supplies of our products to commercial vendors or end users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9" w:lineRule="exact"/>
        <w:rPr>
          <w:rFonts w:ascii="Arial" w:cs="Arial" w:eastAsia="Arial" w:hAnsi="Arial"/>
          <w:sz w:val="18"/>
          <w:szCs w:val="18"/>
          <w:color w:val="auto"/>
        </w:rPr>
      </w:pPr>
    </w:p>
    <w:p>
      <w:pPr>
        <w:ind w:left="980" w:right="13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impurities in our drug substance or products that could affect availability of product for our clinical trials or future commercialization;</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provide us with accurate or timely information regarding inventories, the number of patients who are using our products, or serious adverse events and/or product complaints regarding our products;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of third parties to satisfy their financial obligations to us or to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breach of the manufacturing or distribution agreement by the third party;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termination or nonrenewal of a critical agreement by the third party at a time that is costly or inconvenient to us; and</w:t>
      </w:r>
    </w:p>
    <w:p>
      <w:pPr>
        <w:spacing w:after="0" w:line="9" w:lineRule="exact"/>
        <w:rPr>
          <w:rFonts w:ascii="Arial" w:cs="Arial" w:eastAsia="Arial" w:hAnsi="Arial"/>
          <w:sz w:val="18"/>
          <w:szCs w:val="18"/>
          <w:color w:val="auto"/>
        </w:rPr>
      </w:pPr>
    </w:p>
    <w:p>
      <w:pPr>
        <w:ind w:left="980" w:right="60" w:hanging="324"/>
        <w:spacing w:after="0" w:line="32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lack of compliance or cooperation with regulations and specifications or requests set forth by the FDA or other foreign regulatory agencies or local customs, particularly associated with ORLADEYO, BCX9930, BCX9250, galidesivir, peramivir and our early-stage compounds.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firstLine="450"/>
        <w:spacing w:after="0" w:line="291" w:lineRule="auto"/>
        <w:rPr>
          <w:sz w:val="20"/>
          <w:szCs w:val="20"/>
          <w:color w:val="auto"/>
        </w:rPr>
      </w:pPr>
      <w:r>
        <w:rPr>
          <w:rFonts w:ascii="Arial" w:cs="Arial" w:eastAsia="Arial" w:hAnsi="Arial"/>
          <w:sz w:val="16"/>
          <w:szCs w:val="16"/>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spacing w:after="0" w:line="166"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68"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9" w:lineRule="exact"/>
        <w:rPr>
          <w:sz w:val="20"/>
          <w:szCs w:val="20"/>
          <w:color w:val="auto"/>
        </w:rPr>
      </w:pPr>
    </w:p>
    <w:p>
      <w:pPr>
        <w:jc w:val="both"/>
        <w:ind w:left="240" w:right="520"/>
        <w:spacing w:after="0" w:line="263" w:lineRule="auto"/>
        <w:rPr>
          <w:sz w:val="20"/>
          <w:szCs w:val="20"/>
          <w:color w:val="auto"/>
        </w:rPr>
      </w:pPr>
      <w:r>
        <w:rPr>
          <w:rFonts w:ascii="Arial" w:cs="Arial" w:eastAsia="Arial" w:hAnsi="Arial"/>
          <w:sz w:val="18"/>
          <w:szCs w:val="18"/>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84" w:lineRule="exact"/>
        <w:rPr>
          <w:sz w:val="20"/>
          <w:szCs w:val="20"/>
          <w:color w:val="auto"/>
        </w:rPr>
      </w:pPr>
    </w:p>
    <w:p>
      <w:pPr>
        <w:jc w:val="both"/>
        <w:ind w:right="220" w:firstLine="450"/>
        <w:spacing w:after="0" w:line="263" w:lineRule="auto"/>
        <w:rPr>
          <w:sz w:val="20"/>
          <w:szCs w:val="20"/>
          <w:color w:val="auto"/>
        </w:rPr>
      </w:pPr>
      <w:r>
        <w:rPr>
          <w:rFonts w:ascii="Arial" w:cs="Arial" w:eastAsia="Arial" w:hAnsi="Arial"/>
          <w:sz w:val="18"/>
          <w:szCs w:val="18"/>
          <w:color w:val="auto"/>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84" w:lineRule="exact"/>
        <w:rPr>
          <w:sz w:val="20"/>
          <w:szCs w:val="20"/>
          <w:color w:val="auto"/>
        </w:rPr>
      </w:pPr>
    </w:p>
    <w:p>
      <w:pPr>
        <w:ind w:left="980" w:right="52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products may not prove to be adequately safe and effective for market approval in markets other than the markets in which they are currently approved;</w:t>
      </w:r>
    </w:p>
    <w:p>
      <w:pPr>
        <w:spacing w:after="0" w:line="1" w:lineRule="exact"/>
        <w:rPr>
          <w:rFonts w:ascii="Arial" w:cs="Arial" w:eastAsia="Arial" w:hAnsi="Arial"/>
          <w:sz w:val="18"/>
          <w:szCs w:val="18"/>
          <w:color w:val="auto"/>
        </w:rPr>
      </w:pPr>
    </w:p>
    <w:p>
      <w:pPr>
        <w:ind w:left="980" w:right="6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necessary funding for post-marketing commitments and further development of our products may not be available timely, at all, or in sufficient amounts;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advances in competing products could substantially replace potential demand for our products;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and third-party payors may not provide sufficient coverage or reimbursement, which would negatively impact the demand for our products;</w:t>
      </w:r>
    </w:p>
    <w:p>
      <w:pPr>
        <w:ind w:left="980" w:right="3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980" w:right="120" w:hanging="324"/>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our products by us or our partners;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availability of alternative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Risks Relating to Competing in Our Industry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225"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7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Developments by others may render our products, product candidates, or technologies obsolete or noncompetitive.</w:t>
      </w:r>
    </w:p>
    <w:p>
      <w:pPr>
        <w:spacing w:after="0" w:line="225" w:lineRule="exact"/>
        <w:rPr>
          <w:sz w:val="20"/>
          <w:szCs w:val="20"/>
          <w:color w:val="auto"/>
        </w:rPr>
      </w:pPr>
    </w:p>
    <w:p>
      <w:pPr>
        <w:ind w:right="60" w:firstLine="450"/>
        <w:spacing w:after="0" w:line="273" w:lineRule="auto"/>
        <w:rPr>
          <w:sz w:val="20"/>
          <w:szCs w:val="20"/>
          <w:color w:val="auto"/>
        </w:rPr>
      </w:pPr>
      <w:r>
        <w:rPr>
          <w:rFonts w:ascii="Arial" w:cs="Arial" w:eastAsia="Arial" w:hAnsi="Arial"/>
          <w:sz w:val="16"/>
          <w:szCs w:val="16"/>
          <w:color w:val="auto"/>
        </w:rPr>
        <w:t>We received FDA approval of ORLADEYO, an oral, once-daily therapy for the prevention of HAE attacks in adults and pediatric patients 12 years and older, in December 2020. We subsequently received regulatory approvals for ORLADEYO in Japan, the European Union, and the United Kingdom in January 2021, April 2021, and May 2021, respectively.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w:t>
      </w:r>
      <w:r>
        <w:rPr>
          <w:rFonts w:ascii="Arial" w:cs="Arial" w:eastAsia="Arial" w:hAnsi="Arial"/>
          <w:sz w:val="26"/>
          <w:szCs w:val="26"/>
          <w:color w:val="auto"/>
          <w:vertAlign w:val="superscript"/>
        </w:rPr>
        <w:t>TM</w:t>
      </w:r>
      <w:r>
        <w:rPr>
          <w:rFonts w:ascii="Arial" w:cs="Arial" w:eastAsia="Arial" w:hAnsi="Arial"/>
          <w:sz w:val="16"/>
          <w:szCs w:val="16"/>
          <w:color w:val="auto"/>
        </w:rPr>
        <w:t>, and Empaveli</w:t>
      </w:r>
      <w:r>
        <w:rPr>
          <w:rFonts w:ascii="Arial" w:cs="Arial" w:eastAsia="Arial" w:hAnsi="Arial"/>
          <w:sz w:val="26"/>
          <w:szCs w:val="26"/>
          <w:color w:val="auto"/>
          <w:vertAlign w:val="superscript"/>
        </w:rPr>
        <w:t>TM</w:t>
      </w:r>
      <w:r>
        <w:rPr>
          <w:rFonts w:ascii="Arial" w:cs="Arial" w:eastAsia="Arial" w:hAnsi="Arial"/>
          <w:sz w:val="16"/>
          <w:szCs w:val="16"/>
          <w:color w:val="auto"/>
        </w:rPr>
        <w:t>),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86"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If one or more of our competitors’ products or programs, including potential competitors not currently identified, are successful, the market for our products may be reduced or eliminated.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marketing, and sales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11" w:lineRule="exact"/>
        <w:rPr>
          <w:sz w:val="20"/>
          <w:szCs w:val="20"/>
          <w:color w:val="auto"/>
        </w:rPr>
      </w:pPr>
    </w:p>
    <w:p>
      <w:pPr>
        <w:ind w:firstLine="234"/>
        <w:spacing w:after="0" w:line="277" w:lineRule="auto"/>
        <w:rPr>
          <w:sz w:val="20"/>
          <w:szCs w:val="20"/>
          <w:color w:val="auto"/>
        </w:rPr>
      </w:pPr>
      <w:r>
        <w:rPr>
          <w:rFonts w:ascii="Arial" w:cs="Arial" w:eastAsia="Arial" w:hAnsi="Arial"/>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Regulatory Risks</w:t>
      </w:r>
    </w:p>
    <w:p>
      <w:pPr>
        <w:spacing w:after="0" w:line="225"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Our or our partners’ activities related to approved products or, following their regulatory approval, any of our product candidates under development, such as BCX9930, BCX9250, and galidesivir, are subject to regulatory and law enforcement authorities in the United States (including the FDA, the Federal Trade Commission, the Department of Justice, and state and local governments) and their foreign equivalents (including the EMA, MHLW, MHRA, and others).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60" w:firstLine="450"/>
        <w:spacing w:after="0" w:line="293" w:lineRule="auto"/>
        <w:rPr>
          <w:sz w:val="20"/>
          <w:szCs w:val="20"/>
          <w:color w:val="auto"/>
        </w:rPr>
      </w:pPr>
      <w:r>
        <w:rPr>
          <w:rFonts w:ascii="Arial" w:cs="Arial" w:eastAsia="Arial" w:hAnsi="Arial"/>
          <w:sz w:val="16"/>
          <w:szCs w:val="16"/>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64"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In addition, we are subject to the federal physician sunshine act and certain similar physician payment and drug pricing transparency legislation in various states. We are also subject to various federal and state laws pertaining to health 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 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76"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77"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its safety or efficacy.</w:t>
      </w:r>
    </w:p>
    <w:p>
      <w:pPr>
        <w:spacing w:after="0" w:line="192"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Advertising and promotion are subject to stringent FDA rules and oversight, and as an NDA-holder,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77" w:lineRule="exact"/>
        <w:rPr>
          <w:sz w:val="20"/>
          <w:szCs w:val="20"/>
          <w:color w:val="auto"/>
        </w:rPr>
      </w:pPr>
    </w:p>
    <w:p>
      <w:pPr>
        <w:ind w:right="40" w:firstLine="450"/>
        <w:spacing w:after="0" w:line="293" w:lineRule="auto"/>
        <w:rPr>
          <w:sz w:val="20"/>
          <w:szCs w:val="20"/>
          <w:color w:val="auto"/>
        </w:rPr>
      </w:pPr>
      <w:r>
        <w:rPr>
          <w:rFonts w:ascii="Arial" w:cs="Arial" w:eastAsia="Arial" w:hAnsi="Arial"/>
          <w:sz w:val="16"/>
          <w:szCs w:val="16"/>
          <w:color w:val="auto"/>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state and local governments, and foreign equivalents of the foregoing. All of these activities are also potentially subject to healthcare false claims and fraud and abuse laws, as well as consumer protection and unfair competition laws.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20" w:firstLine="450"/>
        <w:spacing w:after="0" w:line="291" w:lineRule="auto"/>
        <w:rPr>
          <w:sz w:val="20"/>
          <w:szCs w:val="20"/>
          <w:color w:val="auto"/>
        </w:rPr>
      </w:pPr>
      <w:r>
        <w:rPr>
          <w:rFonts w:ascii="Arial" w:cs="Arial" w:eastAsia="Arial" w:hAnsi="Arial"/>
          <w:sz w:val="16"/>
          <w:szCs w:val="16"/>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66"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left="240" w:right="720"/>
        <w:spacing w:after="0" w:line="342"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ability to market our products, obtain collaborators and raise capital.</w:t>
      </w:r>
    </w:p>
    <w:p>
      <w:pPr>
        <w:spacing w:after="0" w:line="124"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color w:val="auto"/>
        </w:rPr>
        <w:t>The Patient Protection and Affordable Care Act, or PPACA, made extensive changes to the delivery of health care in the U.S. The PPACA included numerous provisions that affect pharmaceutical companies, some of which became effective immediately and others of which have taken effect over the past several years. For example, the PPACA expanded health 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required reporting and public disclosure of payments and other transfers of value provided by pharmaceutical companies to physicians and teaching hospitals.</w:t>
      </w:r>
    </w:p>
    <w:p>
      <w:pPr>
        <w:spacing w:after="0" w:line="181" w:lineRule="exact"/>
        <w:rPr>
          <w:sz w:val="20"/>
          <w:szCs w:val="20"/>
          <w:color w:val="auto"/>
        </w:rPr>
      </w:pPr>
    </w:p>
    <w:p>
      <w:pPr>
        <w:ind w:right="200" w:firstLine="450"/>
        <w:spacing w:after="0" w:line="270"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81"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ind w:firstLine="450"/>
        <w:spacing w:after="0" w:line="286" w:lineRule="auto"/>
        <w:rPr>
          <w:sz w:val="20"/>
          <w:szCs w:val="20"/>
          <w:color w:val="auto"/>
        </w:rPr>
      </w:pPr>
      <w:r>
        <w:rPr>
          <w:rFonts w:ascii="Arial" w:cs="Arial" w:eastAsia="Arial" w:hAnsi="Arial"/>
          <w:sz w:val="16"/>
          <w:szCs w:val="16"/>
          <w:color w:val="auto"/>
        </w:rPr>
        <w:t>Adequate coverage and reimbursement in the U.S. and other markets is critical to the commercial success of our approved products.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 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our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6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are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are also subject to the General Data Protection Regulation in the EU.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81"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70" w:lineRule="exact"/>
        <w:rPr>
          <w:sz w:val="20"/>
          <w:szCs w:val="20"/>
          <w:color w:val="auto"/>
        </w:rPr>
      </w:pPr>
    </w:p>
    <w:p>
      <w:pPr>
        <w:ind w:right="160" w:firstLine="414"/>
        <w:spacing w:after="0" w:line="275"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Risks</w:t>
      </w:r>
    </w:p>
    <w:p>
      <w:pPr>
        <w:spacing w:after="0" w:line="225"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70"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ind w:firstLine="450"/>
        <w:spacing w:after="0" w:line="263" w:lineRule="auto"/>
        <w:rPr>
          <w:sz w:val="20"/>
          <w:szCs w:val="20"/>
          <w:color w:val="auto"/>
        </w:rPr>
      </w:pPr>
      <w:r>
        <w:rPr>
          <w:rFonts w:ascii="Arial" w:cs="Arial" w:eastAsia="Arial" w:hAnsi="Arial"/>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84"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70"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8"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6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have to:</w:t>
      </w:r>
    </w:p>
    <w:p>
      <w:pPr>
        <w:spacing w:after="0" w:line="21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11"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7"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auto"/>
        </w:rPr>
        <w:t>Product Liability Risks</w:t>
      </w:r>
    </w:p>
    <w:p>
      <w:pPr>
        <w:spacing w:after="0" w:line="22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95"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even greater risks upon any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7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liabilities that substantially exceed our product liability insurance, which we would then be required to pay from other sources, if available;</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of our product liability insurance rates or the inability to maintain insurance coverage in the future on acceptable terms, or at all;</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Contractual Arrangements</w:t>
      </w:r>
    </w:p>
    <w:p>
      <w:pPr>
        <w:spacing w:after="0" w:line="225"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70"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this could have an adverse impact on the programs associated with such funding and could also adversely impact our cash flows and operations.</w:t>
      </w:r>
    </w:p>
    <w:p>
      <w:pPr>
        <w:spacing w:after="0" w:line="178" w:lineRule="exact"/>
        <w:rPr>
          <w:sz w:val="20"/>
          <w:szCs w:val="20"/>
          <w:color w:val="auto"/>
        </w:rPr>
      </w:pPr>
    </w:p>
    <w:p>
      <w:pPr>
        <w:ind w:right="100" w:firstLine="450"/>
        <w:spacing w:after="0" w:line="263"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84"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an in-process review where the U.S. Government will review the project and its options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11"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this could have an adverse impact on our cash flows and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3" w:name="page54"/>
    <w:bookmarkEnd w:id="53"/>
    <w:p>
      <w:pPr>
        <w:ind w:right="20" w:firstLine="450"/>
        <w:spacing w:after="0" w:line="286" w:lineRule="auto"/>
        <w:rPr>
          <w:sz w:val="20"/>
          <w:szCs w:val="20"/>
          <w:color w:val="auto"/>
        </w:rPr>
      </w:pPr>
      <w:r>
        <w:rPr>
          <w:rFonts w:ascii="Arial" w:cs="Arial" w:eastAsia="Arial" w:hAnsi="Arial"/>
          <w:sz w:val="16"/>
          <w:szCs w:val="16"/>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2015;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our antivirals.</w:t>
      </w:r>
    </w:p>
    <w:p>
      <w:pPr>
        <w:spacing w:after="0" w:line="22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Government use or sale, in emergency situations or otherwise, of our antivirals—including peramivir for the treatment of influenza—may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8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92" w:lineRule="exact"/>
        <w:rPr>
          <w:sz w:val="20"/>
          <w:szCs w:val="20"/>
          <w:color w:val="auto"/>
        </w:rPr>
      </w:pPr>
    </w:p>
    <w:p>
      <w:pPr>
        <w:ind w:right="120" w:firstLine="450"/>
        <w:spacing w:after="0" w:line="301" w:lineRule="auto"/>
        <w:rPr>
          <w:sz w:val="20"/>
          <w:szCs w:val="20"/>
          <w:color w:val="auto"/>
        </w:rPr>
      </w:pPr>
      <w:r>
        <w:rPr>
          <w:rFonts w:ascii="Arial" w:cs="Arial" w:eastAsia="Arial" w:hAnsi="Arial"/>
          <w:sz w:val="16"/>
          <w:szCs w:val="16"/>
          <w:color w:val="auto"/>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57" w:lineRule="exact"/>
        <w:rPr>
          <w:sz w:val="20"/>
          <w:szCs w:val="20"/>
          <w:color w:val="auto"/>
        </w:rPr>
      </w:pPr>
    </w:p>
    <w:p>
      <w:pPr>
        <w:ind w:left="240" w:right="660"/>
        <w:spacing w:after="0" w:line="277"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70"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88" w:lineRule="exact"/>
        <w:rPr>
          <w:sz w:val="20"/>
          <w:szCs w:val="20"/>
          <w:color w:val="auto"/>
        </w:rPr>
      </w:pPr>
    </w:p>
    <w:p>
      <w:pPr>
        <w:ind w:left="240" w:right="120"/>
        <w:spacing w:after="0" w:line="263" w:lineRule="auto"/>
        <w:rPr>
          <w:sz w:val="20"/>
          <w:szCs w:val="20"/>
          <w:color w:val="auto"/>
        </w:rPr>
      </w:pPr>
      <w:r>
        <w:rPr>
          <w:rFonts w:ascii="Arial" w:cs="Arial" w:eastAsia="Arial" w:hAnsi="Arial"/>
          <w:sz w:val="18"/>
          <w:szCs w:val="18"/>
          <w:b w:val="1"/>
          <w:bCs w:val="1"/>
          <w:i w:val="1"/>
          <w:iCs w:val="1"/>
          <w:color w:val="auto"/>
        </w:rPr>
        <w:t>Royalties and milestone payments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84"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20" w:firstLine="450"/>
        <w:spacing w:after="0" w:line="271" w:lineRule="auto"/>
        <w:rPr>
          <w:sz w:val="20"/>
          <w:szCs w:val="20"/>
          <w:color w:val="auto"/>
        </w:rPr>
      </w:pPr>
      <w:r>
        <w:rPr>
          <w:rFonts w:ascii="Arial" w:cs="Arial" w:eastAsia="Arial" w:hAnsi="Arial"/>
          <w:sz w:val="17"/>
          <w:szCs w:val="17"/>
          <w:color w:val="auto"/>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78" w:lineRule="exact"/>
        <w:rPr>
          <w:sz w:val="20"/>
          <w:szCs w:val="20"/>
          <w:color w:val="auto"/>
        </w:rPr>
      </w:pPr>
    </w:p>
    <w:p>
      <w:pPr>
        <w:ind w:left="240" w:right="20"/>
        <w:spacing w:after="0" w:line="311" w:lineRule="auto"/>
        <w:rPr>
          <w:sz w:val="20"/>
          <w:szCs w:val="20"/>
          <w:color w:val="auto"/>
        </w:rPr>
      </w:pPr>
      <w:r>
        <w:rPr>
          <w:rFonts w:ascii="Arial" w:cs="Arial" w:eastAsia="Arial" w:hAnsi="Arial"/>
          <w:sz w:val="16"/>
          <w:szCs w:val="16"/>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that might otherwise accrue to us following repayment of the PhaRMA Notes and we could otherwise be adversely affected.</w:t>
      </w:r>
    </w:p>
    <w:p>
      <w:pPr>
        <w:spacing w:after="0" w:line="149"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 In addition, the PhaRMA Notes have a final legal maturity date of December 1, 2020, at which time the outstanding principal amount of the PhaRMA Notes, together with accrued and unpaid interest,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79" w:lineRule="exact"/>
        <w:rPr>
          <w:sz w:val="20"/>
          <w:szCs w:val="20"/>
          <w:color w:val="auto"/>
        </w:rPr>
      </w:pPr>
    </w:p>
    <w:p>
      <w:pPr>
        <w:ind w:left="240" w:right="140"/>
        <w:spacing w:after="0" w:line="301" w:lineRule="auto"/>
        <w:rPr>
          <w:sz w:val="20"/>
          <w:szCs w:val="20"/>
          <w:color w:val="auto"/>
        </w:rPr>
      </w:pPr>
      <w:r>
        <w:rPr>
          <w:rFonts w:ascii="Arial" w:cs="Arial" w:eastAsia="Arial" w:hAnsi="Arial"/>
          <w:sz w:val="16"/>
          <w:szCs w:val="16"/>
          <w:b w:val="1"/>
          <w:bCs w:val="1"/>
          <w:i w:val="1"/>
          <w:iCs w:val="1"/>
          <w:color w:val="auto"/>
        </w:rPr>
        <w:t>We have incurred significant indebtedness, which could adversely affect our business. Additionally, our Credit Agreement contains conditions and restrictions that limit our flexibility in drawing on the additional funds thereunder and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57"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As of June 30, 2021, we had an outstanding principal balance under our Credit Agreement of $132.4 million, net of deferred financing costs and inclusive of the PIK Interest Payment. We may also draw up to another $75.0 million in aggregate principal amount under the Term B Loan and the Term C Loan (each as defined in the Credit Agreement) under the Credit Agreement if, among other conditions, the Company reaches defined revenue milestones and, with respect to a draw on the Term C Loan, the Term B Loan has been funded prior to or contemporaneously with the Term C Loan. Our indebtedness could have important consequences to our stockholders. For example, it:</w:t>
      </w:r>
    </w:p>
    <w:p>
      <w:pPr>
        <w:spacing w:after="0" w:line="188"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industry in which we operate;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our Credit Agreement are at variable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requires us to dedicate a portion of our cash flow from operations to interest payments, limiting the availability of cash for other purposes;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or other purposes;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that have less indebtedness.</w:t>
      </w:r>
    </w:p>
    <w:p>
      <w:pPr>
        <w:spacing w:after="0" w:line="211" w:lineRule="exact"/>
        <w:rPr>
          <w:sz w:val="20"/>
          <w:szCs w:val="20"/>
          <w:color w:val="auto"/>
        </w:rPr>
      </w:pPr>
    </w:p>
    <w:p>
      <w:pPr>
        <w:ind w:right="40" w:firstLine="450"/>
        <w:spacing w:after="0" w:line="275" w:lineRule="auto"/>
        <w:rPr>
          <w:sz w:val="20"/>
          <w:szCs w:val="20"/>
          <w:color w:val="auto"/>
        </w:rPr>
      </w:pPr>
      <w:r>
        <w:rPr>
          <w:rFonts w:ascii="Arial" w:cs="Arial" w:eastAsia="Arial" w:hAnsi="Arial"/>
          <w:sz w:val="17"/>
          <w:szCs w:val="17"/>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5" w:name="page56"/>
    <w:bookmarkEnd w:id="55"/>
    <w:p>
      <w:pPr>
        <w:ind w:left="460"/>
        <w:spacing w:after="0"/>
        <w:rPr>
          <w:sz w:val="20"/>
          <w:szCs w:val="20"/>
          <w:color w:val="auto"/>
        </w:rPr>
      </w:pPr>
      <w:r>
        <w:rPr>
          <w:rFonts w:ascii="Arial" w:cs="Arial" w:eastAsia="Arial" w:hAnsi="Arial"/>
          <w:sz w:val="16"/>
          <w:szCs w:val="16"/>
          <w:color w:val="auto"/>
        </w:rPr>
        <w:t>The Credit Agreement also contains certain financial covenants, including a minimum liquidity covenant that requires us to maintain at all times,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applicable, at least $15.0 million of unrestricted cash and cash equivalents if only the Term A Loan (as defined in the Credit Agreement) has been drawn;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$20.0 million of unrestricted cash and cash equivalents if the Term B Loan has been drawn but the Term C Loan has not been drawn; and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(or, in certain circumstances, $20.0 million) of unrestricted cash and cash equivalents if the Term C Loan has been drawn,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exceptions. In addition, if we draw upon the Term C Loan, we will be required to achieve certain minimum targets for consolidated net revenues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ORLADEYO sales in the U.S.</w:t>
      </w:r>
    </w:p>
    <w:p>
      <w:pPr>
        <w:spacing w:after="0" w:line="211" w:lineRule="exact"/>
        <w:rPr>
          <w:sz w:val="20"/>
          <w:szCs w:val="20"/>
          <w:color w:val="auto"/>
        </w:rPr>
      </w:pPr>
    </w:p>
    <w:p>
      <w:pPr>
        <w:ind w:right="460" w:firstLine="450"/>
        <w:spacing w:after="0" w:line="342" w:lineRule="auto"/>
        <w:rPr>
          <w:sz w:val="20"/>
          <w:szCs w:val="20"/>
          <w:color w:val="auto"/>
        </w:rPr>
      </w:pPr>
      <w:r>
        <w:rPr>
          <w:rFonts w:ascii="Arial" w:cs="Arial" w:eastAsia="Arial" w:hAnsi="Arial"/>
          <w:sz w:val="16"/>
          <w:szCs w:val="16"/>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24"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 with RPI.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International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spacing w:after="0" w:line="184" w:lineRule="exact"/>
        <w:rPr>
          <w:sz w:val="20"/>
          <w:szCs w:val="20"/>
          <w:color w:val="auto"/>
        </w:rPr>
      </w:pPr>
    </w:p>
    <w:p>
      <w:pPr>
        <w:ind w:left="980" w:right="180" w:hanging="324"/>
        <w:spacing w:after="0" w:line="274"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or our partners to obtain and maintain regulatory approvals for the use of our products in various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and difficulties in obtaining and maintaining protection for, and enforcing,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9" w:lineRule="exact"/>
        <w:rPr>
          <w:rFonts w:ascii="Arial" w:cs="Arial" w:eastAsia="Arial" w:hAnsi="Arial"/>
          <w:sz w:val="18"/>
          <w:szCs w:val="18"/>
          <w:color w:val="auto"/>
        </w:rPr>
      </w:pPr>
    </w:p>
    <w:p>
      <w:pPr>
        <w:ind w:left="980" w:right="2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jc w:val="both"/>
        <w:ind w:left="980" w:right="6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results of certain elections and votes, actual or threatened public health emergencies and outbreak of disease (including for example, the recent coronavirus outbreak), boycotts, adoption or expansion of government trade restrictions, and other business restrictions;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9" w:lineRule="exact"/>
        <w:rPr>
          <w:rFonts w:ascii="Arial" w:cs="Arial" w:eastAsia="Arial" w:hAnsi="Arial"/>
          <w:sz w:val="18"/>
          <w:szCs w:val="18"/>
          <w:color w:val="auto"/>
        </w:rPr>
      </w:pPr>
    </w:p>
    <w:p>
      <w:pPr>
        <w:jc w:val="both"/>
        <w:ind w:left="980" w:right="2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including its books and records provisions or anti-bribery provisions, or the U.K. Bribery Act and similar foreign laws and regulations; and</w:t>
      </w:r>
    </w:p>
    <w:p>
      <w:pPr>
        <w:spacing w:after="0" w:line="1" w:lineRule="exact"/>
        <w:rPr>
          <w:rFonts w:ascii="Arial" w:cs="Arial" w:eastAsia="Arial" w:hAnsi="Arial"/>
          <w:sz w:val="18"/>
          <w:szCs w:val="18"/>
          <w:color w:val="auto"/>
        </w:rPr>
      </w:pPr>
    </w:p>
    <w:p>
      <w:pPr>
        <w:ind w:left="980" w:right="240" w:hanging="324"/>
        <w:spacing w:after="0" w:line="26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85"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of operations and, consequently, our business and results of operations.</w:t>
      </w:r>
    </w:p>
    <w:p>
      <w:pPr>
        <w:spacing w:after="0" w:line="170"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Additionally, in some countries, such as Japan and the countries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regulations and other legal obligations related to privacy, data protection and information security could harm our business.</w:t>
      </w:r>
    </w:p>
    <w:p>
      <w:pPr>
        <w:spacing w:after="0" w:line="170"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the General Data Protection Regulation (“GDPR”) imposes strict requirements on controllers and processors of personal data, including special protections for “special category data,” which includes health, biometric and genetic information of data subjects located in the EU. Further,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the United States or other regions that have not been deemed to offer “adequate” privacy protections.</w:t>
      </w:r>
    </w:p>
    <w:p>
      <w:pPr>
        <w:spacing w:after="0" w:line="18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Failure to comply with the requirements of the GDPR and the related national data protection laws of the EU member states, which may deviate slightly from the GDPR, may result in significant fines of up to 4% of global revenues, or €20.0 million, whichever is greater, and in addition to such fines, our failure to comply with the requirements of GDPR may subject us to litigation and/or adverse publicity, which could have material adverse effects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imposes additional obligations on us when we are contracting with service providers and requires us to adopt appropriate privacy governance including policies, procedures, training and data audit.</w:t>
      </w:r>
    </w:p>
    <w:p>
      <w:pPr>
        <w:spacing w:after="0" w:line="181"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71"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7" w:lineRule="exact"/>
        <w:rPr>
          <w:sz w:val="20"/>
          <w:szCs w:val="20"/>
          <w:color w:val="auto"/>
        </w:rPr>
      </w:pPr>
    </w:p>
    <w:p>
      <w:pPr>
        <w:ind w:left="240" w:right="320"/>
        <w:spacing w:after="0" w:line="381" w:lineRule="auto"/>
        <w:rPr>
          <w:sz w:val="20"/>
          <w:szCs w:val="20"/>
          <w:color w:val="auto"/>
        </w:rPr>
      </w:pPr>
      <w:r>
        <w:rPr>
          <w:rFonts w:ascii="Arial" w:cs="Arial" w:eastAsia="Arial" w:hAnsi="Arial"/>
          <w:sz w:val="15"/>
          <w:szCs w:val="15"/>
          <w:b w:val="1"/>
          <w:bCs w:val="1"/>
          <w:i w:val="1"/>
          <w:iCs w:val="1"/>
          <w:color w:val="auto"/>
        </w:rPr>
        <w:t>The United Kingdom</w:t>
      </w:r>
      <w:r>
        <w:rPr>
          <w:rFonts w:ascii="Arial" w:cs="Arial" w:eastAsia="Arial" w:hAnsi="Arial"/>
          <w:sz w:val="15"/>
          <w:szCs w:val="15"/>
          <w:color w:val="auto"/>
        </w:rPr>
        <w:t>’</w:t>
      </w:r>
      <w:r>
        <w:rPr>
          <w:rFonts w:ascii="Arial" w:cs="Arial" w:eastAsia="Arial" w:hAnsi="Arial"/>
          <w:sz w:val="15"/>
          <w:szCs w:val="15"/>
          <w:b w:val="1"/>
          <w:bCs w:val="1"/>
          <w:i w:val="1"/>
          <w:iCs w:val="1"/>
          <w:color w:val="auto"/>
        </w:rPr>
        <w:t>s decision to withdraw from the EU could result in increased regulatory and legal complexity, which may make it more difficult for us to do business in Europe and impose additional challenges in securing regulatory approval of our product candidates in Europe.</w:t>
      </w:r>
    </w:p>
    <w:p>
      <w:pPr>
        <w:spacing w:after="0" w:line="100"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The United Kingdom’s exit from the EU,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 and result in increased legal and regulatory complexities, as well as potential higher costs of conducting business in Europe. The long-term effects of Brexit will depend in part on how the current and future trade agreements between the United Kingdom and the EU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66"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The cumulative effects of the disruption to the regulatory framework may add considerably to the development lead time to marketing authorization and commercialization of products in the EU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 and restrict our ability to generate revenues and achieve and sustain profitability.</w:t>
      </w:r>
    </w:p>
    <w:p>
      <w:pPr>
        <w:spacing w:after="0" w:line="19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Risks Relating to Technology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our facilities, or the facilities of our third-party vendors, incur damage or power is lost for a significant length of time, our business will suffer.</w:t>
      </w:r>
    </w:p>
    <w:p>
      <w:pPr>
        <w:spacing w:after="0" w:line="248"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4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disruption in our information technology systems or a cybersecurity breach could adversely affect our business.</w:t>
      </w:r>
    </w:p>
    <w:p>
      <w:pPr>
        <w:spacing w:after="0" w:line="225"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facility. While we do store duplicate copies of most of our clinical data offsite and a significant portion of our data is included in regular backups of our systems, we could lose important data if our facility incurs damage, or if our vendor data systems fail, suffer damage or are destroyed.</w:t>
      </w:r>
    </w:p>
    <w:p>
      <w:pPr>
        <w:spacing w:after="0" w:line="188" w:lineRule="exact"/>
        <w:rPr>
          <w:sz w:val="20"/>
          <w:szCs w:val="20"/>
          <w:color w:val="auto"/>
        </w:rPr>
      </w:pPr>
    </w:p>
    <w:p>
      <w:pPr>
        <w:ind w:right="60" w:firstLine="450"/>
        <w:spacing w:after="0" w:line="289" w:lineRule="auto"/>
        <w:rPr>
          <w:sz w:val="20"/>
          <w:szCs w:val="20"/>
          <w:color w:val="auto"/>
        </w:rPr>
      </w:pPr>
      <w:r>
        <w:rPr>
          <w:rFonts w:ascii="Arial" w:cs="Arial" w:eastAsia="Arial" w:hAnsi="Arial"/>
          <w:sz w:val="16"/>
          <w:szCs w:val="16"/>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22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70" w:lineRule="exact"/>
        <w:rPr>
          <w:sz w:val="20"/>
          <w:szCs w:val="20"/>
          <w:color w:val="auto"/>
        </w:rPr>
      </w:pPr>
    </w:p>
    <w:p>
      <w:pPr>
        <w:ind w:right="120" w:firstLine="450"/>
        <w:spacing w:after="0" w:line="263" w:lineRule="auto"/>
        <w:rPr>
          <w:sz w:val="20"/>
          <w:szCs w:val="20"/>
          <w:color w:val="auto"/>
        </w:rPr>
      </w:pPr>
      <w:r>
        <w:rPr>
          <w:rFonts w:ascii="Arial" w:cs="Arial" w:eastAsia="Arial" w:hAnsi="Arial"/>
          <w:sz w:val="18"/>
          <w:szCs w:val="18"/>
          <w:color w:val="auto"/>
        </w:rPr>
        <w:t>Several of our stockholders own greater than 5% of our outstanding common stock. Our top ten stockholders own close to 50% of BioCryst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84" w:lineRule="exact"/>
        <w:rPr>
          <w:sz w:val="20"/>
          <w:szCs w:val="20"/>
          <w:color w:val="auto"/>
        </w:rPr>
      </w:pPr>
    </w:p>
    <w:p>
      <w:pPr>
        <w:ind w:left="220" w:right="520"/>
        <w:spacing w:after="0" w:line="277"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2021, the 52-week range of the market price of our stock was from $3.30 to $17.74 per share. The following factors, in addition to other risk factors described in this section, may have a significant impact on the market price of our common stock:</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and announcements regarding new and virulent strains of influenza;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partners achieving or failing to achieve development milestones;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48"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Future sales of our common stock by us or our current stockholders into the public market could cause the market price of our stock to fall. As of July 30, 2021, there were 178,869,928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8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As of July 30, 2021, there were 25,039,041 stock options outstanding and 10,198,379 shares available for issuance under our Amended and Restated Stock Incentive Plan, 4,390,793 stock options outstanding and 1,479,082 shares available for issuance under our Amended and Restated Inducement Equity Incentive Plan and 6,056,304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92"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7"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to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240"/>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never paid cash dividends on our stock. We currently intend to retain all future earnings, if any, for use in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211"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s ability to obtain a favorable judicial forum for such disputes with us or our directors, officers or employees.</w:t>
      </w:r>
    </w:p>
    <w:p>
      <w:pPr>
        <w:spacing w:after="0" w:line="184" w:lineRule="exact"/>
        <w:rPr>
          <w:sz w:val="20"/>
          <w:szCs w:val="20"/>
          <w:color w:val="auto"/>
        </w:rPr>
      </w:pPr>
    </w:p>
    <w:p>
      <w:pPr>
        <w:ind w:right="80" w:firstLine="450"/>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spacing w:after="0" w:line="165"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25" w:lineRule="exact"/>
        <w:rPr>
          <w:sz w:val="20"/>
          <w:szCs w:val="20"/>
          <w:color w:val="auto"/>
        </w:rPr>
      </w:pPr>
    </w:p>
    <w:p>
      <w:pPr>
        <w:ind w:left="240" w:right="220"/>
        <w:spacing w:after="0" w:line="381" w:lineRule="auto"/>
        <w:rPr>
          <w:sz w:val="20"/>
          <w:szCs w:val="20"/>
          <w:color w:val="auto"/>
        </w:rPr>
      </w:pPr>
      <w:r>
        <w:rPr>
          <w:rFonts w:ascii="Arial" w:cs="Arial" w:eastAsia="Arial" w:hAnsi="Arial"/>
          <w:sz w:val="15"/>
          <w:szCs w:val="15"/>
          <w:b w:val="1"/>
          <w:bCs w:val="1"/>
          <w:i w:val="1"/>
          <w:iCs w:val="1"/>
          <w:color w:val="auto"/>
        </w:rPr>
        <w:t>Natural disasters, epidemic or pandemic disease outbreaks, trade wars, political unrest or other events could disrupt our business or operations or those of our development partners, manufacturers, regulators or other third parties with whom we conduct business now or in the future.</w:t>
      </w:r>
    </w:p>
    <w:p>
      <w:pPr>
        <w:spacing w:after="0" w:line="100" w:lineRule="exact"/>
        <w:rPr>
          <w:sz w:val="20"/>
          <w:szCs w:val="20"/>
          <w:color w:val="auto"/>
        </w:rPr>
      </w:pPr>
    </w:p>
    <w:p>
      <w:pPr>
        <w:ind w:right="120" w:firstLine="540"/>
        <w:spacing w:after="0" w:line="288" w:lineRule="auto"/>
        <w:rPr>
          <w:sz w:val="20"/>
          <w:szCs w:val="20"/>
          <w:color w:val="auto"/>
        </w:rPr>
      </w:pPr>
      <w:r>
        <w:rPr>
          <w:rFonts w:ascii="Arial" w:cs="Arial" w:eastAsia="Arial" w:hAnsi="Arial"/>
          <w:sz w:val="16"/>
          <w:szCs w:val="16"/>
          <w:color w:val="auto"/>
        </w:rPr>
        <w:t>A wide variety of events beyond our control, including natural disasters, epidemic or pandemic disease outbreaks (such as the ongoing COVID-19 pandemic), trade wars,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have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COVID-19—Our business, operations, clinical development or commercialization plans and timelines, and access to capital could be adversely affected by the effects of the COVID-19 pandemic on us or on third parties with whom we conduct business, including without limitation our development partners, manufacturers, clinical research organizations (“CROs”), and others, as well as on the regulatory and government agencies with whom we work.”</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subject to legal proceedings, which could harm our reputation or result in other losses or unexpected expenditure of time and resources.</w:t>
      </w:r>
    </w:p>
    <w:p>
      <w:pPr>
        <w:spacing w:after="0" w:line="260" w:lineRule="exact"/>
        <w:rPr>
          <w:sz w:val="20"/>
          <w:szCs w:val="20"/>
          <w:color w:val="auto"/>
        </w:rPr>
      </w:pPr>
    </w:p>
    <w:p>
      <w:pPr>
        <w:ind w:right="80" w:firstLine="450"/>
        <w:spacing w:after="0" w:line="291" w:lineRule="auto"/>
        <w:rPr>
          <w:sz w:val="20"/>
          <w:szCs w:val="20"/>
          <w:color w:val="auto"/>
        </w:rPr>
      </w:pPr>
      <w:r>
        <w:rPr>
          <w:rFonts w:ascii="Arial" w:cs="Arial" w:eastAsia="Arial" w:hAnsi="Arial"/>
          <w:sz w:val="16"/>
          <w:szCs w:val="16"/>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left="240" w:right="20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46"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On August 4, 2021, the Company entered into amended and restated employment agreements with Yarlagadda S. Babu, Ph.D., William P. Sheridan, MBBS, and Alane P. Barnes, the Company’s Chief Discovery Officer, Chief Medical Officer, and Chief Legal Officer, respectively. These amendments and restatements align the form and terms of our employment agreements with these executive officers with the form and terms of the employment agreements we have entered into with our executive officers who have joined the Company, or who have been promoted to executive officer positions, more recently. Dr. Babu, Dr. Sheridan, and Ms. Barnes will continue to receive their current base salary, with a target percentage under the Company’s Annual Incentive Plan equal to 40% of base salary.</w:t>
      </w:r>
    </w:p>
    <w:p>
      <w:pPr>
        <w:spacing w:after="0" w:line="19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The amended and restated employment agreements provide that if Dr. Babu’s, Dr. Sheridan’s, or Ms. Barnes’ employment is terminated without Cause or, following a Change of Control, by such executive pursuant to a Constructive Termination (such terms, as defined in the respective agreement), he or she will be entitled to receive his or her base salary for one year after the termination date, payment of his or her target bonus for the year of termination, and the premium for continuation of health insurance coverage under COBRA until the earlier of 12 months following the termination date or until he or she commences employment with another company, subject to the executive signing a release of claims and returning to the Company all of its property and confidential information.</w:t>
      </w:r>
    </w:p>
    <w:p>
      <w:pPr>
        <w:spacing w:after="0" w:line="192" w:lineRule="exact"/>
        <w:rPr>
          <w:sz w:val="20"/>
          <w:szCs w:val="20"/>
          <w:color w:val="auto"/>
        </w:rPr>
      </w:pPr>
    </w:p>
    <w:p>
      <w:pPr>
        <w:jc w:val="both"/>
        <w:ind w:right="120" w:firstLine="450"/>
        <w:spacing w:after="0" w:line="342" w:lineRule="auto"/>
        <w:rPr>
          <w:sz w:val="20"/>
          <w:szCs w:val="20"/>
          <w:color w:val="auto"/>
        </w:rPr>
      </w:pPr>
      <w:r>
        <w:rPr>
          <w:rFonts w:ascii="Arial" w:cs="Arial" w:eastAsia="Arial" w:hAnsi="Arial"/>
          <w:sz w:val="16"/>
          <w:szCs w:val="16"/>
          <w:color w:val="auto"/>
        </w:rPr>
        <w:t>The foregoing descriptions of the amended and restated employment agreements do not purport to be complete and are qualified in their entirety by reference to the full text of the respective agreements, copies of which are filed as Exhibits 10.4 through 10.6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7"/>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280" w:type="dxa"/>
            <w:vAlign w:val="bottom"/>
            <w:gridSpan w:val="27"/>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gridSpan w:val="3"/>
          </w:tcPr>
          <w:p>
            <w:pPr>
              <w:ind w:left="20"/>
              <w:spacing w:after="0"/>
              <w:rPr>
                <w:rFonts w:ascii="Arial" w:cs="Arial" w:eastAsia="Arial" w:hAnsi="Arial"/>
                <w:sz w:val="18"/>
                <w:szCs w:val="18"/>
                <w:color w:val="0000EE"/>
              </w:rPr>
            </w:pPr>
            <w:hyperlink r:id="rId7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Third Restated Certificate of Incorporation of Registrant. Incorporated by reference to Exhibit 3.1 to the Company’s Form 8-K filed December</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22, 2006.</w:t>
              </w:r>
            </w:hyperlink>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Certificate of Amendment to the Third Restated Certificate of Incorporation of Registrant. Incorporated by reference to Exhibit 3.1 to</w:t>
              </w:r>
            </w:hyperlink>
          </w:p>
        </w:tc>
        <w:tc>
          <w:tcPr>
            <w:tcW w:w="66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the Company’s Form 8-K filed July 24, 2007.</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w w:val="97"/>
              </w:rPr>
            </w:pPr>
            <w:hyperlink r:id="rId72">
              <w:r>
                <w:rPr>
                  <w:rFonts w:ascii="Arial" w:cs="Arial" w:eastAsia="Arial" w:hAnsi="Arial"/>
                  <w:sz w:val="18"/>
                  <w:szCs w:val="18"/>
                  <w:color w:val="0000EE"/>
                  <w:w w:val="97"/>
                </w:rPr>
                <w:t>Certificate of Increase of Authorized Number of Shares of Series B Junior Participating Preferred Stock. Incorporated by reference to</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Exhibit 3.1 to the Company’s Form 8-K filed November 4, 2008.</w:t>
              </w:r>
            </w:hyperlink>
          </w:p>
        </w:tc>
        <w:tc>
          <w:tcPr>
            <w:tcW w:w="680" w:type="dxa"/>
            <w:vAlign w:val="bottom"/>
            <w:gridSpan w:val="11"/>
          </w:tcPr>
          <w:p>
            <w:pPr>
              <w:spacing w:after="0"/>
              <w:rPr>
                <w:sz w:val="17"/>
                <w:szCs w:val="17"/>
                <w:color w:val="auto"/>
              </w:rPr>
            </w:pPr>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Certificate of Amendment to the Third Restated Certificate of Incorporation of Registrant. Incorporated by reference to Exhibit 3.1 to</w:t>
              </w:r>
            </w:hyperlink>
          </w:p>
        </w:tc>
        <w:tc>
          <w:tcPr>
            <w:tcW w:w="66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Company’s Form 8-K filed May 7, 2014.</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w w:val="97"/>
              </w:rPr>
            </w:pPr>
            <w:hyperlink r:id="rId74">
              <w:r>
                <w:rPr>
                  <w:rFonts w:ascii="Arial" w:cs="Arial" w:eastAsia="Arial" w:hAnsi="Arial"/>
                  <w:sz w:val="18"/>
                  <w:szCs w:val="18"/>
                  <w:color w:val="0000EE"/>
                  <w:w w:val="97"/>
                </w:rPr>
                <w:t>Certificate of Increase of Authorized Number of Shares of Series B Junior Participating Preferred Stock. Incorporated by reference to</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Exhibit 3.2 to the Company’s Form 8-K filed May 7, 2014.</w:t>
              </w:r>
            </w:hyperlink>
          </w:p>
        </w:tc>
        <w:tc>
          <w:tcPr>
            <w:tcW w:w="5340" w:type="dxa"/>
            <w:vAlign w:val="bottom"/>
            <w:tcBorders>
              <w:top w:val="single" w:sz="8" w:color="0000EE"/>
            </w:tcBorders>
            <w:gridSpan w:val="7"/>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Certificate of Elimination of the Series B Junior Participating Preferred Stock. Incorporated by reference to Exhibit 3.1 to the Company’s</w:t>
              </w:r>
            </w:hyperlink>
          </w:p>
        </w:tc>
        <w:tc>
          <w:tcPr>
            <w:tcW w:w="4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Form 8-K filed May 13, 2020.</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0" w:type="dxa"/>
            <w:vAlign w:val="bottom"/>
            <w:tcBorders>
              <w:bottom w:val="single" w:sz="8" w:color="0000EE"/>
            </w:tcBorders>
            <w:gridSpan w:val="24"/>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Certificate of Amendment to the Third Restated Certificate of Incorporation. Incorporated by reference to Exhibit 3.2 to the Company’s Form</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8-K filed May 13, 2020.</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8</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tcBorders>
              <w:bottom w:val="single" w:sz="8" w:color="0000EE"/>
            </w:tcBorders>
            <w:gridSpan w:val="26"/>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of Registrant effective October 29, 2008. Incorporated by reference to Exhibit 3.2 to the Company’s Form 8-K</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filed November 4, 2008.</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9</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Amendment to Amended and Restated By-Laws of BioCryst Pharmaceuticals, Inc., dated January 21, 2018. Incorporated by reference</w:t>
              </w:r>
            </w:hyperlink>
          </w:p>
        </w:tc>
        <w:tc>
          <w:tcPr>
            <w:tcW w:w="60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to Exhibit 3.1 to the Company’s Form 8-K filed January 22, 2018.</w:t>
              </w:r>
            </w:hyperlink>
          </w:p>
        </w:tc>
        <w:tc>
          <w:tcPr>
            <w:tcW w:w="5520" w:type="dxa"/>
            <w:vAlign w:val="bottom"/>
            <w:gridSpan w:val="15"/>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60" w:type="dxa"/>
            <w:vAlign w:val="bottom"/>
            <w:tcBorders>
              <w:bottom w:val="single" w:sz="8" w:color="0000EE"/>
            </w:tcBorders>
            <w:gridSpan w:val="23"/>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BioCryst Pharmaceuticals, Inc. Stock Incentive Plan (as amended and restated as of April 1, 2021). Incorporated by reference to Exhibit 10.1</w:t>
              </w:r>
            </w:hyperlink>
          </w:p>
        </w:tc>
        <w:tc>
          <w:tcPr>
            <w:tcW w:w="12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to the Company’s Form 8-K filed May 26, 2021.</w:t>
              </w:r>
            </w:hyperlink>
          </w:p>
        </w:tc>
        <w:tc>
          <w:tcPr>
            <w:tcW w:w="6780" w:type="dxa"/>
            <w:vAlign w:val="bottom"/>
            <w:gridSpan w:val="19"/>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BioCryst Pharmaceuticals, Inc. Employee Stock Purchase Plan (as amended and restated as of April 1, 2021). Incorporated by reference to</w:t>
              </w:r>
            </w:hyperlink>
          </w:p>
        </w:tc>
        <w:tc>
          <w:tcPr>
            <w:tcW w:w="30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Exhibit 10.2 to the Company’s Form 8-K filed May 26, 2021.</w:t>
              </w:r>
            </w:hyperlink>
          </w:p>
        </w:tc>
        <w:tc>
          <w:tcPr>
            <w:tcW w:w="5840" w:type="dxa"/>
            <w:vAlign w:val="bottom"/>
            <w:gridSpan w:val="17"/>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6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2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Amendment #2 to the Agreement between BioCryst Pharmaceuticals, Inc. and the National Institute of Allergy and Infectious Diseases, dated</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8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June 29, 2021.</w:t>
              </w:r>
            </w:hyperlink>
          </w:p>
        </w:tc>
      </w:tr>
      <w:tr>
        <w:trPr>
          <w:trHeight w:val="20"/>
        </w:trPr>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12"/>
        </w:trPr>
        <w:tc>
          <w:tcPr>
            <w:tcW w:w="560" w:type="dxa"/>
            <w:vAlign w:val="bottom"/>
            <w:gridSpan w:val="4"/>
          </w:tcPr>
          <w:p>
            <w:pPr>
              <w:ind w:left="20"/>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4)*</w:t>
              </w:r>
            </w:hyperlink>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Amended and Restated Employment Letter Agreement between BioCryst Pharmaceuticals, Inc. and William P. Sheridan, dated August 4,</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2021.</w:t>
              </w:r>
            </w:hyperlink>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60" w:type="dxa"/>
            <w:vAlign w:val="bottom"/>
            <w:gridSpan w:val="4"/>
          </w:tcPr>
          <w:p>
            <w:pPr>
              <w:ind w:left="20"/>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5)*</w:t>
              </w:r>
            </w:hyperlink>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Amended and Restated Employment Letter Agreement between BioCryst Pharmaceuticals, Inc. and Yarlagadda S. Babu, dated August 4,</w:t>
              </w:r>
            </w:hyperlink>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8">
              <w:r>
                <w:rPr>
                  <w:rFonts w:ascii="Arial" w:cs="Arial" w:eastAsia="Arial" w:hAnsi="Arial"/>
                  <w:sz w:val="18"/>
                  <w:szCs w:val="18"/>
                  <w:color w:val="0000EE"/>
                  <w:w w:val="84"/>
                </w:rPr>
                <w:t>2021.</w:t>
              </w:r>
            </w:hyperlink>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6)*</w:t>
              </w:r>
            </w:hyperlink>
          </w:p>
        </w:tc>
        <w:tc>
          <w:tcPr>
            <w:tcW w:w="40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Amended and Restated Employment Letter Agreement between BioCryst Pharmaceuticals, Inc. and Alane P. Barnes, dated August 4, 2021.</w:t>
              </w:r>
            </w:hyperlink>
          </w:p>
        </w:tc>
        <w:tc>
          <w:tcPr>
            <w:tcW w:w="220" w:type="dxa"/>
            <w:vAlign w:val="bottom"/>
            <w:gridSpan w:val="5"/>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4"/>
              </w:rPr>
            </w:pPr>
            <w:hyperlink w:anchor="page132">
              <w:r>
                <w:rPr>
                  <w:rFonts w:ascii="Arial" w:cs="Arial" w:eastAsia="Arial" w:hAnsi="Arial"/>
                  <w:sz w:val="18"/>
                  <w:szCs w:val="18"/>
                  <w:color w:val="0000EE"/>
                  <w:w w:val="84"/>
                </w:rPr>
                <w:t>(31.</w:t>
              </w:r>
              <w:r>
                <w:rPr>
                  <w:rFonts w:ascii="Arial" w:cs="Arial" w:eastAsia="Arial" w:hAnsi="Arial"/>
                  <w:sz w:val="18"/>
                  <w:szCs w:val="18"/>
                  <w:u w:val="single" w:color="auto"/>
                  <w:color w:val="0000EE"/>
                  <w:w w:val="84"/>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Certification of the Chief Executive Officer Pursuant to Section 302 of the Sarbanes-Oxley Act of 2002.</w:t>
              </w:r>
            </w:hyperlink>
          </w:p>
        </w:tc>
      </w:tr>
      <w:tr>
        <w:trPr>
          <w:trHeight w:val="412"/>
        </w:trPr>
        <w:tc>
          <w:tcPr>
            <w:tcW w:w="20" w:type="dxa"/>
            <w:vAlign w:val="bottom"/>
          </w:tcPr>
          <w:p>
            <w:pPr>
              <w:spacing w:after="0"/>
              <w:rPr>
                <w:sz w:val="24"/>
                <w:szCs w:val="24"/>
                <w:color w:val="auto"/>
              </w:rPr>
            </w:pPr>
          </w:p>
        </w:tc>
        <w:tc>
          <w:tcPr>
            <w:tcW w:w="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4"/>
              </w:rPr>
            </w:pPr>
            <w:hyperlink w:anchor="page133">
              <w:r>
                <w:rPr>
                  <w:rFonts w:ascii="Arial" w:cs="Arial" w:eastAsia="Arial" w:hAnsi="Arial"/>
                  <w:sz w:val="18"/>
                  <w:szCs w:val="18"/>
                  <w:color w:val="0000EE"/>
                  <w:w w:val="84"/>
                </w:rPr>
                <w:t>(31.</w:t>
              </w:r>
              <w:r>
                <w:rPr>
                  <w:rFonts w:ascii="Arial" w:cs="Arial" w:eastAsia="Arial" w:hAnsi="Arial"/>
                  <w:sz w:val="18"/>
                  <w:szCs w:val="18"/>
                  <w:u w:val="single" w:color="auto"/>
                  <w:color w:val="0000EE"/>
                  <w:w w:val="84"/>
                </w:rPr>
                <w:t>2)</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133">
              <w:r>
                <w:rPr>
                  <w:rFonts w:ascii="Arial" w:cs="Arial" w:eastAsia="Arial" w:hAnsi="Arial"/>
                  <w:sz w:val="18"/>
                  <w:szCs w:val="18"/>
                  <w:color w:val="0000EE"/>
                  <w:w w:val="91"/>
                </w:rPr>
                <w:t>Certification of the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780" w:type="dxa"/>
            <w:vAlign w:val="bottom"/>
            <w:gridSpan w:val="13"/>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4"/>
              </w:rPr>
            </w:pPr>
            <w:hyperlink w:anchor="page134">
              <w:r>
                <w:rPr>
                  <w:rFonts w:ascii="Arial" w:cs="Arial" w:eastAsia="Arial" w:hAnsi="Arial"/>
                  <w:sz w:val="18"/>
                  <w:szCs w:val="18"/>
                  <w:color w:val="0000EE"/>
                  <w:w w:val="84"/>
                </w:rPr>
                <w:t>(32.</w:t>
              </w:r>
              <w:r>
                <w:rPr>
                  <w:rFonts w:ascii="Arial" w:cs="Arial" w:eastAsia="Arial" w:hAnsi="Arial"/>
                  <w:sz w:val="18"/>
                  <w:szCs w:val="18"/>
                  <w:u w:val="single" w:color="auto"/>
                  <w:color w:val="0000EE"/>
                  <w:w w:val="84"/>
                </w:rPr>
                <w:t>1)</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700" w:type="dxa"/>
            <w:vAlign w:val="bottom"/>
            <w:gridSpan w:val="15"/>
            <w:shd w:val="clear" w:color="auto" w:fill="0000EE"/>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4"/>
              </w:rPr>
            </w:pPr>
            <w:hyperlink w:anchor="page135">
              <w:r>
                <w:rPr>
                  <w:rFonts w:ascii="Arial" w:cs="Arial" w:eastAsia="Arial" w:hAnsi="Arial"/>
                  <w:sz w:val="18"/>
                  <w:szCs w:val="18"/>
                  <w:color w:val="0000EE"/>
                  <w:w w:val="84"/>
                </w:rPr>
                <w:t>(32.</w:t>
              </w:r>
              <w:r>
                <w:rPr>
                  <w:rFonts w:ascii="Arial" w:cs="Arial" w:eastAsia="Arial" w:hAnsi="Arial"/>
                  <w:sz w:val="18"/>
                  <w:szCs w:val="18"/>
                  <w:u w:val="single" w:color="auto"/>
                  <w:color w:val="0000EE"/>
                  <w:w w:val="84"/>
                </w:rPr>
                <w:t>2)</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right="140" w:hanging="932"/>
        <w:spacing w:after="0" w:line="311"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BioCryst Pharmaceuticals, Inc. for the three and six months ended June 30, 2021,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149" w:lineRule="exact"/>
        <w:rPr>
          <w:sz w:val="20"/>
          <w:szCs w:val="20"/>
          <w:color w:val="auto"/>
        </w:rPr>
      </w:pPr>
    </w:p>
    <w:p>
      <w:pPr>
        <w:ind w:left="960" w:right="80" w:hanging="93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this Quarterly Report on Form 10-Q for the quarter ended June 30, 2021 is formatted in Inline XBRL (contained in Exhibit 101).</w:t>
      </w:r>
    </w:p>
    <w:p>
      <w:pPr>
        <w:spacing w:after="0" w:line="170" w:lineRule="exact"/>
        <w:rPr>
          <w:sz w:val="20"/>
          <w:szCs w:val="20"/>
          <w:color w:val="auto"/>
        </w:rPr>
      </w:pPr>
    </w:p>
    <w:p>
      <w:pPr>
        <w:ind w:left="140" w:hanging="11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580" w:right="359" w:bottom="1440" w:gutter="0" w:footer="0" w:header="0"/>
        </w:sectPr>
      </w:pPr>
    </w:p>
    <w:bookmarkStart w:id="62" w:name="page63"/>
    <w:bookmarkEnd w:id="6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9th day of August, 2021.</w:t>
      </w: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BIOCRYST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13290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 P. Stonehouse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13290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Anthony Doyle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1329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L. Jones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Executive Director, Finance and Principal Accounting Officer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0340"/>
          </w:cols>
          <w:pgMar w:left="320" w:top="580" w:right="1239" w:bottom="1440" w:gutter="0" w:footer="0" w:header="0"/>
        </w:sectPr>
      </w:pPr>
    </w:p>
    <w:bookmarkStart w:id="63" w:name="page64"/>
    <w:bookmarkEnd w:id="63"/>
    <w:p>
      <w:pPr>
        <w:ind w:left="900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462280</wp:posOffset>
            </wp:positionV>
            <wp:extent cx="7132320" cy="8204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0420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380365</wp:posOffset>
            </wp:positionV>
            <wp:extent cx="6035040" cy="7809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09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154305</wp:posOffset>
            </wp:positionV>
            <wp:extent cx="5846445" cy="129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William Sheridan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bsheridan@biocryst.com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Sheridan:</w:t>
      </w:r>
    </w:p>
    <w:p>
      <w:pPr>
        <w:spacing w:after="0" w:line="22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As part of our review of the terms of our employment agreements with our executives and our intentions to align the terms of such agreements so that they are generally consistent with one another, this letter agreement (the “Agreement”) amends and restates the employment letter agreement, dated June 12, 2008, as amended November 18, 2013, previously entered into between you and us. You are currently employed by BioCryst Pharmaceuticals, Inc., a Delaware corporation (the “Company”), as Chief Medical Officer, reporting directly to the Chief Research &amp; Development Officer. This Agreement will serve to confirm our agreement with respect to the terms and conditions of your continued employment.</w:t>
      </w:r>
    </w:p>
    <w:p>
      <w:pPr>
        <w:spacing w:after="0" w:line="172"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Term of Employment.</w:t>
      </w:r>
    </w:p>
    <w:p>
      <w:pPr>
        <w:spacing w:after="0" w:line="229" w:lineRule="exact"/>
        <w:rPr>
          <w:rFonts w:ascii="Arial" w:cs="Arial" w:eastAsia="Arial" w:hAnsi="Arial"/>
          <w:sz w:val="18"/>
          <w:szCs w:val="18"/>
          <w:color w:val="auto"/>
        </w:rPr>
      </w:pPr>
    </w:p>
    <w:p>
      <w:pPr>
        <w:ind w:left="840" w:right="200" w:hanging="317"/>
        <w:spacing w:after="0" w:line="254"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hereby employs Dr. William Sheridan (“Employee”) as Chief Medical Officer. Employee shall continue working remotely unless or until business needs change.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spacing w:after="0" w:line="194" w:lineRule="exact"/>
        <w:rPr>
          <w:rFonts w:ascii="Arial" w:cs="Arial" w:eastAsia="Arial" w:hAnsi="Arial"/>
          <w:sz w:val="18"/>
          <w:szCs w:val="18"/>
          <w:color w:val="auto"/>
        </w:rPr>
      </w:pPr>
    </w:p>
    <w:p>
      <w:pPr>
        <w:ind w:left="840" w:right="440" w:hanging="331"/>
        <w:spacing w:after="0" w:line="277"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term of employment of Employee under this Agreement shall begin on the date first set forth above (the “Effective Date”) and shall continue until Employee is terminated in accordance with Section 4 of this Agreement.</w:t>
      </w:r>
    </w:p>
    <w:p>
      <w:pPr>
        <w:spacing w:after="0" w:line="16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Basic Full-Time Compensation and Benefits.</w:t>
      </w:r>
    </w:p>
    <w:p>
      <w:pPr>
        <w:spacing w:after="0" w:line="229" w:lineRule="exact"/>
        <w:rPr>
          <w:rFonts w:ascii="Arial" w:cs="Arial" w:eastAsia="Arial" w:hAnsi="Arial"/>
          <w:sz w:val="18"/>
          <w:szCs w:val="18"/>
          <w:color w:val="auto"/>
        </w:rPr>
      </w:pPr>
    </w:p>
    <w:p>
      <w:pPr>
        <w:ind w:left="840" w:right="40" w:hanging="317"/>
        <w:spacing w:after="0" w:line="259" w:lineRule="auto"/>
        <w:tabs>
          <w:tab w:leader="none" w:pos="8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basic compensation for services rendered under this Agreement, Employee shall be entitled to receive from the Company a salary equal to no less than Employee’s current base salary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350520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right="160" w:hanging="331"/>
        <w:spacing w:after="0" w:line="270" w:lineRule="auto"/>
        <w:tabs>
          <w:tab w:leader="none" w:pos="4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forty percent (40%)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by the Company at the time Incentive Compensation payments are paid in order to receive the Incentive Compensation payment for each fiscal year.</w:t>
      </w:r>
    </w:p>
    <w:p>
      <w:pPr>
        <w:spacing w:after="0" w:line="180" w:lineRule="exact"/>
        <w:rPr>
          <w:rFonts w:ascii="Arial" w:cs="Arial" w:eastAsia="Arial" w:hAnsi="Arial"/>
          <w:sz w:val="17"/>
          <w:szCs w:val="17"/>
          <w:color w:val="auto"/>
        </w:rPr>
      </w:pPr>
    </w:p>
    <w:p>
      <w:pPr>
        <w:jc w:val="both"/>
        <w:ind w:left="440" w:right="80" w:hanging="317"/>
        <w:spacing w:after="0" w:line="263" w:lineRule="auto"/>
        <w:tabs>
          <w:tab w:leader="none" w:pos="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be entitled to receive such other benefits and perquisites provided to similarly situated executives of the Company, subject to modification or termination at any time, which benefits may include, without limitation, reasonable paid time off, medical, dental, and vision benefits, life insurance, and participation in profit sharing or retirement plans.</w:t>
      </w:r>
    </w:p>
    <w:p>
      <w:pPr>
        <w:spacing w:after="0" w:line="179" w:lineRule="exact"/>
        <w:rPr>
          <w:rFonts w:ascii="Arial" w:cs="Arial" w:eastAsia="Arial" w:hAnsi="Arial"/>
          <w:sz w:val="18"/>
          <w:szCs w:val="18"/>
          <w:color w:val="auto"/>
        </w:rPr>
      </w:pPr>
    </w:p>
    <w:p>
      <w:pPr>
        <w:ind w:left="320" w:hanging="319"/>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Performance-Based Equity Awards.</w:t>
      </w:r>
    </w:p>
    <w:p>
      <w:pPr>
        <w:spacing w:after="0" w:line="229"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spacing w:after="0" w:line="183" w:lineRule="exact"/>
        <w:rPr>
          <w:sz w:val="20"/>
          <w:szCs w:val="20"/>
          <w:color w:val="auto"/>
        </w:rPr>
      </w:pPr>
    </w:p>
    <w:p>
      <w:pPr>
        <w:ind w:left="320" w:hanging="319"/>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color w:val="auto"/>
        </w:rPr>
      </w:pPr>
    </w:p>
    <w:p>
      <w:pPr>
        <w:ind w:left="440" w:right="20" w:hanging="317"/>
        <w:spacing w:after="0" w:line="269" w:lineRule="auto"/>
        <w:tabs>
          <w:tab w:leader="none" w:pos="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spacing w:after="0" w:line="18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31"/>
        <w:spacing w:after="0" w:line="254" w:lineRule="auto"/>
        <w:rPr>
          <w:sz w:val="20"/>
          <w:szCs w:val="20"/>
          <w:color w:val="auto"/>
        </w:rPr>
      </w:pPr>
      <w:r>
        <w:rPr>
          <w:rFonts w:ascii="Arial" w:cs="Arial" w:eastAsia="Arial" w:hAnsi="Arial"/>
          <w:sz w:val="18"/>
          <w:szCs w:val="18"/>
          <w:color w:val="auto"/>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spacing w:after="0" w:line="192" w:lineRule="exact"/>
        <w:rPr>
          <w:sz w:val="20"/>
          <w:szCs w:val="20"/>
          <w:color w:val="auto"/>
        </w:rPr>
      </w:pPr>
    </w:p>
    <w:p>
      <w:pPr>
        <w:jc w:val="both"/>
        <w:ind w:left="131"/>
        <w:spacing w:after="0" w:line="308" w:lineRule="auto"/>
        <w:rPr>
          <w:sz w:val="20"/>
          <w:szCs w:val="20"/>
          <w:color w:val="auto"/>
        </w:rPr>
      </w:pPr>
      <w:r>
        <w:rPr>
          <w:rFonts w:ascii="Arial" w:cs="Arial" w:eastAsia="Arial" w:hAnsi="Arial"/>
          <w:sz w:val="17"/>
          <w:szCs w:val="17"/>
          <w:color w:val="auto"/>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spacing w:after="0" w:line="146" w:lineRule="exact"/>
        <w:rPr>
          <w:sz w:val="20"/>
          <w:szCs w:val="20"/>
          <w:color w:val="auto"/>
        </w:rPr>
      </w:pPr>
    </w:p>
    <w:p>
      <w:pPr>
        <w:ind w:left="331" w:hanging="331"/>
        <w:spacing w:after="0" w:line="287" w:lineRule="auto"/>
        <w:tabs>
          <w:tab w:leader="none" w:pos="3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spacing w:after="0" w:line="172"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71"/>
          </w:cols>
          <w:pgMar w:left="989" w:top="1440" w:right="3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1440"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hanging="317"/>
        <w:spacing w:after="0" w:line="272" w:lineRule="auto"/>
        <w:tabs>
          <w:tab w:leader="none" w:pos="4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spacing w:after="0" w:line="173" w:lineRule="exact"/>
        <w:rPr>
          <w:rFonts w:ascii="Arial" w:cs="Arial" w:eastAsia="Arial" w:hAnsi="Arial"/>
          <w:sz w:val="17"/>
          <w:szCs w:val="17"/>
          <w:color w:val="auto"/>
        </w:rPr>
      </w:pPr>
    </w:p>
    <w:p>
      <w:pPr>
        <w:ind w:left="320" w:hanging="319"/>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Non-Competition; Proprietary Information and Inventions.</w:t>
      </w:r>
    </w:p>
    <w:p>
      <w:pPr>
        <w:spacing w:after="0" w:line="229" w:lineRule="exact"/>
        <w:rPr>
          <w:rFonts w:ascii="Arial" w:cs="Arial" w:eastAsia="Arial" w:hAnsi="Arial"/>
          <w:sz w:val="18"/>
          <w:szCs w:val="18"/>
          <w:color w:val="auto"/>
        </w:rPr>
      </w:pPr>
    </w:p>
    <w:p>
      <w:pPr>
        <w:ind w:left="440" w:right="180" w:hanging="317"/>
        <w:spacing w:after="0" w:line="259" w:lineRule="auto"/>
        <w:tabs>
          <w:tab w:leader="none" w:pos="44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Proprietary Information and Inventions Agreement; Non-Competition and Non-Solicitation Agreement</w:t>
      </w:r>
      <w:r>
        <w:rPr>
          <w:rFonts w:ascii="Arial" w:cs="Arial" w:eastAsia="Arial" w:hAnsi="Arial"/>
          <w:sz w:val="18"/>
          <w:szCs w:val="18"/>
          <w:color w:val="auto"/>
        </w:rPr>
        <w:t>. As a condition precedent to the employment of Employee by the Company pursuant to the terms of this Agreement, Employee shall execute (i) the Company’s Proprietary Information and Inventions Agreement, attached hereto as Exhibit A, and (ii) the Company’s Non-Competition and Non-Solicitation Agreement, attached hereto as Exhibit B.</w:t>
      </w:r>
    </w:p>
    <w:p>
      <w:pPr>
        <w:spacing w:after="0" w:line="186" w:lineRule="exact"/>
        <w:rPr>
          <w:rFonts w:ascii="Arial" w:cs="Arial" w:eastAsia="Arial" w:hAnsi="Arial"/>
          <w:sz w:val="18"/>
          <w:szCs w:val="18"/>
          <w:color w:val="auto"/>
        </w:rPr>
      </w:pPr>
    </w:p>
    <w:p>
      <w:pPr>
        <w:ind w:left="440" w:hanging="331"/>
        <w:spacing w:after="0" w:line="272" w:lineRule="auto"/>
        <w:tabs>
          <w:tab w:leader="none" w:pos="44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Equitable Remedies</w:t>
      </w:r>
      <w:r>
        <w:rPr>
          <w:rFonts w:ascii="Arial" w:cs="Arial" w:eastAsia="Arial" w:hAnsi="Arial"/>
          <w:sz w:val="17"/>
          <w:szCs w:val="17"/>
          <w:color w:val="auto"/>
        </w:rPr>
        <w:t>.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spacing w:after="0" w:line="1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440" w:right="120" w:hanging="317"/>
        <w:spacing w:after="0" w:line="293" w:lineRule="auto"/>
        <w:tabs>
          <w:tab w:leader="none" w:pos="44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including without limitation, the employment letter agreement, dated June 12, 2008, as amended November 18, 2013, previously entered into between Employee and the Company.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spacing w:after="0" w:line="164" w:lineRule="exact"/>
        <w:rPr>
          <w:rFonts w:ascii="Arial" w:cs="Arial" w:eastAsia="Arial" w:hAnsi="Arial"/>
          <w:sz w:val="16"/>
          <w:szCs w:val="16"/>
          <w:color w:val="auto"/>
        </w:rPr>
      </w:pPr>
    </w:p>
    <w:p>
      <w:pPr>
        <w:ind w:left="440" w:right="40" w:hanging="331"/>
        <w:spacing w:after="0" w:line="259" w:lineRule="auto"/>
        <w:tabs>
          <w:tab w:leader="none" w:pos="4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86" w:lineRule="exact"/>
        <w:rPr>
          <w:rFonts w:ascii="Arial" w:cs="Arial" w:eastAsia="Arial" w:hAnsi="Arial"/>
          <w:sz w:val="18"/>
          <w:szCs w:val="18"/>
          <w:color w:val="auto"/>
        </w:rPr>
      </w:pPr>
    </w:p>
    <w:p>
      <w:pPr>
        <w:ind w:left="440" w:right="160" w:hanging="317"/>
        <w:spacing w:after="0" w:line="308" w:lineRule="auto"/>
        <w:tabs>
          <w:tab w:leader="none" w:pos="440"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given or rendered hereunder by any party hereto shall be in writing and delivered personally or sent by registered or certified mail, postage prepaid, at the respective addresses of the parties hereto as set forth below.</w:t>
      </w:r>
    </w:p>
    <w:p>
      <w:pPr>
        <w:spacing w:after="0" w:line="146" w:lineRule="exact"/>
        <w:rPr>
          <w:rFonts w:ascii="Arial" w:cs="Arial" w:eastAsia="Arial" w:hAnsi="Arial"/>
          <w:sz w:val="17"/>
          <w:szCs w:val="17"/>
          <w:color w:val="auto"/>
        </w:rPr>
      </w:pPr>
    </w:p>
    <w:p>
      <w:pPr>
        <w:ind w:left="440" w:right="360" w:hanging="331"/>
        <w:spacing w:after="0" w:line="277" w:lineRule="auto"/>
        <w:tabs>
          <w:tab w:leader="none" w:pos="4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section headings contained herein are inserted only as a matter of convenience and reference and in no way define, limit or describe the scope of this Agreement or the intent of any provision hereof.</w:t>
      </w:r>
    </w:p>
    <w:p>
      <w:pPr>
        <w:spacing w:after="0" w:line="170" w:lineRule="exact"/>
        <w:rPr>
          <w:rFonts w:ascii="Arial" w:cs="Arial" w:eastAsia="Arial" w:hAnsi="Arial"/>
          <w:sz w:val="18"/>
          <w:szCs w:val="18"/>
          <w:color w:val="auto"/>
        </w:rPr>
      </w:pPr>
    </w:p>
    <w:p>
      <w:pPr>
        <w:ind w:left="440" w:right="240" w:hanging="317"/>
        <w:spacing w:after="0" w:line="342" w:lineRule="auto"/>
        <w:tabs>
          <w:tab w:leader="none" w:pos="44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amounts to be paid to Employee hereunder are in the nature of compensation for Employee’s employment by the Company, and shall be subject to withholding, income, occupation and payroll taxes and other charges applicable to such compensation.</w:t>
      </w:r>
    </w:p>
    <w:p>
      <w:pPr>
        <w:spacing w:after="0" w:line="123" w:lineRule="exact"/>
        <w:rPr>
          <w:rFonts w:ascii="Arial" w:cs="Arial" w:eastAsia="Arial" w:hAnsi="Arial"/>
          <w:sz w:val="16"/>
          <w:szCs w:val="16"/>
          <w:color w:val="auto"/>
        </w:rPr>
      </w:pPr>
    </w:p>
    <w:p>
      <w:pPr>
        <w:ind w:left="480" w:right="40" w:hanging="330"/>
        <w:spacing w:after="0" w:line="284" w:lineRule="auto"/>
        <w:tabs>
          <w:tab w:leader="none" w:pos="48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w:t>
      </w:r>
    </w:p>
    <w:p>
      <w:pPr>
        <w:spacing w:after="0" w:line="2" w:lineRule="exact"/>
        <w:rPr>
          <w:rFonts w:ascii="Arial" w:cs="Arial" w:eastAsia="Arial" w:hAnsi="Arial"/>
          <w:sz w:val="16"/>
          <w:szCs w:val="16"/>
          <w:color w:val="auto"/>
        </w:rPr>
      </w:pPr>
    </w:p>
    <w:p>
      <w:pPr>
        <w:ind w:left="480"/>
        <w:spacing w:after="0" w:line="281" w:lineRule="auto"/>
        <w:rPr>
          <w:rFonts w:ascii="Arial" w:cs="Arial" w:eastAsia="Arial" w:hAnsi="Arial"/>
          <w:sz w:val="16"/>
          <w:szCs w:val="16"/>
          <w:color w:val="auto"/>
        </w:rPr>
      </w:pPr>
      <w:r>
        <w:rPr>
          <w:rFonts w:ascii="Arial" w:cs="Arial" w:eastAsia="Arial" w:hAnsi="Arial"/>
          <w:sz w:val="16"/>
          <w:szCs w:val="16"/>
          <w:color w:val="auto"/>
        </w:rPr>
        <w:t>(B)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w:t>
      </w:r>
    </w:p>
    <w:p>
      <w:pPr>
        <w:spacing w:after="0" w:line="4" w:lineRule="exact"/>
        <w:rPr>
          <w:rFonts w:ascii="Arial" w:cs="Arial" w:eastAsia="Arial" w:hAnsi="Arial"/>
          <w:sz w:val="16"/>
          <w:szCs w:val="16"/>
          <w:color w:val="auto"/>
        </w:rPr>
      </w:pPr>
    </w:p>
    <w:p>
      <w:pPr>
        <w:ind w:left="480" w:right="460"/>
        <w:spacing w:after="0" w:line="271" w:lineRule="auto"/>
        <w:rPr>
          <w:rFonts w:ascii="Arial" w:cs="Arial" w:eastAsia="Arial" w:hAnsi="Arial"/>
          <w:sz w:val="16"/>
          <w:szCs w:val="16"/>
          <w:color w:val="auto"/>
        </w:rPr>
      </w:pPr>
      <w:r>
        <w:rPr>
          <w:rFonts w:ascii="Arial" w:cs="Arial" w:eastAsia="Arial" w:hAnsi="Arial"/>
          <w:sz w:val="17"/>
          <w:szCs w:val="17"/>
          <w:color w:val="auto"/>
        </w:rPr>
        <w:t>(1)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1" w:hanging="331"/>
        <w:spacing w:after="0" w:line="285" w:lineRule="auto"/>
        <w:tabs>
          <w:tab w:leader="none" w:pos="33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Golden Parachute Provisions</w:t>
      </w:r>
      <w:r>
        <w:rPr>
          <w:rFonts w:ascii="Arial" w:cs="Arial" w:eastAsia="Arial" w:hAnsi="Arial"/>
          <w:sz w:val="16"/>
          <w:szCs w:val="16"/>
          <w:color w:val="auto"/>
        </w:rPr>
        <w:t>.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spacing w:after="0" w:line="385"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51"/>
          </w:cols>
          <w:pgMar w:left="989" w:top="1440" w:right="3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1"/>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governed by and construed in accordance with the laws of the State of North Carolina without respect to its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980" w:top="1440" w:right="47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firstLine="450"/>
        <w:spacing w:after="0" w:line="277" w:lineRule="auto"/>
        <w:rPr>
          <w:sz w:val="20"/>
          <w:szCs w:val="20"/>
          <w:color w:val="auto"/>
        </w:rPr>
      </w:pPr>
      <w:r>
        <w:rPr>
          <w:rFonts w:ascii="Arial" w:cs="Arial" w:eastAsia="Arial" w:hAnsi="Arial"/>
          <w:sz w:val="18"/>
          <w:szCs w:val="18"/>
          <w:color w:val="auto"/>
        </w:rPr>
        <w:t>If the foregoing correctly sets forth our understanding, please signify your acceptance of such terms by executing this Agreement, thereby signifying your assent, as indicated below.</w:t>
      </w:r>
    </w:p>
    <w:p>
      <w:pPr>
        <w:spacing w:after="0" w:line="3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r>
      <w:tr>
        <w:trPr>
          <w:trHeight w:val="195"/>
        </w:trPr>
        <w:tc>
          <w:tcPr>
            <w:tcW w:w="94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r>
      <w:tr>
        <w:trPr>
          <w:trHeight w:val="230"/>
        </w:trPr>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Cc:</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Stephanie Angelini</w:t>
            </w:r>
          </w:p>
        </w:tc>
      </w:tr>
      <w:tr>
        <w:trPr>
          <w:trHeight w:val="224"/>
        </w:trPr>
        <w:tc>
          <w:tcPr>
            <w:tcW w:w="9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People Officer</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Sign:</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Sheridan</w:t>
            </w:r>
          </w:p>
        </w:tc>
      </w:tr>
      <w:tr>
        <w:trPr>
          <w:trHeight w:val="224"/>
        </w:trPr>
        <w:tc>
          <w:tcPr>
            <w:tcW w:w="14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William Sheridan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 PROPRIETARY INFORMATION AND INVENTIONS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William Sheridan, recognize that BioCryst Pharmaceuticals, Inc., a Delaware corporation (the “Company” and together with its subsidiaries, including existing and future subsidiaries, the “Company Group”), is engaged in a continuous program of research, development, and production respecting its business, present and future, including fields generally related to its business.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understand that:</w:t>
      </w:r>
    </w:p>
    <w:p>
      <w:pPr>
        <w:spacing w:after="0" w:line="225" w:lineRule="exact"/>
        <w:rPr>
          <w:sz w:val="20"/>
          <w:szCs w:val="20"/>
          <w:color w:val="auto"/>
        </w:rPr>
      </w:pPr>
    </w:p>
    <w:p>
      <w:pPr>
        <w:jc w:val="both"/>
        <w:ind w:left="800" w:right="220" w:hanging="331"/>
        <w:spacing w:after="0" w:line="263"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spacing w:after="0" w:line="183" w:lineRule="exact"/>
        <w:rPr>
          <w:rFonts w:ascii="Arial" w:cs="Arial" w:eastAsia="Arial" w:hAnsi="Arial"/>
          <w:sz w:val="18"/>
          <w:szCs w:val="18"/>
          <w:color w:val="auto"/>
        </w:rPr>
      </w:pPr>
    </w:p>
    <w:p>
      <w:pPr>
        <w:ind w:left="820" w:hanging="324"/>
        <w:spacing w:after="0"/>
        <w:tabs>
          <w:tab w:leader="none" w:pos="8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My employment creates a relationship of confidence and trust between me and the Company Group with respect to any information:</w:t>
      </w:r>
    </w:p>
    <w:p>
      <w:pPr>
        <w:spacing w:after="0" w:line="236" w:lineRule="exact"/>
        <w:rPr>
          <w:rFonts w:ascii="Arial" w:cs="Arial" w:eastAsia="Arial" w:hAnsi="Arial"/>
          <w:sz w:val="17"/>
          <w:szCs w:val="17"/>
          <w:color w:val="auto"/>
        </w:rPr>
      </w:pPr>
    </w:p>
    <w:p>
      <w:pPr>
        <w:ind w:left="780" w:hanging="140"/>
        <w:spacing w:after="0"/>
        <w:tabs>
          <w:tab w:leader="none" w:pos="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applicable to the business of the Company Group; or</w:t>
      </w:r>
    </w:p>
    <w:p>
      <w:pPr>
        <w:spacing w:after="0" w:line="225" w:lineRule="exact"/>
        <w:rPr>
          <w:rFonts w:ascii="Arial" w:cs="Arial" w:eastAsia="Arial" w:hAnsi="Arial"/>
          <w:sz w:val="18"/>
          <w:szCs w:val="18"/>
          <w:color w:val="auto"/>
        </w:rPr>
      </w:pPr>
    </w:p>
    <w:p>
      <w:pPr>
        <w:ind w:left="820" w:hanging="180"/>
        <w:spacing w:after="0"/>
        <w:tabs>
          <w:tab w:leader="none" w:pos="8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applicable to the business of any client or customer of the Company Group,</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each case which may be made known to me by any member of the Company Group or by any client or customer thereof or learned by me during the period of my employment.</w:t>
      </w:r>
    </w:p>
    <w:p>
      <w:pPr>
        <w:spacing w:after="0" w:line="170" w:lineRule="exact"/>
        <w:rPr>
          <w:sz w:val="20"/>
          <w:szCs w:val="20"/>
          <w:color w:val="auto"/>
        </w:rPr>
      </w:pPr>
    </w:p>
    <w:p>
      <w:pPr>
        <w:ind w:left="820" w:right="180" w:hanging="324"/>
        <w:spacing w:after="0" w:line="273"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consideration of my employment or continued employment, as the case may be, by any member of the Company Group and the compensation received by me from any member of the Company Group from time to time,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340360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9" w:right="80" w:hanging="319"/>
        <w:spacing w:after="0" w:line="254" w:lineRule="auto"/>
        <w:tabs>
          <w:tab w:leader="none" w:pos="3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Proprietary Information shall be the sole property of the Company, and the Company shall be the sole owner of all rights, title and interest in connection therewith. I hereby assign to the Company any and all rights I may have or acquire in such Proprietary Information. At all times, both during my employment by any member of the Company Group and after termination, I will keep in confidence and trust all Proprietary Information, and I will not use or disclose any Proprietary Information or anything relating to it without the prior written consent of the Company, except as may be necessary in the ordinary course of performing my duties as an employee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spacing w:after="0" w:line="191" w:lineRule="exact"/>
        <w:rPr>
          <w:rFonts w:ascii="Arial" w:cs="Arial" w:eastAsia="Arial" w:hAnsi="Arial"/>
          <w:sz w:val="18"/>
          <w:szCs w:val="18"/>
          <w:color w:val="auto"/>
        </w:rPr>
      </w:pPr>
    </w:p>
    <w:p>
      <w:pPr>
        <w:ind w:left="319" w:right="120" w:hanging="319"/>
        <w:spacing w:after="0" w:line="286" w:lineRule="auto"/>
        <w:tabs>
          <w:tab w:leader="none" w:pos="3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w:t>
      </w:r>
    </w:p>
    <w:p>
      <w:pPr>
        <w:spacing w:after="0" w:line="1" w:lineRule="exact"/>
        <w:rPr>
          <w:rFonts w:ascii="Arial" w:cs="Arial" w:eastAsia="Arial" w:hAnsi="Arial"/>
          <w:sz w:val="16"/>
          <w:szCs w:val="16"/>
          <w:color w:val="auto"/>
        </w:rPr>
      </w:pPr>
    </w:p>
    <w:p>
      <w:pPr>
        <w:ind w:left="319" w:right="80"/>
        <w:spacing w:after="0" w:line="281" w:lineRule="auto"/>
        <w:rPr>
          <w:rFonts w:ascii="Arial" w:cs="Arial" w:eastAsia="Arial" w:hAnsi="Arial"/>
          <w:sz w:val="16"/>
          <w:szCs w:val="16"/>
          <w:color w:val="auto"/>
        </w:rPr>
      </w:pPr>
      <w:r>
        <w:rPr>
          <w:rFonts w:ascii="Arial" w:cs="Arial" w:eastAsia="Arial" w:hAnsi="Arial"/>
          <w:sz w:val="16"/>
          <w:szCs w:val="16"/>
          <w:color w:val="auto"/>
        </w:rPr>
        <w:t>government. Pursuant to 18 U.S.C. §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 (x) file any document containing the trade secret under seal, and</w:t>
      </w:r>
    </w:p>
    <w:p>
      <w:pPr>
        <w:spacing w:after="0" w:line="3" w:lineRule="exact"/>
        <w:rPr>
          <w:rFonts w:ascii="Arial" w:cs="Arial" w:eastAsia="Arial" w:hAnsi="Arial"/>
          <w:sz w:val="16"/>
          <w:szCs w:val="16"/>
          <w:color w:val="auto"/>
        </w:rPr>
      </w:pPr>
    </w:p>
    <w:p>
      <w:pPr>
        <w:ind w:left="319" w:right="240"/>
        <w:spacing w:after="0" w:line="255" w:lineRule="auto"/>
        <w:rPr>
          <w:rFonts w:ascii="Arial" w:cs="Arial" w:eastAsia="Arial" w:hAnsi="Arial"/>
          <w:sz w:val="16"/>
          <w:szCs w:val="16"/>
          <w:color w:val="auto"/>
        </w:rPr>
      </w:pPr>
      <w:r>
        <w:rPr>
          <w:rFonts w:ascii="Arial" w:cs="Arial" w:eastAsia="Arial" w:hAnsi="Arial"/>
          <w:sz w:val="18"/>
          <w:szCs w:val="18"/>
          <w:color w:val="auto"/>
        </w:rPr>
        <w:t>(y)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spacing w:after="0" w:line="189" w:lineRule="exact"/>
        <w:rPr>
          <w:rFonts w:ascii="Arial" w:cs="Arial" w:eastAsia="Arial" w:hAnsi="Arial"/>
          <w:sz w:val="16"/>
          <w:szCs w:val="16"/>
          <w:color w:val="auto"/>
        </w:rPr>
      </w:pPr>
    </w:p>
    <w:p>
      <w:pPr>
        <w:ind w:left="319" w:hanging="319"/>
        <w:spacing w:after="0" w:line="257" w:lineRule="auto"/>
        <w:tabs>
          <w:tab w:leader="none" w:pos="3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agree that, during the period of my employment by any member of the Company Group, I will not, without the Company’s express prior written consent, engage in any employment or consulting other than for the Company Group. In the event of the termination of my employment by me or by the Company Group for any reason or at any time upon the Company’s request, I will promptly deliver to the Company all documents and data of any nature pertaining to my work with the Company Group and I will not take with me any documents or data containing or pertaining to any Proprietary Information.</w:t>
      </w:r>
    </w:p>
    <w:p>
      <w:pPr>
        <w:spacing w:after="0" w:line="188"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79"/>
          </w:cols>
          <w:pgMar w:left="881" w:top="1440"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right="40" w:hanging="319"/>
        <w:spacing w:after="0" w:line="269"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will promptly and fully disclose to the Company, or any persons designated by it, all improvements, inventions, formulas, processes, techniques, know-how, and data, whether or not patentable, copyrightable, or otherwise protectible as intellectual property, made or conceived or reduced to practice by me, either alone or jointly with others, during the period of my employment by any member of the Company Group which are related to or useful in the business of the Company Group, or result from the performance of my duties as an employee of any member of the Company Group or result from use of assets or premises owned, leased, or contracted for by any member of the Company Group (all said improvements, inventions, formulas, processes, techniques, know-how,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 Group.</w:t>
      </w:r>
    </w:p>
    <w:p>
      <w:pPr>
        <w:spacing w:after="0" w:line="185" w:lineRule="exact"/>
        <w:rPr>
          <w:rFonts w:ascii="Arial" w:cs="Arial" w:eastAsia="Arial" w:hAnsi="Arial"/>
          <w:sz w:val="17"/>
          <w:szCs w:val="17"/>
          <w:color w:val="auto"/>
        </w:rPr>
      </w:pPr>
    </w:p>
    <w:p>
      <w:pPr>
        <w:ind w:left="320" w:hanging="319"/>
        <w:spacing w:after="0" w:line="287"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agree that all Inventions are and shall be the sole property of the Company, and that the Company shall be the sole owner of all intellectual property and other rights in connection therewith, and by reason of my being employed by any member of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spacing w:after="0" w:line="167" w:lineRule="exact"/>
        <w:rPr>
          <w:rFonts w:ascii="Arial" w:cs="Arial" w:eastAsia="Arial" w:hAnsi="Arial"/>
          <w:sz w:val="16"/>
          <w:szCs w:val="16"/>
          <w:color w:val="auto"/>
        </w:rPr>
      </w:pPr>
    </w:p>
    <w:p>
      <w:pPr>
        <w:ind w:left="320" w:right="20" w:hanging="319"/>
        <w:spacing w:after="0" w:line="301"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spacing w:after="0" w:line="1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80" w:top="1440" w:right="35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right="120" w:hanging="319"/>
        <w:spacing w:after="0" w:line="259"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represent that my performance of all of the terms of this Agreement and as an employee of the Company Group does not and will not breach any agreement to keep in confidence proprietary information of any third party acquired by me in confidence or in trust prior to my employment by the Company Group. I have not entered into, and I agree that I will not enter into, any agreement either written or oral, in conflict herewith.</w:t>
      </w:r>
    </w:p>
    <w:p>
      <w:pPr>
        <w:spacing w:after="0" w:line="186" w:lineRule="exact"/>
        <w:rPr>
          <w:rFonts w:ascii="Arial" w:cs="Arial" w:eastAsia="Arial" w:hAnsi="Arial"/>
          <w:sz w:val="18"/>
          <w:szCs w:val="18"/>
          <w:color w:val="auto"/>
        </w:rPr>
      </w:pPr>
    </w:p>
    <w:p>
      <w:pPr>
        <w:ind w:left="420" w:hanging="319"/>
        <w:spacing w:after="0" w:line="253"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understand that, as part of the consideration of the offer of employment extended to me by the Company or of my continued employment by the Company Group, as the case may be, I will not bring, have not brought, with me to the Company Group and I will not use, have not used, in the performance of my responsibilities at the Company Group, materials or documents of a former employer, unless I have obtained written authorization from the former employer for their possession and use. Accordingly, this is to advise the Company that the only materials that I will bring to the Company Group or use in my employment are identified on the attached sheet and, as to each such item, I represent that I have obtained, prior to the effective date of my employment with the Company Group, written authorization for their possession and use in my employment with the Company Group. I also understand that, in my employment with the Company Group, I am not to breach any obligation of confidentiality that I have to former employers, and I agree that I shall fulfill all such obligations during my employment with the Company Group.</w:t>
      </w:r>
    </w:p>
    <w:p>
      <w:pPr>
        <w:spacing w:after="0" w:line="196" w:lineRule="exact"/>
        <w:rPr>
          <w:rFonts w:ascii="Arial" w:cs="Arial" w:eastAsia="Arial" w:hAnsi="Arial"/>
          <w:sz w:val="18"/>
          <w:szCs w:val="18"/>
          <w:color w:val="auto"/>
        </w:rPr>
      </w:pPr>
    </w:p>
    <w:p>
      <w:pPr>
        <w:ind w:left="420" w:right="100" w:hanging="319"/>
        <w:spacing w:after="0" w:line="277"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shall be effective as of the first day of my employment by the Company Group. I understand and agree that this Agreement is not a contract of employment.</w:t>
      </w:r>
    </w:p>
    <w:p>
      <w:pPr>
        <w:spacing w:after="0" w:line="170" w:lineRule="exact"/>
        <w:rPr>
          <w:rFonts w:ascii="Arial" w:cs="Arial" w:eastAsia="Arial" w:hAnsi="Arial"/>
          <w:sz w:val="18"/>
          <w:szCs w:val="18"/>
          <w:color w:val="auto"/>
        </w:rPr>
      </w:pPr>
    </w:p>
    <w:p>
      <w:pPr>
        <w:ind w:left="340" w:right="340" w:hanging="333"/>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shall be binding upon me, my heirs, executors, assigns, administrators, and other legal representatives and shall inure to the benefit of the Company,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IN WITNESS WHEREOF, the Company has caused this Proprietary Information and Inventions Agreement to be executed by its duly authorized officer and Employee has executed the same as of the dates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4480" w:type="dxa"/>
            <w:vAlign w:val="bottom"/>
            <w:gridSpan w:val="2"/>
          </w:tcPr>
          <w:p>
            <w:pPr>
              <w:ind w:left="1680"/>
              <w:spacing w:after="0"/>
              <w:rPr>
                <w:sz w:val="20"/>
                <w:szCs w:val="20"/>
                <w:color w:val="auto"/>
              </w:rPr>
            </w:pPr>
            <w:r>
              <w:rPr>
                <w:rFonts w:ascii="Arial" w:cs="Arial" w:eastAsia="Arial" w:hAnsi="Arial"/>
                <w:sz w:val="18"/>
                <w:szCs w:val="18"/>
                <w:color w:val="auto"/>
              </w:rPr>
              <w:t>EMPLOYEE</w:t>
            </w:r>
          </w:p>
        </w:tc>
        <w:tc>
          <w:tcPr>
            <w:tcW w:w="33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1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Pr>
          <w:p>
            <w:pPr>
              <w:spacing w:after="0"/>
              <w:rPr>
                <w:sz w:val="20"/>
                <w:szCs w:val="20"/>
                <w:color w:val="auto"/>
              </w:rPr>
            </w:pPr>
            <w:r>
              <w:rPr>
                <w:rFonts w:ascii="Arial" w:cs="Arial" w:eastAsia="Arial" w:hAnsi="Arial"/>
                <w:sz w:val="18"/>
                <w:szCs w:val="18"/>
                <w:color w:val="auto"/>
              </w:rPr>
              <w:t>/s/ Jon Stonehouse</w:t>
            </w:r>
          </w:p>
        </w:tc>
        <w:tc>
          <w:tcPr>
            <w:tcW w:w="4480" w:type="dxa"/>
            <w:vAlign w:val="bottom"/>
            <w:gridSpan w:val="2"/>
          </w:tcPr>
          <w:p>
            <w:pPr>
              <w:ind w:left="1680"/>
              <w:spacing w:after="0"/>
              <w:rPr>
                <w:sz w:val="20"/>
                <w:szCs w:val="20"/>
                <w:color w:val="auto"/>
              </w:rPr>
            </w:pPr>
            <w:r>
              <w:rPr>
                <w:rFonts w:ascii="Arial" w:cs="Arial" w:eastAsia="Arial" w:hAnsi="Arial"/>
                <w:sz w:val="18"/>
                <w:szCs w:val="18"/>
                <w:color w:val="auto"/>
              </w:rPr>
              <w:t>/s/ William Sheridan</w:t>
            </w:r>
          </w:p>
        </w:tc>
        <w:tc>
          <w:tcPr>
            <w:tcW w:w="33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2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 Stonehouse</w:t>
            </w:r>
          </w:p>
        </w:tc>
        <w:tc>
          <w:tcPr>
            <w:tcW w:w="1680" w:type="dxa"/>
            <w:vAlign w:val="bottom"/>
          </w:tcPr>
          <w:p>
            <w:pPr>
              <w:spacing w:after="0"/>
              <w:rPr>
                <w:sz w:val="16"/>
                <w:szCs w:val="16"/>
                <w:color w:val="auto"/>
              </w:rPr>
            </w:pP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Sheridan</w:t>
            </w:r>
          </w:p>
        </w:tc>
        <w:tc>
          <w:tcPr>
            <w:tcW w:w="33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4480" w:type="dxa"/>
            <w:vAlign w:val="bottom"/>
            <w:gridSpan w:val="2"/>
          </w:tcPr>
          <w:p>
            <w:pPr>
              <w:ind w:left="1280"/>
              <w:spacing w:after="0"/>
              <w:rPr>
                <w:sz w:val="20"/>
                <w:szCs w:val="20"/>
                <w:color w:val="auto"/>
              </w:rPr>
            </w:pPr>
            <w:r>
              <w:rPr>
                <w:rFonts w:ascii="Arial" w:cs="Arial" w:eastAsia="Arial" w:hAnsi="Arial"/>
                <w:sz w:val="18"/>
                <w:szCs w:val="18"/>
                <w:color w:val="auto"/>
              </w:rPr>
              <w:t>Date: August 4, 2021</w:t>
            </w:r>
          </w:p>
        </w:tc>
        <w:tc>
          <w:tcPr>
            <w:tcW w:w="3360" w:type="dxa"/>
            <w:vAlign w:val="bottom"/>
          </w:tcPr>
          <w:p>
            <w:pPr>
              <w:spacing w:after="0"/>
              <w:rPr>
                <w:sz w:val="24"/>
                <w:szCs w:val="24"/>
                <w:color w:val="auto"/>
              </w:rPr>
            </w:pPr>
          </w:p>
        </w:tc>
      </w:tr>
      <w:tr>
        <w:trPr>
          <w:trHeight w:val="426"/>
        </w:trPr>
        <w:tc>
          <w:tcPr>
            <w:tcW w:w="58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A-5</w:t>
            </w:r>
          </w:p>
        </w:tc>
        <w:tc>
          <w:tcPr>
            <w:tcW w:w="33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William Sheridan, propose to bring to my BioCryst employment the following tangible materials and previously unpublished documents, which materials and documents may be used in my BioCryst employment:</w:t>
      </w:r>
    </w:p>
    <w:p>
      <w:pPr>
        <w:spacing w:after="0" w:line="386" w:lineRule="exact"/>
        <w:rPr>
          <w:sz w:val="20"/>
          <w:szCs w:val="20"/>
          <w:color w:val="auto"/>
        </w:rPr>
      </w:pPr>
    </w:p>
    <w:p>
      <w:pPr>
        <w:spacing w:after="0"/>
        <w:tabs>
          <w:tab w:leader="none" w:pos="2820" w:val="left"/>
          <w:tab w:leader="none" w:pos="5280" w:val="left"/>
        </w:tabs>
        <w:rPr>
          <w:sz w:val="20"/>
          <w:szCs w:val="20"/>
          <w:color w:val="auto"/>
        </w:rPr>
      </w:pPr>
      <w:r>
        <w:rPr>
          <w:rFonts w:ascii="Arial" w:cs="Arial" w:eastAsia="Arial" w:hAnsi="Arial"/>
          <w:sz w:val="18"/>
          <w:szCs w:val="18"/>
          <w:color w:val="auto"/>
        </w:rPr>
        <w:t>___ No materials</w:t>
      </w:r>
      <w:r>
        <w:rPr>
          <w:sz w:val="20"/>
          <w:szCs w:val="20"/>
          <w:color w:val="auto"/>
        </w:rPr>
        <w:tab/>
      </w:r>
      <w:r>
        <w:rPr>
          <w:rFonts w:ascii="Arial" w:cs="Arial" w:eastAsia="Arial" w:hAnsi="Arial"/>
          <w:sz w:val="18"/>
          <w:szCs w:val="18"/>
          <w:color w:val="auto"/>
        </w:rPr>
        <w:t>___ See below</w:t>
      </w:r>
      <w:r>
        <w:rPr>
          <w:sz w:val="20"/>
          <w:szCs w:val="20"/>
          <w:color w:val="auto"/>
        </w:rPr>
        <w:tab/>
      </w:r>
      <w:r>
        <w:rPr>
          <w:rFonts w:ascii="Arial" w:cs="Arial" w:eastAsia="Arial" w:hAnsi="Arial"/>
          <w:sz w:val="16"/>
          <w:szCs w:val="16"/>
          <w:color w:val="auto"/>
        </w:rPr>
        <w:t>___ Additional sheets attached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 below by a representative of my current or former employer confirms that my continued possession and use of these materials is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25"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885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William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43033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3"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885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885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Non-Competition and Non-Solicitation Agreement (the “Agreement”) is made and entered into this 4th day of August, 2021 (the “Effective Date”) by and between William Sheridan (the “Employee”) and the member of the Company Group (as defined below) employing Employee (the “Company”). The Company and Employee are sometimes referred to in this Agreement individually as a “Party” and collectively as “Parties.”</w:t>
      </w:r>
    </w:p>
    <w:p>
      <w:pPr>
        <w:spacing w:after="0" w:line="1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a member of the Company Group which is comprised of BioCryst Pharmaceuticals, Inc. and its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continuing employment with the Company pursuant to an Amended and Restated Employment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between Employee and the Company (the “Employment Agreement”) and is simultaneously entering into an Employee’s Proprietary Information and Inventions Agreement (the “PIIA”) with a member of the Company Group;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consideration for Employee’s promises and obligations set forth herein, the Company is offering Employee severance pay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described in the Employment Agreement, including that portion of the severance pay set forth in Section 4(b)(ii) of the Employment Agreement to which Employee was not previously entitled.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obligations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the Parties acknowledge, the Company and Employee agree as follows:</w:t>
      </w:r>
    </w:p>
    <w:p>
      <w:pPr>
        <w:spacing w:after="0" w:line="162" w:lineRule="exact"/>
        <w:rPr>
          <w:sz w:val="20"/>
          <w:szCs w:val="20"/>
          <w:color w:val="auto"/>
        </w:rPr>
      </w:pPr>
    </w:p>
    <w:p>
      <w:pPr>
        <w:ind w:left="720" w:hanging="319"/>
        <w:spacing w:after="0" w:line="287"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BUSINESS AND PROTECTABLE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(i) by virtue of Employee’s position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w:t>
      </w:r>
    </w:p>
    <w:p>
      <w:pPr>
        <w:spacing w:after="0" w:line="2" w:lineRule="exact"/>
        <w:rPr>
          <w:rFonts w:ascii="Arial" w:cs="Arial" w:eastAsia="Arial" w:hAnsi="Arial"/>
          <w:sz w:val="16"/>
          <w:szCs w:val="16"/>
          <w:color w:val="auto"/>
        </w:rPr>
      </w:pPr>
    </w:p>
    <w:p>
      <w:pPr>
        <w:ind w:left="720" w:right="40" w:firstLine="5"/>
        <w:spacing w:after="0" w:line="281" w:lineRule="auto"/>
        <w:tabs>
          <w:tab w:leader="none" w:pos="1035" w:val="left"/>
        </w:tabs>
        <w:numPr>
          <w:ilvl w:val="1"/>
          <w:numId w:val="50"/>
        </w:numPr>
        <w:rPr>
          <w:rFonts w:ascii="Arial" w:cs="Arial" w:eastAsia="Arial" w:hAnsi="Arial"/>
          <w:sz w:val="16"/>
          <w:szCs w:val="16"/>
          <w:color w:val="auto"/>
        </w:rPr>
      </w:pPr>
      <w:r>
        <w:rPr>
          <w:rFonts w:ascii="Arial" w:cs="Arial" w:eastAsia="Arial" w:hAnsi="Arial"/>
          <w:sz w:val="16"/>
          <w:szCs w:val="16"/>
          <w:color w:val="auto"/>
        </w:rPr>
        <w:t>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and the specific location of a competing business is not necessarily relevant to the capacity of that business to compete with the Company Group; and</w:t>
      </w:r>
    </w:p>
    <w:p>
      <w:pPr>
        <w:spacing w:after="0" w:line="4" w:lineRule="exact"/>
        <w:rPr>
          <w:rFonts w:ascii="Arial" w:cs="Arial" w:eastAsia="Arial" w:hAnsi="Arial"/>
          <w:sz w:val="16"/>
          <w:szCs w:val="16"/>
          <w:color w:val="auto"/>
        </w:rPr>
      </w:pPr>
    </w:p>
    <w:p>
      <w:pPr>
        <w:ind w:left="720" w:right="120" w:firstLine="5"/>
        <w:spacing w:after="0" w:line="302" w:lineRule="auto"/>
        <w:tabs>
          <w:tab w:leader="none" w:pos="102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330200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COMPETITIVE BUSINESS ACTIVITIES.</w:t>
      </w:r>
    </w:p>
    <w:p>
      <w:pPr>
        <w:spacing w:after="0" w:line="229" w:lineRule="exact"/>
        <w:rPr>
          <w:rFonts w:ascii="Arial" w:cs="Arial" w:eastAsia="Arial" w:hAnsi="Arial"/>
          <w:sz w:val="18"/>
          <w:szCs w:val="18"/>
          <w:color w:val="auto"/>
        </w:rPr>
      </w:pPr>
    </w:p>
    <w:p>
      <w:pPr>
        <w:ind w:left="1860" w:right="300" w:hanging="333"/>
        <w:spacing w:after="0" w:line="286" w:lineRule="auto"/>
        <w:tabs>
          <w:tab w:leader="none" w:pos="18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spacing w:after="0" w:line="165" w:lineRule="exact"/>
        <w:rPr>
          <w:rFonts w:ascii="Arial" w:cs="Arial" w:eastAsia="Arial" w:hAnsi="Arial"/>
          <w:sz w:val="17"/>
          <w:szCs w:val="17"/>
          <w:color w:val="auto"/>
        </w:rPr>
      </w:pPr>
    </w:p>
    <w:p>
      <w:pPr>
        <w:ind w:left="2640" w:hanging="330"/>
        <w:spacing w:after="0" w:line="263" w:lineRule="auto"/>
        <w:tabs>
          <w:tab w:leader="none" w:pos="26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on Employee’s own or another’s behalf, whether as an officer, director, manager, stockholder, partner, member, associate, owner, employee, consultant, or otherwise do any of the following or provide material assistance to any other party or entity to do so:</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both"/>
        <w:ind w:left="3300" w:right="140" w:hanging="315"/>
        <w:spacing w:after="0" w:line="286" w:lineRule="auto"/>
        <w:tabs>
          <w:tab w:leader="none" w:pos="3300" w:val="left"/>
        </w:tabs>
        <w:numPr>
          <w:ilvl w:val="3"/>
          <w:numId w:val="52"/>
        </w:numPr>
        <w:rPr>
          <w:rFonts w:ascii="Arial" w:cs="Arial" w:eastAsia="Arial" w:hAnsi="Arial"/>
          <w:sz w:val="17"/>
          <w:szCs w:val="17"/>
          <w:color w:val="auto"/>
        </w:rPr>
      </w:pPr>
      <w:r>
        <w:rPr>
          <w:rFonts w:ascii="Arial" w:cs="Arial" w:eastAsia="Arial" w:hAnsi="Arial"/>
          <w:sz w:val="17"/>
          <w:szCs w:val="17"/>
          <w:color w:val="auto"/>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spacing w:after="0" w:line="165" w:lineRule="exact"/>
        <w:rPr>
          <w:rFonts w:ascii="Arial" w:cs="Arial" w:eastAsia="Arial" w:hAnsi="Arial"/>
          <w:sz w:val="17"/>
          <w:szCs w:val="17"/>
          <w:color w:val="auto"/>
        </w:rPr>
      </w:pPr>
    </w:p>
    <w:p>
      <w:pPr>
        <w:ind w:left="3340" w:right="160" w:hanging="328"/>
        <w:spacing w:after="0" w:line="289" w:lineRule="auto"/>
        <w:tabs>
          <w:tab w:leader="none" w:pos="3340" w:val="left"/>
        </w:tabs>
        <w:numPr>
          <w:ilvl w:val="4"/>
          <w:numId w:val="52"/>
        </w:numPr>
        <w:rPr>
          <w:rFonts w:ascii="Arial" w:cs="Arial" w:eastAsia="Arial" w:hAnsi="Arial"/>
          <w:sz w:val="16"/>
          <w:szCs w:val="16"/>
          <w:color w:val="auto"/>
        </w:rPr>
      </w:pPr>
      <w:r>
        <w:rPr>
          <w:rFonts w:ascii="Arial" w:cs="Arial" w:eastAsia="Arial" w:hAnsi="Arial"/>
          <w:sz w:val="16"/>
          <w:szCs w:val="16"/>
          <w:color w:val="auto"/>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80" w:hanging="328"/>
        <w:spacing w:after="0" w:line="290" w:lineRule="auto"/>
        <w:tabs>
          <w:tab w:leader="none" w:pos="2780" w:val="left"/>
        </w:tabs>
        <w:numPr>
          <w:ilvl w:val="3"/>
          <w:numId w:val="53"/>
        </w:numPr>
        <w:rPr>
          <w:rFonts w:ascii="Arial" w:cs="Arial" w:eastAsia="Arial" w:hAnsi="Arial"/>
          <w:sz w:val="16"/>
          <w:szCs w:val="16"/>
          <w:color w:val="auto"/>
        </w:rPr>
      </w:pPr>
      <w:r>
        <w:rPr>
          <w:rFonts w:ascii="Arial" w:cs="Arial" w:eastAsia="Arial" w:hAnsi="Arial"/>
          <w:sz w:val="16"/>
          <w:szCs w:val="16"/>
          <w:color w:val="auto"/>
        </w:rPr>
        <w:t>offer employment to, hire or otherwise solicit for employment any employee or other person who had been employed or retained by the Company Group during the last year of Employee’s employment with the Company Group and with whom Employee 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spacing w:after="0" w:line="165" w:lineRule="exact"/>
        <w:rPr>
          <w:rFonts w:ascii="Arial" w:cs="Arial" w:eastAsia="Arial" w:hAnsi="Arial"/>
          <w:sz w:val="16"/>
          <w:szCs w:val="16"/>
          <w:color w:val="auto"/>
        </w:rPr>
      </w:pPr>
    </w:p>
    <w:p>
      <w:pPr>
        <w:ind w:left="2040" w:right="180" w:hanging="331"/>
        <w:spacing w:after="0" w:line="277" w:lineRule="auto"/>
        <w:tabs>
          <w:tab w:leader="none" w:pos="20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take any action, which is materially detrimental, or otherwise intended to be adverse to the Company Group’s goodwill, name, business relations, prospects and operations.</w:t>
      </w:r>
    </w:p>
    <w:p>
      <w:pPr>
        <w:spacing w:after="0" w:line="170" w:lineRule="exact"/>
        <w:rPr>
          <w:rFonts w:ascii="Arial" w:cs="Arial" w:eastAsia="Arial" w:hAnsi="Arial"/>
          <w:sz w:val="18"/>
          <w:szCs w:val="18"/>
          <w:color w:val="auto"/>
        </w:rPr>
      </w:pPr>
    </w:p>
    <w:p>
      <w:pPr>
        <w:ind w:left="1300" w:hanging="333"/>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restrictions set forth in Section 2(a)(i) apply to the following separate and distinct geographical areas: (i) the world;</w:t>
      </w:r>
    </w:p>
    <w:p>
      <w:pPr>
        <w:spacing w:after="0" w:line="46" w:lineRule="exact"/>
        <w:rPr>
          <w:rFonts w:ascii="Arial" w:cs="Arial" w:eastAsia="Arial" w:hAnsi="Arial"/>
          <w:sz w:val="16"/>
          <w:szCs w:val="16"/>
          <w:color w:val="auto"/>
        </w:rPr>
      </w:pPr>
    </w:p>
    <w:p>
      <w:pPr>
        <w:ind w:left="1300" w:hanging="9"/>
        <w:spacing w:after="0" w:line="269" w:lineRule="auto"/>
        <w:tabs>
          <w:tab w:leader="none" w:pos="1565"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North America (iii) Europe; (iv) the United States; (v) the United Kingdom; (vi) Japan; (vii) the State of North Carolina; (viii) the State of Alabama; (ix) within a 60-mile radius of any location of the Company Group in which Employee had an office or performed material services during Employee’s employment with the Company Group; (x) any city, metropolitan area, county, state or country in which Employee’s substantial services were provided, or for which Employee had substantial responsibility, or in which Employee worked on Company Group projects, while employed by the Company Group; (xi) any city, metropolitan area, county, state or country in which the Company Group is located or does or, during Employee’s employment with the Company Group, did business.</w:t>
      </w:r>
    </w:p>
    <w:p>
      <w:pPr>
        <w:spacing w:after="0" w:line="180" w:lineRule="exact"/>
        <w:rPr>
          <w:rFonts w:ascii="Arial" w:cs="Arial" w:eastAsia="Arial" w:hAnsi="Arial"/>
          <w:sz w:val="17"/>
          <w:szCs w:val="17"/>
          <w:color w:val="auto"/>
        </w:rPr>
      </w:pPr>
    </w:p>
    <w:p>
      <w:pPr>
        <w:jc w:val="both"/>
        <w:ind w:left="1300" w:right="60" w:hanging="333"/>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restrictions set forth in Section 2(a)(i) apply only to prohibit Employee from engaging in activities that are materially similar to the activities in which Employee engaged on behalf of the Company Group or with respect to which Employee would reasonably be expected to use Confidential Information.</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60" w:right="100" w:hanging="333"/>
        <w:spacing w:after="0" w:line="263" w:lineRule="auto"/>
        <w:tabs>
          <w:tab w:leader="none" w:pos="2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 2(a).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one-year post-employment competitive business restrictions set forth above.</w:t>
      </w:r>
    </w:p>
    <w:p>
      <w:pPr>
        <w:spacing w:after="0" w:line="183" w:lineRule="exact"/>
        <w:rPr>
          <w:sz w:val="20"/>
          <w:szCs w:val="20"/>
          <w:color w:val="auto"/>
        </w:rPr>
      </w:pPr>
    </w:p>
    <w:p>
      <w:pPr>
        <w:ind w:left="720" w:right="60" w:hanging="319"/>
        <w:spacing w:after="0" w:line="298"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Employee’s failure to abide by this Agreement would cause irreparable harm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which legal remedies would be inadequate. Therefore, in addition to any legal or other relief to which the Company Group may be entitled by virtue of Employee’s failure to abide by these 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spacing w:after="0" w:line="153" w:lineRule="exact"/>
        <w:rPr>
          <w:rFonts w:ascii="Arial" w:cs="Arial" w:eastAsia="Arial" w:hAnsi="Arial"/>
          <w:sz w:val="16"/>
          <w:szCs w:val="16"/>
          <w:color w:val="auto"/>
        </w:rPr>
      </w:pPr>
    </w:p>
    <w:p>
      <w:pPr>
        <w:ind w:left="720" w:right="240" w:hanging="319"/>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during which Employee must refrain from the activities set forth in Section 2(a) shall be tolled during any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Employee fails to abide by such provisions.</w:t>
      </w:r>
    </w:p>
    <w:p>
      <w:pPr>
        <w:spacing w:after="0" w:line="161" w:lineRule="exact"/>
        <w:rPr>
          <w:rFonts w:ascii="Arial" w:cs="Arial" w:eastAsia="Arial" w:hAnsi="Arial"/>
          <w:sz w:val="18"/>
          <w:szCs w:val="18"/>
          <w:color w:val="auto"/>
        </w:rPr>
      </w:pPr>
    </w:p>
    <w:p>
      <w:pPr>
        <w:ind w:left="720" w:right="340" w:hanging="319"/>
        <w:spacing w:after="0" w:line="314"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VIOLATION BY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Employee alleges and proves a violation by the Company Group of any obligation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Group to Employee by agreement or operation of law, such violation shall not excuse Employee from Employee’s obligations pursuant to this Agreement, but rather Employee shall be entitled to remedies available for the specific violation alleged and proven.</w:t>
      </w:r>
    </w:p>
    <w:p>
      <w:pPr>
        <w:spacing w:after="0" w:line="141" w:lineRule="exact"/>
        <w:rPr>
          <w:rFonts w:ascii="Arial" w:cs="Arial" w:eastAsia="Arial" w:hAnsi="Arial"/>
          <w:sz w:val="16"/>
          <w:szCs w:val="16"/>
          <w:color w:val="auto"/>
        </w:rPr>
      </w:pPr>
    </w:p>
    <w:p>
      <w:pPr>
        <w:ind w:left="720" w:right="100" w:hanging="319"/>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terminate, revoke, or diminish Employee’s obligations or the Company Group’s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under law or pursuant to the PIIA, relating to trade secrets or proprietary information.</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right="80" w:hanging="319"/>
        <w:spacing w:after="0" w:line="303"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PIIA, and the Employment Agreement together constitute the exclusive and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Parties with respect to this subject matter with respect to severance as a result of change in control and supersedes any other right of the Employee to severance under any plan, arrangement or agreement of the Company. No change or modification of this Agreement shall be valid or binding upon the Parties unless such change or modification is in writing and is signed by the Parties.</w:t>
      </w:r>
    </w:p>
    <w:p>
      <w:pPr>
        <w:spacing w:after="0" w:line="150" w:lineRule="exact"/>
        <w:rPr>
          <w:rFonts w:ascii="Arial" w:cs="Arial" w:eastAsia="Arial" w:hAnsi="Arial"/>
          <w:sz w:val="16"/>
          <w:szCs w:val="16"/>
          <w:color w:val="auto"/>
        </w:rPr>
      </w:pPr>
    </w:p>
    <w:p>
      <w:pPr>
        <w:ind w:left="420" w:right="740" w:hanging="319"/>
        <w:spacing w:after="0" w:line="282"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Employee’s waiver of any breach of a provision of this Agreement shall not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the other Party.</w:t>
      </w:r>
    </w:p>
    <w:p>
      <w:pPr>
        <w:spacing w:after="0" w:line="161" w:lineRule="exact"/>
        <w:rPr>
          <w:rFonts w:ascii="Arial" w:cs="Arial" w:eastAsia="Arial" w:hAnsi="Arial"/>
          <w:sz w:val="18"/>
          <w:szCs w:val="18"/>
          <w:color w:val="auto"/>
        </w:rPr>
      </w:pPr>
    </w:p>
    <w:p>
      <w:pPr>
        <w:ind w:left="420" w:hanging="319"/>
        <w:spacing w:after="0" w:line="281"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 court of competent jurisdiction holds that any provision or sub-part thereof contained in this Agreement is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“blue-penciled” or rewritten by the court to the extent necessary to render it enforceable.</w:t>
      </w:r>
    </w:p>
    <w:p>
      <w:pPr>
        <w:spacing w:after="0" w:line="164" w:lineRule="exact"/>
        <w:rPr>
          <w:rFonts w:ascii="Arial" w:cs="Arial" w:eastAsia="Arial" w:hAnsi="Arial"/>
          <w:sz w:val="17"/>
          <w:szCs w:val="17"/>
          <w:color w:val="auto"/>
        </w:rPr>
      </w:pPr>
    </w:p>
    <w:p>
      <w:pPr>
        <w:ind w:left="340" w:hanging="333"/>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THIRD-PARTY BENEFICIARIES; SUCCESSORS AND ASSIGNS.</w:t>
      </w:r>
    </w:p>
    <w:p>
      <w:pPr>
        <w:spacing w:after="0" w:line="229" w:lineRule="exact"/>
        <w:rPr>
          <w:rFonts w:ascii="Arial" w:cs="Arial" w:eastAsia="Arial" w:hAnsi="Arial"/>
          <w:sz w:val="18"/>
          <w:szCs w:val="18"/>
          <w:color w:val="auto"/>
        </w:rPr>
      </w:pPr>
    </w:p>
    <w:p>
      <w:pPr>
        <w:ind w:left="1080" w:right="20" w:hanging="317"/>
        <w:spacing w:after="0" w:line="277"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Parties agree that members of the Company Group are intended third-party beneficiaries of this Agreement with rights to enforce the terms of this Agreement to the maximum extent allowed by law.</w:t>
      </w:r>
    </w:p>
    <w:p>
      <w:pPr>
        <w:spacing w:after="0" w:line="170" w:lineRule="exact"/>
        <w:rPr>
          <w:rFonts w:ascii="Arial" w:cs="Arial" w:eastAsia="Arial" w:hAnsi="Arial"/>
          <w:sz w:val="18"/>
          <w:szCs w:val="18"/>
          <w:color w:val="auto"/>
        </w:rPr>
      </w:pPr>
    </w:p>
    <w:p>
      <w:pPr>
        <w:ind w:left="1080" w:right="20" w:hanging="331"/>
        <w:spacing w:after="0" w:line="289"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Parties agree that this Agreement is binding upon and shall inure to the benefit of the Company, its successors and assigns. The Company shall be entitled to freely assign, in whole or in part, this Agreement and/or any right hereunder to any member of the Company Group, or to any successor of all or substantially all of the business or assets of the Company or any member of the Company Group (and any such assignee shall be entitled to freely further so assign, in one or multiple instances). The assignee shall assume the Company’s obligations attendant to the rights being assigned. In the event this Agreement is assigned to any member of the Company Group, or in the event a successor-in-interest to either the Company or any member of the Company Group becomes Employee’s employer under this Agreement, then the following shall apply from and after the effective date of the assignment or transfer of rights to the successor-in-interest, as the case may be: all references in this Agreement to the Company shall be deemed to mean the assignee or successor-in-interest, as the case may be, without any need for an amendment to accomplish such substitution.</w:t>
      </w:r>
    </w:p>
    <w:p>
      <w:pPr>
        <w:spacing w:after="0" w:line="166" w:lineRule="exact"/>
        <w:rPr>
          <w:rFonts w:ascii="Arial" w:cs="Arial" w:eastAsia="Arial" w:hAnsi="Arial"/>
          <w:sz w:val="16"/>
          <w:szCs w:val="16"/>
          <w:color w:val="auto"/>
        </w:rPr>
      </w:pPr>
    </w:p>
    <w:p>
      <w:pPr>
        <w:ind w:left="1080" w:right="200" w:hanging="317"/>
        <w:spacing w:after="0" w:line="275" w:lineRule="auto"/>
        <w:tabs>
          <w:tab w:leader="none" w:pos="10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Employee irrevocably consents to any such assignment and the substitution of the assignee for the Company as to rights that are assigned, and Employee also irrevocably consents to the discharge of the Company as to any obligations or liabilities under or by reason of this Agreement arising on or after the date of the assignment. In the event of any assignment from the Company to a member of the Company Group, the Company shall be an intended third-party beneficiary of this Agreement with rights to enforce the terms of this Agreement to the maximum extent allowed by law.</w:t>
      </w:r>
    </w:p>
    <w:p>
      <w:pPr>
        <w:spacing w:after="0" w:line="1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780" w:top="1440" w:right="39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40" w:hanging="333"/>
        <w:spacing w:after="0" w:line="266"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PARTIES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provisions, covenants and agreements contained in this Agreement shall apply to, be binding upon and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Company’s successors and assigns, and Employee’s heirs, executors, administrators, and other legal representatives. Employee may not assign this Agreement.</w:t>
      </w:r>
    </w:p>
    <w:p>
      <w:pPr>
        <w:spacing w:after="0" w:line="175" w:lineRule="exact"/>
        <w:rPr>
          <w:rFonts w:ascii="Arial" w:cs="Arial" w:eastAsia="Arial" w:hAnsi="Arial"/>
          <w:sz w:val="18"/>
          <w:szCs w:val="18"/>
          <w:color w:val="auto"/>
        </w:rPr>
      </w:pPr>
    </w:p>
    <w:p>
      <w:pPr>
        <w:ind w:left="340" w:right="20" w:hanging="333"/>
        <w:spacing w:after="0" w:line="273"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employment relationship created by it shall be interpreted and construed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of the State of North Carolina, including its statutes of limitations, without giving effect to any conflict-of-laws rule that would result in the application of the laws of a different jurisdiction. The Parties consent to exclusive jurisdiction in North Carolina for the purpose of any litigation relating to this Agreement and agree that any litigation by or involving them relating to this Agreement shall be conducted in the state courts of North Carolina or the appropriate federal district court located in North Carolina. Employee consents to the exercise of personal jurisdiction in any state or federal court located in North Carolina and waives any objection based upon personal jurisdiction or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with respect to any action commenced in such courts.</w:t>
      </w:r>
    </w:p>
    <w:p>
      <w:pPr>
        <w:spacing w:after="0" w:line="171" w:lineRule="exact"/>
        <w:rPr>
          <w:rFonts w:ascii="Arial" w:cs="Arial" w:eastAsia="Arial" w:hAnsi="Arial"/>
          <w:sz w:val="17"/>
          <w:szCs w:val="17"/>
          <w:color w:val="auto"/>
        </w:rPr>
      </w:pPr>
    </w:p>
    <w:p>
      <w:pPr>
        <w:ind w:left="340" w:right="180" w:hanging="333"/>
        <w:spacing w:after="0" w:line="261"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affixed thereto were upon the same instrument. Any such counterpart, to the extent delivered by .pdf or similar attachment to electronic mail shall be treated in all manner and respects as an original executed counterpart and shall be considered to have the same binding legal effect as if it were the original signed version thereof delivered in person.</w:t>
      </w:r>
    </w:p>
    <w:p>
      <w:pPr>
        <w:spacing w:after="0" w:line="179" w:lineRule="exact"/>
        <w:rPr>
          <w:rFonts w:ascii="Arial" w:cs="Arial" w:eastAsia="Arial" w:hAnsi="Arial"/>
          <w:sz w:val="18"/>
          <w:szCs w:val="18"/>
          <w:color w:val="auto"/>
        </w:rPr>
      </w:pPr>
    </w:p>
    <w:p>
      <w:pPr>
        <w:ind w:left="340" w:right="560" w:hanging="333"/>
        <w:spacing w:after="0" w:line="282"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and agrees that this Agreement is not a contract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term and that employment by the Company is, for all purposes, “at will.”</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86" w:name="page87"/>
    <w:bookmarkEnd w:id="86"/>
    <w:p>
      <w:pPr>
        <w:ind w:left="160"/>
        <w:spacing w:after="0"/>
        <w:rPr>
          <w:sz w:val="20"/>
          <w:szCs w:val="20"/>
          <w:color w:val="auto"/>
        </w:rPr>
      </w:pPr>
      <w:r>
        <w:rPr>
          <w:rFonts w:ascii="Arial" w:cs="Arial" w:eastAsia="Arial" w:hAnsi="Arial"/>
          <w:sz w:val="16"/>
          <w:szCs w:val="16"/>
          <w:color w:val="auto"/>
        </w:rPr>
        <w:t>IN WITNESS WHEREOF, the Parties have entered into this Non-Competition and Non-Solicitation Agreement as of the day and year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8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EMPLOYEE</w:t>
            </w:r>
          </w:p>
        </w:tc>
      </w:tr>
      <w:tr>
        <w:trPr>
          <w:trHeight w:val="230"/>
        </w:trPr>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8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864"/>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c>
          <w:tcPr>
            <w:tcW w:w="88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Sheridan</w:t>
            </w:r>
          </w:p>
        </w:tc>
      </w:tr>
      <w:tr>
        <w:trPr>
          <w:trHeight w:val="195"/>
        </w:trPr>
        <w:tc>
          <w:tcPr>
            <w:tcW w:w="92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c>
          <w:tcPr>
            <w:tcW w:w="88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William Sheridan</w:t>
            </w:r>
          </w:p>
        </w:tc>
      </w:tr>
      <w:tr>
        <w:trPr>
          <w:trHeight w:val="230"/>
        </w:trPr>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648"/>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3700" w:type="dxa"/>
            <w:vAlign w:val="bottom"/>
            <w:gridSpan w:val="2"/>
          </w:tcPr>
          <w:p>
            <w:pPr>
              <w:jc w:val="right"/>
              <w:ind w:right="1590"/>
              <w:spacing w:after="0"/>
              <w:rPr>
                <w:sz w:val="20"/>
                <w:szCs w:val="20"/>
                <w:color w:val="auto"/>
              </w:rPr>
            </w:pPr>
            <w:r>
              <w:rPr>
                <w:rFonts w:ascii="Arial" w:cs="Arial" w:eastAsia="Arial" w:hAnsi="Arial"/>
                <w:sz w:val="18"/>
                <w:szCs w:val="18"/>
                <w:color w:val="auto"/>
              </w:rPr>
              <w:t>Date: August 4, 2021</w:t>
            </w:r>
          </w:p>
        </w:tc>
      </w:tr>
      <w:tr>
        <w:trPr>
          <w:trHeight w:val="426"/>
        </w:trPr>
        <w:tc>
          <w:tcPr>
            <w:tcW w:w="9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Borders>
              <w:top w:val="single" w:sz="8" w:color="auto"/>
            </w:tcBorders>
          </w:tcPr>
          <w:p>
            <w:pPr>
              <w:jc w:val="right"/>
              <w:ind w:right="1590"/>
              <w:spacing w:after="0"/>
              <w:rPr>
                <w:sz w:val="20"/>
                <w:szCs w:val="20"/>
                <w:color w:val="auto"/>
              </w:rPr>
            </w:pPr>
            <w:r>
              <w:rPr>
                <w:rFonts w:ascii="Arial" w:cs="Arial" w:eastAsia="Arial" w:hAnsi="Arial"/>
                <w:sz w:val="18"/>
                <w:szCs w:val="18"/>
                <w:color w:val="auto"/>
              </w:rPr>
              <w:t>B-7</w:t>
            </w:r>
          </w:p>
        </w:tc>
      </w:tr>
    </w:tbl>
    <w:p>
      <w:pPr>
        <w:sectPr>
          <w:pgSz w:w="11900" w:h="16838" w:orient="portrait"/>
          <w:cols w:equalWidth="0" w:num="1">
            <w:col w:w="11240"/>
          </w:cols>
          <w:pgMar w:left="320" w:top="58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154305</wp:posOffset>
            </wp:positionV>
            <wp:extent cx="5846445" cy="129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Y.S. Babu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babu@biocryst.com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Babu:</w:t>
      </w:r>
    </w:p>
    <w:p>
      <w:pPr>
        <w:spacing w:after="0" w:line="22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As part of our review of the terms of our employment agreements with our executives and our intentions to align the terms of such agreements so that they are generally consistent with one another, this letter agreement (the “Agreement”) amends and restates the employment letter agreement, dated April 27, 2012, as amended November 18, 2013, previously entered into between you and us. You are currently employed by BioCryst Pharmaceuticals, Inc., a Delaware corporation (the “Company”), as Chief Discovery Officer, reporting directly to the Chief Research &amp; Development Officer. This Agreement will serve to confirm our agreement with respect to the terms and conditions of your continued employment.</w:t>
      </w:r>
    </w:p>
    <w:p>
      <w:pPr>
        <w:spacing w:after="0" w:line="172" w:lineRule="exact"/>
        <w:rPr>
          <w:sz w:val="20"/>
          <w:szCs w:val="20"/>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Term of Employment.</w:t>
      </w:r>
    </w:p>
    <w:p>
      <w:pPr>
        <w:spacing w:after="0" w:line="229" w:lineRule="exact"/>
        <w:rPr>
          <w:rFonts w:ascii="Arial" w:cs="Arial" w:eastAsia="Arial" w:hAnsi="Arial"/>
          <w:sz w:val="18"/>
          <w:szCs w:val="18"/>
          <w:color w:val="auto"/>
        </w:rPr>
      </w:pPr>
    </w:p>
    <w:p>
      <w:pPr>
        <w:ind w:left="840" w:hanging="317"/>
        <w:spacing w:after="0" w:line="254" w:lineRule="auto"/>
        <w:tabs>
          <w:tab w:leader="none" w:pos="8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hereby employs Dr. Y.S. Babu (“Employee”) as Chief Discovery Officer. Employee shall maintain employment at the Company’s offices in Birmingham, Alabama.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spacing w:after="0" w:line="194" w:lineRule="exact"/>
        <w:rPr>
          <w:rFonts w:ascii="Arial" w:cs="Arial" w:eastAsia="Arial" w:hAnsi="Arial"/>
          <w:sz w:val="18"/>
          <w:szCs w:val="18"/>
          <w:color w:val="auto"/>
        </w:rPr>
      </w:pPr>
    </w:p>
    <w:p>
      <w:pPr>
        <w:ind w:left="840" w:right="440" w:hanging="331"/>
        <w:spacing w:after="0" w:line="277" w:lineRule="auto"/>
        <w:tabs>
          <w:tab w:leader="none" w:pos="8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term of employment of Employee under this Agreement shall begin on the date first set forth above (the “Effective Date”) and shall continue until Employee is terminated in accordance with Section 4 of this Agreement.</w:t>
      </w:r>
    </w:p>
    <w:p>
      <w:pPr>
        <w:spacing w:after="0" w:line="166"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Basic Full-Time Compensation and Benefits.</w:t>
      </w:r>
    </w:p>
    <w:p>
      <w:pPr>
        <w:spacing w:after="0" w:line="229" w:lineRule="exact"/>
        <w:rPr>
          <w:rFonts w:ascii="Arial" w:cs="Arial" w:eastAsia="Arial" w:hAnsi="Arial"/>
          <w:sz w:val="18"/>
          <w:szCs w:val="18"/>
          <w:color w:val="auto"/>
        </w:rPr>
      </w:pPr>
    </w:p>
    <w:p>
      <w:pPr>
        <w:ind w:left="840" w:right="40" w:hanging="317"/>
        <w:spacing w:after="0" w:line="259" w:lineRule="auto"/>
        <w:tabs>
          <w:tab w:leader="none" w:pos="8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basic compensation for services rendered under this Agreement, Employee shall be entitled to receive from the Company a salary equal to no less than Employee’s current base salary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350520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right="160" w:hanging="331"/>
        <w:spacing w:after="0" w:line="270" w:lineRule="auto"/>
        <w:tabs>
          <w:tab w:leader="none" w:pos="4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forty percent (40%)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by the Company at the time Incentive Compensation payments are paid in order to receive the Incentive Compensation payment for each fiscal year.</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jc w:val="both"/>
        <w:ind w:left="440" w:right="80" w:hanging="317"/>
        <w:spacing w:after="0" w:line="263" w:lineRule="auto"/>
        <w:tabs>
          <w:tab w:leader="none" w:pos="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Employee shall be entitled to receive such other benefits and perquisites provided to similarly situated executives of the Company, subject to modification or termination at any time, which benefits may include, without limitation, reasonable paid time off, medical, dental, and vision benefits, life insurance, and participation in profit sharing or retirement plans.</w:t>
      </w:r>
    </w:p>
    <w:p>
      <w:pPr>
        <w:spacing w:after="0" w:line="179" w:lineRule="exact"/>
        <w:rPr>
          <w:rFonts w:ascii="Arial" w:cs="Arial" w:eastAsia="Arial" w:hAnsi="Arial"/>
          <w:sz w:val="18"/>
          <w:szCs w:val="18"/>
          <w:color w:val="auto"/>
        </w:rPr>
      </w:pPr>
    </w:p>
    <w:p>
      <w:pPr>
        <w:ind w:left="320" w:hanging="319"/>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Performance-Based Equity Awards.</w:t>
      </w:r>
    </w:p>
    <w:p>
      <w:pPr>
        <w:spacing w:after="0" w:line="229"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spacing w:after="0" w:line="183" w:lineRule="exact"/>
        <w:rPr>
          <w:sz w:val="20"/>
          <w:szCs w:val="20"/>
          <w:color w:val="auto"/>
        </w:rPr>
      </w:pPr>
    </w:p>
    <w:p>
      <w:pPr>
        <w:ind w:left="320" w:hanging="319"/>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color w:val="auto"/>
        </w:rPr>
      </w:pPr>
    </w:p>
    <w:p>
      <w:pPr>
        <w:ind w:left="440" w:right="20" w:hanging="317"/>
        <w:spacing w:after="0" w:line="269" w:lineRule="auto"/>
        <w:tabs>
          <w:tab w:leader="none" w:pos="4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spacing w:after="0" w:line="18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31"/>
        <w:spacing w:after="0" w:line="254" w:lineRule="auto"/>
        <w:rPr>
          <w:sz w:val="20"/>
          <w:szCs w:val="20"/>
          <w:color w:val="auto"/>
        </w:rPr>
      </w:pPr>
      <w:r>
        <w:rPr>
          <w:rFonts w:ascii="Arial" w:cs="Arial" w:eastAsia="Arial" w:hAnsi="Arial"/>
          <w:sz w:val="18"/>
          <w:szCs w:val="18"/>
          <w:color w:val="auto"/>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spacing w:after="0" w:line="192" w:lineRule="exact"/>
        <w:rPr>
          <w:sz w:val="20"/>
          <w:szCs w:val="20"/>
          <w:color w:val="auto"/>
        </w:rPr>
      </w:pPr>
    </w:p>
    <w:p>
      <w:pPr>
        <w:jc w:val="both"/>
        <w:ind w:left="131"/>
        <w:spacing w:after="0" w:line="308" w:lineRule="auto"/>
        <w:rPr>
          <w:sz w:val="20"/>
          <w:szCs w:val="20"/>
          <w:color w:val="auto"/>
        </w:rPr>
      </w:pPr>
      <w:r>
        <w:rPr>
          <w:rFonts w:ascii="Arial" w:cs="Arial" w:eastAsia="Arial" w:hAnsi="Arial"/>
          <w:sz w:val="17"/>
          <w:szCs w:val="17"/>
          <w:color w:val="auto"/>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spacing w:after="0" w:line="146" w:lineRule="exact"/>
        <w:rPr>
          <w:sz w:val="20"/>
          <w:szCs w:val="20"/>
          <w:color w:val="auto"/>
        </w:rPr>
      </w:pPr>
    </w:p>
    <w:p>
      <w:pPr>
        <w:ind w:left="331" w:hanging="331"/>
        <w:spacing w:after="0" w:line="287" w:lineRule="auto"/>
        <w:tabs>
          <w:tab w:leader="none" w:pos="3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spacing w:after="0" w:line="172"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71"/>
          </w:cols>
          <w:pgMar w:left="989" w:top="1440"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1440" w:right="3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hanging="317"/>
        <w:spacing w:after="0" w:line="272" w:lineRule="auto"/>
        <w:tabs>
          <w:tab w:leader="none" w:pos="4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spacing w:after="0" w:line="173" w:lineRule="exact"/>
        <w:rPr>
          <w:rFonts w:ascii="Arial" w:cs="Arial" w:eastAsia="Arial" w:hAnsi="Arial"/>
          <w:sz w:val="17"/>
          <w:szCs w:val="17"/>
          <w:color w:val="auto"/>
        </w:rPr>
      </w:pPr>
    </w:p>
    <w:p>
      <w:pPr>
        <w:ind w:left="320" w:hanging="319"/>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Non-Competition; Proprietary Information and Inventions.</w:t>
      </w:r>
    </w:p>
    <w:p>
      <w:pPr>
        <w:spacing w:after="0" w:line="229" w:lineRule="exact"/>
        <w:rPr>
          <w:rFonts w:ascii="Arial" w:cs="Arial" w:eastAsia="Arial" w:hAnsi="Arial"/>
          <w:sz w:val="18"/>
          <w:szCs w:val="18"/>
          <w:color w:val="auto"/>
        </w:rPr>
      </w:pPr>
    </w:p>
    <w:p>
      <w:pPr>
        <w:ind w:left="440" w:right="180" w:hanging="317"/>
        <w:spacing w:after="0" w:line="259" w:lineRule="auto"/>
        <w:tabs>
          <w:tab w:leader="none" w:pos="44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Proprietary Information and Inventions Agreement; Non-Competition and Non-Solicitation Agreement</w:t>
      </w:r>
      <w:r>
        <w:rPr>
          <w:rFonts w:ascii="Arial" w:cs="Arial" w:eastAsia="Arial" w:hAnsi="Arial"/>
          <w:sz w:val="18"/>
          <w:szCs w:val="18"/>
          <w:color w:val="auto"/>
        </w:rPr>
        <w:t>. As a condition precedent to the employment of Employee by the Company pursuant to the terms of this Agreement, Employee shall execute (i) the Company’s Proprietary Information and Inventions Agreement, attached hereto as Exhibit A, and (ii) the Company’s Non-Competition and Non-Solicitation Agreement, attached hereto as Exhibit B.</w:t>
      </w:r>
    </w:p>
    <w:p>
      <w:pPr>
        <w:spacing w:after="0" w:line="186" w:lineRule="exact"/>
        <w:rPr>
          <w:rFonts w:ascii="Arial" w:cs="Arial" w:eastAsia="Arial" w:hAnsi="Arial"/>
          <w:sz w:val="18"/>
          <w:szCs w:val="18"/>
          <w:color w:val="auto"/>
        </w:rPr>
      </w:pPr>
    </w:p>
    <w:p>
      <w:pPr>
        <w:ind w:left="440" w:hanging="331"/>
        <w:spacing w:after="0" w:line="272" w:lineRule="auto"/>
        <w:tabs>
          <w:tab w:leader="none" w:pos="44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Equitable Remedies</w:t>
      </w:r>
      <w:r>
        <w:rPr>
          <w:rFonts w:ascii="Arial" w:cs="Arial" w:eastAsia="Arial" w:hAnsi="Arial"/>
          <w:sz w:val="17"/>
          <w:szCs w:val="17"/>
          <w:color w:val="auto"/>
        </w:rPr>
        <w:t>.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spacing w:after="0" w:line="1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440" w:right="120" w:hanging="317"/>
        <w:spacing w:after="0" w:line="293" w:lineRule="auto"/>
        <w:tabs>
          <w:tab w:leader="none" w:pos="44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including without limitation, the employment letter agreement, dated April 27, 2012, as amended November 18, 2013, previously entered into between Employee and the Company.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spacing w:after="0" w:line="164" w:lineRule="exact"/>
        <w:rPr>
          <w:rFonts w:ascii="Arial" w:cs="Arial" w:eastAsia="Arial" w:hAnsi="Arial"/>
          <w:sz w:val="16"/>
          <w:szCs w:val="16"/>
          <w:color w:val="auto"/>
        </w:rPr>
      </w:pPr>
    </w:p>
    <w:p>
      <w:pPr>
        <w:ind w:left="440" w:right="40" w:hanging="331"/>
        <w:spacing w:after="0" w:line="259" w:lineRule="auto"/>
        <w:tabs>
          <w:tab w:leader="none" w:pos="4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86" w:lineRule="exact"/>
        <w:rPr>
          <w:rFonts w:ascii="Arial" w:cs="Arial" w:eastAsia="Arial" w:hAnsi="Arial"/>
          <w:sz w:val="18"/>
          <w:szCs w:val="18"/>
          <w:color w:val="auto"/>
        </w:rPr>
      </w:pPr>
    </w:p>
    <w:p>
      <w:pPr>
        <w:ind w:left="440" w:right="160" w:hanging="317"/>
        <w:spacing w:after="0" w:line="308" w:lineRule="auto"/>
        <w:tabs>
          <w:tab w:leader="none" w:pos="44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given or rendered hereunder by any party hereto shall be in writing and delivered personally or sent by registered or certified mail, postage prepaid, at the respective addresses of the parties hereto as set forth below.</w:t>
      </w:r>
    </w:p>
    <w:p>
      <w:pPr>
        <w:spacing w:after="0" w:line="146" w:lineRule="exact"/>
        <w:rPr>
          <w:rFonts w:ascii="Arial" w:cs="Arial" w:eastAsia="Arial" w:hAnsi="Arial"/>
          <w:sz w:val="17"/>
          <w:szCs w:val="17"/>
          <w:color w:val="auto"/>
        </w:rPr>
      </w:pPr>
    </w:p>
    <w:p>
      <w:pPr>
        <w:ind w:left="440" w:right="360" w:hanging="331"/>
        <w:spacing w:after="0" w:line="277" w:lineRule="auto"/>
        <w:tabs>
          <w:tab w:leader="none" w:pos="4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section headings contained herein are inserted only as a matter of convenience and reference and in no way define, limit or describe the scope of this Agreement or the intent of any provision hereof.</w:t>
      </w:r>
    </w:p>
    <w:p>
      <w:pPr>
        <w:spacing w:after="0" w:line="170" w:lineRule="exact"/>
        <w:rPr>
          <w:rFonts w:ascii="Arial" w:cs="Arial" w:eastAsia="Arial" w:hAnsi="Arial"/>
          <w:sz w:val="18"/>
          <w:szCs w:val="18"/>
          <w:color w:val="auto"/>
        </w:rPr>
      </w:pPr>
    </w:p>
    <w:p>
      <w:pPr>
        <w:ind w:left="440" w:right="240" w:hanging="317"/>
        <w:spacing w:after="0" w:line="342" w:lineRule="auto"/>
        <w:tabs>
          <w:tab w:leader="none" w:pos="44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amounts to be paid to Employee hereunder are in the nature of compensation for Employee’s employment by the Company, and shall be subject to withholding, income, occupation and payroll taxes and other charges applicable to such compensation.</w:t>
      </w:r>
    </w:p>
    <w:p>
      <w:pPr>
        <w:spacing w:after="0" w:line="123" w:lineRule="exact"/>
        <w:rPr>
          <w:rFonts w:ascii="Arial" w:cs="Arial" w:eastAsia="Arial" w:hAnsi="Arial"/>
          <w:sz w:val="16"/>
          <w:szCs w:val="16"/>
          <w:color w:val="auto"/>
        </w:rPr>
      </w:pPr>
    </w:p>
    <w:p>
      <w:pPr>
        <w:ind w:left="480" w:right="40" w:hanging="330"/>
        <w:spacing w:after="0" w:line="284" w:lineRule="auto"/>
        <w:tabs>
          <w:tab w:leader="none" w:pos="48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w:t>
      </w:r>
    </w:p>
    <w:p>
      <w:pPr>
        <w:spacing w:after="0" w:line="2" w:lineRule="exact"/>
        <w:rPr>
          <w:rFonts w:ascii="Arial" w:cs="Arial" w:eastAsia="Arial" w:hAnsi="Arial"/>
          <w:sz w:val="16"/>
          <w:szCs w:val="16"/>
          <w:color w:val="auto"/>
        </w:rPr>
      </w:pPr>
    </w:p>
    <w:p>
      <w:pPr>
        <w:ind w:left="480"/>
        <w:spacing w:after="0" w:line="281" w:lineRule="auto"/>
        <w:rPr>
          <w:rFonts w:ascii="Arial" w:cs="Arial" w:eastAsia="Arial" w:hAnsi="Arial"/>
          <w:sz w:val="16"/>
          <w:szCs w:val="16"/>
          <w:color w:val="auto"/>
        </w:rPr>
      </w:pPr>
      <w:r>
        <w:rPr>
          <w:rFonts w:ascii="Arial" w:cs="Arial" w:eastAsia="Arial" w:hAnsi="Arial"/>
          <w:sz w:val="16"/>
          <w:szCs w:val="16"/>
          <w:color w:val="auto"/>
        </w:rPr>
        <w:t>(B)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w:t>
      </w:r>
    </w:p>
    <w:p>
      <w:pPr>
        <w:spacing w:after="0" w:line="4" w:lineRule="exact"/>
        <w:rPr>
          <w:rFonts w:ascii="Arial" w:cs="Arial" w:eastAsia="Arial" w:hAnsi="Arial"/>
          <w:sz w:val="16"/>
          <w:szCs w:val="16"/>
          <w:color w:val="auto"/>
        </w:rPr>
      </w:pPr>
    </w:p>
    <w:p>
      <w:pPr>
        <w:ind w:left="480" w:right="460"/>
        <w:spacing w:after="0" w:line="271" w:lineRule="auto"/>
        <w:rPr>
          <w:rFonts w:ascii="Arial" w:cs="Arial" w:eastAsia="Arial" w:hAnsi="Arial"/>
          <w:sz w:val="16"/>
          <w:szCs w:val="16"/>
          <w:color w:val="auto"/>
        </w:rPr>
      </w:pPr>
      <w:r>
        <w:rPr>
          <w:rFonts w:ascii="Arial" w:cs="Arial" w:eastAsia="Arial" w:hAnsi="Arial"/>
          <w:sz w:val="17"/>
          <w:szCs w:val="17"/>
          <w:color w:val="auto"/>
        </w:rPr>
        <w:t>(1)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1" w:hanging="331"/>
        <w:spacing w:after="0" w:line="285" w:lineRule="auto"/>
        <w:tabs>
          <w:tab w:leader="none" w:pos="33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Golden Parachute Provisions</w:t>
      </w:r>
      <w:r>
        <w:rPr>
          <w:rFonts w:ascii="Arial" w:cs="Arial" w:eastAsia="Arial" w:hAnsi="Arial"/>
          <w:sz w:val="16"/>
          <w:szCs w:val="16"/>
          <w:color w:val="auto"/>
        </w:rPr>
        <w:t>.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spacing w:after="0" w:line="385"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51"/>
          </w:cols>
          <w:pgMar w:left="989" w:top="1440" w:right="35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1"/>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governed by and construed in accordance with the laws of the State of Alabama without respect to its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1440" w:right="89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firstLine="450"/>
        <w:spacing w:after="0" w:line="277" w:lineRule="auto"/>
        <w:rPr>
          <w:sz w:val="20"/>
          <w:szCs w:val="20"/>
          <w:color w:val="auto"/>
        </w:rPr>
      </w:pPr>
      <w:r>
        <w:rPr>
          <w:rFonts w:ascii="Arial" w:cs="Arial" w:eastAsia="Arial" w:hAnsi="Arial"/>
          <w:sz w:val="18"/>
          <w:szCs w:val="18"/>
          <w:color w:val="auto"/>
        </w:rPr>
        <w:t>If the foregoing correctly sets forth our understanding, please signify your acceptance of such terms by executing this Agreement, thereby signifying your assent,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r>
      <w:tr>
        <w:trPr>
          <w:trHeight w:val="195"/>
        </w:trPr>
        <w:tc>
          <w:tcPr>
            <w:tcW w:w="94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r>
      <w:tr>
        <w:trPr>
          <w:trHeight w:val="230"/>
        </w:trPr>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Cc:</w:t>
            </w:r>
          </w:p>
        </w:tc>
        <w:tc>
          <w:tcPr>
            <w:tcW w:w="4080" w:type="dxa"/>
            <w:vAlign w:val="bottom"/>
          </w:tcPr>
          <w:p>
            <w:pPr>
              <w:spacing w:after="0"/>
              <w:rPr>
                <w:sz w:val="20"/>
                <w:szCs w:val="20"/>
                <w:color w:val="auto"/>
              </w:rPr>
            </w:pPr>
            <w:r>
              <w:rPr>
                <w:rFonts w:ascii="Arial" w:cs="Arial" w:eastAsia="Arial" w:hAnsi="Arial"/>
                <w:sz w:val="18"/>
                <w:szCs w:val="18"/>
                <w:color w:val="auto"/>
              </w:rPr>
              <w:t>Stephanie Angelini</w:t>
            </w:r>
          </w:p>
        </w:tc>
      </w:tr>
      <w:tr>
        <w:trPr>
          <w:trHeight w:val="230"/>
        </w:trPr>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People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Sign:</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Y.S. Babu</w:t>
            </w:r>
          </w:p>
        </w:tc>
      </w:tr>
      <w:tr>
        <w:trPr>
          <w:trHeight w:val="224"/>
        </w:trPr>
        <w:tc>
          <w:tcPr>
            <w:tcW w:w="14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Y.S. Babu</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 PROPRIETARY INFORMATION AND INVENTIONS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Y.S. Babu, recognize that BioCryst Pharmaceuticals, Inc., a Delaware corporation (the “Company” and together with its subsidiaries, including existing and future subsidiaries, the “Company Group”), is engaged in a continuous program of research, development, and production respecting its business, present and future, including fields generally related to its business.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understand that:</w:t>
      </w:r>
    </w:p>
    <w:p>
      <w:pPr>
        <w:spacing w:after="0" w:line="225" w:lineRule="exact"/>
        <w:rPr>
          <w:sz w:val="20"/>
          <w:szCs w:val="20"/>
          <w:color w:val="auto"/>
        </w:rPr>
      </w:pPr>
    </w:p>
    <w:p>
      <w:pPr>
        <w:jc w:val="both"/>
        <w:ind w:left="800" w:right="220" w:hanging="331"/>
        <w:spacing w:after="0" w:line="263"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spacing w:after="0" w:line="183" w:lineRule="exact"/>
        <w:rPr>
          <w:rFonts w:ascii="Arial" w:cs="Arial" w:eastAsia="Arial" w:hAnsi="Arial"/>
          <w:sz w:val="18"/>
          <w:szCs w:val="18"/>
          <w:color w:val="auto"/>
        </w:rPr>
      </w:pPr>
    </w:p>
    <w:p>
      <w:pPr>
        <w:ind w:left="820" w:hanging="324"/>
        <w:spacing w:after="0"/>
        <w:tabs>
          <w:tab w:leader="none" w:pos="8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My employment creates a relationship of confidence and trust between me and the Company Group with respect to any information:</w:t>
      </w:r>
    </w:p>
    <w:p>
      <w:pPr>
        <w:spacing w:after="0" w:line="236" w:lineRule="exact"/>
        <w:rPr>
          <w:rFonts w:ascii="Arial" w:cs="Arial" w:eastAsia="Arial" w:hAnsi="Arial"/>
          <w:sz w:val="17"/>
          <w:szCs w:val="17"/>
          <w:color w:val="auto"/>
        </w:rPr>
      </w:pPr>
    </w:p>
    <w:p>
      <w:pPr>
        <w:ind w:left="780" w:hanging="140"/>
        <w:spacing w:after="0"/>
        <w:tabs>
          <w:tab w:leader="none" w:pos="7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applicable to the business of the Company Group; or</w:t>
      </w:r>
    </w:p>
    <w:p>
      <w:pPr>
        <w:spacing w:after="0" w:line="225" w:lineRule="exact"/>
        <w:rPr>
          <w:rFonts w:ascii="Arial" w:cs="Arial" w:eastAsia="Arial" w:hAnsi="Arial"/>
          <w:sz w:val="18"/>
          <w:szCs w:val="18"/>
          <w:color w:val="auto"/>
        </w:rPr>
      </w:pPr>
    </w:p>
    <w:p>
      <w:pPr>
        <w:ind w:left="820" w:hanging="180"/>
        <w:spacing w:after="0"/>
        <w:tabs>
          <w:tab w:leader="none" w:pos="8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applicable to the business of any client or customer of the Company Group,</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each case which may be made known to me by any member of the Company Group or by any client or customer thereof or learned by me during the period of my employment.</w:t>
      </w:r>
    </w:p>
    <w:p>
      <w:pPr>
        <w:spacing w:after="0" w:line="170" w:lineRule="exact"/>
        <w:rPr>
          <w:sz w:val="20"/>
          <w:szCs w:val="20"/>
          <w:color w:val="auto"/>
        </w:rPr>
      </w:pPr>
    </w:p>
    <w:p>
      <w:pPr>
        <w:ind w:left="820" w:right="180" w:hanging="324"/>
        <w:spacing w:after="0" w:line="273" w:lineRule="auto"/>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consideration of my employment or continued employment, as the case may be, by any member of the Company Group and the compensation received by me from any member of the Company Group from time to time,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340360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9" w:right="80" w:hanging="319"/>
        <w:spacing w:after="0" w:line="254" w:lineRule="auto"/>
        <w:tabs>
          <w:tab w:leader="none" w:pos="3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Proprietary Information shall be the sole property of the Company, and the Company shall be the sole owner of all rights, title and interest in connection therewith. I hereby assign to the Company any and all rights I may have or acquire in such Proprietary Information. At all times, both during my employment by any member of the Company Group and after termination, I will keep in confidence and trust all Proprietary Information, and I will not use or disclose any Proprietary Information or anything relating to it without the prior written consent of the Company, except as may be necessary in the ordinary course of performing my duties as an employee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spacing w:after="0" w:line="191" w:lineRule="exact"/>
        <w:rPr>
          <w:rFonts w:ascii="Arial" w:cs="Arial" w:eastAsia="Arial" w:hAnsi="Arial"/>
          <w:sz w:val="18"/>
          <w:szCs w:val="18"/>
          <w:color w:val="auto"/>
        </w:rPr>
      </w:pPr>
    </w:p>
    <w:p>
      <w:pPr>
        <w:ind w:left="319" w:right="120" w:hanging="319"/>
        <w:spacing w:after="0" w:line="286" w:lineRule="auto"/>
        <w:tabs>
          <w:tab w:leader="none" w:pos="3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w:t>
      </w:r>
    </w:p>
    <w:p>
      <w:pPr>
        <w:spacing w:after="0" w:line="1" w:lineRule="exact"/>
        <w:rPr>
          <w:rFonts w:ascii="Arial" w:cs="Arial" w:eastAsia="Arial" w:hAnsi="Arial"/>
          <w:sz w:val="16"/>
          <w:szCs w:val="16"/>
          <w:color w:val="auto"/>
        </w:rPr>
      </w:pPr>
    </w:p>
    <w:p>
      <w:pPr>
        <w:ind w:left="319" w:right="80"/>
        <w:spacing w:after="0" w:line="281" w:lineRule="auto"/>
        <w:rPr>
          <w:rFonts w:ascii="Arial" w:cs="Arial" w:eastAsia="Arial" w:hAnsi="Arial"/>
          <w:sz w:val="16"/>
          <w:szCs w:val="16"/>
          <w:color w:val="auto"/>
        </w:rPr>
      </w:pPr>
      <w:r>
        <w:rPr>
          <w:rFonts w:ascii="Arial" w:cs="Arial" w:eastAsia="Arial" w:hAnsi="Arial"/>
          <w:sz w:val="16"/>
          <w:szCs w:val="16"/>
          <w:color w:val="auto"/>
        </w:rPr>
        <w:t>government. Pursuant to 18 U.S.C. §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 (x) file any document containing the trade secret under seal, and</w:t>
      </w:r>
    </w:p>
    <w:p>
      <w:pPr>
        <w:spacing w:after="0" w:line="3" w:lineRule="exact"/>
        <w:rPr>
          <w:rFonts w:ascii="Arial" w:cs="Arial" w:eastAsia="Arial" w:hAnsi="Arial"/>
          <w:sz w:val="16"/>
          <w:szCs w:val="16"/>
          <w:color w:val="auto"/>
        </w:rPr>
      </w:pPr>
    </w:p>
    <w:p>
      <w:pPr>
        <w:ind w:left="319" w:right="240"/>
        <w:spacing w:after="0" w:line="255" w:lineRule="auto"/>
        <w:rPr>
          <w:rFonts w:ascii="Arial" w:cs="Arial" w:eastAsia="Arial" w:hAnsi="Arial"/>
          <w:sz w:val="16"/>
          <w:szCs w:val="16"/>
          <w:color w:val="auto"/>
        </w:rPr>
      </w:pPr>
      <w:r>
        <w:rPr>
          <w:rFonts w:ascii="Arial" w:cs="Arial" w:eastAsia="Arial" w:hAnsi="Arial"/>
          <w:sz w:val="18"/>
          <w:szCs w:val="18"/>
          <w:color w:val="auto"/>
        </w:rPr>
        <w:t>(y)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319" w:hanging="319"/>
        <w:spacing w:after="0" w:line="257" w:lineRule="auto"/>
        <w:tabs>
          <w:tab w:leader="none" w:pos="3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agree that, during the period of my employment by any member of the Company Group, I will not, without the Company’s express prior written consent, engage in any employment or consulting other than for the Company Group. In the event of the termination of my employment by me or by the Company Group for any reason or at any time upon the Company’s request, I will promptly deliver to the Company all documents and data of any nature pertaining to my work with the Company Group and I will not take with me any documents or data containing or pertaining to any Proprietary Information.</w:t>
      </w:r>
    </w:p>
    <w:p>
      <w:pPr>
        <w:spacing w:after="0" w:line="188"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79"/>
          </w:cols>
          <w:pgMar w:left="881" w:top="1440" w:right="3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right="40" w:hanging="319"/>
        <w:spacing w:after="0" w:line="269"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will promptly and fully disclose to the Company, or any persons designated by it, all improvements, inventions, formulas, processes, techniques, know-how, and data, whether or not patentable, copyrightable, or otherwise protectible as intellectual property, made or conceived or reduced to practice by me, either alone or jointly with others, during the period of my employment by any member of the Company Group which are related to or useful in the business of the Company Group, or result from the performance of my duties as an employee of any member of the Company Group or result from use of assets or premises owned, leased, or contracted for by any member of the Company Group (all said improvements, inventions, formulas, processes, techniques, know-how,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 Group.</w:t>
      </w:r>
    </w:p>
    <w:p>
      <w:pPr>
        <w:spacing w:after="0" w:line="185" w:lineRule="exact"/>
        <w:rPr>
          <w:rFonts w:ascii="Arial" w:cs="Arial" w:eastAsia="Arial" w:hAnsi="Arial"/>
          <w:sz w:val="17"/>
          <w:szCs w:val="17"/>
          <w:color w:val="auto"/>
        </w:rPr>
      </w:pPr>
    </w:p>
    <w:p>
      <w:pPr>
        <w:ind w:left="320" w:hanging="319"/>
        <w:spacing w:after="0" w:line="287"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agree that all Inventions are and shall be the sole property of the Company, and that the Company shall be the sole owner of all intellectual property and other rights in connection therewith, and by reason of my being employed by any member of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spacing w:after="0" w:line="167" w:lineRule="exact"/>
        <w:rPr>
          <w:rFonts w:ascii="Arial" w:cs="Arial" w:eastAsia="Arial" w:hAnsi="Arial"/>
          <w:sz w:val="16"/>
          <w:szCs w:val="16"/>
          <w:color w:val="auto"/>
        </w:rPr>
      </w:pPr>
    </w:p>
    <w:p>
      <w:pPr>
        <w:ind w:left="320" w:right="20" w:hanging="319"/>
        <w:spacing w:after="0" w:line="301"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spacing w:after="0" w:line="1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80" w:top="1440" w:right="3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right="120" w:hanging="319"/>
        <w:spacing w:after="0" w:line="259"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represent that my performance of all of the terms of this Agreement and as an employee of the Company Group does not and will not breach any agreement to keep in confidence proprietary information of any third party acquired by me in confidence or in trust prior to my employment by the Company Group. I have not entered into, and I agree that I will not enter into, any agreement either written or oral, in conflict herewith.</w:t>
      </w:r>
    </w:p>
    <w:p>
      <w:pPr>
        <w:spacing w:after="0" w:line="186" w:lineRule="exact"/>
        <w:rPr>
          <w:rFonts w:ascii="Arial" w:cs="Arial" w:eastAsia="Arial" w:hAnsi="Arial"/>
          <w:sz w:val="18"/>
          <w:szCs w:val="18"/>
          <w:color w:val="auto"/>
        </w:rPr>
      </w:pPr>
    </w:p>
    <w:p>
      <w:pPr>
        <w:ind w:left="420" w:hanging="319"/>
        <w:spacing w:after="0" w:line="253"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understand that, as part of the consideration of the offer of employment extended to me by the Company or of my continued employment by the Company Group, as the case may be, I will not bring, have not brought, with me to the Company Group and I will not use, have not used, in the performance of my responsibilities at the Company Group, materials or documents of a former employer, unless I have obtained written authorization from the former employer for their possession and use. Accordingly, this is to advise the Company that the only materials that I will bring to the Company Group or use in my employment are identified on the attached sheet and, as to each such item, I represent that I have obtained, prior to the effective date of my employment with the Company Group, written authorization for their possession and use in my employment with the Company Group. I also understand that, in my employment with the Company Group, I am not to breach any obligation of confidentiality that I have to former employers, and I agree that I shall fulfill all such obligations during my employment with the Company Group.</w:t>
      </w:r>
    </w:p>
    <w:p>
      <w:pPr>
        <w:spacing w:after="0" w:line="196" w:lineRule="exact"/>
        <w:rPr>
          <w:rFonts w:ascii="Arial" w:cs="Arial" w:eastAsia="Arial" w:hAnsi="Arial"/>
          <w:sz w:val="18"/>
          <w:szCs w:val="18"/>
          <w:color w:val="auto"/>
        </w:rPr>
      </w:pPr>
    </w:p>
    <w:p>
      <w:pPr>
        <w:ind w:left="420" w:right="100" w:hanging="319"/>
        <w:spacing w:after="0" w:line="277"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shall be effective as of the first day of my employment by the Company Group. I understand and agree that this Agreement is not a contract of employment.</w:t>
      </w:r>
    </w:p>
    <w:p>
      <w:pPr>
        <w:spacing w:after="0" w:line="170" w:lineRule="exact"/>
        <w:rPr>
          <w:rFonts w:ascii="Arial" w:cs="Arial" w:eastAsia="Arial" w:hAnsi="Arial"/>
          <w:sz w:val="18"/>
          <w:szCs w:val="18"/>
          <w:color w:val="auto"/>
        </w:rPr>
      </w:pPr>
    </w:p>
    <w:p>
      <w:pPr>
        <w:ind w:left="340" w:right="340" w:hanging="333"/>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shall be binding upon me, my heirs, executors, assigns, administrators, and other legal representatives and shall inure to the benefit of the Company, its successors and assigns.</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IN WITNESS WHEREOF, the Company has caused this Proprietary Information and Inventions Agreement to be executed by its duly authorized officer and Employee has executed the same as of the dates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5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EMPLOYEE</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c>
          <w:tcPr>
            <w:tcW w:w="54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Y.S. Babu</w:t>
            </w:r>
          </w:p>
        </w:tc>
      </w:tr>
      <w:tr>
        <w:trPr>
          <w:trHeight w:val="195"/>
        </w:trPr>
        <w:tc>
          <w:tcPr>
            <w:tcW w:w="58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c>
          <w:tcPr>
            <w:tcW w:w="540" w:type="dxa"/>
            <w:vAlign w:val="bottom"/>
          </w:tcPr>
          <w:p>
            <w:pPr>
              <w:spacing w:after="0"/>
              <w:rPr>
                <w:sz w:val="16"/>
                <w:szCs w:val="16"/>
                <w:color w:val="auto"/>
              </w:rPr>
            </w:pPr>
          </w:p>
        </w:tc>
        <w:tc>
          <w:tcPr>
            <w:tcW w:w="2820" w:type="dxa"/>
            <w:vAlign w:val="bottom"/>
          </w:tcPr>
          <w:p>
            <w:pPr>
              <w:ind w:left="20"/>
              <w:spacing w:after="0" w:line="195" w:lineRule="exact"/>
              <w:rPr>
                <w:sz w:val="20"/>
                <w:szCs w:val="20"/>
                <w:color w:val="auto"/>
              </w:rPr>
            </w:pPr>
            <w:r>
              <w:rPr>
                <w:rFonts w:ascii="Arial" w:cs="Arial" w:eastAsia="Arial" w:hAnsi="Arial"/>
                <w:sz w:val="18"/>
                <w:szCs w:val="18"/>
                <w:color w:val="auto"/>
              </w:rPr>
              <w:t>Y.S. Babu</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Date: August 4, 2021</w:t>
            </w:r>
          </w:p>
        </w:tc>
      </w:tr>
      <w:tr>
        <w:trPr>
          <w:trHeight w:val="20"/>
        </w:trPr>
        <w:tc>
          <w:tcPr>
            <w:tcW w:w="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Y.S. Babu, propose to bring to my BioCryst employment the following tangible materials and previously unpublished documents, which materials and documents may be used in my BioCryst employment:</w:t>
      </w:r>
    </w:p>
    <w:p>
      <w:pPr>
        <w:spacing w:after="0" w:line="386" w:lineRule="exact"/>
        <w:rPr>
          <w:sz w:val="20"/>
          <w:szCs w:val="20"/>
          <w:color w:val="auto"/>
        </w:rPr>
      </w:pPr>
    </w:p>
    <w:p>
      <w:pPr>
        <w:spacing w:after="0"/>
        <w:tabs>
          <w:tab w:leader="none" w:pos="2820" w:val="left"/>
          <w:tab w:leader="none" w:pos="5280" w:val="left"/>
        </w:tabs>
        <w:rPr>
          <w:sz w:val="20"/>
          <w:szCs w:val="20"/>
          <w:color w:val="auto"/>
        </w:rPr>
      </w:pPr>
      <w:r>
        <w:rPr>
          <w:rFonts w:ascii="Arial" w:cs="Arial" w:eastAsia="Arial" w:hAnsi="Arial"/>
          <w:sz w:val="18"/>
          <w:szCs w:val="18"/>
          <w:color w:val="auto"/>
        </w:rPr>
        <w:t>___ No materials</w:t>
      </w:r>
      <w:r>
        <w:rPr>
          <w:sz w:val="20"/>
          <w:szCs w:val="20"/>
          <w:color w:val="auto"/>
        </w:rPr>
        <w:tab/>
      </w:r>
      <w:r>
        <w:rPr>
          <w:rFonts w:ascii="Arial" w:cs="Arial" w:eastAsia="Arial" w:hAnsi="Arial"/>
          <w:sz w:val="18"/>
          <w:szCs w:val="18"/>
          <w:color w:val="auto"/>
        </w:rPr>
        <w:t>___ See below</w:t>
      </w:r>
      <w:r>
        <w:rPr>
          <w:sz w:val="20"/>
          <w:szCs w:val="20"/>
          <w:color w:val="auto"/>
        </w:rPr>
        <w:tab/>
      </w:r>
      <w:r>
        <w:rPr>
          <w:rFonts w:ascii="Arial" w:cs="Arial" w:eastAsia="Arial" w:hAnsi="Arial"/>
          <w:sz w:val="16"/>
          <w:szCs w:val="16"/>
          <w:color w:val="auto"/>
        </w:rPr>
        <w:t>___ Additional sheets attached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 below by a representative of my current or former employer confirms that my continued possession and use of these materials is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25"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773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Y.S. Babu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3797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Y.S. Babu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773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773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Non-Competition and Non-Solicitation Agreement (the “Agreement”) is made and entered into this 4th day of August, 2021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by and between Y.S. Babu (the “Employee”) and the member of the Company Group (as defined below) employing Employee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Employee are sometimes referred to in this Agreement individually as a “Party” and collectively as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a member of the Company Group which is comprised of BioCryst Pharmaceuticals, Inc. and its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continuing employment with the Company pursuant to an Amended and Restated Employment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between Employee and the Company (the “Employment Agreement”) and is simultaneously entering into an Employee’s Proprietary Information and Inventions Agreement (the “PIIA”) with a member of the Company Group;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consideration for Employee’s promises and obligations set forth herein, the Company is offering Employee severance pay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described in the Employment Agreement, including that portion of the severance pay set forth in Section 4(b)(ii) of the Employment Agreement to which Employee was not previously entitled.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obligations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the Parties acknowledge, the Company and Employee agree as follows:</w:t>
      </w:r>
    </w:p>
    <w:p>
      <w:pPr>
        <w:spacing w:after="0" w:line="162" w:lineRule="exact"/>
        <w:rPr>
          <w:sz w:val="20"/>
          <w:szCs w:val="20"/>
          <w:color w:val="auto"/>
        </w:rPr>
      </w:pPr>
    </w:p>
    <w:p>
      <w:pPr>
        <w:ind w:left="720" w:hanging="319"/>
        <w:spacing w:after="0" w:line="287"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BUSINESS AND PROTECTABLE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(i) by virtue of Employee’s position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w:t>
      </w:r>
    </w:p>
    <w:p>
      <w:pPr>
        <w:spacing w:after="0" w:line="2" w:lineRule="exact"/>
        <w:rPr>
          <w:rFonts w:ascii="Arial" w:cs="Arial" w:eastAsia="Arial" w:hAnsi="Arial"/>
          <w:sz w:val="16"/>
          <w:szCs w:val="16"/>
          <w:color w:val="auto"/>
        </w:rPr>
      </w:pPr>
    </w:p>
    <w:p>
      <w:pPr>
        <w:ind w:left="720" w:right="40" w:firstLine="5"/>
        <w:spacing w:after="0" w:line="281" w:lineRule="auto"/>
        <w:tabs>
          <w:tab w:leader="none" w:pos="1035" w:val="left"/>
        </w:tabs>
        <w:numPr>
          <w:ilvl w:val="1"/>
          <w:numId w:val="75"/>
        </w:numPr>
        <w:rPr>
          <w:rFonts w:ascii="Arial" w:cs="Arial" w:eastAsia="Arial" w:hAnsi="Arial"/>
          <w:sz w:val="16"/>
          <w:szCs w:val="16"/>
          <w:color w:val="auto"/>
        </w:rPr>
      </w:pPr>
      <w:r>
        <w:rPr>
          <w:rFonts w:ascii="Arial" w:cs="Arial" w:eastAsia="Arial" w:hAnsi="Arial"/>
          <w:sz w:val="16"/>
          <w:szCs w:val="16"/>
          <w:color w:val="auto"/>
        </w:rPr>
        <w:t>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and the specific location of a competing business is not necessarily relevant to the capacity of that business to compete with the Company Group; and</w:t>
      </w:r>
    </w:p>
    <w:p>
      <w:pPr>
        <w:spacing w:after="0" w:line="4" w:lineRule="exact"/>
        <w:rPr>
          <w:rFonts w:ascii="Arial" w:cs="Arial" w:eastAsia="Arial" w:hAnsi="Arial"/>
          <w:sz w:val="16"/>
          <w:szCs w:val="16"/>
          <w:color w:val="auto"/>
        </w:rPr>
      </w:pPr>
    </w:p>
    <w:p>
      <w:pPr>
        <w:ind w:left="720" w:right="120" w:firstLine="5"/>
        <w:spacing w:after="0" w:line="302" w:lineRule="auto"/>
        <w:tabs>
          <w:tab w:leader="none" w:pos="1025"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330200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COMPETITIVE BUSINESS ACTIVITIES.</w:t>
      </w:r>
    </w:p>
    <w:p>
      <w:pPr>
        <w:spacing w:after="0" w:line="229" w:lineRule="exact"/>
        <w:rPr>
          <w:rFonts w:ascii="Arial" w:cs="Arial" w:eastAsia="Arial" w:hAnsi="Arial"/>
          <w:sz w:val="18"/>
          <w:szCs w:val="18"/>
          <w:color w:val="auto"/>
        </w:rPr>
      </w:pPr>
    </w:p>
    <w:p>
      <w:pPr>
        <w:ind w:left="1860" w:right="300" w:hanging="333"/>
        <w:spacing w:after="0" w:line="286" w:lineRule="auto"/>
        <w:tabs>
          <w:tab w:leader="none" w:pos="18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spacing w:after="0" w:line="165" w:lineRule="exact"/>
        <w:rPr>
          <w:rFonts w:ascii="Arial" w:cs="Arial" w:eastAsia="Arial" w:hAnsi="Arial"/>
          <w:sz w:val="17"/>
          <w:szCs w:val="17"/>
          <w:color w:val="auto"/>
        </w:rPr>
      </w:pPr>
    </w:p>
    <w:p>
      <w:pPr>
        <w:ind w:left="2640" w:hanging="330"/>
        <w:spacing w:after="0" w:line="263" w:lineRule="auto"/>
        <w:tabs>
          <w:tab w:leader="none" w:pos="2640" w:val="left"/>
        </w:tabs>
        <w:numPr>
          <w:ilvl w:val="2"/>
          <w:numId w:val="77"/>
        </w:numPr>
        <w:rPr>
          <w:rFonts w:ascii="Arial" w:cs="Arial" w:eastAsia="Arial" w:hAnsi="Arial"/>
          <w:sz w:val="18"/>
          <w:szCs w:val="18"/>
          <w:color w:val="auto"/>
        </w:rPr>
      </w:pPr>
      <w:r>
        <w:rPr>
          <w:rFonts w:ascii="Arial" w:cs="Arial" w:eastAsia="Arial" w:hAnsi="Arial"/>
          <w:sz w:val="18"/>
          <w:szCs w:val="18"/>
          <w:color w:val="auto"/>
        </w:rPr>
        <w:t>on Employee’s own or another’s behalf, whether as an officer, director, manager, stockholder, partner, member, associate, owner, employee, consultant, or otherwise do any of the following or provide material assistance to any other party or entity to do so:</w:t>
      </w:r>
    </w:p>
    <w:p>
      <w:pPr>
        <w:spacing w:after="0" w:line="183" w:lineRule="exact"/>
        <w:rPr>
          <w:rFonts w:ascii="Arial" w:cs="Arial" w:eastAsia="Arial" w:hAnsi="Arial"/>
          <w:sz w:val="18"/>
          <w:szCs w:val="18"/>
          <w:color w:val="auto"/>
        </w:rPr>
      </w:pPr>
    </w:p>
    <w:p>
      <w:pPr>
        <w:jc w:val="both"/>
        <w:ind w:left="3300" w:right="140" w:hanging="315"/>
        <w:spacing w:after="0" w:line="286" w:lineRule="auto"/>
        <w:tabs>
          <w:tab w:leader="none" w:pos="3300" w:val="left"/>
        </w:tabs>
        <w:numPr>
          <w:ilvl w:val="3"/>
          <w:numId w:val="77"/>
        </w:numPr>
        <w:rPr>
          <w:rFonts w:ascii="Arial" w:cs="Arial" w:eastAsia="Arial" w:hAnsi="Arial"/>
          <w:sz w:val="17"/>
          <w:szCs w:val="17"/>
          <w:color w:val="auto"/>
        </w:rPr>
      </w:pPr>
      <w:r>
        <w:rPr>
          <w:rFonts w:ascii="Arial" w:cs="Arial" w:eastAsia="Arial" w:hAnsi="Arial"/>
          <w:sz w:val="17"/>
          <w:szCs w:val="17"/>
          <w:color w:val="auto"/>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3340" w:right="160" w:hanging="328"/>
        <w:spacing w:after="0" w:line="289" w:lineRule="auto"/>
        <w:tabs>
          <w:tab w:leader="none" w:pos="3340" w:val="left"/>
        </w:tabs>
        <w:numPr>
          <w:ilvl w:val="4"/>
          <w:numId w:val="77"/>
        </w:numPr>
        <w:rPr>
          <w:rFonts w:ascii="Arial" w:cs="Arial" w:eastAsia="Arial" w:hAnsi="Arial"/>
          <w:sz w:val="16"/>
          <w:szCs w:val="16"/>
          <w:color w:val="auto"/>
        </w:rPr>
      </w:pPr>
      <w:r>
        <w:rPr>
          <w:rFonts w:ascii="Arial" w:cs="Arial" w:eastAsia="Arial" w:hAnsi="Arial"/>
          <w:sz w:val="16"/>
          <w:szCs w:val="16"/>
          <w:color w:val="auto"/>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80" w:hanging="328"/>
        <w:spacing w:after="0" w:line="290" w:lineRule="auto"/>
        <w:tabs>
          <w:tab w:leader="none" w:pos="2780" w:val="left"/>
        </w:tabs>
        <w:numPr>
          <w:ilvl w:val="3"/>
          <w:numId w:val="78"/>
        </w:numPr>
        <w:rPr>
          <w:rFonts w:ascii="Arial" w:cs="Arial" w:eastAsia="Arial" w:hAnsi="Arial"/>
          <w:sz w:val="16"/>
          <w:szCs w:val="16"/>
          <w:color w:val="auto"/>
        </w:rPr>
      </w:pPr>
      <w:r>
        <w:rPr>
          <w:rFonts w:ascii="Arial" w:cs="Arial" w:eastAsia="Arial" w:hAnsi="Arial"/>
          <w:sz w:val="16"/>
          <w:szCs w:val="16"/>
          <w:color w:val="auto"/>
        </w:rPr>
        <w:t>offer employment to, hire or otherwise solicit for employment any employee or other person who had been employed or retained by the Company Group during the last year of Employee’s employment with the Company Group and with whom Employee 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spacing w:after="0" w:line="165" w:lineRule="exact"/>
        <w:rPr>
          <w:rFonts w:ascii="Arial" w:cs="Arial" w:eastAsia="Arial" w:hAnsi="Arial"/>
          <w:sz w:val="16"/>
          <w:szCs w:val="16"/>
          <w:color w:val="auto"/>
        </w:rPr>
      </w:pPr>
    </w:p>
    <w:p>
      <w:pPr>
        <w:ind w:left="2040" w:right="180" w:hanging="331"/>
        <w:spacing w:after="0" w:line="277" w:lineRule="auto"/>
        <w:tabs>
          <w:tab w:leader="none" w:pos="20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take any action, which is materially detrimental, or otherwise intended to be adverse to the Company Group’s goodwill, name, business relations, prospects and operations.</w:t>
      </w:r>
    </w:p>
    <w:p>
      <w:pPr>
        <w:spacing w:after="0" w:line="170" w:lineRule="exact"/>
        <w:rPr>
          <w:rFonts w:ascii="Arial" w:cs="Arial" w:eastAsia="Arial" w:hAnsi="Arial"/>
          <w:sz w:val="18"/>
          <w:szCs w:val="18"/>
          <w:color w:val="auto"/>
        </w:rPr>
      </w:pPr>
    </w:p>
    <w:p>
      <w:pPr>
        <w:ind w:left="1300" w:hanging="333"/>
        <w:spacing w:after="0"/>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restrictions set forth in Section 2(a)(i) apply to the following separate and distinct geographical areas: (i) the world;</w:t>
      </w:r>
    </w:p>
    <w:p>
      <w:pPr>
        <w:spacing w:after="0" w:line="46" w:lineRule="exact"/>
        <w:rPr>
          <w:rFonts w:ascii="Arial" w:cs="Arial" w:eastAsia="Arial" w:hAnsi="Arial"/>
          <w:sz w:val="16"/>
          <w:szCs w:val="16"/>
          <w:color w:val="auto"/>
        </w:rPr>
      </w:pPr>
    </w:p>
    <w:p>
      <w:pPr>
        <w:ind w:left="1300" w:hanging="9"/>
        <w:spacing w:after="0" w:line="269" w:lineRule="auto"/>
        <w:tabs>
          <w:tab w:leader="none" w:pos="1565"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North America (iii) Europe; (iv) the United States; (v) the United Kingdom; (vi) Japan; (vii) the State of North Carolina; (viii) the State of Alabama; (ix) within a 60-mile radius of any location of the Company Group in which Employee had an office or performed material services during Employee’s employment with the Company Group; (x) any city, metropolitan area, county, state or country in which Employee’s substantial services were provided, or for which Employee had substantial responsibility, or in which Employee worked on Company Group projects, while employed by the Company Group; (xi) any city, metropolitan area, county, state or country in which the Company Group is located or does or, during Employee’s employment with the Company Group, did business.</w:t>
      </w:r>
    </w:p>
    <w:p>
      <w:pPr>
        <w:spacing w:after="0" w:line="180" w:lineRule="exact"/>
        <w:rPr>
          <w:rFonts w:ascii="Arial" w:cs="Arial" w:eastAsia="Arial" w:hAnsi="Arial"/>
          <w:sz w:val="17"/>
          <w:szCs w:val="17"/>
          <w:color w:val="auto"/>
        </w:rPr>
      </w:pPr>
    </w:p>
    <w:p>
      <w:pPr>
        <w:jc w:val="both"/>
        <w:ind w:left="1300" w:right="60" w:hanging="333"/>
        <w:spacing w:after="0" w:line="26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restrictions set forth in Section 2(a)(i) apply only to prohibit Employee from engaging in activities that are materially similar to the activities in which Employee engaged on behalf of the Company Group or with respect to which Employee would reasonably be expected to use Confidential Information.</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60" w:right="100" w:hanging="333"/>
        <w:spacing w:after="0" w:line="263" w:lineRule="auto"/>
        <w:tabs>
          <w:tab w:leader="none" w:pos="2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 2(a).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one-year post-employment competitive business restrictions set forth above.</w:t>
      </w:r>
    </w:p>
    <w:p>
      <w:pPr>
        <w:spacing w:after="0" w:line="183" w:lineRule="exact"/>
        <w:rPr>
          <w:sz w:val="20"/>
          <w:szCs w:val="20"/>
          <w:color w:val="auto"/>
        </w:rPr>
      </w:pPr>
    </w:p>
    <w:p>
      <w:pPr>
        <w:ind w:left="720" w:right="60" w:hanging="319"/>
        <w:spacing w:after="0" w:line="298"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Employee’s failure to abide by this Agreement would cause irreparable harm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which legal remedies would be inadequate. Therefore, in addition to any legal or other relief to which the Company Group may be entitled by virtue of Employee’s failure to abide by these 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spacing w:after="0" w:line="153" w:lineRule="exact"/>
        <w:rPr>
          <w:rFonts w:ascii="Arial" w:cs="Arial" w:eastAsia="Arial" w:hAnsi="Arial"/>
          <w:sz w:val="16"/>
          <w:szCs w:val="16"/>
          <w:color w:val="auto"/>
        </w:rPr>
      </w:pPr>
    </w:p>
    <w:p>
      <w:pPr>
        <w:ind w:left="720" w:right="240" w:hanging="319"/>
        <w:spacing w:after="0" w:line="282"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during which Employee must refrain from the activities set forth in Section 2(a) shall be tolled during any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Employee fails to abide by such provisions.</w:t>
      </w:r>
    </w:p>
    <w:p>
      <w:pPr>
        <w:spacing w:after="0" w:line="161" w:lineRule="exact"/>
        <w:rPr>
          <w:rFonts w:ascii="Arial" w:cs="Arial" w:eastAsia="Arial" w:hAnsi="Arial"/>
          <w:sz w:val="18"/>
          <w:szCs w:val="18"/>
          <w:color w:val="auto"/>
        </w:rPr>
      </w:pPr>
    </w:p>
    <w:p>
      <w:pPr>
        <w:ind w:left="720" w:right="340" w:hanging="319"/>
        <w:spacing w:after="0" w:line="314"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VIOLATION BY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Employee alleges and proves a violation by the Company Group of any obligation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Group to Employee by agreement or operation of law, such violation shall not excuse Employee from Employee’s obligations pursuant to this Agreement, but rather Employee shall be entitled to remedies available for the specific violation alleged and proven.</w:t>
      </w:r>
    </w:p>
    <w:p>
      <w:pPr>
        <w:spacing w:after="0" w:line="141" w:lineRule="exact"/>
        <w:rPr>
          <w:rFonts w:ascii="Arial" w:cs="Arial" w:eastAsia="Arial" w:hAnsi="Arial"/>
          <w:sz w:val="16"/>
          <w:szCs w:val="16"/>
          <w:color w:val="auto"/>
        </w:rPr>
      </w:pPr>
    </w:p>
    <w:p>
      <w:pPr>
        <w:ind w:left="720" w:right="100" w:hanging="319"/>
        <w:spacing w:after="0" w:line="282"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terminate, revoke, or diminish Employee’s obligations or the Company Group’s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under law or pursuant to the PIIA, relating to trade secrets or proprietary information.</w:t>
      </w:r>
    </w:p>
    <w:p>
      <w:pPr>
        <w:spacing w:after="0" w:line="161" w:lineRule="exact"/>
        <w:rPr>
          <w:rFonts w:ascii="Arial" w:cs="Arial" w:eastAsia="Arial" w:hAnsi="Arial"/>
          <w:sz w:val="18"/>
          <w:szCs w:val="18"/>
          <w:color w:val="auto"/>
        </w:rPr>
      </w:pPr>
    </w:p>
    <w:p>
      <w:pPr>
        <w:ind w:left="720" w:right="140" w:hanging="319"/>
        <w:spacing w:after="0" w:line="303"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PIIA, and the Employment Agreement together constitute the exclusive and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Parties with respect to this subject matter with respect to severance as a result of change in control and supersedes any other right of the Employee to severance under any plan, arrangement or agreement of the Company. No change or modification of this Agreement shall be valid or binding upon the Parties unless such change or modification is in writing and is signed by the Parties.</w:t>
      </w:r>
    </w:p>
    <w:p>
      <w:pPr>
        <w:spacing w:after="0" w:line="15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right="740" w:hanging="319"/>
        <w:spacing w:after="0" w:line="282"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Employee’s waiver of any breach of a provision of this Agreement shall not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the other Party.</w:t>
      </w:r>
    </w:p>
    <w:p>
      <w:pPr>
        <w:spacing w:after="0" w:line="161" w:lineRule="exact"/>
        <w:rPr>
          <w:rFonts w:ascii="Arial" w:cs="Arial" w:eastAsia="Arial" w:hAnsi="Arial"/>
          <w:sz w:val="18"/>
          <w:szCs w:val="18"/>
          <w:color w:val="auto"/>
        </w:rPr>
      </w:pPr>
    </w:p>
    <w:p>
      <w:pPr>
        <w:ind w:left="420" w:hanging="319"/>
        <w:spacing w:after="0" w:line="281" w:lineRule="auto"/>
        <w:tabs>
          <w:tab w:leader="none" w:pos="420" w:val="left"/>
        </w:tabs>
        <w:numPr>
          <w:ilvl w:val="0"/>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 court of competent jurisdiction holds that any provision or sub-part thereof contained in this Agreement is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“blue-penciled” or rewritten by the court to the extent necessary to render it enforceable.</w:t>
      </w:r>
    </w:p>
    <w:p>
      <w:pPr>
        <w:spacing w:after="0" w:line="164" w:lineRule="exact"/>
        <w:rPr>
          <w:rFonts w:ascii="Arial" w:cs="Arial" w:eastAsia="Arial" w:hAnsi="Arial"/>
          <w:sz w:val="17"/>
          <w:szCs w:val="17"/>
          <w:color w:val="auto"/>
        </w:rPr>
      </w:pPr>
    </w:p>
    <w:p>
      <w:pPr>
        <w:ind w:left="340" w:hanging="333"/>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THIRD-PARTY BENEFICIARIES; SUCCESSORS AND ASSIGNS.</w:t>
      </w:r>
    </w:p>
    <w:p>
      <w:pPr>
        <w:spacing w:after="0" w:line="229" w:lineRule="exact"/>
        <w:rPr>
          <w:rFonts w:ascii="Arial" w:cs="Arial" w:eastAsia="Arial" w:hAnsi="Arial"/>
          <w:sz w:val="18"/>
          <w:szCs w:val="18"/>
          <w:color w:val="auto"/>
        </w:rPr>
      </w:pPr>
    </w:p>
    <w:p>
      <w:pPr>
        <w:ind w:left="1080" w:right="20" w:hanging="317"/>
        <w:spacing w:after="0" w:line="277" w:lineRule="auto"/>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Parties agree that members of the Company Group are intended third-party beneficiaries of this Agreement with rights to enforce the terms of this Agreement to the maximum extent allowed by law.</w:t>
      </w:r>
    </w:p>
    <w:p>
      <w:pPr>
        <w:spacing w:after="0" w:line="170" w:lineRule="exact"/>
        <w:rPr>
          <w:rFonts w:ascii="Arial" w:cs="Arial" w:eastAsia="Arial" w:hAnsi="Arial"/>
          <w:sz w:val="18"/>
          <w:szCs w:val="18"/>
          <w:color w:val="auto"/>
        </w:rPr>
      </w:pPr>
    </w:p>
    <w:p>
      <w:pPr>
        <w:ind w:left="1080" w:right="20" w:hanging="331"/>
        <w:spacing w:after="0" w:line="289" w:lineRule="auto"/>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Parties agree that this Agreement is binding upon and shall inure to the benefit of the Company, its successors and assigns. The Company shall be entitled to freely assign, in whole or in part, this Agreement and/or any right hereunder to any member of the Company Group, or to any successor of all or substantially all of the business or assets of the Company or any member of the Company Group (and any such assignee shall be entitled to freely further so assign, in one or multiple instances). The assignee shall assume the Company’s obligations attendant to the rights being assigned. In the event this Agreement is assigned to any member of the Company Group, or in the event a successor-in-interest to either the Company or any member of the Company Group becomes Employee’s employer under this Agreement, then the following shall apply from and after the effective date of the assignment or transfer of rights to the successor-in-interest, as the case may be: all references in this Agreement to the Company shall be deemed to mean the assignee or successor-in-interest, as the case may be, without any need for an amendment to accomplish such substitution.</w:t>
      </w:r>
    </w:p>
    <w:p>
      <w:pPr>
        <w:spacing w:after="0" w:line="166" w:lineRule="exact"/>
        <w:rPr>
          <w:rFonts w:ascii="Arial" w:cs="Arial" w:eastAsia="Arial" w:hAnsi="Arial"/>
          <w:sz w:val="16"/>
          <w:szCs w:val="16"/>
          <w:color w:val="auto"/>
        </w:rPr>
      </w:pPr>
    </w:p>
    <w:p>
      <w:pPr>
        <w:ind w:left="1080" w:right="200" w:hanging="317"/>
        <w:spacing w:after="0" w:line="275" w:lineRule="auto"/>
        <w:tabs>
          <w:tab w:leader="none" w:pos="10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Employee irrevocably consents to any such assignment and the substitution of the assignee for the Company as to rights that are assigned, and Employee also irrevocably consents to the discharge of the Company as to any obligations or liabilities under or by reason of this Agreement arising on or after the date of the assignment. In the event of any assignment from the Company to a member of the Company Group, the Company shall be an intended third-party beneficiary of this Agreement with rights to enforce the terms of this Agreement to the maximum extent allowed by law.</w:t>
      </w:r>
    </w:p>
    <w:p>
      <w:pPr>
        <w:spacing w:after="0" w:line="1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780" w:top="1440" w:right="39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40" w:hanging="333"/>
        <w:spacing w:after="0" w:line="266"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PARTIES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provisions, covenants and agreements contained in this Agreement shall apply to, be binding upon and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Company’s successors and assigns, and Employee’s heirs, executors, administrators, and other legal representatives. Employee may not assign this Agreement.</w:t>
      </w:r>
    </w:p>
    <w:p>
      <w:pPr>
        <w:spacing w:after="0" w:line="175" w:lineRule="exact"/>
        <w:rPr>
          <w:rFonts w:ascii="Arial" w:cs="Arial" w:eastAsia="Arial" w:hAnsi="Arial"/>
          <w:sz w:val="18"/>
          <w:szCs w:val="18"/>
          <w:color w:val="auto"/>
        </w:rPr>
      </w:pPr>
    </w:p>
    <w:p>
      <w:pPr>
        <w:ind w:left="340" w:right="20" w:hanging="333"/>
        <w:spacing w:after="0" w:line="273"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employment relationship created by it shall be interpreted and construed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of the State of North Carolina, including its statutes of limitations, without giving effect to any conflict-of-laws rule that would result in the application of the laws of a different jurisdiction. The Parties consent to exclusive jurisdiction in North Carolina for the purpose of any litigation relating to this Agreement and agree that any litigation by or involving them relating to this Agreement shall be conducted in the state courts of North Carolina or the appropriate federal district court located in North Carolina. Employee consents to the exercise of personal jurisdiction in any state or federal court located in North Carolina and waives any objection based upon personal jurisdiction or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with respect to any action commenced in such courts.</w:t>
      </w:r>
    </w:p>
    <w:p>
      <w:pPr>
        <w:spacing w:after="0" w:line="171" w:lineRule="exact"/>
        <w:rPr>
          <w:rFonts w:ascii="Arial" w:cs="Arial" w:eastAsia="Arial" w:hAnsi="Arial"/>
          <w:sz w:val="17"/>
          <w:szCs w:val="17"/>
          <w:color w:val="auto"/>
        </w:rPr>
      </w:pPr>
    </w:p>
    <w:p>
      <w:pPr>
        <w:ind w:left="340" w:right="180" w:hanging="333"/>
        <w:spacing w:after="0" w:line="261"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affixed thereto were upon the same instrument. Any such counterpart, to the extent delivered by .pdf or similar attachment to electronic mail shall be treated in all manner and respects as an original executed counterpart and shall be considered to have the same binding legal effect as if it were the original signed version thereof delivered in person.</w:t>
      </w:r>
    </w:p>
    <w:p>
      <w:pPr>
        <w:spacing w:after="0" w:line="179" w:lineRule="exact"/>
        <w:rPr>
          <w:rFonts w:ascii="Arial" w:cs="Arial" w:eastAsia="Arial" w:hAnsi="Arial"/>
          <w:sz w:val="18"/>
          <w:szCs w:val="18"/>
          <w:color w:val="auto"/>
        </w:rPr>
      </w:pPr>
    </w:p>
    <w:p>
      <w:pPr>
        <w:ind w:left="340" w:right="560" w:hanging="333"/>
        <w:spacing w:after="0" w:line="282"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and agrees that this Agreement is not a contract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term and that employment by the Company is, for all purposes, “at will.”</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WITNESS WHEREOF, the Parties have entered into this Non-Competition and Non-Solicitation Agreement as of the day and year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5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EMPLOYEE</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c>
          <w:tcPr>
            <w:tcW w:w="54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Y.S. Babu</w:t>
            </w:r>
          </w:p>
        </w:tc>
      </w:tr>
      <w:tr>
        <w:trPr>
          <w:trHeight w:val="195"/>
        </w:trPr>
        <w:tc>
          <w:tcPr>
            <w:tcW w:w="58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c>
          <w:tcPr>
            <w:tcW w:w="540" w:type="dxa"/>
            <w:vAlign w:val="bottom"/>
          </w:tcPr>
          <w:p>
            <w:pPr>
              <w:spacing w:after="0"/>
              <w:rPr>
                <w:sz w:val="16"/>
                <w:szCs w:val="16"/>
                <w:color w:val="auto"/>
              </w:rPr>
            </w:pPr>
          </w:p>
        </w:tc>
        <w:tc>
          <w:tcPr>
            <w:tcW w:w="2820" w:type="dxa"/>
            <w:vAlign w:val="bottom"/>
          </w:tcPr>
          <w:p>
            <w:pPr>
              <w:ind w:left="20"/>
              <w:spacing w:after="0" w:line="195" w:lineRule="exact"/>
              <w:rPr>
                <w:sz w:val="20"/>
                <w:szCs w:val="20"/>
                <w:color w:val="auto"/>
              </w:rPr>
            </w:pPr>
            <w:r>
              <w:rPr>
                <w:rFonts w:ascii="Arial" w:cs="Arial" w:eastAsia="Arial" w:hAnsi="Arial"/>
                <w:sz w:val="18"/>
                <w:szCs w:val="18"/>
                <w:color w:val="auto"/>
              </w:rPr>
              <w:t>Y.S. Babu</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Date: August 4, 2021</w:t>
            </w:r>
          </w:p>
        </w:tc>
      </w:tr>
      <w:tr>
        <w:trPr>
          <w:trHeight w:val="20"/>
        </w:trPr>
        <w:tc>
          <w:tcPr>
            <w:tcW w:w="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154305</wp:posOffset>
            </wp:positionV>
            <wp:extent cx="5846445" cy="129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Mrs. Alane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abarnes@biocryst.com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Barnes:</w:t>
      </w:r>
    </w:p>
    <w:p>
      <w:pPr>
        <w:spacing w:after="0" w:line="22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As part of our review of the terms of our employment agreements with our executives and our intentions to align the terms of such agreements so that they are generally consistent with one another, this letter agreement (the “Agreement”) amends and restates the employment letter agreement, dated August 2, 2013, as amended November 18, 2013, previously entered into between you and us. You are currently employed by BioCryst Pharmaceuticals, Inc., a Delaware corporation (the “Company”), as Chief Legal Officer, reporting directly to the President and Chief Executive Officer. This Agreement will serve to confirm our agreement with respect to the terms and conditions of your continued employment.</w:t>
      </w:r>
    </w:p>
    <w:p>
      <w:pPr>
        <w:spacing w:after="0" w:line="172" w:lineRule="exact"/>
        <w:rPr>
          <w:sz w:val="20"/>
          <w:szCs w:val="20"/>
          <w:color w:val="auto"/>
        </w:rPr>
      </w:pPr>
    </w:p>
    <w:p>
      <w:pPr>
        <w:ind w:left="720" w:hanging="319"/>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Term of Employment.</w:t>
      </w:r>
    </w:p>
    <w:p>
      <w:pPr>
        <w:spacing w:after="0" w:line="229" w:lineRule="exact"/>
        <w:rPr>
          <w:rFonts w:ascii="Arial" w:cs="Arial" w:eastAsia="Arial" w:hAnsi="Arial"/>
          <w:sz w:val="18"/>
          <w:szCs w:val="18"/>
          <w:color w:val="auto"/>
        </w:rPr>
      </w:pPr>
    </w:p>
    <w:p>
      <w:pPr>
        <w:ind w:left="840" w:right="320" w:hanging="317"/>
        <w:spacing w:after="0" w:line="272" w:lineRule="auto"/>
        <w:tabs>
          <w:tab w:leader="none" w:pos="8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Company hereby employs Alane Barnes (“Employee”) as Chief Legal Officer. Employee shall maintain employment at the Company’s offices in Durham, North Carolina.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spacing w:after="0" w:line="177" w:lineRule="exact"/>
        <w:rPr>
          <w:rFonts w:ascii="Arial" w:cs="Arial" w:eastAsia="Arial" w:hAnsi="Arial"/>
          <w:sz w:val="17"/>
          <w:szCs w:val="17"/>
          <w:color w:val="auto"/>
        </w:rPr>
      </w:pPr>
    </w:p>
    <w:p>
      <w:pPr>
        <w:ind w:left="840" w:right="440" w:hanging="331"/>
        <w:spacing w:after="0" w:line="277" w:lineRule="auto"/>
        <w:tabs>
          <w:tab w:leader="none" w:pos="8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term of employment of Employee under this Agreement shall begin on the date first set forth above (the “Effective Date”) and shall continue until Employee is terminated in accordance with Section 4 of this Agreement.</w:t>
      </w:r>
    </w:p>
    <w:p>
      <w:pPr>
        <w:spacing w:after="0" w:line="166" w:lineRule="exact"/>
        <w:rPr>
          <w:rFonts w:ascii="Arial" w:cs="Arial" w:eastAsia="Arial" w:hAnsi="Arial"/>
          <w:sz w:val="18"/>
          <w:szCs w:val="18"/>
          <w:color w:val="auto"/>
        </w:rPr>
      </w:pPr>
    </w:p>
    <w:p>
      <w:pPr>
        <w:ind w:left="720" w:hanging="319"/>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Basic Full-Time Compensation and Benefits.</w:t>
      </w:r>
    </w:p>
    <w:p>
      <w:pPr>
        <w:spacing w:after="0" w:line="229" w:lineRule="exact"/>
        <w:rPr>
          <w:rFonts w:ascii="Arial" w:cs="Arial" w:eastAsia="Arial" w:hAnsi="Arial"/>
          <w:sz w:val="18"/>
          <w:szCs w:val="18"/>
          <w:color w:val="auto"/>
        </w:rPr>
      </w:pPr>
    </w:p>
    <w:p>
      <w:pPr>
        <w:ind w:left="840" w:right="40" w:hanging="317"/>
        <w:spacing w:after="0" w:line="259" w:lineRule="auto"/>
        <w:tabs>
          <w:tab w:leader="none" w:pos="8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basic compensation for services rendered under this Agreement, Employee shall be entitled to receive from the Company a salary equal to no less than Employee’s current base salary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350520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right="160" w:hanging="331"/>
        <w:spacing w:after="0" w:line="270" w:lineRule="auto"/>
        <w:tabs>
          <w:tab w:leader="none" w:pos="4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forty percent (40%)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by the Company at the time Incentive Compensation payments are paid in order to receive the Incentive Compensation payment for each fiscal year.</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jc w:val="both"/>
        <w:ind w:left="440" w:right="80" w:hanging="317"/>
        <w:spacing w:after="0" w:line="263" w:lineRule="auto"/>
        <w:tabs>
          <w:tab w:leader="none" w:pos="4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Employee shall be entitled to receive such other benefits and perquisites provided to similarly situated executives of the Company, subject to modification or termination at any time, which benefits may include, without limitation, reasonable paid time off, medical, dental, and vision benefits, life insurance, and participation in profit sharing or retirement plans.</w:t>
      </w:r>
    </w:p>
    <w:p>
      <w:pPr>
        <w:spacing w:after="0" w:line="179" w:lineRule="exact"/>
        <w:rPr>
          <w:rFonts w:ascii="Arial" w:cs="Arial" w:eastAsia="Arial" w:hAnsi="Arial"/>
          <w:sz w:val="18"/>
          <w:szCs w:val="18"/>
          <w:color w:val="auto"/>
        </w:rPr>
      </w:pPr>
    </w:p>
    <w:p>
      <w:pPr>
        <w:ind w:left="320" w:hanging="319"/>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Performance-Based Equity Awards.</w:t>
      </w:r>
    </w:p>
    <w:p>
      <w:pPr>
        <w:spacing w:after="0" w:line="229"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spacing w:after="0" w:line="183" w:lineRule="exact"/>
        <w:rPr>
          <w:sz w:val="20"/>
          <w:szCs w:val="20"/>
          <w:color w:val="auto"/>
        </w:rPr>
      </w:pPr>
    </w:p>
    <w:p>
      <w:pPr>
        <w:ind w:left="320" w:hanging="319"/>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color w:val="auto"/>
        </w:rPr>
      </w:pPr>
    </w:p>
    <w:p>
      <w:pPr>
        <w:ind w:left="440" w:right="20" w:hanging="317"/>
        <w:spacing w:after="0" w:line="269" w:lineRule="auto"/>
        <w:tabs>
          <w:tab w:leader="none" w:pos="4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spacing w:after="0" w:line="18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31"/>
        <w:spacing w:after="0" w:line="254" w:lineRule="auto"/>
        <w:rPr>
          <w:sz w:val="20"/>
          <w:szCs w:val="20"/>
          <w:color w:val="auto"/>
        </w:rPr>
      </w:pPr>
      <w:r>
        <w:rPr>
          <w:rFonts w:ascii="Arial" w:cs="Arial" w:eastAsia="Arial" w:hAnsi="Arial"/>
          <w:sz w:val="18"/>
          <w:szCs w:val="18"/>
          <w:color w:val="auto"/>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spacing w:after="0" w:line="192" w:lineRule="exact"/>
        <w:rPr>
          <w:sz w:val="20"/>
          <w:szCs w:val="20"/>
          <w:color w:val="auto"/>
        </w:rPr>
      </w:pPr>
    </w:p>
    <w:p>
      <w:pPr>
        <w:jc w:val="both"/>
        <w:ind w:left="131"/>
        <w:spacing w:after="0" w:line="308" w:lineRule="auto"/>
        <w:rPr>
          <w:sz w:val="20"/>
          <w:szCs w:val="20"/>
          <w:color w:val="auto"/>
        </w:rPr>
      </w:pPr>
      <w:r>
        <w:rPr>
          <w:rFonts w:ascii="Arial" w:cs="Arial" w:eastAsia="Arial" w:hAnsi="Arial"/>
          <w:sz w:val="17"/>
          <w:szCs w:val="17"/>
          <w:color w:val="auto"/>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spacing w:after="0" w:line="146" w:lineRule="exact"/>
        <w:rPr>
          <w:sz w:val="20"/>
          <w:szCs w:val="20"/>
          <w:color w:val="auto"/>
        </w:rPr>
      </w:pPr>
    </w:p>
    <w:p>
      <w:pPr>
        <w:ind w:left="331" w:hanging="331"/>
        <w:spacing w:after="0" w:line="287" w:lineRule="auto"/>
        <w:tabs>
          <w:tab w:leader="none" w:pos="3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spacing w:after="0" w:line="172"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71"/>
          </w:cols>
          <w:pgMar w:left="989"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1120" w:top="144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hanging="317"/>
        <w:spacing w:after="0" w:line="272" w:lineRule="auto"/>
        <w:tabs>
          <w:tab w:leader="none" w:pos="4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spacing w:after="0" w:line="173" w:lineRule="exact"/>
        <w:rPr>
          <w:rFonts w:ascii="Arial" w:cs="Arial" w:eastAsia="Arial" w:hAnsi="Arial"/>
          <w:sz w:val="17"/>
          <w:szCs w:val="17"/>
          <w:color w:val="auto"/>
        </w:rPr>
      </w:pPr>
    </w:p>
    <w:p>
      <w:pPr>
        <w:ind w:left="320" w:hanging="319"/>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Non-Competition; Proprietary Information and Inventions.</w:t>
      </w:r>
    </w:p>
    <w:p>
      <w:pPr>
        <w:spacing w:after="0" w:line="229" w:lineRule="exact"/>
        <w:rPr>
          <w:rFonts w:ascii="Arial" w:cs="Arial" w:eastAsia="Arial" w:hAnsi="Arial"/>
          <w:sz w:val="18"/>
          <w:szCs w:val="18"/>
          <w:color w:val="auto"/>
        </w:rPr>
      </w:pPr>
    </w:p>
    <w:p>
      <w:pPr>
        <w:ind w:left="440" w:right="180" w:hanging="317"/>
        <w:spacing w:after="0" w:line="259" w:lineRule="auto"/>
        <w:tabs>
          <w:tab w:leader="none" w:pos="44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Proprietary Information and Inventions Agreement; Non-Competition and Non-Solicitation Agreement</w:t>
      </w:r>
      <w:r>
        <w:rPr>
          <w:rFonts w:ascii="Arial" w:cs="Arial" w:eastAsia="Arial" w:hAnsi="Arial"/>
          <w:sz w:val="18"/>
          <w:szCs w:val="18"/>
          <w:color w:val="auto"/>
        </w:rPr>
        <w:t>. As a condition precedent to the employment of Employee by the Company pursuant to the terms of this Agreement, Employee shall execute (i) the Company’s Proprietary Information and Inventions Agreement, attached hereto as Exhibit A, and (ii) the Company’s Non-Competition and Non-Solicitation Agreement, attached hereto as Exhibit B.</w:t>
      </w:r>
    </w:p>
    <w:p>
      <w:pPr>
        <w:spacing w:after="0" w:line="186" w:lineRule="exact"/>
        <w:rPr>
          <w:rFonts w:ascii="Arial" w:cs="Arial" w:eastAsia="Arial" w:hAnsi="Arial"/>
          <w:sz w:val="18"/>
          <w:szCs w:val="18"/>
          <w:color w:val="auto"/>
        </w:rPr>
      </w:pPr>
    </w:p>
    <w:p>
      <w:pPr>
        <w:ind w:left="440" w:hanging="331"/>
        <w:spacing w:after="0" w:line="272" w:lineRule="auto"/>
        <w:tabs>
          <w:tab w:leader="none" w:pos="440"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Equitable Remedies</w:t>
      </w:r>
      <w:r>
        <w:rPr>
          <w:rFonts w:ascii="Arial" w:cs="Arial" w:eastAsia="Arial" w:hAnsi="Arial"/>
          <w:sz w:val="17"/>
          <w:szCs w:val="17"/>
          <w:color w:val="auto"/>
        </w:rPr>
        <w:t>.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spacing w:after="0" w:line="1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440" w:right="120" w:hanging="317"/>
        <w:spacing w:after="0" w:line="293" w:lineRule="auto"/>
        <w:tabs>
          <w:tab w:leader="none" w:pos="44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including without limitation, the employment letter agreement, dated August 2, 2013, as amended November 18, 2013, previously entered into between Employee and the Company.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spacing w:after="0" w:line="164" w:lineRule="exact"/>
        <w:rPr>
          <w:rFonts w:ascii="Arial" w:cs="Arial" w:eastAsia="Arial" w:hAnsi="Arial"/>
          <w:sz w:val="16"/>
          <w:szCs w:val="16"/>
          <w:color w:val="auto"/>
        </w:rPr>
      </w:pPr>
    </w:p>
    <w:p>
      <w:pPr>
        <w:ind w:left="440" w:right="40" w:hanging="331"/>
        <w:spacing w:after="0" w:line="259" w:lineRule="auto"/>
        <w:tabs>
          <w:tab w:leader="none" w:pos="44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spacing w:after="0" w:line="186" w:lineRule="exact"/>
        <w:rPr>
          <w:rFonts w:ascii="Arial" w:cs="Arial" w:eastAsia="Arial" w:hAnsi="Arial"/>
          <w:sz w:val="18"/>
          <w:szCs w:val="18"/>
          <w:color w:val="auto"/>
        </w:rPr>
      </w:pPr>
    </w:p>
    <w:p>
      <w:pPr>
        <w:ind w:left="440" w:right="160" w:hanging="317"/>
        <w:spacing w:after="0" w:line="308" w:lineRule="auto"/>
        <w:tabs>
          <w:tab w:leader="none" w:pos="440"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other communication given or rendered hereunder by any party hereto shall be in writing and delivered personally or sent by registered or certified mail, postage prepaid, at the respective addresses of the parties hereto as set forth below.</w:t>
      </w:r>
    </w:p>
    <w:p>
      <w:pPr>
        <w:spacing w:after="0" w:line="146" w:lineRule="exact"/>
        <w:rPr>
          <w:rFonts w:ascii="Arial" w:cs="Arial" w:eastAsia="Arial" w:hAnsi="Arial"/>
          <w:sz w:val="17"/>
          <w:szCs w:val="17"/>
          <w:color w:val="auto"/>
        </w:rPr>
      </w:pPr>
    </w:p>
    <w:p>
      <w:pPr>
        <w:ind w:left="440" w:right="360" w:hanging="331"/>
        <w:spacing w:after="0" w:line="277" w:lineRule="auto"/>
        <w:tabs>
          <w:tab w:leader="none" w:pos="44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section headings contained herein are inserted only as a matter of convenience and reference and in no way define, limit or describe the scope of this Agreement or the intent of any provision hereof.</w:t>
      </w:r>
    </w:p>
    <w:p>
      <w:pPr>
        <w:spacing w:after="0" w:line="170" w:lineRule="exact"/>
        <w:rPr>
          <w:rFonts w:ascii="Arial" w:cs="Arial" w:eastAsia="Arial" w:hAnsi="Arial"/>
          <w:sz w:val="18"/>
          <w:szCs w:val="18"/>
          <w:color w:val="auto"/>
        </w:rPr>
      </w:pPr>
    </w:p>
    <w:p>
      <w:pPr>
        <w:ind w:left="440" w:right="240" w:hanging="317"/>
        <w:spacing w:after="0" w:line="342" w:lineRule="auto"/>
        <w:tabs>
          <w:tab w:leader="none" w:pos="44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amounts to be paid to Employee hereunder are in the nature of compensation for Employee’s employment by the Company, and shall be subject to withholding, income, occupation and payroll taxes and other charges applicable to such compensation.</w:t>
      </w:r>
    </w:p>
    <w:p>
      <w:pPr>
        <w:spacing w:after="0" w:line="123" w:lineRule="exact"/>
        <w:rPr>
          <w:rFonts w:ascii="Arial" w:cs="Arial" w:eastAsia="Arial" w:hAnsi="Arial"/>
          <w:sz w:val="16"/>
          <w:szCs w:val="16"/>
          <w:color w:val="auto"/>
        </w:rPr>
      </w:pPr>
    </w:p>
    <w:p>
      <w:pPr>
        <w:ind w:left="480" w:right="40" w:hanging="330"/>
        <w:spacing w:after="0" w:line="284" w:lineRule="auto"/>
        <w:tabs>
          <w:tab w:leader="none" w:pos="48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w:t>
      </w:r>
    </w:p>
    <w:p>
      <w:pPr>
        <w:spacing w:after="0" w:line="2" w:lineRule="exact"/>
        <w:rPr>
          <w:rFonts w:ascii="Arial" w:cs="Arial" w:eastAsia="Arial" w:hAnsi="Arial"/>
          <w:sz w:val="16"/>
          <w:szCs w:val="16"/>
          <w:color w:val="auto"/>
        </w:rPr>
      </w:pPr>
    </w:p>
    <w:p>
      <w:pPr>
        <w:ind w:left="480"/>
        <w:spacing w:after="0" w:line="281" w:lineRule="auto"/>
        <w:rPr>
          <w:rFonts w:ascii="Arial" w:cs="Arial" w:eastAsia="Arial" w:hAnsi="Arial"/>
          <w:sz w:val="16"/>
          <w:szCs w:val="16"/>
          <w:color w:val="auto"/>
        </w:rPr>
      </w:pPr>
      <w:r>
        <w:rPr>
          <w:rFonts w:ascii="Arial" w:cs="Arial" w:eastAsia="Arial" w:hAnsi="Arial"/>
          <w:sz w:val="16"/>
          <w:szCs w:val="16"/>
          <w:color w:val="auto"/>
        </w:rPr>
        <w:t>(B)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w:t>
      </w:r>
    </w:p>
    <w:p>
      <w:pPr>
        <w:spacing w:after="0" w:line="4" w:lineRule="exact"/>
        <w:rPr>
          <w:rFonts w:ascii="Arial" w:cs="Arial" w:eastAsia="Arial" w:hAnsi="Arial"/>
          <w:sz w:val="16"/>
          <w:szCs w:val="16"/>
          <w:color w:val="auto"/>
        </w:rPr>
      </w:pPr>
    </w:p>
    <w:p>
      <w:pPr>
        <w:ind w:left="480" w:right="460"/>
        <w:spacing w:after="0" w:line="271" w:lineRule="auto"/>
        <w:rPr>
          <w:rFonts w:ascii="Arial" w:cs="Arial" w:eastAsia="Arial" w:hAnsi="Arial"/>
          <w:sz w:val="16"/>
          <w:szCs w:val="16"/>
          <w:color w:val="auto"/>
        </w:rPr>
      </w:pPr>
      <w:r>
        <w:rPr>
          <w:rFonts w:ascii="Arial" w:cs="Arial" w:eastAsia="Arial" w:hAnsi="Arial"/>
          <w:sz w:val="17"/>
          <w:szCs w:val="17"/>
          <w:color w:val="auto"/>
        </w:rPr>
        <w:t>(1)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1" w:hanging="331"/>
        <w:spacing w:after="0" w:line="285" w:lineRule="auto"/>
        <w:tabs>
          <w:tab w:leader="none" w:pos="33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Golden Parachute Provisions</w:t>
      </w:r>
      <w:r>
        <w:rPr>
          <w:rFonts w:ascii="Arial" w:cs="Arial" w:eastAsia="Arial" w:hAnsi="Arial"/>
          <w:sz w:val="16"/>
          <w:szCs w:val="16"/>
          <w:color w:val="auto"/>
        </w:rPr>
        <w:t>.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spacing w:after="0" w:line="385"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51"/>
          </w:cols>
          <w:pgMar w:left="989" w:top="1440" w:right="35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1"/>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governed by and construed in accordance with the laws of the State of North Carolina without respect to its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980" w:top="1440" w:right="47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firstLine="450"/>
        <w:spacing w:after="0" w:line="277" w:lineRule="auto"/>
        <w:rPr>
          <w:sz w:val="20"/>
          <w:szCs w:val="20"/>
          <w:color w:val="auto"/>
        </w:rPr>
      </w:pPr>
      <w:r>
        <w:rPr>
          <w:rFonts w:ascii="Arial" w:cs="Arial" w:eastAsia="Arial" w:hAnsi="Arial"/>
          <w:sz w:val="18"/>
          <w:szCs w:val="18"/>
          <w:color w:val="auto"/>
        </w:rPr>
        <w:t>If the foregoing correctly sets forth our understanding, please signify your acceptance of such terms by executing this Agreement, thereby signifying your assent,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r>
      <w:tr>
        <w:trPr>
          <w:trHeight w:val="195"/>
        </w:trPr>
        <w:tc>
          <w:tcPr>
            <w:tcW w:w="94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r>
      <w:tr>
        <w:trPr>
          <w:trHeight w:val="230"/>
        </w:trPr>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Cc:</w:t>
            </w:r>
          </w:p>
        </w:tc>
        <w:tc>
          <w:tcPr>
            <w:tcW w:w="4080" w:type="dxa"/>
            <w:vAlign w:val="bottom"/>
          </w:tcPr>
          <w:p>
            <w:pPr>
              <w:spacing w:after="0"/>
              <w:rPr>
                <w:sz w:val="20"/>
                <w:szCs w:val="20"/>
                <w:color w:val="auto"/>
              </w:rPr>
            </w:pPr>
            <w:r>
              <w:rPr>
                <w:rFonts w:ascii="Arial" w:cs="Arial" w:eastAsia="Arial" w:hAnsi="Arial"/>
                <w:sz w:val="18"/>
                <w:szCs w:val="18"/>
                <w:color w:val="auto"/>
              </w:rPr>
              <w:t>Stephanie Angelini</w:t>
            </w:r>
          </w:p>
        </w:tc>
      </w:tr>
      <w:tr>
        <w:trPr>
          <w:trHeight w:val="230"/>
        </w:trPr>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People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Sign:</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Alane Barnes</w:t>
            </w:r>
          </w:p>
        </w:tc>
      </w:tr>
      <w:tr>
        <w:trPr>
          <w:trHeight w:val="224"/>
        </w:trPr>
        <w:tc>
          <w:tcPr>
            <w:tcW w:w="14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Alane Barnes</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 PROPRIETARY INFORMATION AND INVENTIONS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Alane Barnes, recognize that BioCryst Pharmaceuticals, Inc., a Delaware corporation (the “Company” and together with its subsidiaries, including existing and future subsidiaries, the “Company Group”), is engaged in a continuous program of research, development, and production respecting its business, present and future, including fields generally related to its business.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understand that:</w:t>
      </w:r>
    </w:p>
    <w:p>
      <w:pPr>
        <w:spacing w:after="0" w:line="225" w:lineRule="exact"/>
        <w:rPr>
          <w:sz w:val="20"/>
          <w:szCs w:val="20"/>
          <w:color w:val="auto"/>
        </w:rPr>
      </w:pPr>
    </w:p>
    <w:p>
      <w:pPr>
        <w:jc w:val="both"/>
        <w:ind w:left="800" w:right="220" w:hanging="331"/>
        <w:spacing w:after="0" w:line="263" w:lineRule="auto"/>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spacing w:after="0" w:line="183" w:lineRule="exact"/>
        <w:rPr>
          <w:rFonts w:ascii="Arial" w:cs="Arial" w:eastAsia="Arial" w:hAnsi="Arial"/>
          <w:sz w:val="18"/>
          <w:szCs w:val="18"/>
          <w:color w:val="auto"/>
        </w:rPr>
      </w:pPr>
    </w:p>
    <w:p>
      <w:pPr>
        <w:ind w:left="820" w:hanging="324"/>
        <w:spacing w:after="0"/>
        <w:tabs>
          <w:tab w:leader="none" w:pos="8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My employment creates a relationship of confidence and trust between me and the Company Group with respect to any information:</w:t>
      </w:r>
    </w:p>
    <w:p>
      <w:pPr>
        <w:spacing w:after="0" w:line="236" w:lineRule="exact"/>
        <w:rPr>
          <w:rFonts w:ascii="Arial" w:cs="Arial" w:eastAsia="Arial" w:hAnsi="Arial"/>
          <w:sz w:val="17"/>
          <w:szCs w:val="17"/>
          <w:color w:val="auto"/>
        </w:rPr>
      </w:pPr>
    </w:p>
    <w:p>
      <w:pPr>
        <w:ind w:left="780" w:hanging="140"/>
        <w:spacing w:after="0"/>
        <w:tabs>
          <w:tab w:leader="none" w:pos="7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applicable to the business of the Company Group; or</w:t>
      </w:r>
    </w:p>
    <w:p>
      <w:pPr>
        <w:spacing w:after="0" w:line="225" w:lineRule="exact"/>
        <w:rPr>
          <w:rFonts w:ascii="Arial" w:cs="Arial" w:eastAsia="Arial" w:hAnsi="Arial"/>
          <w:sz w:val="18"/>
          <w:szCs w:val="18"/>
          <w:color w:val="auto"/>
        </w:rPr>
      </w:pPr>
    </w:p>
    <w:p>
      <w:pPr>
        <w:ind w:left="820" w:hanging="180"/>
        <w:spacing w:after="0"/>
        <w:tabs>
          <w:tab w:leader="none" w:pos="820" w:val="left"/>
        </w:tabs>
        <w:numPr>
          <w:ilvl w:val="2"/>
          <w:numId w:val="95"/>
        </w:numPr>
        <w:rPr>
          <w:rFonts w:ascii="Arial" w:cs="Arial" w:eastAsia="Arial" w:hAnsi="Arial"/>
          <w:sz w:val="18"/>
          <w:szCs w:val="18"/>
          <w:color w:val="auto"/>
        </w:rPr>
      </w:pPr>
      <w:r>
        <w:rPr>
          <w:rFonts w:ascii="Arial" w:cs="Arial" w:eastAsia="Arial" w:hAnsi="Arial"/>
          <w:sz w:val="18"/>
          <w:szCs w:val="18"/>
          <w:color w:val="auto"/>
        </w:rPr>
        <w:t>applicable to the business of any client or customer of the Company Group,</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each case which may be made known to me by any member of the Company Group or by any client or customer thereof or learned by me during the period of my employment.</w:t>
      </w:r>
    </w:p>
    <w:p>
      <w:pPr>
        <w:spacing w:after="0" w:line="170" w:lineRule="exact"/>
        <w:rPr>
          <w:sz w:val="20"/>
          <w:szCs w:val="20"/>
          <w:color w:val="auto"/>
        </w:rPr>
      </w:pPr>
    </w:p>
    <w:p>
      <w:pPr>
        <w:ind w:left="820" w:right="180" w:hanging="324"/>
        <w:spacing w:after="0" w:line="273" w:lineRule="auto"/>
        <w:tabs>
          <w:tab w:leader="none" w:pos="8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consideration of my employment or continued employment, as the case may be, by any member of the Company Group and the compensation received by me from any member of the Company Group from time to time,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340360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9" w:right="80" w:hanging="319"/>
        <w:spacing w:after="0" w:line="254" w:lineRule="auto"/>
        <w:tabs>
          <w:tab w:leader="none" w:pos="3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Proprietary Information shall be the sole property of the Company, and the Company shall be the sole owner of all rights, title and interest in connection therewith. I hereby assign to the Company any and all rights I may have or acquire in such Proprietary Information. At all times, both during my employment by any member of the Company Group and after termination, I will keep in confidence and trust all Proprietary Information, and I will not use or disclose any Proprietary Information or anything relating to it without the prior written consent of the Company, except as may be necessary in the ordinary course of performing my duties as an employee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319" w:right="120" w:hanging="319"/>
        <w:spacing w:after="0" w:line="286" w:lineRule="auto"/>
        <w:tabs>
          <w:tab w:leader="none" w:pos="319"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w:t>
      </w:r>
    </w:p>
    <w:p>
      <w:pPr>
        <w:spacing w:after="0" w:line="1" w:lineRule="exact"/>
        <w:rPr>
          <w:rFonts w:ascii="Arial" w:cs="Arial" w:eastAsia="Arial" w:hAnsi="Arial"/>
          <w:sz w:val="16"/>
          <w:szCs w:val="16"/>
          <w:color w:val="auto"/>
        </w:rPr>
      </w:pPr>
    </w:p>
    <w:p>
      <w:pPr>
        <w:ind w:left="319" w:right="80"/>
        <w:spacing w:after="0" w:line="281" w:lineRule="auto"/>
        <w:rPr>
          <w:rFonts w:ascii="Arial" w:cs="Arial" w:eastAsia="Arial" w:hAnsi="Arial"/>
          <w:sz w:val="16"/>
          <w:szCs w:val="16"/>
          <w:color w:val="auto"/>
        </w:rPr>
      </w:pPr>
      <w:r>
        <w:rPr>
          <w:rFonts w:ascii="Arial" w:cs="Arial" w:eastAsia="Arial" w:hAnsi="Arial"/>
          <w:sz w:val="16"/>
          <w:szCs w:val="16"/>
          <w:color w:val="auto"/>
        </w:rPr>
        <w:t>government. Pursuant to 18 U.S.C. §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 (x) file any document containing the trade secret under seal, and</w:t>
      </w:r>
    </w:p>
    <w:p>
      <w:pPr>
        <w:spacing w:after="0" w:line="3" w:lineRule="exact"/>
        <w:rPr>
          <w:rFonts w:ascii="Arial" w:cs="Arial" w:eastAsia="Arial" w:hAnsi="Arial"/>
          <w:sz w:val="16"/>
          <w:szCs w:val="16"/>
          <w:color w:val="auto"/>
        </w:rPr>
      </w:pPr>
    </w:p>
    <w:p>
      <w:pPr>
        <w:ind w:left="319" w:right="240"/>
        <w:spacing w:after="0" w:line="255" w:lineRule="auto"/>
        <w:rPr>
          <w:rFonts w:ascii="Arial" w:cs="Arial" w:eastAsia="Arial" w:hAnsi="Arial"/>
          <w:sz w:val="16"/>
          <w:szCs w:val="16"/>
          <w:color w:val="auto"/>
        </w:rPr>
      </w:pPr>
      <w:r>
        <w:rPr>
          <w:rFonts w:ascii="Arial" w:cs="Arial" w:eastAsia="Arial" w:hAnsi="Arial"/>
          <w:sz w:val="18"/>
          <w:szCs w:val="18"/>
          <w:color w:val="auto"/>
        </w:rPr>
        <w:t>(y)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spacing w:after="0" w:line="189" w:lineRule="exact"/>
        <w:rPr>
          <w:rFonts w:ascii="Arial" w:cs="Arial" w:eastAsia="Arial" w:hAnsi="Arial"/>
          <w:sz w:val="16"/>
          <w:szCs w:val="16"/>
          <w:color w:val="auto"/>
        </w:rPr>
      </w:pPr>
    </w:p>
    <w:p>
      <w:pPr>
        <w:ind w:left="319" w:hanging="319"/>
        <w:spacing w:after="0" w:line="257" w:lineRule="auto"/>
        <w:tabs>
          <w:tab w:leader="none" w:pos="3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agree that, during the period of my employment by any member of the Company Group, I will not, without the Company’s express prior written consent, engage in any employment or consulting other than for the Company Group. In the event of the termination of my employment by me or by the Company Group for any reason or at any time upon the Company’s request, I will promptly deliver to the Company all documents and data of any nature pertaining to my work with the Company Group and I will not take with me any documents or data containing or pertaining to any Proprietary Information.</w:t>
      </w:r>
    </w:p>
    <w:p>
      <w:pPr>
        <w:spacing w:after="0" w:line="188"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79"/>
          </w:cols>
          <w:pgMar w:left="881"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right="40" w:hanging="319"/>
        <w:spacing w:after="0" w:line="269" w:lineRule="auto"/>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will promptly and fully disclose to the Company, or any persons designated by it, all improvements, inventions, formulas, processes, techniques, know-how, and data, whether or not patentable, copyrightable, or otherwise protectible as intellectual property, made or conceived or reduced to practice by me, either alone or jointly with others, during the period of my employment by any member of the Company Group which are related to or useful in the business of the Company Group, or result from the performance of my duties as an employee of any member of the Company Group or result from use of assets or premises owned, leased, or contracted for by any member of the Company Group (all said improvements, inventions, formulas, processes, techniques, know-how,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 Group.</w:t>
      </w:r>
    </w:p>
    <w:p>
      <w:pPr>
        <w:spacing w:after="0" w:line="185" w:lineRule="exact"/>
        <w:rPr>
          <w:rFonts w:ascii="Arial" w:cs="Arial" w:eastAsia="Arial" w:hAnsi="Arial"/>
          <w:sz w:val="17"/>
          <w:szCs w:val="17"/>
          <w:color w:val="auto"/>
        </w:rPr>
      </w:pPr>
    </w:p>
    <w:p>
      <w:pPr>
        <w:ind w:left="320" w:hanging="319"/>
        <w:spacing w:after="0" w:line="287" w:lineRule="auto"/>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agree that all Inventions are and shall be the sole property of the Company, and that the Company shall be the sole owner of all intellectual property and other rights in connection therewith, and by reason of my being employed by any member of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spacing w:after="0" w:line="167" w:lineRule="exact"/>
        <w:rPr>
          <w:rFonts w:ascii="Arial" w:cs="Arial" w:eastAsia="Arial" w:hAnsi="Arial"/>
          <w:sz w:val="16"/>
          <w:szCs w:val="16"/>
          <w:color w:val="auto"/>
        </w:rPr>
      </w:pPr>
    </w:p>
    <w:p>
      <w:pPr>
        <w:ind w:left="320" w:right="20" w:hanging="319"/>
        <w:spacing w:after="0" w:line="301" w:lineRule="auto"/>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spacing w:after="0" w:line="1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80" w:top="1440" w:right="3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right="120" w:hanging="319"/>
        <w:spacing w:after="0" w:line="259"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represent that my performance of all of the terms of this Agreement and as an employee of the Company Group does not and will not breach any agreement to keep in confidence proprietary information of any third party acquired by me in confidence or in trust prior to my employment by the Company Group. I have not entered into, and I agree that I will not enter into, any agreement either written or oral, in conflict herewith.</w:t>
      </w:r>
    </w:p>
    <w:p>
      <w:pPr>
        <w:spacing w:after="0" w:line="186" w:lineRule="exact"/>
        <w:rPr>
          <w:rFonts w:ascii="Arial" w:cs="Arial" w:eastAsia="Arial" w:hAnsi="Arial"/>
          <w:sz w:val="18"/>
          <w:szCs w:val="18"/>
          <w:color w:val="auto"/>
        </w:rPr>
      </w:pPr>
    </w:p>
    <w:p>
      <w:pPr>
        <w:ind w:left="420" w:hanging="319"/>
        <w:spacing w:after="0" w:line="253"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understand that, as part of the consideration of the offer of employment extended to me by the Company or of my continued employment by the Company Group, as the case may be, I will not bring, have not brought, with me to the Company Group and I will not use, have not used, in the performance of my responsibilities at the Company Group, materials or documents of a former employer, unless I have obtained written authorization from the former employer for their possession and use. Accordingly, this is to advise the Company that the only materials that I will bring to the Company Group or use in my employment are identified on the attached sheet and, as to each such item, I represent that I have obtained, prior to the effective date of my employment with the Company Group, written authorization for their possession and use in my employment with the Company Group. I also understand that, in my employment with the Company Group, I am not to breach any obligation of confidentiality that I have to former employers, and I agree that I shall fulfill all such obligations during my employment with the Company Group.</w:t>
      </w:r>
    </w:p>
    <w:p>
      <w:pPr>
        <w:spacing w:after="0" w:line="196" w:lineRule="exact"/>
        <w:rPr>
          <w:rFonts w:ascii="Arial" w:cs="Arial" w:eastAsia="Arial" w:hAnsi="Arial"/>
          <w:sz w:val="18"/>
          <w:szCs w:val="18"/>
          <w:color w:val="auto"/>
        </w:rPr>
      </w:pPr>
    </w:p>
    <w:p>
      <w:pPr>
        <w:ind w:left="420" w:right="100" w:hanging="319"/>
        <w:spacing w:after="0" w:line="277"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shall be effective as of the first day of my employment by the Company Group. I understand and agree that this Agreement is not a contract of employment.</w:t>
      </w:r>
    </w:p>
    <w:p>
      <w:pPr>
        <w:spacing w:after="0" w:line="170" w:lineRule="exact"/>
        <w:rPr>
          <w:rFonts w:ascii="Arial" w:cs="Arial" w:eastAsia="Arial" w:hAnsi="Arial"/>
          <w:sz w:val="18"/>
          <w:szCs w:val="18"/>
          <w:color w:val="auto"/>
        </w:rPr>
      </w:pPr>
    </w:p>
    <w:p>
      <w:pPr>
        <w:ind w:left="340" w:right="340" w:hanging="333"/>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shall be binding upon me, my heirs, executors, assigns, administrators, and other legal representatives and shall inure to the benefit of the Company,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IN WITNESS WHEREOF, the Company has caused this Proprietary Information and Inventions Agreement to be executed by its duly authorized officer and Employee has executed the same as of the dates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5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EMPLOYEE</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c>
          <w:tcPr>
            <w:tcW w:w="54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Alane Barnes</w:t>
            </w:r>
          </w:p>
        </w:tc>
      </w:tr>
      <w:tr>
        <w:trPr>
          <w:trHeight w:val="195"/>
        </w:trPr>
        <w:tc>
          <w:tcPr>
            <w:tcW w:w="58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c>
          <w:tcPr>
            <w:tcW w:w="540" w:type="dxa"/>
            <w:vAlign w:val="bottom"/>
          </w:tcPr>
          <w:p>
            <w:pPr>
              <w:spacing w:after="0"/>
              <w:rPr>
                <w:sz w:val="16"/>
                <w:szCs w:val="16"/>
                <w:color w:val="auto"/>
              </w:rPr>
            </w:pPr>
          </w:p>
        </w:tc>
        <w:tc>
          <w:tcPr>
            <w:tcW w:w="2820" w:type="dxa"/>
            <w:vAlign w:val="bottom"/>
          </w:tcPr>
          <w:p>
            <w:pPr>
              <w:ind w:left="20"/>
              <w:spacing w:after="0" w:line="195" w:lineRule="exact"/>
              <w:rPr>
                <w:sz w:val="20"/>
                <w:szCs w:val="20"/>
                <w:color w:val="auto"/>
              </w:rPr>
            </w:pPr>
            <w:r>
              <w:rPr>
                <w:rFonts w:ascii="Arial" w:cs="Arial" w:eastAsia="Arial" w:hAnsi="Arial"/>
                <w:sz w:val="18"/>
                <w:szCs w:val="18"/>
                <w:color w:val="auto"/>
              </w:rPr>
              <w:t>Alane Barnes</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Date: August 4, 2021</w:t>
            </w:r>
          </w:p>
        </w:tc>
      </w:tr>
      <w:tr>
        <w:trPr>
          <w:trHeight w:val="20"/>
        </w:trPr>
        <w:tc>
          <w:tcPr>
            <w:tcW w:w="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BioCryst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4505 Emperor Blvd.,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Alane Barnes, propose to bring to my BioCryst employment the following tangible materials and previously unpublished documents, which materials and documents may be used in my BioCryst employment:</w:t>
      </w:r>
    </w:p>
    <w:p>
      <w:pPr>
        <w:spacing w:after="0" w:line="386" w:lineRule="exact"/>
        <w:rPr>
          <w:sz w:val="20"/>
          <w:szCs w:val="20"/>
          <w:color w:val="auto"/>
        </w:rPr>
      </w:pPr>
    </w:p>
    <w:p>
      <w:pPr>
        <w:spacing w:after="0"/>
        <w:tabs>
          <w:tab w:leader="none" w:pos="2820" w:val="left"/>
          <w:tab w:leader="none" w:pos="5280" w:val="left"/>
        </w:tabs>
        <w:rPr>
          <w:sz w:val="20"/>
          <w:szCs w:val="20"/>
          <w:color w:val="auto"/>
        </w:rPr>
      </w:pPr>
      <w:r>
        <w:rPr>
          <w:rFonts w:ascii="Arial" w:cs="Arial" w:eastAsia="Arial" w:hAnsi="Arial"/>
          <w:sz w:val="18"/>
          <w:szCs w:val="18"/>
          <w:color w:val="auto"/>
        </w:rPr>
        <w:t>___ No materials</w:t>
      </w:r>
      <w:r>
        <w:rPr>
          <w:sz w:val="20"/>
          <w:szCs w:val="20"/>
          <w:color w:val="auto"/>
        </w:rPr>
        <w:tab/>
      </w:r>
      <w:r>
        <w:rPr>
          <w:rFonts w:ascii="Arial" w:cs="Arial" w:eastAsia="Arial" w:hAnsi="Arial"/>
          <w:sz w:val="18"/>
          <w:szCs w:val="18"/>
          <w:color w:val="auto"/>
        </w:rPr>
        <w:t>___ See below</w:t>
      </w:r>
      <w:r>
        <w:rPr>
          <w:sz w:val="20"/>
          <w:szCs w:val="20"/>
          <w:color w:val="auto"/>
        </w:rPr>
        <w:tab/>
      </w:r>
      <w:r>
        <w:rPr>
          <w:rFonts w:ascii="Arial" w:cs="Arial" w:eastAsia="Arial" w:hAnsi="Arial"/>
          <w:sz w:val="16"/>
          <w:szCs w:val="16"/>
          <w:color w:val="auto"/>
        </w:rPr>
        <w:t>___ Additional sheets attached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 below by a representative of my current or former employer confirms that my continued possession and use of these materials is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2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170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33864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3"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17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1517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and Non-Solicitation Agreement)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Non-Competition and Non-Solicitation Agreement (the “Agreement”) is made and entered into this 4th day of August, 2021 (the “Effective Date”) by and between Alane Barnes (the “Employee”) and the member of the Company Group (as defined below) employing Employee (the “Company”). The Company and Employee are sometimes referred to in this Agreement individually as a “Party” and collectively as “Parties.”</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 a member of the Company Group which is comprised of BioCryst Pharmaceuticals, Inc. and its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continuing employment with the Company pursuant to an Amended and Restated Employment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between Employee and the Company (the “Employment Agreement”) and is simultaneously entering into an Employee’s Proprietary Information and Inventions Agreement (the “PIIA”) with a member of the Company Group;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consideration for Employee’s promises and obligations set forth herein, the Company is offering Employee severance pay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described in the Employment Agreement, including that portion of the severance pay set forth in Section 4(b)(ii) of the Employment Agreement to which Employee was not previously entitled.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obligations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the Parties acknowledge, the Company and Employee agree as follows:</w:t>
      </w:r>
    </w:p>
    <w:p>
      <w:pPr>
        <w:spacing w:after="0" w:line="162" w:lineRule="exact"/>
        <w:rPr>
          <w:sz w:val="20"/>
          <w:szCs w:val="20"/>
          <w:color w:val="auto"/>
        </w:rPr>
      </w:pPr>
    </w:p>
    <w:p>
      <w:pPr>
        <w:ind w:left="720" w:hanging="319"/>
        <w:spacing w:after="0" w:line="287" w:lineRule="auto"/>
        <w:tabs>
          <w:tab w:leader="none" w:pos="720"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BUSINESS AND PROTECTABLE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(i) by virtue of Employee’s position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w:t>
      </w:r>
    </w:p>
    <w:p>
      <w:pPr>
        <w:spacing w:after="0" w:line="2" w:lineRule="exact"/>
        <w:rPr>
          <w:rFonts w:ascii="Arial" w:cs="Arial" w:eastAsia="Arial" w:hAnsi="Arial"/>
          <w:sz w:val="16"/>
          <w:szCs w:val="16"/>
          <w:color w:val="auto"/>
        </w:rPr>
      </w:pPr>
    </w:p>
    <w:p>
      <w:pPr>
        <w:ind w:left="720" w:right="40" w:firstLine="5"/>
        <w:spacing w:after="0" w:line="281" w:lineRule="auto"/>
        <w:tabs>
          <w:tab w:leader="none" w:pos="103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and the specific location of a competing business is not necessarily relevant to the capacity of that business to compete with the Company Group; and</w:t>
      </w:r>
    </w:p>
    <w:p>
      <w:pPr>
        <w:spacing w:after="0" w:line="4" w:lineRule="exact"/>
        <w:rPr>
          <w:rFonts w:ascii="Arial" w:cs="Arial" w:eastAsia="Arial" w:hAnsi="Arial"/>
          <w:sz w:val="16"/>
          <w:szCs w:val="16"/>
          <w:color w:val="auto"/>
        </w:rPr>
      </w:pPr>
    </w:p>
    <w:p>
      <w:pPr>
        <w:ind w:left="720" w:right="120" w:firstLine="5"/>
        <w:spacing w:after="0" w:line="302" w:lineRule="auto"/>
        <w:tabs>
          <w:tab w:leader="none" w:pos="102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330200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hanging="319"/>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COMPETITIVE BUSINESS ACTIVITIES.</w:t>
      </w:r>
    </w:p>
    <w:p>
      <w:pPr>
        <w:spacing w:after="0" w:line="229" w:lineRule="exact"/>
        <w:rPr>
          <w:rFonts w:ascii="Arial" w:cs="Arial" w:eastAsia="Arial" w:hAnsi="Arial"/>
          <w:sz w:val="18"/>
          <w:szCs w:val="18"/>
          <w:color w:val="auto"/>
        </w:rPr>
      </w:pPr>
    </w:p>
    <w:p>
      <w:pPr>
        <w:ind w:left="1860" w:right="300" w:hanging="333"/>
        <w:spacing w:after="0" w:line="286" w:lineRule="auto"/>
        <w:tabs>
          <w:tab w:leader="none" w:pos="18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2640" w:hanging="330"/>
        <w:spacing w:after="0" w:line="263" w:lineRule="auto"/>
        <w:tabs>
          <w:tab w:leader="none" w:pos="264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on Employee’s own or another’s behalf, whether as an officer, director, manager, stockholder, partner, member, associate, owner, employee, consultant, or otherwise do any of the following or provide material assistance to any other party or entity to do so:</w:t>
      </w:r>
    </w:p>
    <w:p>
      <w:pPr>
        <w:spacing w:after="0" w:line="183" w:lineRule="exact"/>
        <w:rPr>
          <w:rFonts w:ascii="Arial" w:cs="Arial" w:eastAsia="Arial" w:hAnsi="Arial"/>
          <w:sz w:val="18"/>
          <w:szCs w:val="18"/>
          <w:color w:val="auto"/>
        </w:rPr>
      </w:pPr>
    </w:p>
    <w:p>
      <w:pPr>
        <w:jc w:val="both"/>
        <w:ind w:left="3300" w:right="140" w:hanging="315"/>
        <w:spacing w:after="0" w:line="286" w:lineRule="auto"/>
        <w:tabs>
          <w:tab w:leader="none" w:pos="33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spacing w:after="0" w:line="165" w:lineRule="exact"/>
        <w:rPr>
          <w:rFonts w:ascii="Arial" w:cs="Arial" w:eastAsia="Arial" w:hAnsi="Arial"/>
          <w:sz w:val="17"/>
          <w:szCs w:val="17"/>
          <w:color w:val="auto"/>
        </w:rPr>
      </w:pPr>
    </w:p>
    <w:p>
      <w:pPr>
        <w:ind w:left="3340" w:right="160" w:hanging="328"/>
        <w:spacing w:after="0" w:line="289" w:lineRule="auto"/>
        <w:tabs>
          <w:tab w:leader="none" w:pos="3340" w:val="left"/>
        </w:tabs>
        <w:numPr>
          <w:ilvl w:val="4"/>
          <w:numId w:val="102"/>
        </w:numPr>
        <w:rPr>
          <w:rFonts w:ascii="Arial" w:cs="Arial" w:eastAsia="Arial" w:hAnsi="Arial"/>
          <w:sz w:val="16"/>
          <w:szCs w:val="16"/>
          <w:color w:val="auto"/>
        </w:rPr>
      </w:pPr>
      <w:r>
        <w:rPr>
          <w:rFonts w:ascii="Arial" w:cs="Arial" w:eastAsia="Arial" w:hAnsi="Arial"/>
          <w:sz w:val="16"/>
          <w:szCs w:val="16"/>
          <w:color w:val="auto"/>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80" w:hanging="328"/>
        <w:spacing w:after="0" w:line="290" w:lineRule="auto"/>
        <w:tabs>
          <w:tab w:leader="none" w:pos="2780" w:val="left"/>
        </w:tabs>
        <w:numPr>
          <w:ilvl w:val="3"/>
          <w:numId w:val="103"/>
        </w:numPr>
        <w:rPr>
          <w:rFonts w:ascii="Arial" w:cs="Arial" w:eastAsia="Arial" w:hAnsi="Arial"/>
          <w:sz w:val="16"/>
          <w:szCs w:val="16"/>
          <w:color w:val="auto"/>
        </w:rPr>
      </w:pPr>
      <w:r>
        <w:rPr>
          <w:rFonts w:ascii="Arial" w:cs="Arial" w:eastAsia="Arial" w:hAnsi="Arial"/>
          <w:sz w:val="16"/>
          <w:szCs w:val="16"/>
          <w:color w:val="auto"/>
        </w:rPr>
        <w:t>offer employment to, hire or otherwise solicit for employment any employee or other person who had been employed or retained by the Company Group during the last year of Employee’s employment with the Company Group and with whom Employee 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spacing w:after="0" w:line="165" w:lineRule="exact"/>
        <w:rPr>
          <w:rFonts w:ascii="Arial" w:cs="Arial" w:eastAsia="Arial" w:hAnsi="Arial"/>
          <w:sz w:val="16"/>
          <w:szCs w:val="16"/>
          <w:color w:val="auto"/>
        </w:rPr>
      </w:pPr>
    </w:p>
    <w:p>
      <w:pPr>
        <w:ind w:left="2040" w:right="180" w:hanging="331"/>
        <w:spacing w:after="0" w:line="277" w:lineRule="auto"/>
        <w:tabs>
          <w:tab w:leader="none" w:pos="20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take any action, which is materially detrimental, or otherwise intended to be adverse to the Company Group’s goodwill, name, business relations, prospects and operations.</w:t>
      </w:r>
    </w:p>
    <w:p>
      <w:pPr>
        <w:spacing w:after="0" w:line="170" w:lineRule="exact"/>
        <w:rPr>
          <w:rFonts w:ascii="Arial" w:cs="Arial" w:eastAsia="Arial" w:hAnsi="Arial"/>
          <w:sz w:val="18"/>
          <w:szCs w:val="18"/>
          <w:color w:val="auto"/>
        </w:rPr>
      </w:pPr>
    </w:p>
    <w:p>
      <w:pPr>
        <w:ind w:left="1300" w:hanging="333"/>
        <w:spacing w:after="0"/>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restrictions set forth in Section 2(a)(i) apply to the following separate and distinct geographical areas: (i) the world;</w:t>
      </w:r>
    </w:p>
    <w:p>
      <w:pPr>
        <w:spacing w:after="0" w:line="46" w:lineRule="exact"/>
        <w:rPr>
          <w:rFonts w:ascii="Arial" w:cs="Arial" w:eastAsia="Arial" w:hAnsi="Arial"/>
          <w:sz w:val="16"/>
          <w:szCs w:val="16"/>
          <w:color w:val="auto"/>
        </w:rPr>
      </w:pPr>
    </w:p>
    <w:p>
      <w:pPr>
        <w:ind w:left="1300" w:hanging="9"/>
        <w:spacing w:after="0" w:line="269" w:lineRule="auto"/>
        <w:tabs>
          <w:tab w:leader="none" w:pos="156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North America (iii) Europe; (iv) the United States; (v) the United Kingdom; (vi) Japan; (vii) the State of North Carolina; (viii) the State of Alabama; (ix) within a 60-mile radius of any location of the Company Group in which Employee had an office or performed material services during Employee’s employment with the Company Group; (x) any city, metropolitan area, county, state or country in which Employee’s substantial services were provided, or for which Employee had substantial responsibility, or in which Employee worked on Company Group projects, while employed by the Company Group; (xi) any city, metropolitan area, county, state or country in which the Company Group is located or does or, during Employee’s employment with the Company Group, did business.</w:t>
      </w:r>
    </w:p>
    <w:p>
      <w:pPr>
        <w:spacing w:after="0" w:line="180" w:lineRule="exact"/>
        <w:rPr>
          <w:rFonts w:ascii="Arial" w:cs="Arial" w:eastAsia="Arial" w:hAnsi="Arial"/>
          <w:sz w:val="17"/>
          <w:szCs w:val="17"/>
          <w:color w:val="auto"/>
        </w:rPr>
      </w:pPr>
    </w:p>
    <w:p>
      <w:pPr>
        <w:jc w:val="both"/>
        <w:ind w:left="1300" w:right="60" w:hanging="333"/>
        <w:spacing w:after="0" w:line="263"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restrictions set forth in Section 2(a)(i) apply only to prohibit Employee from engaging in activities that are materially similar to the activities in which Employee engaged on behalf of the Company Group or with respect to which Employee would reasonably be expected to use Confidential Information.</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60" w:right="100" w:hanging="333"/>
        <w:spacing w:after="0" w:line="263" w:lineRule="auto"/>
        <w:tabs>
          <w:tab w:leader="none" w:pos="2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 2(a).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one-year post-employment competitive business restrictions set forth above.</w:t>
      </w:r>
    </w:p>
    <w:p>
      <w:pPr>
        <w:spacing w:after="0" w:line="183" w:lineRule="exact"/>
        <w:rPr>
          <w:sz w:val="20"/>
          <w:szCs w:val="20"/>
          <w:color w:val="auto"/>
        </w:rPr>
      </w:pPr>
    </w:p>
    <w:p>
      <w:pPr>
        <w:ind w:left="720" w:right="60" w:hanging="319"/>
        <w:spacing w:after="0" w:line="298"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Employee’s failure to abide by this Agreement would cause irreparable harm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Group for which legal remedies would be inadequate. Therefore, in addition to any legal or other relief to which the Company Group may be entitled by virtue of Employee’s failure to abide by these 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spacing w:after="0" w:line="153" w:lineRule="exact"/>
        <w:rPr>
          <w:rFonts w:ascii="Arial" w:cs="Arial" w:eastAsia="Arial" w:hAnsi="Arial"/>
          <w:sz w:val="16"/>
          <w:szCs w:val="16"/>
          <w:color w:val="auto"/>
        </w:rPr>
      </w:pPr>
    </w:p>
    <w:p>
      <w:pPr>
        <w:ind w:left="720" w:right="240" w:hanging="319"/>
        <w:spacing w:after="0" w:line="282"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during which Employee must refrain from the activities set forth in Section 2(a) shall be tolled during any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Employee fails to abide by such provisions.</w:t>
      </w:r>
    </w:p>
    <w:p>
      <w:pPr>
        <w:spacing w:after="0" w:line="161" w:lineRule="exact"/>
        <w:rPr>
          <w:rFonts w:ascii="Arial" w:cs="Arial" w:eastAsia="Arial" w:hAnsi="Arial"/>
          <w:sz w:val="18"/>
          <w:szCs w:val="18"/>
          <w:color w:val="auto"/>
        </w:rPr>
      </w:pPr>
    </w:p>
    <w:p>
      <w:pPr>
        <w:ind w:left="720" w:right="340" w:hanging="319"/>
        <w:spacing w:after="0" w:line="314"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VIOLATION BY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Employee alleges and proves a violation by the Company Group of any obligation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Group to Employee by agreement or operation of law, such violation shall not excuse Employee from Employee’s obligations pursuant to this Agreement, but rather Employee shall be entitled to remedies available for the specific violation alleged and proven.</w:t>
      </w:r>
    </w:p>
    <w:p>
      <w:pPr>
        <w:spacing w:after="0" w:line="141" w:lineRule="exact"/>
        <w:rPr>
          <w:rFonts w:ascii="Arial" w:cs="Arial" w:eastAsia="Arial" w:hAnsi="Arial"/>
          <w:sz w:val="16"/>
          <w:szCs w:val="16"/>
          <w:color w:val="auto"/>
        </w:rPr>
      </w:pPr>
    </w:p>
    <w:p>
      <w:pPr>
        <w:ind w:left="720" w:right="100" w:hanging="319"/>
        <w:spacing w:after="0" w:line="282"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terminate, revoke, or diminish Employee’s obligations or the Company Group’s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under law or pursuant to the PIIA, relating to trade secrets or proprietary information.</w:t>
      </w:r>
    </w:p>
    <w:p>
      <w:pPr>
        <w:spacing w:after="0" w:line="161" w:lineRule="exact"/>
        <w:rPr>
          <w:rFonts w:ascii="Arial" w:cs="Arial" w:eastAsia="Arial" w:hAnsi="Arial"/>
          <w:sz w:val="18"/>
          <w:szCs w:val="18"/>
          <w:color w:val="auto"/>
        </w:rPr>
      </w:pPr>
    </w:p>
    <w:p>
      <w:pPr>
        <w:ind w:left="720" w:right="140" w:hanging="319"/>
        <w:spacing w:after="0" w:line="303"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PIIA, and the Employment Agreement together constitute the exclusive and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Parties with respect to this subject matter with respect to severance as a result of change in control and supersedes any other right of the Employee to severance under any plan, arrangement or agreement of the Company. No change or modification of this Agreement shall be valid or binding upon the Parties unless such change or modification is in writing and is signed by the Parties.</w:t>
      </w:r>
    </w:p>
    <w:p>
      <w:pPr>
        <w:spacing w:after="0" w:line="15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right="740" w:hanging="319"/>
        <w:spacing w:after="0" w:line="282" w:lineRule="auto"/>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Employee’s waiver of any breach of a provision of this Agreement shall not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the other Party.</w:t>
      </w:r>
    </w:p>
    <w:p>
      <w:pPr>
        <w:spacing w:after="0" w:line="161" w:lineRule="exact"/>
        <w:rPr>
          <w:rFonts w:ascii="Arial" w:cs="Arial" w:eastAsia="Arial" w:hAnsi="Arial"/>
          <w:sz w:val="18"/>
          <w:szCs w:val="18"/>
          <w:color w:val="auto"/>
        </w:rPr>
      </w:pPr>
    </w:p>
    <w:p>
      <w:pPr>
        <w:ind w:left="420" w:hanging="319"/>
        <w:spacing w:after="0" w:line="281" w:lineRule="auto"/>
        <w:tabs>
          <w:tab w:leader="none" w:pos="420" w:val="left"/>
        </w:tabs>
        <w:numPr>
          <w:ilvl w:val="0"/>
          <w:numId w:val="108"/>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 court of competent jurisdiction holds that any provision or sub-part thereof contained in this Agreement is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“blue-penciled” or rewritten by the court to the extent necessary to render it enforceable.</w:t>
      </w:r>
    </w:p>
    <w:p>
      <w:pPr>
        <w:spacing w:after="0" w:line="164" w:lineRule="exact"/>
        <w:rPr>
          <w:rFonts w:ascii="Arial" w:cs="Arial" w:eastAsia="Arial" w:hAnsi="Arial"/>
          <w:sz w:val="17"/>
          <w:szCs w:val="17"/>
          <w:color w:val="auto"/>
        </w:rPr>
      </w:pPr>
    </w:p>
    <w:p>
      <w:pPr>
        <w:ind w:left="340" w:hanging="333"/>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THIRD-PARTY BENEFICIARIES; SUCCESSORS AND ASSIGNS.</w:t>
      </w:r>
    </w:p>
    <w:p>
      <w:pPr>
        <w:spacing w:after="0" w:line="229" w:lineRule="exact"/>
        <w:rPr>
          <w:rFonts w:ascii="Arial" w:cs="Arial" w:eastAsia="Arial" w:hAnsi="Arial"/>
          <w:sz w:val="18"/>
          <w:szCs w:val="18"/>
          <w:color w:val="auto"/>
        </w:rPr>
      </w:pPr>
    </w:p>
    <w:p>
      <w:pPr>
        <w:ind w:left="1080" w:right="20" w:hanging="317"/>
        <w:spacing w:after="0" w:line="277"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Parties agree that members of the Company Group are intended third-party beneficiaries of this Agreement with rights to enforce the terms of this Agreement to the maximum extent allowed by law.</w:t>
      </w:r>
    </w:p>
    <w:p>
      <w:pPr>
        <w:spacing w:after="0" w:line="170" w:lineRule="exact"/>
        <w:rPr>
          <w:rFonts w:ascii="Arial" w:cs="Arial" w:eastAsia="Arial" w:hAnsi="Arial"/>
          <w:sz w:val="18"/>
          <w:szCs w:val="18"/>
          <w:color w:val="auto"/>
        </w:rPr>
      </w:pPr>
    </w:p>
    <w:p>
      <w:pPr>
        <w:ind w:left="1080" w:right="20" w:hanging="331"/>
        <w:spacing w:after="0" w:line="289" w:lineRule="auto"/>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Parties agree that this Agreement is binding upon and shall inure to the benefit of the Company, its successors and assigns. The Company shall be entitled to freely assign, in whole or in part, this Agreement and/or any right hereunder to any member of the Company Group, or to any successor of all or substantially all of the business or assets of the Company or any member of the Company Group (and any such assignee shall be entitled to freely further so assign, in one or multiple instances). The assignee shall assume the Company’s obligations attendant to the rights being assigned. In the event this Agreement is assigned to any member of the Company Group, or in the event a successor-in-interest to either the Company or any member of the Company Group becomes Employee’s employer under this Agreement, then the following shall apply from and after the effective date of the assignment or transfer of rights to the successor-in-interest, as the case may be: all references in this Agreement to the Company shall be deemed to mean the assignee or successor-in-interest, as the case may be, without any need for an amendment to accomplish such substitution.</w:t>
      </w:r>
    </w:p>
    <w:p>
      <w:pPr>
        <w:spacing w:after="0" w:line="166" w:lineRule="exact"/>
        <w:rPr>
          <w:rFonts w:ascii="Arial" w:cs="Arial" w:eastAsia="Arial" w:hAnsi="Arial"/>
          <w:sz w:val="16"/>
          <w:szCs w:val="16"/>
          <w:color w:val="auto"/>
        </w:rPr>
      </w:pPr>
    </w:p>
    <w:p>
      <w:pPr>
        <w:ind w:left="1080" w:right="200" w:hanging="317"/>
        <w:spacing w:after="0" w:line="275" w:lineRule="auto"/>
        <w:tabs>
          <w:tab w:leader="none" w:pos="10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Employee irrevocably consents to any such assignment and the substitution of the assignee for the Company as to rights that are assigned, and Employee also irrevocably consents to the discharge of the Company as to any obligations or liabilities under or by reason of this Agreement arising on or after the date of the assignment. In the event of any assignment from the Company to a member of the Company Group, the Company shall be an intended third-party beneficiary of this Agreement with rights to enforce the terms of this Agreement to the maximum extent allowed by law.</w:t>
      </w:r>
    </w:p>
    <w:p>
      <w:pPr>
        <w:spacing w:after="0" w:line="1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780" w:top="1440" w:right="39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40" w:hanging="333"/>
        <w:spacing w:after="0" w:line="266"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PARTIES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provisions, covenants and agreements contained in this Agreement shall apply to, be binding upon and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Company’s successors and assigns, and Employee’s heirs, executors, administrators, and other legal representatives. Employee may not assign this Agreement.</w:t>
      </w:r>
    </w:p>
    <w:p>
      <w:pPr>
        <w:spacing w:after="0" w:line="175" w:lineRule="exact"/>
        <w:rPr>
          <w:rFonts w:ascii="Arial" w:cs="Arial" w:eastAsia="Arial" w:hAnsi="Arial"/>
          <w:sz w:val="18"/>
          <w:szCs w:val="18"/>
          <w:color w:val="auto"/>
        </w:rPr>
      </w:pPr>
    </w:p>
    <w:p>
      <w:pPr>
        <w:ind w:left="340" w:right="20" w:hanging="333"/>
        <w:spacing w:after="0" w:line="273"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employment relationship created by it shall be interpreted and construed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of the State of North Carolina, including its statutes of limitations, without giving effect to any conflict-of-laws rule that would result in the application of the laws of a different jurisdiction. The Parties consent to exclusive jurisdiction in North Carolina for the purpose of any litigation relating to this Agreement and agree that any litigation by or involving them relating to this Agreement shall be conducted in the state courts of North Carolina or the appropriate federal district court located in North Carolina. Employee consents to the exercise of personal jurisdiction in any state or federal court located in North Carolina and waives any objection based upon personal jurisdiction or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with respect to any action commenced in such courts.</w:t>
      </w:r>
    </w:p>
    <w:p>
      <w:pPr>
        <w:spacing w:after="0" w:line="171" w:lineRule="exact"/>
        <w:rPr>
          <w:rFonts w:ascii="Arial" w:cs="Arial" w:eastAsia="Arial" w:hAnsi="Arial"/>
          <w:sz w:val="17"/>
          <w:szCs w:val="17"/>
          <w:color w:val="auto"/>
        </w:rPr>
      </w:pPr>
    </w:p>
    <w:p>
      <w:pPr>
        <w:ind w:left="340" w:right="180" w:hanging="333"/>
        <w:spacing w:after="0" w:line="261"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affixed thereto were upon the same instrument. Any such counterpart, to the extent delivered by .pdf or similar attachment to electronic mail shall be treated in all manner and respects as an original executed counterpart and shall be considered to have the same binding legal effect as if it were the original signed version thereof delivered in person.</w:t>
      </w:r>
    </w:p>
    <w:p>
      <w:pPr>
        <w:spacing w:after="0" w:line="179" w:lineRule="exact"/>
        <w:rPr>
          <w:rFonts w:ascii="Arial" w:cs="Arial" w:eastAsia="Arial" w:hAnsi="Arial"/>
          <w:sz w:val="18"/>
          <w:szCs w:val="18"/>
          <w:color w:val="auto"/>
        </w:rPr>
      </w:pPr>
    </w:p>
    <w:p>
      <w:pPr>
        <w:ind w:left="340" w:right="560" w:hanging="333"/>
        <w:spacing w:after="0" w:line="282"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and agrees that this Agreement is not a contract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term and that employment by the Company is, for all purposes, “at will.”</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243205</wp:posOffset>
            </wp:positionV>
            <wp:extent cx="5846445" cy="129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WITNESS WHEREOF, the Parties have entered into this Non-Competition and Non-Solicitation Agreement as of the day and year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BIOCRYST PHARMACEUTICALS,</w:t>
            </w:r>
          </w:p>
        </w:tc>
        <w:tc>
          <w:tcPr>
            <w:tcW w:w="5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EMPLOYEE</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Stonehouse</w:t>
            </w:r>
          </w:p>
        </w:tc>
        <w:tc>
          <w:tcPr>
            <w:tcW w:w="54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Alane Barnes</w:t>
            </w:r>
          </w:p>
        </w:tc>
      </w:tr>
      <w:tr>
        <w:trPr>
          <w:trHeight w:val="195"/>
        </w:trPr>
        <w:tc>
          <w:tcPr>
            <w:tcW w:w="58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Jon Stonehouse</w:t>
            </w:r>
          </w:p>
        </w:tc>
        <w:tc>
          <w:tcPr>
            <w:tcW w:w="540" w:type="dxa"/>
            <w:vAlign w:val="bottom"/>
          </w:tcPr>
          <w:p>
            <w:pPr>
              <w:spacing w:after="0"/>
              <w:rPr>
                <w:sz w:val="16"/>
                <w:szCs w:val="16"/>
                <w:color w:val="auto"/>
              </w:rPr>
            </w:pPr>
          </w:p>
        </w:tc>
        <w:tc>
          <w:tcPr>
            <w:tcW w:w="2820" w:type="dxa"/>
            <w:vAlign w:val="bottom"/>
          </w:tcPr>
          <w:p>
            <w:pPr>
              <w:ind w:left="20"/>
              <w:spacing w:after="0" w:line="195" w:lineRule="exact"/>
              <w:rPr>
                <w:sz w:val="20"/>
                <w:szCs w:val="20"/>
                <w:color w:val="auto"/>
              </w:rPr>
            </w:pPr>
            <w:r>
              <w:rPr>
                <w:rFonts w:ascii="Arial" w:cs="Arial" w:eastAsia="Arial" w:hAnsi="Arial"/>
                <w:sz w:val="18"/>
                <w:szCs w:val="18"/>
                <w:color w:val="auto"/>
              </w:rPr>
              <w:t>Alane Barnes</w:t>
            </w: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spacing w:after="0"/>
              <w:rPr>
                <w:sz w:val="20"/>
                <w:szCs w:val="20"/>
                <w:color w:val="auto"/>
              </w:rPr>
            </w:pPr>
            <w:r>
              <w:rPr>
                <w:rFonts w:ascii="Arial" w:cs="Arial" w:eastAsia="Arial" w:hAnsi="Arial"/>
                <w:sz w:val="18"/>
                <w:szCs w:val="18"/>
                <w:color w:val="auto"/>
              </w:rPr>
              <w:t>August 4, 2021</w:t>
            </w: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Date: August 4, 2021</w:t>
            </w:r>
          </w:p>
        </w:tc>
      </w:tr>
      <w:tr>
        <w:trPr>
          <w:trHeight w:val="20"/>
        </w:trPr>
        <w:tc>
          <w:tcPr>
            <w:tcW w:w="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Jon P. Stonehouse, certify that:</w:t>
      </w:r>
    </w:p>
    <w:p>
      <w:pPr>
        <w:spacing w:after="0" w:line="225" w:lineRule="exact"/>
        <w:rPr>
          <w:sz w:val="20"/>
          <w:szCs w:val="20"/>
          <w:color w:val="auto"/>
        </w:rPr>
      </w:pPr>
    </w:p>
    <w:p>
      <w:pPr>
        <w:ind w:left="920" w:hanging="453"/>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25" w:lineRule="exact"/>
        <w:rPr>
          <w:rFonts w:ascii="Arial" w:cs="Arial" w:eastAsia="Arial" w:hAnsi="Arial"/>
          <w:sz w:val="18"/>
          <w:szCs w:val="18"/>
          <w:color w:val="auto"/>
        </w:rPr>
      </w:pPr>
    </w:p>
    <w:p>
      <w:pPr>
        <w:jc w:val="both"/>
        <w:ind w:left="920" w:right="120" w:hanging="453"/>
        <w:spacing w:after="0" w:line="263" w:lineRule="auto"/>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right="80" w:hanging="453"/>
        <w:spacing w:after="0" w:line="308" w:lineRule="auto"/>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40" w:hanging="453"/>
        <w:spacing w:after="0" w:line="291" w:lineRule="auto"/>
        <w:tabs>
          <w:tab w:leader="none" w:pos="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140" w:right="120" w:hanging="228"/>
        <w:spacing w:after="0" w:line="263" w:lineRule="auto"/>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228"/>
        <w:spacing w:after="0" w:line="263" w:lineRule="auto"/>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228"/>
        <w:spacing w:after="0" w:line="342" w:lineRule="auto"/>
        <w:tabs>
          <w:tab w:leader="none" w:pos="11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228"/>
        <w:spacing w:after="0" w:line="263" w:lineRule="auto"/>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60" w:hanging="228"/>
        <w:spacing w:after="0" w:line="342" w:lineRule="auto"/>
        <w:tabs>
          <w:tab w:leader="none" w:pos="11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60" w:hanging="228"/>
        <w:spacing w:after="0" w:line="277" w:lineRule="auto"/>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Date: August 9, 2021</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P. Stonehouse</w:t>
            </w:r>
          </w:p>
        </w:tc>
      </w:tr>
      <w:tr>
        <w:trPr>
          <w:trHeight w:val="195"/>
        </w:trPr>
        <w:tc>
          <w:tcPr>
            <w:tcW w:w="706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Jon P. Stonehouse</w:t>
            </w:r>
          </w:p>
        </w:tc>
      </w:tr>
      <w:tr>
        <w:trPr>
          <w:trHeight w:val="230"/>
        </w:trPr>
        <w:tc>
          <w:tcPr>
            <w:tcW w:w="70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Anthony Doyle, certify that:</w:t>
      </w:r>
    </w:p>
    <w:p>
      <w:pPr>
        <w:spacing w:after="0" w:line="225" w:lineRule="exact"/>
        <w:rPr>
          <w:sz w:val="20"/>
          <w:szCs w:val="20"/>
          <w:color w:val="auto"/>
        </w:rPr>
      </w:pPr>
    </w:p>
    <w:p>
      <w:pPr>
        <w:ind w:left="920" w:hanging="453"/>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BioCryst Pharmaceuticals, Inc.;</w:t>
      </w:r>
    </w:p>
    <w:p>
      <w:pPr>
        <w:spacing w:after="0" w:line="225" w:lineRule="exact"/>
        <w:rPr>
          <w:rFonts w:ascii="Arial" w:cs="Arial" w:eastAsia="Arial" w:hAnsi="Arial"/>
          <w:sz w:val="18"/>
          <w:szCs w:val="18"/>
          <w:color w:val="auto"/>
        </w:rPr>
      </w:pPr>
    </w:p>
    <w:p>
      <w:pPr>
        <w:jc w:val="both"/>
        <w:ind w:left="920" w:right="120" w:hanging="453"/>
        <w:spacing w:after="0" w:line="263" w:lineRule="auto"/>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right="80" w:hanging="453"/>
        <w:spacing w:after="0" w:line="308"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40" w:hanging="453"/>
        <w:spacing w:after="0" w:line="291" w:lineRule="auto"/>
        <w:tabs>
          <w:tab w:leader="none" w:pos="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140" w:right="120" w:hanging="228"/>
        <w:spacing w:after="0" w:line="263"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228"/>
        <w:spacing w:after="0" w:line="263"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228"/>
        <w:spacing w:after="0" w:line="342" w:lineRule="auto"/>
        <w:tabs>
          <w:tab w:leader="none" w:pos="11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228"/>
        <w:spacing w:after="0" w:line="263"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60" w:hanging="228"/>
        <w:spacing w:after="0" w:line="342" w:lineRule="auto"/>
        <w:tabs>
          <w:tab w:leader="none" w:pos="11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60" w:hanging="228"/>
        <w:spacing w:after="0" w:line="277"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Date: August 9, 2021</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Doyle</w:t>
            </w:r>
          </w:p>
        </w:tc>
      </w:tr>
      <w:tr>
        <w:trPr>
          <w:trHeight w:val="195"/>
        </w:trPr>
        <w:tc>
          <w:tcPr>
            <w:tcW w:w="71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Anthony Doyle</w:t>
            </w:r>
          </w:p>
        </w:tc>
      </w:tr>
      <w:tr>
        <w:trPr>
          <w:trHeight w:val="230"/>
        </w:trPr>
        <w:tc>
          <w:tcPr>
            <w:tcW w:w="71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BioCryst Pharmaceuticals, Inc. (the “Company”) on Form 10-Q for the period ended June 30, 2021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49" w:lineRule="exact"/>
        <w:rPr>
          <w:sz w:val="20"/>
          <w:szCs w:val="20"/>
          <w:color w:val="auto"/>
        </w:rPr>
      </w:pPr>
    </w:p>
    <w:p>
      <w:pPr>
        <w:ind w:left="1040" w:hanging="328"/>
        <w:spacing w:after="0"/>
        <w:tabs>
          <w:tab w:leader="none" w:pos="1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460" w:hanging="328"/>
        <w:spacing w:after="0" w:line="277" w:lineRule="auto"/>
        <w:tabs>
          <w:tab w:leader="none" w:pos="1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1297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2129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P. Stonehouse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ectPr>
          <w:pgSz w:w="11900" w:h="16838" w:orient="portrait"/>
          <w:cols w:equalWidth="0" w:num="1">
            <w:col w:w="11080"/>
          </w:cols>
          <w:pgMar w:left="48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of BioCryst Pharmaceuticals, Inc. (the “Company”) on Form 10-Q for the period ended June 30, 2021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1040" w:hanging="328"/>
        <w:spacing w:after="0"/>
        <w:tabs>
          <w:tab w:leader="none" w:pos="1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460" w:hanging="328"/>
        <w:spacing w:after="0" w:line="277" w:lineRule="auto"/>
        <w:tabs>
          <w:tab w:leader="none" w:pos="1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4439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sectPr>
      <w:pgSz w:w="11900" w:h="16838" w:orient="portrait"/>
      <w:cols w:equalWidth="0" w:num="1">
        <w:col w:w="11080"/>
      </w:cols>
      <w:pgMar w:left="48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lowerRoman"/>
      <w:start w:val="3"/>
    </w:lvl>
  </w:abstractNum>
  <w:abstractNum w:abstractNumId="7">
    <w:nsid w:val="D34B6A8"/>
    <w:multiLevelType w:val="hybridMultilevel"/>
    <w:lvl w:ilvl="0">
      <w:lvlJc w:val="left"/>
      <w:lvlText w:val="(%1)"/>
      <w:numFmt w:val="lowerRoman"/>
      <w:start w:val="3"/>
    </w:lvl>
  </w:abstractNum>
  <w:abstractNum w:abstractNumId="8">
    <w:nsid w:val="10233C99"/>
    <w:multiLevelType w:val="hybridMultilevel"/>
    <w:lvl w:ilvl="0">
      <w:lvlJc w:val="left"/>
      <w:lvlText w:val="%1"/>
      <w:numFmt w:val="upperLetter"/>
      <w:start w:val="6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1."/>
      <w:numFmt w:val="decimal"/>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01"/>
    </w:lvl>
  </w:abstractNum>
  <w:abstractNum w:abstractNumId="32">
    <w:nsid w:val="1EBA5D23"/>
    <w:multiLevelType w:val="hybridMultilevel"/>
    <w:lvl w:ilvl="0">
      <w:lvlJc w:val="left"/>
      <w:lvlText w:val="(%1)"/>
      <w:numFmt w:val="decimal"/>
      <w:start w:val="104"/>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1."/>
      <w:numFmt w:val="decimal"/>
      <w:start w:val="1"/>
    </w:lvl>
    <w:lvl w:ilvl="1">
      <w:lvlJc w:val="left"/>
      <w:lvlText w:val="(%2)"/>
      <w:numFmt w:val="lowerLetter"/>
      <w:start w:val="1"/>
    </w:lvl>
  </w:abstractNum>
  <w:abstractNum w:abstractNumId="35">
    <w:nsid w:val="540A471C"/>
    <w:multiLevelType w:val="hybridMultilevel"/>
    <w:lvl w:ilvl="0">
      <w:lvlJc w:val="left"/>
      <w:lvlText w:val="%1"/>
      <w:numFmt w:val="decimal"/>
      <w:start w:val="1"/>
    </w:lvl>
    <w:lvl w:ilvl="1">
      <w:lvlJc w:val="left"/>
      <w:lvlText w:val="(%2)"/>
      <w:numFmt w:val="lowerLetter"/>
      <w:start w:val="2"/>
    </w:lvl>
  </w:abstractNum>
  <w:abstractNum w:abstractNumId="36">
    <w:nsid w:val="7BD3EE7B"/>
    <w:multiLevelType w:val="hybridMultilevel"/>
    <w:lvl w:ilvl="0">
      <w:lvlJc w:val="left"/>
      <w:lvlText w:val="%1."/>
      <w:numFmt w:val="decimal"/>
      <w:start w:val="3"/>
    </w:lvl>
    <w:lvl w:ilvl="1">
      <w:lvlJc w:val="left"/>
      <w:lvlText w:val="%2"/>
      <w:numFmt w:val="lowerLetter"/>
      <w:start w:val="1"/>
    </w:lvl>
  </w:abstractNum>
  <w:abstractNum w:abstractNumId="37">
    <w:nsid w:val="51D9C564"/>
    <w:multiLevelType w:val="hybridMultilevel"/>
    <w:lvl w:ilvl="0">
      <w:lvlJc w:val="left"/>
      <w:lvlText w:val="%1."/>
      <w:numFmt w:val="decimal"/>
      <w:start w:val="4"/>
    </w:lvl>
    <w:lvl w:ilvl="1">
      <w:lvlJc w:val="left"/>
      <w:lvlText w:val="(%2)"/>
      <w:numFmt w:val="lowerLetter"/>
      <w:start w:val="1"/>
    </w:lvl>
  </w:abstractNum>
  <w:abstractNum w:abstractNumId="38">
    <w:nsid w:val="613EFDC5"/>
    <w:multiLevelType w:val="hybridMultilevel"/>
    <w:lvl w:ilvl="0">
      <w:lvlJc w:val="left"/>
      <w:lvlText w:val="(%1)"/>
      <w:numFmt w:val="lowerLetter"/>
      <w:start w:val="2"/>
    </w:lvl>
  </w:abstractNum>
  <w:abstractNum w:abstractNumId="39">
    <w:nsid w:val="BF72B14"/>
    <w:multiLevelType w:val="hybridMultilevel"/>
    <w:lvl w:ilvl="0">
      <w:lvlJc w:val="left"/>
      <w:lvlText w:val="%1"/>
      <w:numFmt w:val="decimal"/>
      <w:start w:val="1"/>
    </w:lvl>
    <w:lvl w:ilvl="1">
      <w:lvlJc w:val="left"/>
      <w:lvlText w:val="(%2)"/>
      <w:numFmt w:val="lowerLetter"/>
      <w:start w:val="3"/>
    </w:lvl>
  </w:abstractNum>
  <w:abstractNum w:abstractNumId="40">
    <w:nsid w:val="11447B73"/>
    <w:multiLevelType w:val="hybridMultilevel"/>
    <w:lvl w:ilvl="0">
      <w:lvlJc w:val="left"/>
      <w:lvlText w:val="%1."/>
      <w:numFmt w:val="decimal"/>
      <w:start w:val="5"/>
    </w:lvl>
    <w:lvl w:ilvl="1">
      <w:lvlJc w:val="left"/>
      <w:lvlText w:val="(%2)"/>
      <w:numFmt w:val="lowerLetter"/>
      <w:start w:val="1"/>
    </w:lvl>
  </w:abstractNum>
  <w:abstractNum w:abstractNumId="41">
    <w:nsid w:val="42963E5A"/>
    <w:multiLevelType w:val="hybridMultilevel"/>
    <w:lvl w:ilvl="0">
      <w:lvlJc w:val="left"/>
      <w:lvlText w:val="%1."/>
      <w:numFmt w:val="decimal"/>
      <w:start w:val="6"/>
    </w:lvl>
    <w:lvl w:ilvl="1">
      <w:lvlJc w:val="left"/>
      <w:lvlText w:val="(%2)"/>
      <w:numFmt w:val="lowerLetter"/>
      <w:start w:val="1"/>
    </w:lvl>
  </w:abstractNum>
  <w:abstractNum w:abstractNumId="42">
    <w:nsid w:val="A0382C5"/>
    <w:multiLevelType w:val="hybridMultilevel"/>
    <w:lvl w:ilvl="0">
      <w:lvlJc w:val="left"/>
      <w:lvlText w:val="(%1)"/>
      <w:numFmt w:val="lowerLetter"/>
      <w:start w:val="7"/>
    </w:lvl>
  </w:abstractNum>
  <w:abstractNum w:abstractNumId="43">
    <w:nsid w:val="8F2B15E"/>
    <w:multiLevelType w:val="hybridMultilevel"/>
    <w:lvl w:ilvl="0">
      <w:lvlJc w:val="left"/>
      <w:lvlText w:val="(%1)"/>
      <w:numFmt w:val="lowerLetter"/>
      <w:start w:val="8"/>
    </w:lvl>
  </w:abstractNum>
  <w:abstractNum w:abstractNumId="44">
    <w:nsid w:val="1A32234B"/>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45">
    <w:nsid w:val="3B0FD379"/>
    <w:multiLevelType w:val="hybridMultilevel"/>
    <w:lvl w:ilvl="0">
      <w:lvlJc w:val="left"/>
      <w:lvlText w:val="%1."/>
      <w:numFmt w:val="upperLetter"/>
      <w:start w:val="3"/>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4"/>
    </w:lvl>
  </w:abstractNum>
  <w:abstractNum w:abstractNumId="48">
    <w:nsid w:val="60B6DF70"/>
    <w:multiLevelType w:val="hybridMultilevel"/>
    <w:lvl w:ilvl="0">
      <w:lvlJc w:val="left"/>
      <w:lvlText w:val="%1."/>
      <w:numFmt w:val="decimal"/>
      <w:start w:val="7"/>
    </w:lvl>
  </w:abstractNum>
  <w:abstractNum w:abstractNumId="49">
    <w:nsid w:val="6A5EE64"/>
    <w:multiLevelType w:val="hybridMultilevel"/>
    <w:lvl w:ilvl="0">
      <w:lvlJc w:val="left"/>
      <w:lvlText w:val="%1."/>
      <w:numFmt w:val="decimal"/>
      <w:start w:val="1"/>
    </w:lvl>
    <w:lvl w:ilvl="1">
      <w:lvlJc w:val="left"/>
      <w:lvlText w:val="(%2)"/>
      <w:numFmt w:val="lowerRoman"/>
      <w:start w:val="3"/>
    </w:lvl>
  </w:abstractNum>
  <w:abstractNum w:abstractNumId="50">
    <w:nsid w:val="14330624"/>
    <w:multiLevelType w:val="hybridMultilevel"/>
    <w:lvl w:ilvl="0">
      <w:lvlJc w:val="left"/>
      <w:lvlText w:val="%1"/>
      <w:numFmt w:val="decimal"/>
      <w:start w:val="1"/>
    </w:lvl>
    <w:lvl w:ilvl="1">
      <w:lvlJc w:val="left"/>
      <w:lvlText w:val="(%2)"/>
      <w:numFmt w:val="lowerRoman"/>
      <w:start w:val="6"/>
    </w:lvl>
  </w:abstractNum>
  <w:abstractNum w:abstractNumId="51">
    <w:nsid w:val="7FFFCA1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2"/>
    </w:lvl>
  </w:abstractNum>
  <w:abstractNum w:abstractNumId="52">
    <w:nsid w:val="1A27709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3"/>
    </w:lvl>
  </w:abstractNum>
  <w:abstractNum w:abstractNumId="53">
    <w:nsid w:val="71EA110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54">
    <w:nsid w:val="100F59DC"/>
    <w:multiLevelType w:val="hybridMultilevel"/>
    <w:lvl w:ilvl="0">
      <w:lvlJc w:val="left"/>
      <w:lvlText w:val="(%1)"/>
      <w:numFmt w:val="lowerLetter"/>
      <w:start w:val="2"/>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55">
    <w:nsid w:val="7FB7E0AA"/>
    <w:multiLevelType w:val="hybridMultilevel"/>
    <w:lvl w:ilvl="0">
      <w:lvlJc w:val="left"/>
      <w:lvlText w:val="(%1)"/>
      <w:numFmt w:val="lowerLetter"/>
      <w:start w:val="4"/>
    </w:lvl>
  </w:abstractNum>
  <w:abstractNum w:abstractNumId="56">
    <w:nsid w:val="6EB5BD4"/>
    <w:multiLevelType w:val="hybridMultilevel"/>
    <w:lvl w:ilvl="0">
      <w:lvlJc w:val="left"/>
      <w:lvlText w:val="%1."/>
      <w:numFmt w:val="decimal"/>
      <w:start w:val="3"/>
    </w:lvl>
  </w:abstractNum>
  <w:abstractNum w:abstractNumId="57">
    <w:nsid w:val="6F6DD9AC"/>
    <w:multiLevelType w:val="hybridMultilevel"/>
    <w:lvl w:ilvl="0">
      <w:lvlJc w:val="left"/>
      <w:lvlText w:val="%1."/>
      <w:numFmt w:val="decimal"/>
      <w:start w:val="7"/>
    </w:lvl>
    <w:lvl w:ilvl="1">
      <w:lvlJc w:val="left"/>
      <w:lvlText w:val="(%2)"/>
      <w:numFmt w:val="lowerLetter"/>
      <w:start w:val="1"/>
    </w:lvl>
  </w:abstractNum>
  <w:abstractNum w:abstractNumId="58">
    <w:nsid w:val="94211F2"/>
    <w:multiLevelType w:val="hybridMultilevel"/>
    <w:lvl w:ilvl="0">
      <w:lvlJc w:val="left"/>
      <w:lvlText w:val="%1."/>
      <w:numFmt w:val="decimal"/>
      <w:start w:val="11"/>
    </w:lvl>
  </w:abstractNum>
  <w:abstractNum w:abstractNumId="59">
    <w:nsid w:val="885E1B"/>
    <w:multiLevelType w:val="hybridMultilevel"/>
    <w:lvl w:ilvl="0">
      <w:lvlJc w:val="left"/>
      <w:lvlText w:val="%1."/>
      <w:numFmt w:val="decimal"/>
      <w:start w:val="1"/>
    </w:lvl>
    <w:lvl w:ilvl="1">
      <w:lvlJc w:val="left"/>
      <w:lvlText w:val="(%2)"/>
      <w:numFmt w:val="lowerLetter"/>
      <w:start w:val="1"/>
    </w:lvl>
  </w:abstractNum>
  <w:abstractNum w:abstractNumId="60">
    <w:nsid w:val="76272110"/>
    <w:multiLevelType w:val="hybridMultilevel"/>
    <w:lvl w:ilvl="0">
      <w:lvlJc w:val="left"/>
      <w:lvlText w:val="%1"/>
      <w:numFmt w:val="decimal"/>
      <w:start w:val="1"/>
    </w:lvl>
    <w:lvl w:ilvl="1">
      <w:lvlJc w:val="left"/>
      <w:lvlText w:val="(%2)"/>
      <w:numFmt w:val="lowerLetter"/>
      <w:start w:val="2"/>
    </w:lvl>
  </w:abstractNum>
  <w:abstractNum w:abstractNumId="61">
    <w:nsid w:val="4C04A8AF"/>
    <w:multiLevelType w:val="hybridMultilevel"/>
    <w:lvl w:ilvl="0">
      <w:lvlJc w:val="left"/>
      <w:lvlText w:val="%1."/>
      <w:numFmt w:val="decimal"/>
      <w:start w:val="3"/>
    </w:lvl>
    <w:lvl w:ilvl="1">
      <w:lvlJc w:val="left"/>
      <w:lvlText w:val="%2"/>
      <w:numFmt w:val="lowerLetter"/>
      <w:start w:val="1"/>
    </w:lvl>
  </w:abstractNum>
  <w:abstractNum w:abstractNumId="62">
    <w:nsid w:val="1716703B"/>
    <w:multiLevelType w:val="hybridMultilevel"/>
    <w:lvl w:ilvl="0">
      <w:lvlJc w:val="left"/>
      <w:lvlText w:val="%1."/>
      <w:numFmt w:val="decimal"/>
      <w:start w:val="4"/>
    </w:lvl>
    <w:lvl w:ilvl="1">
      <w:lvlJc w:val="left"/>
      <w:lvlText w:val="(%2)"/>
      <w:numFmt w:val="lowerLetter"/>
      <w:start w:val="1"/>
    </w:lvl>
  </w:abstractNum>
  <w:abstractNum w:abstractNumId="63">
    <w:nsid w:val="14E17E33"/>
    <w:multiLevelType w:val="hybridMultilevel"/>
    <w:lvl w:ilvl="0">
      <w:lvlJc w:val="left"/>
      <w:lvlText w:val="(%1)"/>
      <w:numFmt w:val="lowerLetter"/>
      <w:start w:val="2"/>
    </w:lvl>
  </w:abstractNum>
  <w:abstractNum w:abstractNumId="64">
    <w:nsid w:val="3222E7CD"/>
    <w:multiLevelType w:val="hybridMultilevel"/>
    <w:lvl w:ilvl="0">
      <w:lvlJc w:val="left"/>
      <w:lvlText w:val="%1"/>
      <w:numFmt w:val="decimal"/>
      <w:start w:val="1"/>
    </w:lvl>
    <w:lvl w:ilvl="1">
      <w:lvlJc w:val="left"/>
      <w:lvlText w:val="(%2)"/>
      <w:numFmt w:val="lowerLetter"/>
      <w:start w:val="3"/>
    </w:lvl>
  </w:abstractNum>
  <w:abstractNum w:abstractNumId="65">
    <w:nsid w:val="74DE0EE3"/>
    <w:multiLevelType w:val="hybridMultilevel"/>
    <w:lvl w:ilvl="0">
      <w:lvlJc w:val="left"/>
      <w:lvlText w:val="%1."/>
      <w:numFmt w:val="decimal"/>
      <w:start w:val="5"/>
    </w:lvl>
    <w:lvl w:ilvl="1">
      <w:lvlJc w:val="left"/>
      <w:lvlText w:val="(%2)"/>
      <w:numFmt w:val="lowerLetter"/>
      <w:start w:val="1"/>
    </w:lvl>
  </w:abstractNum>
  <w:abstractNum w:abstractNumId="66">
    <w:nsid w:val="68EBC550"/>
    <w:multiLevelType w:val="hybridMultilevel"/>
    <w:lvl w:ilvl="0">
      <w:lvlJc w:val="left"/>
      <w:lvlText w:val="%1."/>
      <w:numFmt w:val="decimal"/>
      <w:start w:val="6"/>
    </w:lvl>
    <w:lvl w:ilvl="1">
      <w:lvlJc w:val="left"/>
      <w:lvlText w:val="(%2)"/>
      <w:numFmt w:val="lowerLetter"/>
      <w:start w:val="1"/>
    </w:lvl>
  </w:abstractNum>
  <w:abstractNum w:abstractNumId="67">
    <w:nsid w:val="2DF6D648"/>
    <w:multiLevelType w:val="hybridMultilevel"/>
    <w:lvl w:ilvl="0">
      <w:lvlJc w:val="left"/>
      <w:lvlText w:val="(%1)"/>
      <w:numFmt w:val="lowerLetter"/>
      <w:start w:val="7"/>
    </w:lvl>
  </w:abstractNum>
  <w:abstractNum w:abstractNumId="68">
    <w:nsid w:val="46B7D447"/>
    <w:multiLevelType w:val="hybridMultilevel"/>
    <w:lvl w:ilvl="0">
      <w:lvlJc w:val="left"/>
      <w:lvlText w:val="(%1)"/>
      <w:numFmt w:val="lowerLetter"/>
      <w:start w:val="8"/>
    </w:lvl>
  </w:abstractNum>
  <w:abstractNum w:abstractNumId="69">
    <w:nsid w:val="4A2AC315"/>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70">
    <w:nsid w:val="39EE015C"/>
    <w:multiLevelType w:val="hybridMultilevel"/>
    <w:lvl w:ilvl="0">
      <w:lvlJc w:val="left"/>
      <w:lvlText w:val="%1."/>
      <w:numFmt w:val="upperLetter"/>
      <w:start w:val="3"/>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decimal"/>
      <w:start w:val="4"/>
    </w:lvl>
  </w:abstractNum>
  <w:abstractNum w:abstractNumId="73">
    <w:nsid w:val="43F18422"/>
    <w:multiLevelType w:val="hybridMultilevel"/>
    <w:lvl w:ilvl="0">
      <w:lvlJc w:val="left"/>
      <w:lvlText w:val="%1."/>
      <w:numFmt w:val="decimal"/>
      <w:start w:val="7"/>
    </w:lvl>
  </w:abstractNum>
  <w:abstractNum w:abstractNumId="74">
    <w:nsid w:val="60EF0119"/>
    <w:multiLevelType w:val="hybridMultilevel"/>
    <w:lvl w:ilvl="0">
      <w:lvlJc w:val="left"/>
      <w:lvlText w:val="%1."/>
      <w:numFmt w:val="decimal"/>
      <w:start w:val="1"/>
    </w:lvl>
    <w:lvl w:ilvl="1">
      <w:lvlJc w:val="left"/>
      <w:lvlText w:val="(%2)"/>
      <w:numFmt w:val="lowerRoman"/>
      <w:start w:val="3"/>
    </w:lvl>
  </w:abstractNum>
  <w:abstractNum w:abstractNumId="75">
    <w:nsid w:val="26F324BA"/>
    <w:multiLevelType w:val="hybridMultilevel"/>
    <w:lvl w:ilvl="0">
      <w:lvlJc w:val="left"/>
      <w:lvlText w:val="%1"/>
      <w:numFmt w:val="decimal"/>
      <w:start w:val="1"/>
    </w:lvl>
    <w:lvl w:ilvl="1">
      <w:lvlJc w:val="left"/>
      <w:lvlText w:val="(%2)"/>
      <w:numFmt w:val="lowerRoman"/>
      <w:start w:val="6"/>
    </w:lvl>
  </w:abstractNum>
  <w:abstractNum w:abstractNumId="76">
    <w:nsid w:val="7F0157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2"/>
    </w:lvl>
  </w:abstractNum>
  <w:abstractNum w:abstractNumId="77">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3"/>
    </w:lvl>
  </w:abstractNum>
  <w:abstractNum w:abstractNumId="78">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79">
    <w:nsid w:val="5FB8370B"/>
    <w:multiLevelType w:val="hybridMultilevel"/>
    <w:lvl w:ilvl="0">
      <w:lvlJc w:val="left"/>
      <w:lvlText w:val="(%1)"/>
      <w:numFmt w:val="lowerLetter"/>
      <w:start w:val="2"/>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80">
    <w:nsid w:val="50801EE1"/>
    <w:multiLevelType w:val="hybridMultilevel"/>
    <w:lvl w:ilvl="0">
      <w:lvlJc w:val="left"/>
      <w:lvlText w:val="(%1)"/>
      <w:numFmt w:val="lowerLetter"/>
      <w:start w:val="4"/>
    </w:lvl>
  </w:abstractNum>
  <w:abstractNum w:abstractNumId="81">
    <w:nsid w:val="488AC1A"/>
    <w:multiLevelType w:val="hybridMultilevel"/>
    <w:lvl w:ilvl="0">
      <w:lvlJc w:val="left"/>
      <w:lvlText w:val="%1."/>
      <w:numFmt w:val="decimal"/>
      <w:start w:val="3"/>
    </w:lvl>
  </w:abstractNum>
  <w:abstractNum w:abstractNumId="82">
    <w:nsid w:val="5FB8011C"/>
    <w:multiLevelType w:val="hybridMultilevel"/>
    <w:lvl w:ilvl="0">
      <w:lvlJc w:val="left"/>
      <w:lvlText w:val="%1."/>
      <w:numFmt w:val="decimal"/>
      <w:start w:val="8"/>
    </w:lvl>
    <w:lvl w:ilvl="1">
      <w:lvlJc w:val="left"/>
      <w:lvlText w:val="(%2)"/>
      <w:numFmt w:val="lowerLetter"/>
      <w:start w:val="1"/>
    </w:lvl>
  </w:abstractNum>
  <w:abstractNum w:abstractNumId="83">
    <w:nsid w:val="6AA78F7F"/>
    <w:multiLevelType w:val="hybridMultilevel"/>
    <w:lvl w:ilvl="0">
      <w:lvlJc w:val="left"/>
      <w:lvlText w:val="%1."/>
      <w:numFmt w:val="decimal"/>
      <w:start w:val="11"/>
    </w:lvl>
  </w:abstractNum>
  <w:abstractNum w:abstractNumId="84">
    <w:nsid w:val="7672BD23"/>
    <w:multiLevelType w:val="hybridMultilevel"/>
    <w:lvl w:ilvl="0">
      <w:lvlJc w:val="left"/>
      <w:lvlText w:val="%1."/>
      <w:numFmt w:val="decimal"/>
      <w:start w:val="1"/>
    </w:lvl>
    <w:lvl w:ilvl="1">
      <w:lvlJc w:val="left"/>
      <w:lvlText w:val="(%2)"/>
      <w:numFmt w:val="lowerLetter"/>
      <w:start w:val="1"/>
    </w:lvl>
  </w:abstractNum>
  <w:abstractNum w:abstractNumId="85">
    <w:nsid w:val="6FC75AF8"/>
    <w:multiLevelType w:val="hybridMultilevel"/>
    <w:lvl w:ilvl="0">
      <w:lvlJc w:val="left"/>
      <w:lvlText w:val="%1"/>
      <w:numFmt w:val="decimal"/>
      <w:start w:val="1"/>
    </w:lvl>
    <w:lvl w:ilvl="1">
      <w:lvlJc w:val="left"/>
      <w:lvlText w:val="(%2)"/>
      <w:numFmt w:val="lowerLetter"/>
      <w:start w:val="2"/>
    </w:lvl>
  </w:abstractNum>
  <w:abstractNum w:abstractNumId="86">
    <w:nsid w:val="6A5F7029"/>
    <w:multiLevelType w:val="hybridMultilevel"/>
    <w:lvl w:ilvl="0">
      <w:lvlJc w:val="left"/>
      <w:lvlText w:val="%1."/>
      <w:numFmt w:val="decimal"/>
      <w:start w:val="3"/>
    </w:lvl>
    <w:lvl w:ilvl="1">
      <w:lvlJc w:val="left"/>
      <w:lvlText w:val="%2"/>
      <w:numFmt w:val="lowerLetter"/>
      <w:start w:val="1"/>
    </w:lvl>
  </w:abstractNum>
  <w:abstractNum w:abstractNumId="87">
    <w:nsid w:val="7D5E18F8"/>
    <w:multiLevelType w:val="hybridMultilevel"/>
    <w:lvl w:ilvl="0">
      <w:lvlJc w:val="left"/>
      <w:lvlText w:val="%1."/>
      <w:numFmt w:val="decimal"/>
      <w:start w:val="4"/>
    </w:lvl>
    <w:lvl w:ilvl="1">
      <w:lvlJc w:val="left"/>
      <w:lvlText w:val="(%2)"/>
      <w:numFmt w:val="lowerLetter"/>
      <w:start w:val="1"/>
    </w:lvl>
  </w:abstractNum>
  <w:abstractNum w:abstractNumId="88">
    <w:nsid w:val="5F3534A4"/>
    <w:multiLevelType w:val="hybridMultilevel"/>
    <w:lvl w:ilvl="0">
      <w:lvlJc w:val="left"/>
      <w:lvlText w:val="(%1)"/>
      <w:numFmt w:val="lowerLetter"/>
      <w:start w:val="2"/>
    </w:lvl>
  </w:abstractNum>
  <w:abstractNum w:abstractNumId="89">
    <w:nsid w:val="73A1821B"/>
    <w:multiLevelType w:val="hybridMultilevel"/>
    <w:lvl w:ilvl="0">
      <w:lvlJc w:val="left"/>
      <w:lvlText w:val="%1"/>
      <w:numFmt w:val="decimal"/>
      <w:start w:val="1"/>
    </w:lvl>
    <w:lvl w:ilvl="1">
      <w:lvlJc w:val="left"/>
      <w:lvlText w:val="(%2)"/>
      <w:numFmt w:val="lowerLetter"/>
      <w:start w:val="3"/>
    </w:lvl>
  </w:abstractNum>
  <w:abstractNum w:abstractNumId="90">
    <w:nsid w:val="7DE67713"/>
    <w:multiLevelType w:val="hybridMultilevel"/>
    <w:lvl w:ilvl="0">
      <w:lvlJc w:val="left"/>
      <w:lvlText w:val="%1."/>
      <w:numFmt w:val="decimal"/>
      <w:start w:val="5"/>
    </w:lvl>
    <w:lvl w:ilvl="1">
      <w:lvlJc w:val="left"/>
      <w:lvlText w:val="(%2)"/>
      <w:numFmt w:val="lowerLetter"/>
      <w:start w:val="1"/>
    </w:lvl>
  </w:abstractNum>
  <w:abstractNum w:abstractNumId="91">
    <w:nsid w:val="555C55B5"/>
    <w:multiLevelType w:val="hybridMultilevel"/>
    <w:lvl w:ilvl="0">
      <w:lvlJc w:val="left"/>
      <w:lvlText w:val="%1."/>
      <w:numFmt w:val="decimal"/>
      <w:start w:val="6"/>
    </w:lvl>
    <w:lvl w:ilvl="1">
      <w:lvlJc w:val="left"/>
      <w:lvlText w:val="(%2)"/>
      <w:numFmt w:val="lowerLetter"/>
      <w:start w:val="1"/>
    </w:lvl>
  </w:abstractNum>
  <w:abstractNum w:abstractNumId="92">
    <w:nsid w:val="3FA62ACA"/>
    <w:multiLevelType w:val="hybridMultilevel"/>
    <w:lvl w:ilvl="0">
      <w:lvlJc w:val="left"/>
      <w:lvlText w:val="(%1)"/>
      <w:numFmt w:val="lowerLetter"/>
      <w:start w:val="7"/>
    </w:lvl>
  </w:abstractNum>
  <w:abstractNum w:abstractNumId="93">
    <w:nsid w:val="14FCE74E"/>
    <w:multiLevelType w:val="hybridMultilevel"/>
    <w:lvl w:ilvl="0">
      <w:lvlJc w:val="left"/>
      <w:lvlText w:val="(%1)"/>
      <w:numFmt w:val="lowerLetter"/>
      <w:start w:val="8"/>
    </w:lvl>
  </w:abstractNum>
  <w:abstractNum w:abstractNumId="94">
    <w:nsid w:val="6A3DD3E8"/>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95">
    <w:nsid w:val="71C91298"/>
    <w:multiLevelType w:val="hybridMultilevel"/>
    <w:lvl w:ilvl="0">
      <w:lvlJc w:val="left"/>
      <w:lvlText w:val="%1."/>
      <w:numFmt w:val="upperLetter"/>
      <w:start w:val="3"/>
    </w:lvl>
  </w:abstractNum>
  <w:abstractNum w:abstractNumId="96">
    <w:nsid w:val="9DAF632"/>
    <w:multiLevelType w:val="hybridMultilevel"/>
    <w:lvl w:ilvl="0">
      <w:lvlJc w:val="left"/>
      <w:lvlText w:val="%1."/>
      <w:numFmt w:val="decimal"/>
      <w:start w:val="1"/>
    </w:lvl>
  </w:abstractNum>
  <w:abstractNum w:abstractNumId="97">
    <w:nsid w:val="53299938"/>
    <w:multiLevelType w:val="hybridMultilevel"/>
    <w:lvl w:ilvl="0">
      <w:lvlJc w:val="left"/>
      <w:lvlText w:val="%1."/>
      <w:numFmt w:val="decimal"/>
      <w:start w:val="4"/>
    </w:lvl>
  </w:abstractNum>
  <w:abstractNum w:abstractNumId="98">
    <w:nsid w:val="1FBFE8E0"/>
    <w:multiLevelType w:val="hybridMultilevel"/>
    <w:lvl w:ilvl="0">
      <w:lvlJc w:val="left"/>
      <w:lvlText w:val="%1."/>
      <w:numFmt w:val="decimal"/>
      <w:start w:val="7"/>
    </w:lvl>
  </w:abstractNum>
  <w:abstractNum w:abstractNumId="99">
    <w:nsid w:val="5092CA79"/>
    <w:multiLevelType w:val="hybridMultilevel"/>
    <w:lvl w:ilvl="0">
      <w:lvlJc w:val="left"/>
      <w:lvlText w:val="%1."/>
      <w:numFmt w:val="decimal"/>
      <w:start w:val="1"/>
    </w:lvl>
    <w:lvl w:ilvl="1">
      <w:lvlJc w:val="left"/>
      <w:lvlText w:val="(%2)"/>
      <w:numFmt w:val="lowerRoman"/>
      <w:start w:val="3"/>
    </w:lvl>
  </w:abstractNum>
  <w:abstractNum w:abstractNumId="100">
    <w:nsid w:val="1D545C4D"/>
    <w:multiLevelType w:val="hybridMultilevel"/>
    <w:lvl w:ilvl="0">
      <w:lvlJc w:val="left"/>
      <w:lvlText w:val="%1"/>
      <w:numFmt w:val="decimal"/>
      <w:start w:val="1"/>
    </w:lvl>
    <w:lvl w:ilvl="1">
      <w:lvlJc w:val="left"/>
      <w:lvlText w:val="(%2)"/>
      <w:numFmt w:val="lowerRoman"/>
      <w:start w:val="6"/>
    </w:lvl>
  </w:abstractNum>
  <w:abstractNum w:abstractNumId="101">
    <w:nsid w:val="59ADEA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2"/>
    </w:lvl>
  </w:abstractNum>
  <w:abstractNum w:abstractNumId="102">
    <w:nsid w:val="288F1A3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3"/>
    </w:lvl>
  </w:abstractNum>
  <w:abstractNum w:abstractNumId="103">
    <w:nsid w:val="2A155DB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104">
    <w:nsid w:val="1D9F6E5F"/>
    <w:multiLevelType w:val="hybridMultilevel"/>
    <w:lvl w:ilvl="0">
      <w:lvlJc w:val="left"/>
      <w:lvlText w:val="(%1)"/>
      <w:numFmt w:val="lowerLetter"/>
      <w:start w:val="2"/>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105">
    <w:nsid w:val="97E1B4E"/>
    <w:multiLevelType w:val="hybridMultilevel"/>
    <w:lvl w:ilvl="0">
      <w:lvlJc w:val="left"/>
      <w:lvlText w:val="(%1)"/>
      <w:numFmt w:val="lowerLetter"/>
      <w:start w:val="4"/>
    </w:lvl>
  </w:abstractNum>
  <w:abstractNum w:abstractNumId="106">
    <w:nsid w:val="51088277"/>
    <w:multiLevelType w:val="hybridMultilevel"/>
    <w:lvl w:ilvl="0">
      <w:lvlJc w:val="left"/>
      <w:lvlText w:val="%1."/>
      <w:numFmt w:val="decimal"/>
      <w:start w:val="3"/>
    </w:lvl>
  </w:abstractNum>
  <w:abstractNum w:abstractNumId="107">
    <w:nsid w:val="1CA0C5FA"/>
    <w:multiLevelType w:val="hybridMultilevel"/>
    <w:lvl w:ilvl="0">
      <w:lvlJc w:val="left"/>
      <w:lvlText w:val="%1."/>
      <w:numFmt w:val="decimal"/>
      <w:start w:val="8"/>
    </w:lvl>
    <w:lvl w:ilvl="1">
      <w:lvlJc w:val="left"/>
      <w:lvlText w:val="(%2)"/>
      <w:numFmt w:val="lowerLetter"/>
      <w:start w:val="1"/>
    </w:lvl>
  </w:abstractNum>
  <w:abstractNum w:abstractNumId="108">
    <w:nsid w:val="53584BCB"/>
    <w:multiLevelType w:val="hybridMultilevel"/>
    <w:lvl w:ilvl="0">
      <w:lvlJc w:val="left"/>
      <w:lvlText w:val="%1."/>
      <w:numFmt w:val="decimal"/>
      <w:start w:val="1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jpeg"/><Relationship Id="rId87" Type="http://schemas.openxmlformats.org/officeDocument/2006/relationships/image" Target="media/image69.jpeg"/><Relationship Id="rId88" Type="http://schemas.openxmlformats.org/officeDocument/2006/relationships/image" Target="media/image70.png"/><Relationship Id="rId89" Type="http://schemas.openxmlformats.org/officeDocument/2006/relationships/image" Target="media/image71.jpeg"/><Relationship Id="rId90" Type="http://schemas.openxmlformats.org/officeDocument/2006/relationships/image" Target="media/image72.png"/><Relationship Id="rId91" Type="http://schemas.openxmlformats.org/officeDocument/2006/relationships/image" Target="media/image73.jpeg"/><Relationship Id="rId92" Type="http://schemas.openxmlformats.org/officeDocument/2006/relationships/image" Target="media/image74.png"/><Relationship Id="rId93" Type="http://schemas.openxmlformats.org/officeDocument/2006/relationships/image" Target="media/image75.jpe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jpeg"/><Relationship Id="rId98" Type="http://schemas.openxmlformats.org/officeDocument/2006/relationships/image" Target="media/image80.png"/><Relationship Id="rId99" Type="http://schemas.openxmlformats.org/officeDocument/2006/relationships/image" Target="media/image81.jpeg"/><Relationship Id="rId100" Type="http://schemas.openxmlformats.org/officeDocument/2006/relationships/image" Target="media/image82.png"/><Relationship Id="rId101" Type="http://schemas.openxmlformats.org/officeDocument/2006/relationships/image" Target="media/image83.jpeg"/><Relationship Id="rId102" Type="http://schemas.openxmlformats.org/officeDocument/2006/relationships/image" Target="media/image84.png"/><Relationship Id="rId103" Type="http://schemas.openxmlformats.org/officeDocument/2006/relationships/image" Target="media/image85.jpeg"/><Relationship Id="rId104" Type="http://schemas.openxmlformats.org/officeDocument/2006/relationships/image" Target="media/image86.png"/><Relationship Id="rId105" Type="http://schemas.openxmlformats.org/officeDocument/2006/relationships/image" Target="media/image87.jpeg"/><Relationship Id="rId106" Type="http://schemas.openxmlformats.org/officeDocument/2006/relationships/image" Target="media/image88.png"/><Relationship Id="rId107" Type="http://schemas.openxmlformats.org/officeDocument/2006/relationships/image" Target="media/image89.jpeg"/><Relationship Id="rId108" Type="http://schemas.openxmlformats.org/officeDocument/2006/relationships/image" Target="media/image90.png"/><Relationship Id="rId109" Type="http://schemas.openxmlformats.org/officeDocument/2006/relationships/image" Target="media/image91.jpeg"/><Relationship Id="rId110" Type="http://schemas.openxmlformats.org/officeDocument/2006/relationships/image" Target="media/image92.png"/><Relationship Id="rId111" Type="http://schemas.openxmlformats.org/officeDocument/2006/relationships/image" Target="media/image93.jpeg"/><Relationship Id="rId112" Type="http://schemas.openxmlformats.org/officeDocument/2006/relationships/image" Target="media/image94.png"/><Relationship Id="rId113" Type="http://schemas.openxmlformats.org/officeDocument/2006/relationships/image" Target="media/image95.jpeg"/><Relationship Id="rId114" Type="http://schemas.openxmlformats.org/officeDocument/2006/relationships/image" Target="media/image96.jpe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jpeg"/><Relationship Id="rId121" Type="http://schemas.openxmlformats.org/officeDocument/2006/relationships/image" Target="media/image103.png"/><Relationship Id="rId122" Type="http://schemas.openxmlformats.org/officeDocument/2006/relationships/image" Target="media/image104.jpeg"/><Relationship Id="rId123" Type="http://schemas.openxmlformats.org/officeDocument/2006/relationships/image" Target="media/image105.png"/><Relationship Id="rId124" Type="http://schemas.openxmlformats.org/officeDocument/2006/relationships/image" Target="media/image106.jpeg"/><Relationship Id="rId125" Type="http://schemas.openxmlformats.org/officeDocument/2006/relationships/image" Target="media/image107.png"/><Relationship Id="rId126" Type="http://schemas.openxmlformats.org/officeDocument/2006/relationships/image" Target="media/image108.jpeg"/><Relationship Id="rId127" Type="http://schemas.openxmlformats.org/officeDocument/2006/relationships/image" Target="media/image109.png"/><Relationship Id="rId128" Type="http://schemas.openxmlformats.org/officeDocument/2006/relationships/image" Target="media/image110.jpeg"/><Relationship Id="rId129" Type="http://schemas.openxmlformats.org/officeDocument/2006/relationships/image" Target="media/image111.png"/><Relationship Id="rId130" Type="http://schemas.openxmlformats.org/officeDocument/2006/relationships/image" Target="media/image112.jpeg"/><Relationship Id="rId131" Type="http://schemas.openxmlformats.org/officeDocument/2006/relationships/image" Target="media/image113.png"/><Relationship Id="rId132" Type="http://schemas.openxmlformats.org/officeDocument/2006/relationships/image" Target="media/image114.jpeg"/><Relationship Id="rId133" Type="http://schemas.openxmlformats.org/officeDocument/2006/relationships/image" Target="media/image115.png"/><Relationship Id="rId134" Type="http://schemas.openxmlformats.org/officeDocument/2006/relationships/image" Target="media/image116.jpeg"/><Relationship Id="rId135" Type="http://schemas.openxmlformats.org/officeDocument/2006/relationships/image" Target="media/image117.png"/><Relationship Id="rId136" Type="http://schemas.openxmlformats.org/officeDocument/2006/relationships/image" Target="media/image118.jpeg"/><Relationship Id="rId137" Type="http://schemas.openxmlformats.org/officeDocument/2006/relationships/image" Target="media/image119.png"/><Relationship Id="rId138" Type="http://schemas.openxmlformats.org/officeDocument/2006/relationships/image" Target="media/image120.jpeg"/><Relationship Id="rId139" Type="http://schemas.openxmlformats.org/officeDocument/2006/relationships/image" Target="media/image121.png"/><Relationship Id="rId140" Type="http://schemas.openxmlformats.org/officeDocument/2006/relationships/image" Target="media/image122.jpeg"/><Relationship Id="rId141" Type="http://schemas.openxmlformats.org/officeDocument/2006/relationships/image" Target="media/image123.png"/><Relationship Id="rId142" Type="http://schemas.openxmlformats.org/officeDocument/2006/relationships/image" Target="media/image124.jpeg"/><Relationship Id="rId143" Type="http://schemas.openxmlformats.org/officeDocument/2006/relationships/image" Target="media/image125.png"/><Relationship Id="rId144" Type="http://schemas.openxmlformats.org/officeDocument/2006/relationships/image" Target="media/image126.jpeg"/><Relationship Id="rId145" Type="http://schemas.openxmlformats.org/officeDocument/2006/relationships/image" Target="media/image127.png"/><Relationship Id="rId146" Type="http://schemas.openxmlformats.org/officeDocument/2006/relationships/image" Target="media/image128.jpeg"/><Relationship Id="rId147" Type="http://schemas.openxmlformats.org/officeDocument/2006/relationships/image" Target="media/image129.png"/><Relationship Id="rId148" Type="http://schemas.openxmlformats.org/officeDocument/2006/relationships/image" Target="media/image130.jpeg"/><Relationship Id="rId149" Type="http://schemas.openxmlformats.org/officeDocument/2006/relationships/image" Target="media/image131.png"/><Relationship Id="rId150" Type="http://schemas.openxmlformats.org/officeDocument/2006/relationships/image" Target="media/image132.jpeg"/><Relationship Id="rId151" Type="http://schemas.openxmlformats.org/officeDocument/2006/relationships/image" Target="media/image133.png"/><Relationship Id="rId152" Type="http://schemas.openxmlformats.org/officeDocument/2006/relationships/image" Target="media/image134.jpeg"/><Relationship Id="rId153" Type="http://schemas.openxmlformats.org/officeDocument/2006/relationships/image" Target="media/image135.png"/><Relationship Id="rId154" Type="http://schemas.openxmlformats.org/officeDocument/2006/relationships/image" Target="media/image136.jpeg"/><Relationship Id="rId155" Type="http://schemas.openxmlformats.org/officeDocument/2006/relationships/image" Target="media/image137.png"/><Relationship Id="rId156" Type="http://schemas.openxmlformats.org/officeDocument/2006/relationships/image" Target="media/image138.jpeg"/><Relationship Id="rId157" Type="http://schemas.openxmlformats.org/officeDocument/2006/relationships/image" Target="media/image139.png"/><Relationship Id="rId158" Type="http://schemas.openxmlformats.org/officeDocument/2006/relationships/image" Target="media/image140.jpeg"/><Relationship Id="rId159" Type="http://schemas.openxmlformats.org/officeDocument/2006/relationships/image" Target="media/image141.png"/><Relationship Id="rId160" Type="http://schemas.openxmlformats.org/officeDocument/2006/relationships/image" Target="media/image142.jpe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jpeg"/><Relationship Id="rId167" Type="http://schemas.openxmlformats.org/officeDocument/2006/relationships/image" Target="media/image149.png"/><Relationship Id="rId168" Type="http://schemas.openxmlformats.org/officeDocument/2006/relationships/image" Target="media/image150.jpeg"/><Relationship Id="rId169" Type="http://schemas.openxmlformats.org/officeDocument/2006/relationships/image" Target="media/image151.png"/><Relationship Id="rId170" Type="http://schemas.openxmlformats.org/officeDocument/2006/relationships/image" Target="media/image152.jpeg"/><Relationship Id="rId171" Type="http://schemas.openxmlformats.org/officeDocument/2006/relationships/image" Target="media/image153.png"/><Relationship Id="rId172" Type="http://schemas.openxmlformats.org/officeDocument/2006/relationships/image" Target="media/image154.jpeg"/><Relationship Id="rId173" Type="http://schemas.openxmlformats.org/officeDocument/2006/relationships/image" Target="media/image155.png"/><Relationship Id="rId174" Type="http://schemas.openxmlformats.org/officeDocument/2006/relationships/image" Target="media/image156.jpeg"/><Relationship Id="rId175" Type="http://schemas.openxmlformats.org/officeDocument/2006/relationships/image" Target="media/image157.png"/><Relationship Id="rId176" Type="http://schemas.openxmlformats.org/officeDocument/2006/relationships/image" Target="media/image158.jpeg"/><Relationship Id="rId177" Type="http://schemas.openxmlformats.org/officeDocument/2006/relationships/image" Target="media/image159.png"/><Relationship Id="rId178" Type="http://schemas.openxmlformats.org/officeDocument/2006/relationships/image" Target="media/image160.jpeg"/><Relationship Id="rId179" Type="http://schemas.openxmlformats.org/officeDocument/2006/relationships/image" Target="media/image161.jpeg"/><Relationship Id="rId180" Type="http://schemas.openxmlformats.org/officeDocument/2006/relationships/image" Target="media/image162.png"/><Relationship Id="rId181" Type="http://schemas.openxmlformats.org/officeDocument/2006/relationships/image" Target="media/image163.jpeg"/><Relationship Id="rId182" Type="http://schemas.openxmlformats.org/officeDocument/2006/relationships/image" Target="media/image164.png"/><Relationship Id="rId183" Type="http://schemas.openxmlformats.org/officeDocument/2006/relationships/image" Target="media/image165.jpeg"/><Relationship Id="rId184" Type="http://schemas.openxmlformats.org/officeDocument/2006/relationships/image" Target="media/image166.png"/><Relationship Id="rId185" Type="http://schemas.openxmlformats.org/officeDocument/2006/relationships/image" Target="media/image167.jpeg"/><Relationship Id="rId186" Type="http://schemas.openxmlformats.org/officeDocument/2006/relationships/image" Target="media/image168.png"/><Relationship Id="rId187" Type="http://schemas.openxmlformats.org/officeDocument/2006/relationships/image" Target="media/image169.jpeg"/><Relationship Id="rId188" Type="http://schemas.openxmlformats.org/officeDocument/2006/relationships/image" Target="media/image170.png"/><Relationship Id="rId189" Type="http://schemas.openxmlformats.org/officeDocument/2006/relationships/image" Target="media/image171.jpeg"/><Relationship Id="rId190" Type="http://schemas.openxmlformats.org/officeDocument/2006/relationships/image" Target="media/image172.png"/><Relationship Id="rId191" Type="http://schemas.openxmlformats.org/officeDocument/2006/relationships/image" Target="media/image173.jpeg"/><Relationship Id="rId192" Type="http://schemas.openxmlformats.org/officeDocument/2006/relationships/image" Target="media/image174.png"/><Relationship Id="rId193" Type="http://schemas.openxmlformats.org/officeDocument/2006/relationships/image" Target="media/image175.jpeg"/><Relationship Id="rId194" Type="http://schemas.openxmlformats.org/officeDocument/2006/relationships/image" Target="media/image176.png"/><Relationship Id="rId195" Type="http://schemas.openxmlformats.org/officeDocument/2006/relationships/image" Target="media/image177.jpeg"/><Relationship Id="rId196" Type="http://schemas.openxmlformats.org/officeDocument/2006/relationships/image" Target="media/image178.png"/><Relationship Id="rId197" Type="http://schemas.openxmlformats.org/officeDocument/2006/relationships/image" Target="media/image179.jpeg"/><Relationship Id="rId198" Type="http://schemas.openxmlformats.org/officeDocument/2006/relationships/image" Target="media/image180.png"/><Relationship Id="rId199" Type="http://schemas.openxmlformats.org/officeDocument/2006/relationships/image" Target="media/image181.jpeg"/><Relationship Id="rId200" Type="http://schemas.openxmlformats.org/officeDocument/2006/relationships/image" Target="media/image182.png"/><Relationship Id="rId201" Type="http://schemas.openxmlformats.org/officeDocument/2006/relationships/image" Target="media/image183.jpeg"/><Relationship Id="rId202" Type="http://schemas.openxmlformats.org/officeDocument/2006/relationships/image" Target="media/image184.png"/><Relationship Id="rId203" Type="http://schemas.openxmlformats.org/officeDocument/2006/relationships/image" Target="media/image185.jpeg"/><Relationship Id="rId204" Type="http://schemas.openxmlformats.org/officeDocument/2006/relationships/image" Target="media/image186.png"/><Relationship Id="rId205" Type="http://schemas.openxmlformats.org/officeDocument/2006/relationships/image" Target="media/image187.jpeg"/><Relationship Id="rId206" Type="http://schemas.openxmlformats.org/officeDocument/2006/relationships/image" Target="media/image188.png"/><Relationship Id="rId207" Type="http://schemas.openxmlformats.org/officeDocument/2006/relationships/image" Target="media/image189.jpe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jpeg"/><Relationship Id="rId214" Type="http://schemas.openxmlformats.org/officeDocument/2006/relationships/image" Target="media/image196.png"/><Relationship Id="rId215" Type="http://schemas.openxmlformats.org/officeDocument/2006/relationships/image" Target="media/image197.jpeg"/><Relationship Id="rId216" Type="http://schemas.openxmlformats.org/officeDocument/2006/relationships/image" Target="media/image198.png"/><Relationship Id="rId217" Type="http://schemas.openxmlformats.org/officeDocument/2006/relationships/image" Target="media/image199.jpeg"/><Relationship Id="rId218" Type="http://schemas.openxmlformats.org/officeDocument/2006/relationships/image" Target="media/image200.png"/><Relationship Id="rId219" Type="http://schemas.openxmlformats.org/officeDocument/2006/relationships/image" Target="media/image201.jpeg"/><Relationship Id="rId220" Type="http://schemas.openxmlformats.org/officeDocument/2006/relationships/image" Target="media/image202.png"/><Relationship Id="rId221" Type="http://schemas.openxmlformats.org/officeDocument/2006/relationships/image" Target="media/image203.jpeg"/><Relationship Id="rId222" Type="http://schemas.openxmlformats.org/officeDocument/2006/relationships/image" Target="media/image204.png"/><Relationship Id="rId223" Type="http://schemas.openxmlformats.org/officeDocument/2006/relationships/image" Target="media/image205.jpeg"/><Relationship Id="rId224" Type="http://schemas.openxmlformats.org/officeDocument/2006/relationships/image" Target="media/image206.png"/><Relationship Id="rId225" Type="http://schemas.openxmlformats.org/officeDocument/2006/relationships/image" Target="media/image207.jpeg"/><Relationship Id="rId226" Type="http://schemas.openxmlformats.org/officeDocument/2006/relationships/image" Target="media/image208.png"/><Relationship Id="rId227" Type="http://schemas.openxmlformats.org/officeDocument/2006/relationships/image" Target="media/image209.png"/><Relationship Id="rId70" Type="http://schemas.openxmlformats.org/officeDocument/2006/relationships/hyperlink" Target="http://www.sec.gov/Archives/edgar/data/882796/000103570406000836/d42297exv3w1.htm" TargetMode="External"/><Relationship Id="rId71" Type="http://schemas.openxmlformats.org/officeDocument/2006/relationships/hyperlink" Target="http://www.sec.gov/Archives/edgar/data/882796/000136231007001386/c70813exv3w1.htm" TargetMode="External"/><Relationship Id="rId72" Type="http://schemas.openxmlformats.org/officeDocument/2006/relationships/hyperlink" Target="http://www.sec.gov/Archives/edgar/data/882796/000136231008006580/c76716exv3w1.htm" TargetMode="External"/><Relationship Id="rId73" Type="http://schemas.openxmlformats.org/officeDocument/2006/relationships/hyperlink" Target="http://www.sec.gov/Archives/edgar/data/882796/000119312514186707/d722313dex31.htm" TargetMode="External"/><Relationship Id="rId74" Type="http://schemas.openxmlformats.org/officeDocument/2006/relationships/hyperlink" Target="http://www.sec.gov/Archives/edgar/data/882796/000119312514186707/d722313dex32.htm" TargetMode="External"/><Relationship Id="rId75" Type="http://schemas.openxmlformats.org/officeDocument/2006/relationships/hyperlink" Target="http://www.sec.gov/Archives/edgar/data/882796/000117184320003680/exh_31.htm" TargetMode="External"/><Relationship Id="rId76" Type="http://schemas.openxmlformats.org/officeDocument/2006/relationships/hyperlink" Target="http://www.sec.gov/Archives/edgar/data/882796/000117184320003680/exh_32.htm" TargetMode="External"/><Relationship Id="rId77" Type="http://schemas.openxmlformats.org/officeDocument/2006/relationships/hyperlink" Target="http://www.sec.gov/Archives/edgar/data/882796/000136231008006580/c76716exv3w2.htm" TargetMode="External"/><Relationship Id="rId78" Type="http://schemas.openxmlformats.org/officeDocument/2006/relationships/hyperlink" Target="http://www.sec.gov/Archives/edgar/data/882796/000110465918003194/a18-3548_1ex3d1.htm#Exhibit3_1_084143" TargetMode="External"/><Relationship Id="rId79" Type="http://schemas.openxmlformats.org/officeDocument/2006/relationships/hyperlink" Target="http://www.sec.gov/Archives/edgar/data/882796/000117184321003792/exh_101.htm" TargetMode="External"/><Relationship Id="rId80" Type="http://schemas.openxmlformats.org/officeDocument/2006/relationships/hyperlink" Target="http://www.sec.gov/Archives/edgar/data/882796/000117184321003792/exh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2021-08-09T06:37:45Z</dcterms:created>
  <dcterms:modified xsi:type="dcterms:W3CDTF">2021-08-09T06:37:45Z</dcterms:modified>
</cp:coreProperties>
</file>