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 to ______________________</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000-23186</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CellMar>
          <w:top w:w="28" w:type="dxa"/>
          <w:left w:w="28" w:type="dxa"/>
          <w:bottom w:w="28" w:type="dxa"/>
          <w:right w:w="28" w:type="dxa"/>
        </w:tblCellMar>
      </w:tblPr>
      <w:tblGrid>
        <w:gridCol w:w="1192"/>
        <w:gridCol w:w="1046"/>
        <w:gridCol w:w="1062"/>
        <w:gridCol w:w="481"/>
        <w:gridCol w:w="481"/>
        <w:gridCol w:w="687"/>
      </w:tblGrid>
      <w:tr>
        <w:trPr/>
        <w:tc>
          <w:tcPr>
            <w:tcW w:w="119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62-1413174</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4505 Emperor Blvd., Suite 200</w:t>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Durham, North Carolina</w:t>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27703</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+1-919-859-1302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left"/>
        <w:tblInd w:w="0" w:type="dxa"/>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lineRule="auto" w:line="288" w:before="20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0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spacing w:lineRule="auto" w:line="288" w:before="20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20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par value $0.01, of the Registrant outstanding as of April 28, 2023 was 188,934,787.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028" w:type="dxa"/>
        <w:jc w:val="left"/>
        <w:tblInd w:w="0" w:type="dxa"/>
        <w:tblCellMar>
          <w:top w:w="28" w:type="dxa"/>
          <w:left w:w="28" w:type="dxa"/>
          <w:bottom w:w="28" w:type="dxa"/>
          <w:right w:w="28" w:type="dxa"/>
        </w:tblCellMar>
      </w:tblPr>
      <w:tblGrid>
        <w:gridCol w:w="2945"/>
        <w:gridCol w:w="2587"/>
        <w:gridCol w:w="2597"/>
        <w:gridCol w:w="263"/>
        <w:gridCol w:w="263"/>
        <w:gridCol w:w="373"/>
      </w:tblGrid>
      <w:tr>
        <w:trPr/>
        <w:tc>
          <w:tcPr>
            <w:tcW w:w="2945"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c>
          <w:tcPr>
            <w:tcW w:w="259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0">
              <w:r>
                <w:rPr>
                  <w:rStyle w:val="InternetLink"/>
                  <w:rFonts w:ascii="Times New Roman;sans-serif" w:hAnsi="Times New Roman;sans-serif"/>
                  <w:b w:val="false"/>
                  <w:color w:val="0000FF"/>
                  <w:sz w:val="20"/>
                  <w:u w:val="single"/>
                </w:rPr>
                <w:t>Cautionary Note Regarding Forward-Looking Statements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0">
              <w:r>
                <w:rPr>
                  <w:rStyle w:val="InternetLink"/>
                  <w:rFonts w:ascii="Times New Roman;sans-serif" w:hAnsi="Times New Roman;sans-serif"/>
                  <w:b w:val="false"/>
                  <w:color w:val="0000FF"/>
                  <w:sz w:val="20"/>
                  <w:u w:val="single"/>
                </w:rPr>
                <w:t>i</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3">
              <w:r>
                <w:rPr>
                  <w:rStyle w:val="InternetLink"/>
                  <w:rFonts w:ascii="Times New Roman;sans-serif" w:hAnsi="Times New Roman;sans-serif"/>
                  <w:b w:val="false"/>
                  <w:color w:val="0000FF"/>
                  <w:sz w:val="20"/>
                  <w:u w:val="single"/>
                </w:rPr>
                <w:t>Risk Factor Summary</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3">
              <w:r>
                <w:rPr>
                  <w:rStyle w:val="InternetLink"/>
                  <w:rFonts w:ascii="Times New Roman;sans-serif" w:hAnsi="Times New Roman;sans-serif"/>
                  <w:b w:val="false"/>
                  <w:color w:val="0000FF"/>
                  <w:sz w:val="20"/>
                  <w:u w:val="single"/>
                </w:rPr>
                <w:t>ii</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6">
              <w:r>
                <w:rPr>
                  <w:rStyle w:val="InternetLink"/>
                  <w:rFonts w:ascii="Times New Roman;sans-serif" w:hAnsi="Times New Roman;sans-serif"/>
                  <w:b w:val="false"/>
                  <w:color w:val="0000FF"/>
                  <w:sz w:val="20"/>
                  <w:u w:val="single"/>
                </w:rPr>
                <w:t>Part I. Financial Information</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6">
              <w:r>
                <w:rPr>
                  <w:rStyle w:val="InternetLink"/>
                  <w:rFonts w:ascii="Times New Roman;sans-serif" w:hAnsi="Times New Roman;sans-serif"/>
                  <w:b w:val="false"/>
                  <w:color w:val="0000FF"/>
                  <w:sz w:val="20"/>
                  <w:u w:val="single"/>
                </w:rPr>
                <w:t>1</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9">
              <w:r>
                <w:rPr>
                  <w:rStyle w:val="InternetLink"/>
                  <w:rFonts w:ascii="Times New Roman;sans-serif" w:hAnsi="Times New Roman;sans-serif"/>
                  <w:b w:val="false"/>
                  <w:color w:val="0000FF"/>
                  <w:sz w:val="20"/>
                  <w:u w:val="single"/>
                </w:rPr>
                <w:t>Item 1. Financial Statements: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9">
              <w:r>
                <w:rPr>
                  <w:rStyle w:val="InternetLink"/>
                  <w:rFonts w:ascii="Times New Roman;sans-serif" w:hAnsi="Times New Roman;sans-serif"/>
                  <w:b w:val="false"/>
                  <w:color w:val="0000FF"/>
                  <w:sz w:val="20"/>
                  <w:u w:val="single"/>
                </w:rPr>
                <w:t>1</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22">
              <w:r>
                <w:rPr>
                  <w:rStyle w:val="InternetLink"/>
                  <w:rFonts w:ascii="Times New Roman;sans-serif" w:hAnsi="Times New Roman;sans-serif"/>
                  <w:b w:val="false"/>
                  <w:color w:val="0000FF"/>
                  <w:sz w:val="20"/>
                  <w:u w:val="single"/>
                </w:rPr>
                <w:t>Consolidated Balance Sheets - March 31, 2023 and December 31, 2022</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22">
              <w:r>
                <w:rPr>
                  <w:rStyle w:val="InternetLink"/>
                  <w:rFonts w:ascii="Times New Roman;sans-serif" w:hAnsi="Times New Roman;sans-serif"/>
                  <w:b w:val="false"/>
                  <w:color w:val="0000FF"/>
                  <w:sz w:val="20"/>
                  <w:u w:val="single"/>
                </w:rPr>
                <w:t>1</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25">
              <w:r>
                <w:rPr>
                  <w:rStyle w:val="InternetLink"/>
                </w:rPr>
                <w:t xml:space="preserve">Consolidated Statements of Comprehensive Loss - Three </w:t>
              </w:r>
            </w:hyperlink>
            <w:hyperlink w:anchor="i62e9c526a8db412c9dc8c3402d04ef9f_25">
              <w:r>
                <w:rPr>
                  <w:rStyle w:val="InternetLink"/>
                </w:rPr>
                <w:t>Months Ended March 31, 2023 and 2022</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25">
              <w:r>
                <w:rPr>
                  <w:rStyle w:val="InternetLink"/>
                  <w:rFonts w:ascii="Times New Roman;sans-serif" w:hAnsi="Times New Roman;sans-serif"/>
                  <w:b w:val="false"/>
                  <w:color w:val="0000FF"/>
                  <w:sz w:val="20"/>
                  <w:u w:val="single"/>
                </w:rPr>
                <w:t>2</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28">
              <w:r>
                <w:rPr>
                  <w:rStyle w:val="InternetLink"/>
                  <w:rFonts w:ascii="Times New Roman;sans-serif" w:hAnsi="Times New Roman;sans-serif"/>
                  <w:b w:val="false"/>
                  <w:color w:val="0000FF"/>
                  <w:sz w:val="20"/>
                  <w:u w:val="single"/>
                </w:rPr>
                <w:t>Consolidated Statements of Cash Flows - Three Months Ended March 31, 2023 and 2022</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28">
              <w:r>
                <w:rPr>
                  <w:rStyle w:val="InternetLink"/>
                  <w:rFonts w:ascii="Times New Roman;sans-serif" w:hAnsi="Times New Roman;sans-serif"/>
                  <w:b w:val="false"/>
                  <w:color w:val="0000FF"/>
                  <w:sz w:val="20"/>
                  <w:u w:val="single"/>
                </w:rPr>
                <w:t>3</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31">
              <w:r>
                <w:rPr>
                  <w:rStyle w:val="InternetLink"/>
                  <w:rFonts w:ascii="Times New Roman;sans-serif" w:hAnsi="Times New Roman;sans-serif"/>
                  <w:b w:val="false"/>
                  <w:color w:val="0000FF"/>
                  <w:sz w:val="20"/>
                  <w:u w:val="single"/>
                </w:rPr>
                <w:t>Consolidated Statements of Stockholders’ Deficit - Three Months Ended March 31, 2023 and 2022</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31">
              <w:r>
                <w:rPr>
                  <w:rStyle w:val="InternetLink"/>
                  <w:rFonts w:ascii="Times New Roman;sans-serif" w:hAnsi="Times New Roman;sans-serif"/>
                  <w:b w:val="false"/>
                  <w:color w:val="0000FF"/>
                  <w:sz w:val="20"/>
                  <w:u w:val="single"/>
                </w:rPr>
                <w:t>4</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34">
              <w:r>
                <w:rPr>
                  <w:rStyle w:val="InternetLink"/>
                  <w:rFonts w:ascii="Times New Roman;sans-serif" w:hAnsi="Times New Roman;sans-serif"/>
                  <w:b w:val="false"/>
                  <w:color w:val="0000FF"/>
                  <w:sz w:val="20"/>
                  <w:u w:val="single"/>
                </w:rPr>
                <w:t>Notes to Consolidated Financial Statements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34">
              <w:r>
                <w:rPr>
                  <w:rStyle w:val="InternetLink"/>
                  <w:rFonts w:ascii="Times New Roman;sans-serif" w:hAnsi="Times New Roman;sans-serif"/>
                  <w:b w:val="false"/>
                  <w:color w:val="0000FF"/>
                  <w:sz w:val="20"/>
                  <w:u w:val="single"/>
                </w:rPr>
                <w:t>5</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7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76">
              <w:r>
                <w:rPr>
                  <w:rStyle w:val="InternetLink"/>
                  <w:rFonts w:ascii="Times New Roman;sans-serif" w:hAnsi="Times New Roman;sans-serif"/>
                  <w:b w:val="false"/>
                  <w:color w:val="0000FF"/>
                  <w:sz w:val="20"/>
                  <w:u w:val="single"/>
                </w:rPr>
                <w:t>26</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03">
              <w:r>
                <w:rPr>
                  <w:rStyle w:val="InternetLink"/>
                  <w:rFonts w:ascii="Times New Roman;sans-serif" w:hAnsi="Times New Roman;sans-serif"/>
                  <w:b w:val="false"/>
                  <w:color w:val="0000FF"/>
                  <w:sz w:val="20"/>
                  <w:u w:val="single"/>
                </w:rPr>
                <w:t>Item 3. Quantitative and Qualitative Disclosures About Market Risk</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03">
              <w:r>
                <w:rPr>
                  <w:rStyle w:val="InternetLink"/>
                  <w:rFonts w:ascii="Times New Roman;sans-serif" w:hAnsi="Times New Roman;sans-serif"/>
                  <w:b w:val="false"/>
                  <w:color w:val="0000FF"/>
                  <w:sz w:val="20"/>
                  <w:u w:val="single"/>
                </w:rPr>
                <w:t>36</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06">
              <w:r>
                <w:rPr>
                  <w:rStyle w:val="InternetLink"/>
                  <w:rFonts w:ascii="Times New Roman;sans-serif" w:hAnsi="Times New Roman;sans-serif"/>
                  <w:b w:val="false"/>
                  <w:color w:val="0000FF"/>
                  <w:sz w:val="20"/>
                  <w:u w:val="single"/>
                </w:rPr>
                <w:t>Item 4. Controls and Procedures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06">
              <w:r>
                <w:rPr>
                  <w:rStyle w:val="InternetLink"/>
                  <w:rFonts w:ascii="Times New Roman;sans-serif" w:hAnsi="Times New Roman;sans-serif"/>
                  <w:b w:val="false"/>
                  <w:color w:val="0000FF"/>
                  <w:sz w:val="20"/>
                  <w:u w:val="single"/>
                </w:rPr>
                <w:t>37</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09">
              <w:r>
                <w:rPr>
                  <w:rStyle w:val="InternetLink"/>
                  <w:rFonts w:ascii="Times New Roman;sans-serif" w:hAnsi="Times New Roman;sans-serif"/>
                  <w:b w:val="false"/>
                  <w:color w:val="0000FF"/>
                  <w:sz w:val="20"/>
                  <w:u w:val="single"/>
                </w:rPr>
                <w:t>Part II. Other Information</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09">
              <w:r>
                <w:rPr>
                  <w:rStyle w:val="InternetLink"/>
                  <w:rFonts w:ascii="Times New Roman;sans-serif" w:hAnsi="Times New Roman;sans-serif"/>
                  <w:b w:val="false"/>
                  <w:color w:val="0000FF"/>
                  <w:sz w:val="20"/>
                  <w:u w:val="single"/>
                </w:rPr>
                <w:t>39</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12">
              <w:r>
                <w:rPr>
                  <w:rStyle w:val="InternetLink"/>
                  <w:rFonts w:ascii="Times New Roman;sans-serif" w:hAnsi="Times New Roman;sans-serif"/>
                  <w:b w:val="false"/>
                  <w:color w:val="0000FF"/>
                  <w:sz w:val="20"/>
                  <w:u w:val="single"/>
                </w:rPr>
                <w:t>Item 1A. Risk Factors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12">
              <w:r>
                <w:rPr>
                  <w:rStyle w:val="InternetLink"/>
                  <w:rFonts w:ascii="Times New Roman;sans-serif" w:hAnsi="Times New Roman;sans-serif"/>
                  <w:b w:val="false"/>
                  <w:color w:val="0000FF"/>
                  <w:sz w:val="20"/>
                  <w:u w:val="single"/>
                </w:rPr>
                <w:t>39</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15">
              <w:r>
                <w:rPr>
                  <w:rStyle w:val="InternetLink"/>
                  <w:rFonts w:ascii="Times New Roman;sans-serif" w:hAnsi="Times New Roman;sans-serif"/>
                  <w:b w:val="false"/>
                  <w:color w:val="0000FF"/>
                  <w:sz w:val="20"/>
                  <w:u w:val="single"/>
                </w:rPr>
                <w:t>Item 6. Exhibits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15">
              <w:r>
                <w:rPr>
                  <w:rStyle w:val="InternetLink"/>
                  <w:rFonts w:ascii="Times New Roman;sans-serif" w:hAnsi="Times New Roman;sans-serif"/>
                  <w:b w:val="false"/>
                  <w:color w:val="0000FF"/>
                  <w:sz w:val="20"/>
                  <w:u w:val="single"/>
                </w:rPr>
                <w:t>65</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62e9c526a8db412c9dc8c3402d04ef9f_118">
              <w:r>
                <w:rPr>
                  <w:rStyle w:val="InternetLink"/>
                  <w:rFonts w:ascii="Times New Roman;sans-serif" w:hAnsi="Times New Roman;sans-serif"/>
                  <w:b w:val="false"/>
                  <w:color w:val="0000FF"/>
                  <w:sz w:val="20"/>
                  <w:u w:val="single"/>
                </w:rPr>
                <w:t>Signatures</w:t>
              </w:r>
            </w:hyperlink>
          </w:p>
        </w:tc>
        <w:tc>
          <w:tcPr>
            <w:tcW w:w="89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62e9c526a8db412c9dc8c3402d04ef9f_118">
              <w:r>
                <w:rPr>
                  <w:rStyle w:val="InternetLink"/>
                  <w:rFonts w:ascii="Times New Roman;sans-serif" w:hAnsi="Times New Roman;sans-serif"/>
                  <w:b w:val="false"/>
                  <w:color w:val="0000FF"/>
                  <w:sz w:val="20"/>
                  <w:u w:val="single"/>
                </w:rPr>
                <w:t>66</w:t>
              </w:r>
            </w:hyperlink>
          </w:p>
        </w:tc>
      </w:tr>
      <w:tr>
        <w:trPr/>
        <w:tc>
          <w:tcPr>
            <w:tcW w:w="8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bcrx-20230331xexx311.htm">
              <w:r>
                <w:rPr>
                  <w:rStyle w:val="InternetLink"/>
                  <w:rFonts w:ascii="Times New Roman;sans-serif" w:hAnsi="Times New Roman;sans-serif"/>
                  <w:b w:val="false"/>
                  <w:color w:val="0000FF"/>
                  <w:sz w:val="20"/>
                  <w:u w:val="single"/>
                </w:rPr>
                <w:t>EX-31.1</w:t>
              </w:r>
            </w:hyperlink>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bcrx-20230331xexx312.htm">
              <w:r>
                <w:rPr>
                  <w:rStyle w:val="InternetLink"/>
                  <w:rFonts w:ascii="Times New Roman;sans-serif" w:hAnsi="Times New Roman;sans-serif"/>
                  <w:b w:val="false"/>
                  <w:color w:val="0000FF"/>
                  <w:sz w:val="20"/>
                  <w:u w:val="single"/>
                </w:rPr>
                <w:t>EX-31.2</w:t>
              </w:r>
            </w:hyperlink>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bcrx-20230331xexx321.htm">
              <w:r>
                <w:rPr>
                  <w:rStyle w:val="InternetLink"/>
                  <w:rFonts w:ascii="Times New Roman;sans-serif" w:hAnsi="Times New Roman;sans-serif"/>
                  <w:b w:val="false"/>
                  <w:color w:val="0000FF"/>
                  <w:sz w:val="20"/>
                  <w:u w:val="single"/>
                </w:rPr>
                <w:t>EX-32.1</w:t>
              </w:r>
            </w:hyperlink>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2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bcrx-20230331xexx322.htm">
              <w:r>
                <w:rPr>
                  <w:rStyle w:val="InternetLink"/>
                  <w:rFonts w:ascii="Times New Roman;sans-serif" w:hAnsi="Times New Roman;sans-serif"/>
                  <w:b w:val="false"/>
                  <w:color w:val="0000FF"/>
                  <w:sz w:val="20"/>
                  <w:u w:val="single"/>
                </w:rPr>
                <w:t>EX-32.2</w:t>
              </w:r>
            </w:hyperlink>
          </w:p>
        </w:tc>
        <w:tc>
          <w:tcPr>
            <w:tcW w:w="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pPr>
      <w:r>
        <w:rPr>
          <w:rFonts w:ascii="Times New Roman;sans-serif" w:hAnsi="Times New Roman;sans-serif"/>
          <w:b w:val="false"/>
          <w:i/>
          <w:color w:val="000000"/>
          <w:sz w:val="20"/>
        </w:rPr>
        <w:t xml:space="preserve">When used in this report, unless otherwise indicated, </w:t>
      </w:r>
      <w:r>
        <w:rPr>
          <w:color w:val="000000"/>
        </w:rPr>
        <w:t>“</w:t>
      </w:r>
      <w:r>
        <w:rPr>
          <w:rFonts w:ascii="Times New Roman;sans-serif" w:hAnsi="Times New Roman;sans-serif"/>
          <w:b w:val="false"/>
          <w:i/>
          <w:color w:val="000000"/>
          <w:sz w:val="20"/>
        </w:rPr>
        <w:t>we,</w:t>
      </w:r>
      <w:r>
        <w:rPr>
          <w:color w:val="000000"/>
        </w:rPr>
        <w:t>” “</w:t>
      </w:r>
      <w:r>
        <w:rPr>
          <w:rFonts w:ascii="Times New Roman;sans-serif" w:hAnsi="Times New Roman;sans-serif"/>
          <w:b w:val="false"/>
          <w:i/>
          <w:color w:val="000000"/>
          <w:sz w:val="20"/>
        </w:rPr>
        <w:t>our,</w:t>
      </w:r>
      <w:r>
        <w:rPr>
          <w:color w:val="000000"/>
        </w:rPr>
        <w:t>”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i/>
          <w:color w:val="000000"/>
          <w:sz w:val="20"/>
        </w:rPr>
        <w:t xml:space="preserve">the </w:t>
      </w: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BioCryst</w:t>
      </w:r>
      <w:r>
        <w:rPr>
          <w:color w:val="000000"/>
        </w:rPr>
        <w:t xml:space="preserve">” </w:t>
      </w:r>
      <w:r>
        <w:rPr>
          <w:rFonts w:ascii="Times New Roman;sans-serif" w:hAnsi="Times New Roman;sans-serif"/>
          <w:b w:val="false"/>
          <w:i/>
          <w:color w:val="000000"/>
          <w:sz w:val="20"/>
        </w:rPr>
        <w:t>refer to BioCryst Pharmaceuticals, Inc. and, where appropriate, its subsidiaries.</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preclinical development, clinical development, commercialization, or post-marketing studies of our products and product candidates, including ORLADEYO® (berotralstat), BCX10013, peramivir, and early-stage discovery programs, and our plans regarding the same;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timing and success of our commercialization of ORLADEYO in the United States and elsewhere and expectations regarding the commercial market for ORLADEYO;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potential for government stockpiling orders of our products and product candidates, including the timing or likelihood of entering into any U.S. Government stockpile order and our ability to execute any such order;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closing out or expiration of our contracts with the Biomedical Advanced Research and Development Authority within the U.S. Department of Health and Human Services (“BARDA/HHS”) and the National Institute of Allergy and Infectious Diseases within HHS (“NIAID/HHS”) for the development of galidesivir;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additional regulatory approvals, or milestones, royalties or profit from sales of our products by us or our partners;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implementation of our business model, strategic plans for our business, products, product candidates and technology;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establish and maintain collaborations or out-license rights to our products and product candidates;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plans, programs, progress and potential success of our collaborations, including with Torii Pharmaceutical Co., Ltd. (“Torii”) for ORLADEYO in Japan and Shionogi &amp; Co., Ltd. (“Shionogi”) and Green Cross Corporation (“Green Cross”) for peramivir in their territories;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and our subsidiary guarantors’ ability to satisfy obligations under the Pharmakon Loan Agreement (as defined below) and to comply with the covenants as set forth in the agreements governing our debt obligations;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scope of protection we are able to establish and maintain for intellectual property rights covering our products, product candidates, and technology;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operate our business without infringing the intellectual property rights of others;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estimates of our revenues, expenses, capital requirements, annual cash utilization, and our needs for additional financing;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timing or likelihood of regulatory filings or regulatory agreements, deferrals, approvals, and other decisions;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ability to manage our liquidity needs, including our ability to raise additional capital, to fund our operations or repay our recourse debt obligations;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financial performance; and</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competitive companies, technologies, and our industry.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 investment in the Company involves risks. You should carefully read this entire report and consider the uncertainties and risks discussed in the “Risk Factors” 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II, Item 1A of this report.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have incurred losses since our inception, expect to continue to incur losses, and may never be profitable.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may need to raise additional capital in the future. If we are unable to raise capital as and when needed, we may need to adjust our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If we fail to obtain additional financing or acceptable partnership arrangements as and when needed, we may be unable to complete the development and commercialization of our products and product candidates or continue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develop our product candidates, obtain collaborators, and raise capital.</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Pharmakon Loan Agreement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a material adverse change with respect to us, which could have a material adverse effect on our business.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If our facilities incur damage or power is lost for a significant length of time, our business will suffer.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 significant disruption in our or our third-party vendors’ information technology systems or a cybersecurity breach could adversely affect our business.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stock price has been, and is likely to continue to be, highly volatile, which could cause the value of an investment in our common stock to decline significantly.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are subject to legal proceedings, which could harm our reputation or result in other losses or unexpected expenditure of time and resources.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If we fail to retain our existing key personnel or fail to attract and retain additional key personnel, the development of our product candidates, the commercialization of our products, and the related expansion of our business will be delayed or stopped.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2666"/>
        <w:gridCol w:w="2217"/>
        <w:gridCol w:w="2236"/>
        <w:gridCol w:w="237"/>
        <w:gridCol w:w="928"/>
        <w:gridCol w:w="122"/>
        <w:gridCol w:w="109"/>
        <w:gridCol w:w="109"/>
        <w:gridCol w:w="109"/>
        <w:gridCol w:w="260"/>
        <w:gridCol w:w="1020"/>
        <w:gridCol w:w="192"/>
      </w:tblGrid>
      <w:tr>
        <w:trPr/>
        <w:tc>
          <w:tcPr>
            <w:tcW w:w="2666"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7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 1)</w:t>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155,136 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304,767 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516,500 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509,737 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87,565 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obligation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financing obligation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financing obligations</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514,411 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term loan</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231,624 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shares authorized - 5,000; no shares issued and outstanding</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- 450,000; shares issued and outstanding – 188,883 as of March 31, 2023 and 187,906 as of December 31, 2022</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1,177,192 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1,158,118 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(1,507,953)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(1,454,620)</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(328,287)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(294,597)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509,737 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data-Unaudited)</w:t>
      </w:r>
    </w:p>
    <w:tbl>
      <w:tblPr>
        <w:tblW w:w="7856" w:type="dxa"/>
        <w:jc w:val="left"/>
        <w:tblInd w:w="0" w:type="dxa"/>
        <w:tblCellMar>
          <w:top w:w="28" w:type="dxa"/>
          <w:left w:w="28" w:type="dxa"/>
          <w:bottom w:w="28" w:type="dxa"/>
          <w:right w:w="28" w:type="dxa"/>
        </w:tblCellMar>
      </w:tblPr>
      <w:tblGrid>
        <w:gridCol w:w="1665"/>
        <w:gridCol w:w="1457"/>
        <w:gridCol w:w="1467"/>
        <w:gridCol w:w="230"/>
        <w:gridCol w:w="868"/>
        <w:gridCol w:w="118"/>
        <w:gridCol w:w="118"/>
        <w:gridCol w:w="118"/>
        <w:gridCol w:w="118"/>
        <w:gridCol w:w="230"/>
        <w:gridCol w:w="868"/>
        <w:gridCol w:w="118"/>
        <w:gridCol w:w="109"/>
        <w:gridCol w:w="109"/>
        <w:gridCol w:w="109"/>
        <w:gridCol w:w="154"/>
      </w:tblGrid>
      <w:tr>
        <w:trPr/>
        <w:tc>
          <w:tcPr>
            <w:tcW w:w="1665"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6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47,867 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(27,396)</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losses, net</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(52,662)</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 for sale investments</w:t>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(0.40)</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9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188,509</w:t>
            </w: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184,898</w:t>
            </w: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CellMar>
          <w:top w:w="28" w:type="dxa"/>
          <w:left w:w="28" w:type="dxa"/>
          <w:bottom w:w="28" w:type="dxa"/>
          <w:right w:w="28" w:type="dxa"/>
        </w:tblCellMar>
      </w:tblPr>
      <w:tblGrid>
        <w:gridCol w:w="2739"/>
        <w:gridCol w:w="2328"/>
        <w:gridCol w:w="2345"/>
        <w:gridCol w:w="218"/>
        <w:gridCol w:w="872"/>
        <w:gridCol w:w="112"/>
        <w:gridCol w:w="112"/>
        <w:gridCol w:w="112"/>
        <w:gridCol w:w="112"/>
        <w:gridCol w:w="218"/>
        <w:gridCol w:w="872"/>
        <w:gridCol w:w="165"/>
      </w:tblGrid>
      <w:tr>
        <w:trPr/>
        <w:tc>
          <w:tcPr>
            <w:tcW w:w="2739" w:type="dxa"/>
            <w:tcBorders/>
            <w:shd w:fill="auto" w:val="clear"/>
            <w:vAlign w:val="center"/>
          </w:tcPr>
          <w:p>
            <w:pPr>
              <w:pStyle w:val="TableContents"/>
              <w:spacing w:before="0" w:after="283"/>
              <w:rPr>
                <w:sz w:val="4"/>
                <w:szCs w:val="4"/>
              </w:rPr>
            </w:pPr>
            <w:r>
              <w:rPr>
                <w:sz w:val="4"/>
                <w:szCs w:val="4"/>
              </w:rPr>
            </w:r>
          </w:p>
        </w:tc>
        <w:tc>
          <w:tcPr>
            <w:tcW w:w="2328"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obsolescence</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 and secured term loan and amortization of debt issuance costs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investments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(27,226)</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(47,512)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(77,800)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property and equipment</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(148,637)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investments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(107,109)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(38,472)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common stock issued under stock-based compensation plans</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5,077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7,356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cash equivalents, and restricted cash</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507,734 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156,599</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398,858</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BIOCRYST PHARMACEUTICALS, INC. </w:t>
      </w:r>
    </w:p>
    <w:p>
      <w:pPr>
        <w:pStyle w:val="TextBody"/>
        <w:spacing w:lineRule="auto" w:line="288" w:before="80" w:after="283"/>
        <w:jc w:val="center"/>
        <w:rPr/>
      </w:pPr>
      <w:r>
        <w:rPr>
          <w:rFonts w:ascii="Times New Roman;sans-serif" w:hAnsi="Times New Roman;sans-serif"/>
          <w:b/>
          <w:color w:val="000000"/>
          <w:sz w:val="20"/>
        </w:rPr>
        <w:t>CONSOLIDATED STATEMENTS OF STOCKHOLDERS</w:t>
      </w:r>
      <w:r>
        <w:rPr>
          <w:color w:val="000000"/>
        </w:rPr>
        <w:t xml:space="preserve">’ </w:t>
      </w:r>
      <w:r>
        <w:rPr>
          <w:rFonts w:ascii="Times New Roman;sans-serif" w:hAnsi="Times New Roman;sans-serif"/>
          <w:b/>
          <w:color w:val="000000"/>
          <w:sz w:val="20"/>
        </w:rPr>
        <w:t>DEFICIT</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left"/>
        <w:tblInd w:w="0" w:type="dxa"/>
        <w:tblCellMar>
          <w:top w:w="28" w:type="dxa"/>
          <w:left w:w="28" w:type="dxa"/>
          <w:bottom w:w="28" w:type="dxa"/>
          <w:right w:w="28" w:type="dxa"/>
        </w:tblCellMar>
      </w:tblPr>
      <w:tblGrid>
        <w:gridCol w:w="1070"/>
        <w:gridCol w:w="747"/>
        <w:gridCol w:w="749"/>
        <w:gridCol w:w="211"/>
        <w:gridCol w:w="631"/>
        <w:gridCol w:w="109"/>
        <w:gridCol w:w="109"/>
        <w:gridCol w:w="109"/>
        <w:gridCol w:w="109"/>
        <w:gridCol w:w="211"/>
        <w:gridCol w:w="991"/>
        <w:gridCol w:w="109"/>
        <w:gridCol w:w="109"/>
        <w:gridCol w:w="109"/>
        <w:gridCol w:w="109"/>
        <w:gridCol w:w="375"/>
        <w:gridCol w:w="856"/>
        <w:gridCol w:w="195"/>
        <w:gridCol w:w="109"/>
        <w:gridCol w:w="109"/>
        <w:gridCol w:w="109"/>
        <w:gridCol w:w="211"/>
        <w:gridCol w:w="1015"/>
        <w:gridCol w:w="109"/>
        <w:gridCol w:w="109"/>
        <w:gridCol w:w="109"/>
        <w:gridCol w:w="109"/>
        <w:gridCol w:w="228"/>
        <w:gridCol w:w="910"/>
        <w:gridCol w:w="170"/>
      </w:tblGrid>
      <w:tr>
        <w:trPr/>
        <w:tc>
          <w:tcPr>
            <w:tcW w:w="1070"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Stockholders’</w:t>
              <w:br/>
              <w:t>Deficit</w:t>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1,158,118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(1,454,620)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(294,597)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176 shares,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801 shares,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1,177,192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585</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(1,507,953)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(328,287)</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83"/>
        <w:rPr/>
      </w:pPr>
      <w:r>
        <w:rPr/>
      </w:r>
    </w:p>
    <w:tbl>
      <w:tblPr>
        <w:tblW w:w="10205" w:type="dxa"/>
        <w:jc w:val="left"/>
        <w:tblInd w:w="0" w:type="dxa"/>
        <w:tblCellMar>
          <w:top w:w="28" w:type="dxa"/>
          <w:left w:w="28" w:type="dxa"/>
          <w:bottom w:w="28" w:type="dxa"/>
          <w:right w:w="28" w:type="dxa"/>
        </w:tblCellMar>
      </w:tblPr>
      <w:tblGrid>
        <w:gridCol w:w="1070"/>
        <w:gridCol w:w="747"/>
        <w:gridCol w:w="749"/>
        <w:gridCol w:w="211"/>
        <w:gridCol w:w="631"/>
        <w:gridCol w:w="109"/>
        <w:gridCol w:w="109"/>
        <w:gridCol w:w="109"/>
        <w:gridCol w:w="109"/>
        <w:gridCol w:w="211"/>
        <w:gridCol w:w="991"/>
        <w:gridCol w:w="109"/>
        <w:gridCol w:w="109"/>
        <w:gridCol w:w="109"/>
        <w:gridCol w:w="109"/>
        <w:gridCol w:w="375"/>
        <w:gridCol w:w="856"/>
        <w:gridCol w:w="195"/>
        <w:gridCol w:w="109"/>
        <w:gridCol w:w="109"/>
        <w:gridCol w:w="109"/>
        <w:gridCol w:w="211"/>
        <w:gridCol w:w="1015"/>
        <w:gridCol w:w="109"/>
        <w:gridCol w:w="109"/>
        <w:gridCol w:w="109"/>
        <w:gridCol w:w="109"/>
        <w:gridCol w:w="228"/>
        <w:gridCol w:w="910"/>
        <w:gridCol w:w="170"/>
      </w:tblGrid>
      <w:tr>
        <w:trPr/>
        <w:tc>
          <w:tcPr>
            <w:tcW w:w="1070"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Stockholders’</w:t>
              <w:br/>
              <w:t>Deficit</w:t>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1,098,498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(106,986)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 sales, 115 shares,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1,108 shares,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1,115,443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w:t>
            </w: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(1,281,700)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(164,215)</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BIOCRYST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0" w:after="283"/>
        <w:rPr/>
      </w:pPr>
      <w:r>
        <w:rPr>
          <w:rFonts w:ascii="Times New Roman;sans-serif" w:hAnsi="Times New Roman;sans-serif"/>
          <w:b/>
          <w:color w:val="000000"/>
          <w:sz w:val="20"/>
        </w:rPr>
        <w:t xml:space="preserve">Note 1 </w:t>
      </w:r>
      <w:r>
        <w:rPr>
          <w:color w:val="000000"/>
        </w:rPr>
        <w:t xml:space="preserve">— </w:t>
      </w:r>
      <w:r>
        <w:rPr>
          <w:rFonts w:ascii="Times New Roman;sans-serif" w:hAnsi="Times New Roman;sans-serif"/>
          <w:b/>
          <w:color w:val="000000"/>
          <w:sz w:val="20"/>
        </w:rPr>
        <w:t>Significant Accounting Policies and Concentrations of Risk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 (the “Company”) is a commercial-stage biotechnology company that discovers and commercializes novel, oral, small-molecule medicines. The Company focuses on oral treatments for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the Company’s expectations for revenue and operating expenses, the Company believes its financial resources available at March 31, 2023 will be sufficient to fund its operations for at least the next 12 months. The Company has sustained operating losses for the majority of its corporate history and expects that its 2023 expenses will exceed its 2023 revenues. The Company expects to continue to incur operating losses and negative cash flows until revenues reach a level sufficient to support ongoing operations. The Company’s liquidity needs will largely be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U.S. Government funding of its programs, including obtaining procurement contracts.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subsidiaries. All intercompany transactions and balances among the consolidated entities have been eliminated from the consolidated financial statements.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pStyle w:val="TextBody"/>
        <w:spacing w:before="0" w:after="0"/>
        <w:ind w:left="0" w:right="0" w:firstLine="540"/>
        <w:rPr/>
      </w:pPr>
      <w:r>
        <w:rPr/>
      </w:r>
    </w:p>
    <w:p>
      <w:pPr>
        <w:pStyle w:val="TextBody"/>
        <w:spacing w:lineRule="auto" w:line="25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certain presentation changes relative to its revenue, which management considers fundamental to understanding the Company’s current business and financial performance related to its primary product,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ORLADEYO, including expanded international sales of ORLADEYO, relative to the Company’s other sources of revenue. Accordingly, certain disaggregated revenue information has been provided in this Note 1 and “Note 2—Revenue” to these consolidated financial statements. These presentation changes have been applied to prior year revenue amounts for consistency and comparability.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should be read in conjunction with the financial statements for the year ended December 31, 2022 and the notes thereto included in the Company’s 2022 Annual Report on Form 10-K. Interim operating results are not necessarily indicative of operating results for the full year. The balance sheet as of December 31, 2022 has been derived from the audited consolidated financial statements included in the Company’s most recent Annual Report on Form 10-K.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consolidated financial statements have been made relative to the calculation of net product sales, the ORLADEYO and Factor D inhibitors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revenues for the three months ended March 31, 2023 and 2022:</w:t>
      </w:r>
    </w:p>
    <w:tbl>
      <w:tblPr>
        <w:tblW w:w="5650" w:type="dxa"/>
        <w:jc w:val="left"/>
        <w:tblInd w:w="0" w:type="dxa"/>
        <w:tblCellMar>
          <w:top w:w="28" w:type="dxa"/>
          <w:left w:w="28" w:type="dxa"/>
          <w:bottom w:w="28" w:type="dxa"/>
          <w:right w:w="28" w:type="dxa"/>
        </w:tblCellMar>
      </w:tblPr>
      <w:tblGrid>
        <w:gridCol w:w="1021"/>
        <w:gridCol w:w="897"/>
        <w:gridCol w:w="901"/>
        <w:gridCol w:w="240"/>
        <w:gridCol w:w="840"/>
        <w:gridCol w:w="124"/>
        <w:gridCol w:w="124"/>
        <w:gridCol w:w="124"/>
        <w:gridCol w:w="124"/>
        <w:gridCol w:w="240"/>
        <w:gridCol w:w="840"/>
        <w:gridCol w:w="175"/>
      </w:tblGrid>
      <w:tr>
        <w:trPr/>
        <w:tc>
          <w:tcPr>
            <w:tcW w:w="102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revenues</w:t>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68,778</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49,923</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pStyle w:val="TextBody"/>
        <w:spacing w:lineRule="auto" w:line="288" w:before="200" w:after="283"/>
        <w:ind w:left="0" w:right="0" w:firstLine="540"/>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pStyle w:val="TextBody"/>
        <w:spacing w:lineRule="auto" w:line="288" w:before="200" w:after="283"/>
        <w:ind w:left="0" w:right="0" w:firstLine="540"/>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products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pStyle w:val="TextBody"/>
        <w:spacing w:lineRule="auto" w:line="288" w:before="200" w:after="283"/>
        <w:ind w:left="0" w:right="0" w:firstLine="540"/>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spacing w:lineRule="auto" w:line="288" w:before="200" w:after="283"/>
        <w:ind w:left="0" w:right="0" w:firstLine="540"/>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Collaborative and Other Revenues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HHS (“BARDA/HHS”) and the National Institute of Allergy and Infectious Diseases (“NIAID/HHS”), revenue is recognized as reimbursable direct and indirect costs are incurred.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Restricted cash of $12 and $23 as of March 31, 2023 and December 31, 2022, respectively, reflects royalty revenue paid by Shionogi &amp; Co., Ltd. (“Shionogi”) designated for interest on the PhaRMA Senior Secured 14.0% Notes due on December 1, 2020 (the “PhaRMA Notes”) issued by JPR Royalty Sub LLC, a wholly-owned subsidiary of the Company. Additionally, restricted cash of $1,451 and $1,449 as of March 31, 2023 and December 31, 2022, respectively, reflects collateral for a letter of credit the Company is required to maintain associated with the lease execution and build-out of its Birmingham research facilities.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date. Accordingly, the Company does not believe it has a material exposure to interest rate risk arising from its investments. Generally, the Company’s investments are not collateralized. The Company has not realized any significant losses from its 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March 31, 2023, the Company believes that the cost of its investments is recoverable in all material respects.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Trade Receivables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Receivables from collaborations are recorded for amounts due to the Company related to reimbursable research and development costs from HHS, and royalty receivables from the Company’s partners, including Shionogi, Green Cross, and Torii.</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Monthly invoices are submitted to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does not adjust its receivables for the effects of a significant financing component at contract inception if it expects to collect the receivables in one year or less from the time of sale.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primarily relate to ORLADEYO. Additionally, the Company’s inventories include RAPIVAB and peramivir.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 During the quarter ended March 31, 2023, the Company evaluated its inventory levels and associated expiration dating relative to the latest sales forecasts for ORLADEYO and RAPIVAB and estimated those inventories at risk of obsolescence. Accordingly, the Company recorded an increase to the inventory valuation reserve of $236 for a total reserve of $1,413 as of March 31, 2023.</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costs related to the production of inventories as research and development expenses in the period incurred until such time it is believed that future economic benefit is expected to be recognized, which generally is upon receipt of regulatory approval. Upon regulatory approval, the Company capitalizes subsequent costs related to the production of inventories.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If the Company does not identify costs that it has begun to incur or if it underestimates or overestimates the level of these costs, actual expenses could differ from such estimates. As of March 31, 2023 and December 31, 2022, the carrying value of accrued expenses approximates their fair value due to their short-term settlement.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license agreements with third parties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the Company’s research and development efforts. These costs apply to work on non-active product candidates and the Company’s discovery research efforts.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Advertising expenses related to ORLADEYO were $4,047 and $3,984 for the three months ended March 31, 2023, and 2022, respectively.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All patent related costs are expensed to selling, general and administrative expenses when incurred as recoverability of such expenditures is uncertain.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200" w:after="283"/>
        <w:ind w:left="0" w:right="0" w:firstLine="540"/>
        <w:rPr/>
      </w:pPr>
      <w:r>
        <w:rPr>
          <w:rFonts w:ascii="Times New Roman;sans-serif" w:hAnsi="Times New Roman;sans-serif"/>
          <w:b w:val="false"/>
          <w:color w:val="000000"/>
          <w:sz w:val="20"/>
        </w:rPr>
        <w:t xml:space="preserve">The Company leases certain assets under operating leases, which primarily consisted of real estate leases, laboratory equipment leases and office equipment leases as of March 31, 2023. The Company accounts for lease obligations in accordance with ASU 2016-02: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which requires a lessee to recognize a right-of-use asset and a lease liability on its balance sheet for most operating leases.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Certain of the Company’s operating leases provide for renewal options, which can vary by lease. The right-of-use asset and lease liabilities on the Company’s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discount rate used in the calculation of the Company’s right-of-use asset and lease liability was determined based on the stated rate within each contract when available, or the Company’s collateralized borrowing rate from lending institutions.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not made any residual value guarantees related to its operating leases; therefore, the Company has no corresponding liability recorded on its Consolidated Balance Sheets.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All share-based payments, including grants of stock option awards and restricted stock unit awards, are recognized in the Company’s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The Company utilizes the Black-Scholes option-pricing model to value its stock option awards and recognize compensation expense on a straight-line basis over the vesting periods.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In addition, the Company has outstanding performance-based stock options and restricted stock units for which no compensation expense is recognized until “performance” is deemed to have occurred. Significant management judgment is also required in determining estimates of future stock price volatility and forfeitures to be used in the valuation of the options. Actual results, and future changes in estimates, may differ substantially from the Company’s current estimates.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 and Deferred Financing Costs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2023 and 2022, was $27,396 and $23,837, respectively, and primarily relates to the royalty financing obligations (Note 6) and the secured term loan borrowing from the Athyrium Credit Agreement (Note 7).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 Amortization of deferred financing costs included in interest expense was $898 and $(167) for the three months ended March 31, 2023 and 2022, respectively. When utilizing the effective interest method, in periods in which PIK interest was designated and was added to the outstanding principal balance of the borrowing, the amortization of the deferred debt fees and issuance costs was accretive. The quarter ended December 31, 2022 was the last period eligible for the PIK Interest Payment designation under the Athyrium Credit Agreement.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 and Royalty Financing Obligations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uncertain tax positions in accordance with U.S. GAAP. 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certain net operating losses carried forward, before they expire. The valuation allowance is based on estimates of taxable income in each of the jurisdictions in which the Company operates and the period over which its deferred tax assets will be recoverable.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2021, the Company began accruing for U.S. state taxes and foreign income taxes as a result of increased nexus in both U.S. state and foreign jurisdictions where historically the Company had no presence.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does not include 21,641 and 28,699 shares of potential common stock for the three months ended March 31, 2023 and 2022, respectively.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Consolidated Statements of Comprehensive Loss. There were no realized gains or losses reclassified out of accumulated other comprehensive income for the three months ended March 31, 2023 and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Significant Customers and Other Risks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Significant Customers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sources of revenue and cash flow are the sales of ORLADEYO in the United States and other global markets and, for 2022, sales of RAPIVAB (peramivir injection) under the Company’s procurement contract with the Assistant Secretary for Preparedness and Response within HHS.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is distributing ORLADEYO in other global markets directly or through distributors, except in Japan where Torii, the Company’s collaborative partner, has the exclusive right to commercialize ORLADEYO.</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Risks from Third-Party Manufacturing and Distribution Concentration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receivables from sales of ORLADEYO are primarily due from one customer, resulting in a concentration of credit risk. Sales of ORLADEYO from the Company to the specialty pharmacy only occur once an order of product has been received by the specialty pharmacy from one of its customers, which include pharmacy benefit managers, insurance companies, government programs and group purchasing organizations.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receivables from collaborations are due from the U.S. Government, for which there is no assumed credit risk.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new accounting pronouncements adopted by the Company or new accounting pronouncements issued by the Financial Accounting Standards Board during the three months ended March 31, 2023, as compared to the recent accounting pronouncements described in Note 1 of the Company’s Annual Report on Form 10-K for the year ended December 31, 2022, that the Company believes are of significance or potential significance to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Revenue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revenues (in thousands):</w:t>
      </w:r>
    </w:p>
    <w:tbl>
      <w:tblPr>
        <w:tblW w:w="4809" w:type="dxa"/>
        <w:jc w:val="left"/>
        <w:tblInd w:w="0" w:type="dxa"/>
        <w:tblCellMar>
          <w:top w:w="28" w:type="dxa"/>
          <w:left w:w="28" w:type="dxa"/>
          <w:bottom w:w="28" w:type="dxa"/>
          <w:right w:w="28" w:type="dxa"/>
        </w:tblCellMar>
      </w:tblPr>
      <w:tblGrid>
        <w:gridCol w:w="597"/>
        <w:gridCol w:w="525"/>
        <w:gridCol w:w="527"/>
        <w:gridCol w:w="244"/>
        <w:gridCol w:w="835"/>
        <w:gridCol w:w="126"/>
        <w:gridCol w:w="126"/>
        <w:gridCol w:w="126"/>
        <w:gridCol w:w="126"/>
        <w:gridCol w:w="244"/>
        <w:gridCol w:w="835"/>
        <w:gridCol w:w="126"/>
        <w:gridCol w:w="109"/>
        <w:gridCol w:w="109"/>
        <w:gridCol w:w="154"/>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ORLADEYO:</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U.S.</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ORLADEYO</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ORLADEYO revenues represent total revenues from product sales, collaborative revenues and royalties. Other revenues primarily relate to the Company’s galidesivir development contracts with BARDA/HHS and NIAID/HHS and product sales and royalties for peramivir injection (RAPIVAB/RAPIACTA/PERAMIFLU).</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rPr/>
      </w:pPr>
      <w:r>
        <w:rPr>
          <w:rFonts w:ascii="Times New Roman;sans-serif" w:hAnsi="Times New Roman;sans-serif"/>
          <w:b/>
          <w:color w:val="000000"/>
          <w:sz w:val="20"/>
        </w:rPr>
        <w:t>Note 3</w:t>
      </w:r>
      <w:r>
        <w:rPr>
          <w:color w:val="000000"/>
        </w:rPr>
        <w:t xml:space="preserve"> — </w:t>
      </w:r>
      <w:r>
        <w:rPr>
          <w:rFonts w:ascii="Times New Roman;sans-serif" w:hAnsi="Times New Roman;sans-serif"/>
          <w:b/>
          <w:color w:val="000000"/>
          <w:sz w:val="20"/>
        </w:rPr>
        <w:t>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instruments in active markets or quoted prices for identical or similar instruments in markets that are not active. These fair values are obtained from independent pricing services which utilize Level 2 inputs.</w:t>
      </w:r>
    </w:p>
    <w:tbl>
      <w:tblPr>
        <w:tblW w:w="10205" w:type="dxa"/>
        <w:jc w:val="left"/>
        <w:tblInd w:w="0" w:type="dxa"/>
        <w:tblCellMar>
          <w:top w:w="28" w:type="dxa"/>
          <w:left w:w="28" w:type="dxa"/>
          <w:bottom w:w="28" w:type="dxa"/>
          <w:right w:w="28" w:type="dxa"/>
        </w:tblCellMar>
      </w:tblPr>
      <w:tblGrid>
        <w:gridCol w:w="1332"/>
        <w:gridCol w:w="1168"/>
        <w:gridCol w:w="1176"/>
        <w:gridCol w:w="211"/>
        <w:gridCol w:w="826"/>
        <w:gridCol w:w="109"/>
        <w:gridCol w:w="109"/>
        <w:gridCol w:w="109"/>
        <w:gridCol w:w="109"/>
        <w:gridCol w:w="217"/>
        <w:gridCol w:w="480"/>
        <w:gridCol w:w="114"/>
        <w:gridCol w:w="109"/>
        <w:gridCol w:w="109"/>
        <w:gridCol w:w="109"/>
        <w:gridCol w:w="320"/>
        <w:gridCol w:w="549"/>
        <w:gridCol w:w="167"/>
        <w:gridCol w:w="109"/>
        <w:gridCol w:w="109"/>
        <w:gridCol w:w="109"/>
        <w:gridCol w:w="272"/>
        <w:gridCol w:w="622"/>
        <w:gridCol w:w="142"/>
        <w:gridCol w:w="109"/>
        <w:gridCol w:w="109"/>
        <w:gridCol w:w="109"/>
        <w:gridCol w:w="211"/>
        <w:gridCol w:w="826"/>
        <w:gridCol w:w="155"/>
      </w:tblGrid>
      <w:tr>
        <w:trPr/>
        <w:tc>
          <w:tcPr>
            <w:tcW w:w="133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w:t>
              <w:br/>
              <w:t>Interest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330"/>
        <w:gridCol w:w="1167"/>
        <w:gridCol w:w="1174"/>
        <w:gridCol w:w="211"/>
        <w:gridCol w:w="826"/>
        <w:gridCol w:w="109"/>
        <w:gridCol w:w="109"/>
        <w:gridCol w:w="109"/>
        <w:gridCol w:w="109"/>
        <w:gridCol w:w="217"/>
        <w:gridCol w:w="480"/>
        <w:gridCol w:w="114"/>
        <w:gridCol w:w="109"/>
        <w:gridCol w:w="109"/>
        <w:gridCol w:w="109"/>
        <w:gridCol w:w="301"/>
        <w:gridCol w:w="579"/>
        <w:gridCol w:w="156"/>
        <w:gridCol w:w="109"/>
        <w:gridCol w:w="109"/>
        <w:gridCol w:w="109"/>
        <w:gridCol w:w="229"/>
        <w:gridCol w:w="690"/>
        <w:gridCol w:w="120"/>
        <w:gridCol w:w="109"/>
        <w:gridCol w:w="109"/>
        <w:gridCol w:w="109"/>
        <w:gridCol w:w="211"/>
        <w:gridCol w:w="826"/>
        <w:gridCol w:w="157"/>
      </w:tblGrid>
      <w:tr>
        <w:trPr/>
        <w:tc>
          <w:tcPr>
            <w:tcW w:w="1330"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Accrued</w:t>
              <w:br/>
              <w:t>Interest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maturity for the Company’s investments at March 31, 2023 and December 31, 2022:</w:t>
      </w:r>
    </w:p>
    <w:tbl>
      <w:tblPr>
        <w:tblW w:w="7061" w:type="dxa"/>
        <w:jc w:val="left"/>
        <w:tblInd w:w="0" w:type="dxa"/>
        <w:tblCellMar>
          <w:top w:w="28" w:type="dxa"/>
          <w:left w:w="28" w:type="dxa"/>
          <w:bottom w:w="28" w:type="dxa"/>
          <w:right w:w="28" w:type="dxa"/>
        </w:tblCellMar>
      </w:tblPr>
      <w:tblGrid>
        <w:gridCol w:w="1277"/>
        <w:gridCol w:w="1122"/>
        <w:gridCol w:w="1126"/>
        <w:gridCol w:w="265"/>
        <w:gridCol w:w="1038"/>
        <w:gridCol w:w="137"/>
        <w:gridCol w:w="109"/>
        <w:gridCol w:w="109"/>
        <w:gridCol w:w="109"/>
        <w:gridCol w:w="313"/>
        <w:gridCol w:w="1228"/>
        <w:gridCol w:w="228"/>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in one year or less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after one year through two years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Note 4</w:t>
      </w:r>
      <w:r>
        <w:rPr>
          <w:color w:val="000000"/>
        </w:rPr>
        <w:t xml:space="preserve"> — </w:t>
      </w:r>
      <w:r>
        <w:rPr>
          <w:rFonts w:ascii="Times New Roman;sans-serif" w:hAnsi="Times New Roman;sans-serif"/>
          <w:b/>
          <w:color w:val="000000"/>
          <w:sz w:val="20"/>
        </w:rPr>
        <w:t>Trade Receivables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Product Sales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Receivables from product sales are recorded for amounts due to the Company related to sales of ORLADEYO and RAPIVAB. At March 31, 2023 and December 31, 2022, receivables related to sales of ORLADEYO were $47,403 and $41,508, respectively. At March 31, 2023 and December 31, 2022, receivables related to sales of RAPIVAB were $145 and $823, respectively. No reserve or allowance amounts were recorded as of March 31, 2023 and December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Receivables from collaborations were as follows (in thousands):</w:t>
      </w:r>
    </w:p>
    <w:tbl>
      <w:tblPr>
        <w:tblW w:w="7521" w:type="dxa"/>
        <w:jc w:val="left"/>
        <w:tblInd w:w="0" w:type="dxa"/>
        <w:tblCellMar>
          <w:top w:w="28" w:type="dxa"/>
          <w:left w:w="28" w:type="dxa"/>
          <w:bottom w:w="28" w:type="dxa"/>
          <w:right w:w="28" w:type="dxa"/>
        </w:tblCellMar>
      </w:tblPr>
      <w:tblGrid>
        <w:gridCol w:w="1548"/>
        <w:gridCol w:w="1359"/>
        <w:gridCol w:w="1367"/>
        <w:gridCol w:w="211"/>
        <w:gridCol w:w="466"/>
        <w:gridCol w:w="109"/>
        <w:gridCol w:w="109"/>
        <w:gridCol w:w="109"/>
        <w:gridCol w:w="109"/>
        <w:gridCol w:w="221"/>
        <w:gridCol w:w="489"/>
        <w:gridCol w:w="116"/>
        <w:gridCol w:w="109"/>
        <w:gridCol w:w="109"/>
        <w:gridCol w:w="109"/>
        <w:gridCol w:w="211"/>
        <w:gridCol w:w="616"/>
        <w:gridCol w:w="154"/>
      </w:tblGrid>
      <w:tr>
        <w:trPr/>
        <w:tc>
          <w:tcPr>
            <w:tcW w:w="154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tbl>
      <w:tblPr>
        <w:tblW w:w="7671" w:type="dxa"/>
        <w:jc w:val="left"/>
        <w:tblInd w:w="0" w:type="dxa"/>
        <w:tblCellMar>
          <w:top w:w="28" w:type="dxa"/>
          <w:left w:w="28" w:type="dxa"/>
          <w:bottom w:w="28" w:type="dxa"/>
          <w:right w:w="28" w:type="dxa"/>
        </w:tblCellMar>
      </w:tblPr>
      <w:tblGrid>
        <w:gridCol w:w="1548"/>
        <w:gridCol w:w="1359"/>
        <w:gridCol w:w="1367"/>
        <w:gridCol w:w="211"/>
        <w:gridCol w:w="616"/>
        <w:gridCol w:w="109"/>
        <w:gridCol w:w="109"/>
        <w:gridCol w:w="109"/>
        <w:gridCol w:w="109"/>
        <w:gridCol w:w="221"/>
        <w:gridCol w:w="489"/>
        <w:gridCol w:w="116"/>
        <w:gridCol w:w="109"/>
        <w:gridCol w:w="109"/>
        <w:gridCol w:w="109"/>
        <w:gridCol w:w="211"/>
        <w:gridCol w:w="616"/>
        <w:gridCol w:w="154"/>
      </w:tblGrid>
      <w:tr>
        <w:trPr/>
        <w:tc>
          <w:tcPr>
            <w:tcW w:w="154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Billed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Unbilled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Health and Human Services,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 from partners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collaborations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both March 31, 2023 and December 31, 2022, the Company maintained a reserve of $437 related to royalties associated with Green Cross.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 xml:space="preserve">Note 5 </w:t>
      </w:r>
      <w:r>
        <w:rPr>
          <w:color w:val="000000"/>
        </w:rPr>
        <w:t xml:space="preserve">— </w:t>
      </w:r>
      <w:r>
        <w:rPr>
          <w:rFonts w:ascii="Times New Roman;sans-serif" w:hAnsi="Times New Roman;sans-serif"/>
          <w:b/>
          <w:color w:val="000000"/>
          <w:sz w:val="20"/>
        </w:rPr>
        <w:t>Inventory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inventory primarily related to ORLADEYO. Additionally, inventory included RAPIVAB and peramivir, which is manufactured for the Company’s partners.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consisted of the following (in thousands):</w:t>
      </w:r>
    </w:p>
    <w:tbl>
      <w:tblPr>
        <w:tblW w:w="5277" w:type="dxa"/>
        <w:jc w:val="left"/>
        <w:tblInd w:w="0" w:type="dxa"/>
        <w:tblCellMar>
          <w:top w:w="28" w:type="dxa"/>
          <w:left w:w="28" w:type="dxa"/>
          <w:bottom w:w="28" w:type="dxa"/>
          <w:right w:w="28" w:type="dxa"/>
        </w:tblCellMar>
      </w:tblPr>
      <w:tblGrid>
        <w:gridCol w:w="630"/>
        <w:gridCol w:w="552"/>
        <w:gridCol w:w="558"/>
        <w:gridCol w:w="292"/>
        <w:gridCol w:w="998"/>
        <w:gridCol w:w="150"/>
        <w:gridCol w:w="109"/>
        <w:gridCol w:w="109"/>
        <w:gridCol w:w="109"/>
        <w:gridCol w:w="344"/>
        <w:gridCol w:w="1175"/>
        <w:gridCol w:w="251"/>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27,533 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 xml:space="preserve">Note 6 </w:t>
      </w:r>
      <w:r>
        <w:rPr>
          <w:color w:val="000000"/>
        </w:rPr>
        <w:t xml:space="preserve">— </w:t>
      </w:r>
      <w:r>
        <w:rPr>
          <w:rFonts w:ascii="Times New Roman;sans-serif" w:hAnsi="Times New Roman;sans-serif"/>
          <w:b/>
          <w:color w:val="000000"/>
          <w:sz w:val="20"/>
        </w:rPr>
        <w:t>Royalty Monetizations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ORLADEYO and Factor D Inhibitors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royalties payable under the 2021 RPI Royalty Purchase Agreement are in addition to the royalties payable to RPI under the 2020 RPI Royalty Purchase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 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 (the “Regime B Royalty Rate”).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transactions contemplated by each of the Royalty Purchase Agreements are referred to herein as the “Royalty Sales”.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7 herein) through its payoff and termination on April 17, 2023 or, subsequent to that date, the Company’s Loan Agreement (the “Pharmakon Loan Agreement”) with BioPharma Credit Investments V (Master) LP and BPCR Limited Partnership, as lenders, and BioPharma Credit PLC, as collateral agent for the lenders, as applicable. Refer to Note 7 and Note 12, respectively, for further details on the Athyrium Credit Agreement and the Pharmakon Loan Agreement. The restrictions under the Royalty Purchase Agreements on the ability of the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Company or any of its subsidiaries to incur indebtedness are eliminated after the achievement of certain specified milestones in the Royalty Purchase Agreements.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was no significant impact on the amount and timing of expected royalties to be made under the RPI Royalty Purchase Agreements based on the Company’s latest forecasts related to its R&amp;D programs and ORLADEYO sales.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activity within the Royalty financing obligations account (in thousands) as well as the effective interest rate as of March 31, 2023: </w:t>
      </w:r>
    </w:p>
    <w:tbl>
      <w:tblPr>
        <w:tblW w:w="10205" w:type="dxa"/>
        <w:jc w:val="left"/>
        <w:tblInd w:w="0" w:type="dxa"/>
        <w:tblCellMar>
          <w:top w:w="28" w:type="dxa"/>
          <w:left w:w="28" w:type="dxa"/>
          <w:bottom w:w="28" w:type="dxa"/>
          <w:right w:w="28" w:type="dxa"/>
        </w:tblCellMar>
      </w:tblPr>
      <w:tblGrid>
        <w:gridCol w:w="1505"/>
        <w:gridCol w:w="1297"/>
        <w:gridCol w:w="130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5"/>
      </w:tblGrid>
      <w:tr>
        <w:trPr/>
        <w:tc>
          <w:tcPr>
            <w:tcW w:w="1505"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 RPI</w:t>
              <w:br/>
              <w:t>Royalty</w:t>
              <w:br/>
              <w:t>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 RPI</w:t>
              <w:br/>
              <w:t>Royalty</w:t>
              <w:br/>
              <w:t>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OMERS</w:t>
              <w:br/>
              <w:t>Royalty</w:t>
              <w:br/>
              <w:t>Agreement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1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on Royalty financing obligations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 paid and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Royalty financing obligations liabilities and the associated deferred issuance costs are amortized using the effective interest method over the term of the arrangement, in accordance with the respective guidance.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Concurrent with entering into the 2021 RPI Royalty Purchase Agreement, the Company and RPI entered into a Common Stock Purchase Agreement (the “Common Stock Purchase Agreement”), pursuant to which the Company sold common stock to RPI for a premium of $4,269. This premium has been deferred and is being amortized through interest expense using the effective interest method over the term of the applicable arrangement. Refer to Note 9 for further details on the common stock sale premium.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 xml:space="preserve">Note 7 </w:t>
      </w:r>
      <w:r>
        <w:rPr>
          <w:color w:val="000000"/>
        </w:rPr>
        <w:t xml:space="preserve">— </w:t>
      </w:r>
      <w:r>
        <w:rPr>
          <w:rFonts w:ascii="Times New Roman;sans-serif" w:hAnsi="Times New Roman;sans-serif"/>
          <w:b/>
          <w:color w:val="000000"/>
          <w:sz w:val="20"/>
        </w:rPr>
        <w:t>Debt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7, 2020, the Company entered into a $200,000 Credit Agreement (the “Athyrium Credit Agreement”) with Athyrium Opportunities III Co-Invest 1 LP (“Athyrium”), as lender and as administrative agent for the lenders. Certain of the Company’s direct and indirect subsidiaries were guarantors to the Athyrium Credit Agreement. The Athyrium Credit Agreement provided for an initial term loan in the principal amount of $125,000 (the “Term A Loan”), which was received by the Company on December 7, 2020 and is recorded in “Secured term loan” on the Company’s balance sheet as of March 31, 2023. The Company used a portion of the proceeds from the Term A Loan to repay $43,298 of outstanding indebtedness, including accrued interest, under its prior credit facility with MidCap Financial Trust.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Athyrium Credit Agreement also provided for two additional term loans, at the Company’s option, in the respective principal amounts of $25,000 (the “Term B Loan”) and $50,000 (the “Term C Loan” and, collectively with the Term A Loan and the Term B Loan, the “Athyrium Term Loans”). Having achieved all required revenue-based milestones, the Company exercised its option to draw upon the additional funding available under the Athyrium Credit Agreement, borrowing the principal amounts of $25,000 under the Term B Loan and $50,000 under the Term C Loan. Both the Term B Loan and the Term C Loan were funded on July 29, 2022 in the aggregate principal amount of $75,000. The Term B Loan and the Term C Loan were subject to all the provisions under the Athyrium Credit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19, 2021, the Company entered into an amendment to the Athyrium Credit Agreement to, among other things, (i) permit the Company to enter into the 2021 RPI Royalty Purchase Agreement, the OMERS Royalty Purchase Agreement, and the other definitive documentation related thereto and to perform its obligations thereunder; (ii) require the Company to pay to Athyrium, for the account of the lenders, a make-whole premium plus certain fees set forth in the Athyrium Credit Agreement in the event that the Company prepaid or repaid, or was required to prepay or repay, voluntarily or pursuant to mandatory prepayment obligations under the Athyrium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Athyrium Term Loans, in each case, subject to certain exceptions set forth in the Athyrium Credit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Athyrium Credit Agreement provided for quarterly interest-only payments until the maturity date, with the unpaid principal amount of the outstanding Athyrium Term Loans due and payable on the maturity date. For each of the first eight full fiscal quarters following December 7, 2020, the Company had the option to make the applicable interest payment in-kind (a “PIK Interest Payment”) by capitalizing the entire amount of interest accrued during the applicable interest period with the unpaid original principal amount outstanding on the last day of such period. The Athyrium Term Loans accrued interest at a rate equal to the three-month LIBOR rate, which was no less than 1.75% and no more than 3.50% (“LIBOR”), plus 8.25%, or for each interest period in which a PIK Interest Payment was made, LIBOR plus 10.25%. The quarter ended December 31, 2022 was the last period eligible for the PIK Interest Payment designation.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Athyrium Term Loans accrued interest at an effective interest rate of 11.88% for the three months ended March 31, 2023 compared to 12.17% for the three months ended March 31, 2022.</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three-month LIBOR was 4.73% as of December 28, 2022, the LIBOR measurement date for the three-month interest period beginning January 1, 2023. As the LIBOR rate exceeded the LIBOR cap of 3.50%, the 3.50% cap plus 8.25%, or 11.75%, was used to record interest expense for the three-month interest period ended March 31, 2023.</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Athyrium Credit Agreement would have required the Company to make mandatory prepayments of the Athyrium Term Loans with the proceeds of certain asset sales, certain ORLADEYO out-licensing or royalty monetization transactions (excluding the Royalty Sales), extraordinary receipts, debt issuances, or upon a change of control of the Company and specified other events. The Company could have made voluntary prepayments in whole or in part. Prepayments were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Athyrium Term Loans, the Company was obligated to pay an exit fee in an amount equal to 2.00% of the principal amount of the Athyrium Term Loans prepaid or repaid. In addition, each Term Loan was subject to a 1.00% commitment fee at its respective borrowing date.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Athyrium Credit Agreement also contained representations and warranties and affirmative and negative covenants customary for financings of this type, as well as customary events of default. Certain of the customary negative covenants limited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was drawn, the Company could not permit consolidated net revenues from ORLADEYO sales in the United States for the four-fiscal quarter period ending on such Test Date to be less than the specified amounts set forth in the Athyrium Credit Agreement (collectively, the “Revenue Tests”). If the Company failed to satisfy the Revenue Tests as of any Test Date, it would have had a one-time right (the “Cure Right”) to repay in full the entire amount of the Term C Loan outstanding at such time together with all accrued and unpaid interest thereon plus the prepayment premium, exit fee, and any other fees or amounts payable under the Athyrium Credit Agreement at such time. In addition, the Athyrium Credit Agreement contained a minimum liquidity covenant requiring the Company to maintain at all times, as applicable, at least $15,000 of unrestricted cash and cash equivalents if only the Term A Loan had been drawn; at least $20,000 of unrestricted cash and cash equivalents if the Term B Loan had been drawn but the Term C Loan had not been drawn; and at least $15,000 (or, if the Cure Right has been exercised, $20,000) of unrestricted cash and cash equivalents if the Term C Loan had been drawn, subject to certain exceptions.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failure to comply with the covenants in the Athyrium Credit Agreement could have permitted the lenders under the Athyrium Credit Agreement to declare the outstanding principal as well as accrued interest and fees, to be immediately due and payable.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Athyrium Credit Agreement were secured by a security interest in, subject to certain exceptions, substantially all of the Company’s assets.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total borrowings of $200,000 under the Athyrium Credit Agreement. Quarterly interest payments under the Athyrium Credit Agreement for the three months ended March 31, 2023 and 2022 totaled $7,142 and $4,321, respectively. From Term Loan inception through December 31, 2022, the quarterly interest payments were designated and accounted for as PIK Interest Payments and added to the outstanding principal balance of the borrowing. The quarter ended December 31, 2022 was the last period eligible for the PIK Interest Payment designation. As of March 31, 2023, borrowings, including the PIK Interest Payments, totaled $240,452. The principal balance of the borrowings, including PIK amounts, accrued interest at an effective rate of 11.88% for the three months ended March 31, 2023. The fair value of the debt approximates its carrying value based on prevailing interest rates as of the balance sheet date and is considered as Level 2 in the fair value hierarchy.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deferred debt fees and issuance costs associated with all Athyrium Term Loans under the Athyrium Credit Agreement totaled $11,930 and are being amortized as interest expense on an effective interest rate method over the remaining term of the Athyrium Term Loans. Deferred financing amortization of $898 and $(167), was recognized for the three months ended March 31, 2023 and 2022, respectively. When utilizing the effective interest method, in periods in which PIK interest was designated and added to the outstanding principal balance of the borrowing, the amortization of the deferred debt fees and issuance costs was accretive.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17, 2023, the Company entered into the Pharmakon Loan Agreement and used the proceeds of an initial loan thereunder to, among other things, to repay the outstanding indebtedness under the Athyrium Credit Agreement. See “Note 12—Subsequent Events” for additional information about the Pharmakon Loan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 xml:space="preserve">Note 8 </w:t>
      </w:r>
      <w:r>
        <w:rPr>
          <w:color w:val="000000"/>
        </w:rPr>
        <w:t xml:space="preserve">— </w:t>
      </w:r>
      <w:r>
        <w:rPr>
          <w:rFonts w:ascii="Times New Roman;sans-serif" w:hAnsi="Times New Roman;sans-serif"/>
          <w:b/>
          <w:color w:val="000000"/>
          <w:sz w:val="20"/>
        </w:rPr>
        <w:t xml:space="preserve">Lease Obligations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assets under operating leases, which primarily consisted of real estate leases, laboratory equipment leases and office equipment leases as of March 31, 2023. Renewal options for the Company's leases range from 1 to 5 years in length and begin from 2024 through 2027.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Aggregate lease expense under operating leases was as follows (in thousands):</w:t>
      </w:r>
    </w:p>
    <w:tbl>
      <w:tblPr>
        <w:tblW w:w="5710" w:type="dxa"/>
        <w:jc w:val="left"/>
        <w:tblInd w:w="0" w:type="dxa"/>
        <w:tblCellMar>
          <w:top w:w="28" w:type="dxa"/>
          <w:left w:w="28" w:type="dxa"/>
          <w:bottom w:w="28" w:type="dxa"/>
          <w:right w:w="28" w:type="dxa"/>
        </w:tblCellMar>
      </w:tblPr>
      <w:tblGrid>
        <w:gridCol w:w="766"/>
        <w:gridCol w:w="673"/>
        <w:gridCol w:w="675"/>
        <w:gridCol w:w="109"/>
        <w:gridCol w:w="109"/>
        <w:gridCol w:w="109"/>
        <w:gridCol w:w="310"/>
        <w:gridCol w:w="684"/>
        <w:gridCol w:w="160"/>
        <w:gridCol w:w="160"/>
        <w:gridCol w:w="160"/>
        <w:gridCol w:w="160"/>
        <w:gridCol w:w="310"/>
        <w:gridCol w:w="684"/>
        <w:gridCol w:w="160"/>
        <w:gridCol w:w="109"/>
        <w:gridCol w:w="109"/>
        <w:gridCol w:w="109"/>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lease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Other supplemental information related to leases was as follows:</w:t>
      </w:r>
    </w:p>
    <w:tbl>
      <w:tblPr>
        <w:tblW w:w="8109" w:type="dxa"/>
        <w:jc w:val="left"/>
        <w:tblInd w:w="0" w:type="dxa"/>
        <w:tblCellMar>
          <w:top w:w="28" w:type="dxa"/>
          <w:left w:w="28" w:type="dxa"/>
          <w:bottom w:w="28" w:type="dxa"/>
          <w:right w:w="28" w:type="dxa"/>
        </w:tblCellMar>
      </w:tblPr>
      <w:tblGrid>
        <w:gridCol w:w="1198"/>
        <w:gridCol w:w="1055"/>
        <w:gridCol w:w="1062"/>
        <w:gridCol w:w="109"/>
        <w:gridCol w:w="109"/>
        <w:gridCol w:w="109"/>
        <w:gridCol w:w="634"/>
        <w:gridCol w:w="634"/>
        <w:gridCol w:w="637"/>
        <w:gridCol w:w="109"/>
        <w:gridCol w:w="109"/>
        <w:gridCol w:w="109"/>
        <w:gridCol w:w="653"/>
        <w:gridCol w:w="653"/>
        <w:gridCol w:w="929"/>
      </w:tblGrid>
      <w:tr>
        <w:trPr/>
        <w:tc>
          <w:tcPr>
            <w:tcW w:w="119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 years</w:t>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leases qualify as operating leases. The following table summarizes the presentation in the Consolidated Balance Sheets of the Company’s operating leases: </w:t>
      </w:r>
    </w:p>
    <w:tbl>
      <w:tblPr>
        <w:tblW w:w="10205" w:type="dxa"/>
        <w:jc w:val="left"/>
        <w:tblInd w:w="0" w:type="dxa"/>
        <w:tblCellMar>
          <w:top w:w="28" w:type="dxa"/>
          <w:left w:w="28" w:type="dxa"/>
          <w:bottom w:w="28" w:type="dxa"/>
          <w:right w:w="28" w:type="dxa"/>
        </w:tblCellMar>
      </w:tblPr>
      <w:tblGrid>
        <w:gridCol w:w="982"/>
        <w:gridCol w:w="826"/>
        <w:gridCol w:w="836"/>
        <w:gridCol w:w="1149"/>
        <w:gridCol w:w="1094"/>
        <w:gridCol w:w="1097"/>
        <w:gridCol w:w="109"/>
        <w:gridCol w:w="109"/>
        <w:gridCol w:w="109"/>
        <w:gridCol w:w="371"/>
        <w:gridCol w:w="1086"/>
        <w:gridCol w:w="191"/>
        <w:gridCol w:w="109"/>
        <w:gridCol w:w="109"/>
        <w:gridCol w:w="109"/>
        <w:gridCol w:w="410"/>
        <w:gridCol w:w="1200"/>
        <w:gridCol w:w="309"/>
      </w:tblGrid>
      <w:tr>
        <w:trPr/>
        <w:tc>
          <w:tcPr>
            <w:tcW w:w="98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2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3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net</w:t>
            </w:r>
          </w:p>
        </w:tc>
        <w:tc>
          <w:tcPr>
            <w:tcW w:w="3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financing obligation –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financing obligation –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operating lease liabilities</w:t>
            </w:r>
          </w:p>
        </w:tc>
        <w:tc>
          <w:tcPr>
            <w:tcW w:w="3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are recorded net of accumulated amortization of $4,878 and $4,349 as of March 31, 2023 and December 31, 2022, respectively.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was $705 and $574 for the three months ended March 31, 2023, and 2022, respectively.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as of March 31, 2023, are as follows (in thousands):</w:t>
      </w:r>
    </w:p>
    <w:tbl>
      <w:tblPr>
        <w:tblW w:w="2826" w:type="dxa"/>
        <w:jc w:val="left"/>
        <w:tblInd w:w="0" w:type="dxa"/>
        <w:tblCellMar>
          <w:top w:w="28" w:type="dxa"/>
          <w:left w:w="28" w:type="dxa"/>
          <w:bottom w:w="28" w:type="dxa"/>
          <w:right w:w="28" w:type="dxa"/>
        </w:tblCellMar>
      </w:tblPr>
      <w:tblGrid>
        <w:gridCol w:w="668"/>
        <w:gridCol w:w="586"/>
        <w:gridCol w:w="591"/>
        <w:gridCol w:w="211"/>
        <w:gridCol w:w="616"/>
        <w:gridCol w:w="154"/>
      </w:tblGrid>
      <w:tr>
        <w:trPr/>
        <w:tc>
          <w:tcPr>
            <w:tcW w:w="66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 xml:space="preserve">Note 9 </w:t>
      </w:r>
      <w:r>
        <w:rPr>
          <w:color w:val="000000"/>
        </w:rPr>
        <w:t xml:space="preserve">— </w:t>
      </w:r>
      <w:r>
        <w:rPr>
          <w:rFonts w:ascii="Times New Roman;sans-serif" w:hAnsi="Times New Roman;sans-serif"/>
          <w:b/>
          <w:color w:val="000000"/>
          <w:sz w:val="20"/>
        </w:rPr>
        <w:t>Stockholders</w:t>
      </w:r>
      <w:r>
        <w:rPr>
          <w:color w:val="000000"/>
        </w:rPr>
        <w:t xml:space="preserve">’ </w:t>
      </w:r>
      <w:r>
        <w:rPr>
          <w:rFonts w:ascii="Times New Roman;sans-serif" w:hAnsi="Times New Roman;sans-serif"/>
          <w:b/>
          <w:color w:val="000000"/>
          <w:sz w:val="20"/>
        </w:rPr>
        <w:t>Equity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Sales of Common Stock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19, 2021, concurrent with the Company entering into the 2021 RPI Royalty Purchase Agreement, the Company and RPI entered into the Common Stock Purchase Agreement, pursuant to which the Company issued 3,846 shares of the Company’s common stock to RPI for an aggregate purchase price of $50,000, at a price of $13.00 per share, calculated based on the 20-day volume weighted average price. The $13.00 per share price represented a premium of $1.11 over the closing price of $11.89 of the Company’s common stock on November 17,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pPr>
      <w:r>
        <w:rPr>
          <w:rFonts w:ascii="Times New Roman;sans-serif" w:hAnsi="Times New Roman;sans-serif"/>
          <w:b/>
          <w:color w:val="000000"/>
          <w:sz w:val="20"/>
        </w:rPr>
        <w:t xml:space="preserve">Note 10 </w:t>
      </w:r>
      <w:r>
        <w:rPr>
          <w:color w:val="000000"/>
        </w:rPr>
        <w:t xml:space="preserve">— </w:t>
      </w:r>
      <w:r>
        <w:rPr>
          <w:rFonts w:ascii="Times New Roman;sans-serif" w:hAnsi="Times New Roman;sans-serif"/>
          <w:b/>
          <w:color w:val="000000"/>
          <w:sz w:val="20"/>
        </w:rPr>
        <w:t>Stock-Based Compensation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24, 2023, subject to stockholder approval at the Company’s annual meeting of stockholders to be held on June 13, 2023. The Inducement Plan was most recently amended and restated by the Company’s Board of Directors on August 26, 2022. The ESPP was most recently amended and restated on April 1, 2021 and approved by the Company’s stockholders on May 25, 2021.</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following stock-based compensation expense (in thousands):</w:t>
      </w:r>
    </w:p>
    <w:tbl>
      <w:tblPr>
        <w:tblW w:w="5829" w:type="dxa"/>
        <w:jc w:val="left"/>
        <w:tblInd w:w="0" w:type="dxa"/>
        <w:tblCellMar>
          <w:top w:w="28" w:type="dxa"/>
          <w:left w:w="28" w:type="dxa"/>
          <w:bottom w:w="28" w:type="dxa"/>
          <w:right w:w="28" w:type="dxa"/>
        </w:tblCellMar>
      </w:tblPr>
      <w:tblGrid>
        <w:gridCol w:w="1087"/>
        <w:gridCol w:w="954"/>
        <w:gridCol w:w="958"/>
        <w:gridCol w:w="254"/>
        <w:gridCol w:w="870"/>
        <w:gridCol w:w="131"/>
        <w:gridCol w:w="131"/>
        <w:gridCol w:w="131"/>
        <w:gridCol w:w="131"/>
        <w:gridCol w:w="254"/>
        <w:gridCol w:w="743"/>
        <w:gridCol w:w="185"/>
      </w:tblGrid>
      <w:tr>
        <w:trPr/>
        <w:tc>
          <w:tcPr>
            <w:tcW w:w="108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Plan</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112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12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14,007 </w:t>
            </w:r>
          </w:p>
        </w:tc>
        <w:tc>
          <w:tcPr>
            <w:tcW w:w="1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was approximately $139,166 of total unrecognized compensation expense related to non-vested stock option and restricted stock unit awards granted by the Company as of March 31, 2023. As of March 31, 2023, the Company expected to recognize that expense as follows: $38,098 during the remainder of 2023, $46,800 in 2024, $35,358 in 2025, $18,689 in 2026 and $221 in 2027. In addition, the Company has outstanding performance-based stock options and restricted stock unit awards for which no compensation expense is recognized until “performance” has occurred and the award vests.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Incentive Plan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Stock option awards and restricted stock units granted to employees generally vest 25% each year until fully vested after four years.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December 2014, the Company issued 1,250 performance-based stock options. These awards vest upon successful completion of specific development milestones. As of March 31, 2023, 85% of these grants have vested.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issued 221 performance-based restricted stock unit awards. 21 of the awards met the performance objectives in 2022 and became eligible for vesting at 50% on the first anniversary of the grant date and 25% on each of the second and third anniversaries of the grant date, until fully vested after three years. The remaining awards were cancelled.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All stock option awards have contractual terms of 10 years. Restricted stock unit awards granted to new non-employee directors when they first join the Company’s Board of Directors generally vest, subject to the terms of the Incentive Plan, in three equal annual installments beginning on the first anniversary of the grant date. The vesting and exercise provisions of all awards granted under the Incentive Plan are subject to acceleration in the event of certain stockholder-approved transactions, or upon the occurrence of a change in control as defined in the Incentive Plan.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Related activity under the Incentive Plan is as follows:</w:t>
      </w:r>
    </w:p>
    <w:tbl>
      <w:tblPr>
        <w:tblW w:w="6912" w:type="dxa"/>
        <w:jc w:val="left"/>
        <w:tblInd w:w="0" w:type="dxa"/>
        <w:tblCellMar>
          <w:top w:w="28" w:type="dxa"/>
          <w:left w:w="28" w:type="dxa"/>
          <w:bottom w:w="28" w:type="dxa"/>
          <w:right w:w="28" w:type="dxa"/>
        </w:tblCellMar>
      </w:tblPr>
      <w:tblGrid>
        <w:gridCol w:w="1168"/>
        <w:gridCol w:w="1025"/>
        <w:gridCol w:w="1032"/>
        <w:gridCol w:w="310"/>
        <w:gridCol w:w="310"/>
        <w:gridCol w:w="311"/>
        <w:gridCol w:w="109"/>
        <w:gridCol w:w="109"/>
        <w:gridCol w:w="109"/>
        <w:gridCol w:w="380"/>
        <w:gridCol w:w="380"/>
        <w:gridCol w:w="381"/>
        <w:gridCol w:w="109"/>
        <w:gridCol w:w="109"/>
        <w:gridCol w:w="109"/>
        <w:gridCol w:w="231"/>
        <w:gridCol w:w="560"/>
        <w:gridCol w:w="170"/>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br/>
              <w:t>Available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granted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cancelled</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granted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exercised</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cancelled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30,428 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stock option awards granted under the Incentive Plan during the first three months of 2023 and 2022, the fair value was estimated on the date of grant using a Black-Scholes option pricing model and the assumptions noted in the table following the next subsection. The weighted average grant date fair value of these awards granted during the first three months of 2023 and 2022 was $7.47 and $11.48, respectively. The fair value of the stock option awards is amortized to expense over the vesting periods using a straight-line expense attribution method. For restricted stock unit awards granted under the Incentive Plan, the fair value of the awards was determined based on the market value of the Company’s shares on the grant date. The weighted average grant date fair value of these awards granted during the first three months of 2023 and 2022 was $10.32 and $15.49, respectively. The fair value of the restricted stock unit awards is amortized to expense over the vesting periods using a straight-line expense attribution method.</w:t>
      </w:r>
    </w:p>
    <w:p>
      <w:pPr>
        <w:pStyle w:val="TextBody"/>
        <w:spacing w:lineRule="auto" w:line="288" w:before="200" w:after="283"/>
        <w:rPr/>
      </w:pPr>
      <w:r>
        <w:rPr>
          <w:rFonts w:ascii="Times New Roman;sans-serif" w:hAnsi="Times New Roman;sans-serif"/>
          <w:b/>
          <w:i/>
          <w:color w:val="000000"/>
          <w:sz w:val="20"/>
        </w:rPr>
        <w:t>Inducement Equity Incentive Plan</w:t>
      </w:r>
      <w:r>
        <w:rPr>
          <w:color w:val="000000"/>
        </w:rPr>
        <w:t xml:space="preserv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Related activity under the Inducement Plan is as follows:</w:t>
      </w:r>
    </w:p>
    <w:tbl>
      <w:tblPr>
        <w:tblW w:w="6912" w:type="dxa"/>
        <w:jc w:val="left"/>
        <w:tblInd w:w="0" w:type="dxa"/>
        <w:tblCellMar>
          <w:top w:w="28" w:type="dxa"/>
          <w:left w:w="28" w:type="dxa"/>
          <w:bottom w:w="28" w:type="dxa"/>
          <w:right w:w="28" w:type="dxa"/>
        </w:tblCellMar>
      </w:tblPr>
      <w:tblGrid>
        <w:gridCol w:w="1168"/>
        <w:gridCol w:w="1025"/>
        <w:gridCol w:w="1032"/>
        <w:gridCol w:w="310"/>
        <w:gridCol w:w="310"/>
        <w:gridCol w:w="311"/>
        <w:gridCol w:w="109"/>
        <w:gridCol w:w="109"/>
        <w:gridCol w:w="109"/>
        <w:gridCol w:w="380"/>
        <w:gridCol w:w="380"/>
        <w:gridCol w:w="381"/>
        <w:gridCol w:w="109"/>
        <w:gridCol w:w="109"/>
        <w:gridCol w:w="109"/>
        <w:gridCol w:w="231"/>
        <w:gridCol w:w="560"/>
        <w:gridCol w:w="170"/>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Awards</w:t>
              <w:br/>
              <w:t>Available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Options</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granted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 cancelled</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granted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exercised</w:t>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 cancelled</w:t>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stock option awards granted under the Inducement Plan during the first three months of 2023 and 2022, the fair value was estimated on the date of grant using a Black-Scholes option pricing model and the assumptions noted in the table below. The weighted average grant date fair value of these awards granted during the first three months of 2023 and 2022 was $6.85 and $11.14, respectively. The fair value of the stock option awards is amortized to expense over the vesting periods using a straight-line expense attribution method. For restricted stock unit awards granted under the Inducement Plan, the fair value of the awards was determined based on the market value of the Company’s shares on the grant date. The weighted average grant date fair value of these awards granted during the first three months of 2023 and 2022 was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$9.64 and $16.27, respectively. The fair value of the restricted stock unit awards is amortized to expense over the vesting periods using a straight-line expense attribution method.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assumptions used by the Company to value the stock option awards granted under all plans during the first three months of 2023 and 2022,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Weighted Average Assumptions for Stock Option Awards Granted to Employees and Directors under the Incentive and Inducement Plans</w:t>
      </w:r>
    </w:p>
    <w:tbl>
      <w:tblPr>
        <w:tblW w:w="4170" w:type="dxa"/>
        <w:jc w:val="left"/>
        <w:tblInd w:w="0" w:type="dxa"/>
        <w:tblCellMar>
          <w:top w:w="28" w:type="dxa"/>
          <w:left w:w="28" w:type="dxa"/>
          <w:bottom w:w="28" w:type="dxa"/>
          <w:right w:w="28" w:type="dxa"/>
        </w:tblCellMar>
      </w:tblPr>
      <w:tblGrid>
        <w:gridCol w:w="794"/>
        <w:gridCol w:w="697"/>
        <w:gridCol w:w="699"/>
        <w:gridCol w:w="255"/>
        <w:gridCol w:w="256"/>
        <w:gridCol w:w="292"/>
        <w:gridCol w:w="109"/>
        <w:gridCol w:w="109"/>
        <w:gridCol w:w="109"/>
        <w:gridCol w:w="255"/>
        <w:gridCol w:w="256"/>
        <w:gridCol w:w="339"/>
      </w:tblGrid>
      <w:tr>
        <w:trPr/>
        <w:tc>
          <w:tcPr>
            <w:tcW w:w="79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a total of 7,975 shares of common stock to be purchased under the ESPP, of which 5,617 shares remain available for purchase as of March 31, 2023. Eligible employees may authorize up to 15% of their salary to purchase common stock at the lower of 85% of the beginning or 85% of the ending price during six-month purchase intervals. No more than three thousand shares may be purchased by any one employee at the six-month purchase dates, and no employee may purchase stock having a fair market value at the commencement date of $25 or more in any one calendar year. During the three months ended March 31, 2023, and 2022, the Company issued 176 and 115 shares under the ESPP, respectively. Compensation expense for shares purchased under the ESPP related to the purchase discount and the “look-back” option were determined using a Black-Scholes option pricing model.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Note 11</w:t>
      </w:r>
      <w:r>
        <w:rPr>
          <w:color w:val="000000"/>
        </w:rPr>
        <w:t xml:space="preserve"> — </w:t>
      </w:r>
      <w:r>
        <w:rPr>
          <w:rFonts w:ascii="Times New Roman;sans-serif" w:hAnsi="Times New Roman;sans-serif"/>
          <w:b/>
          <w:color w:val="000000"/>
          <w:sz w:val="20"/>
        </w:rPr>
        <w:t>Collaborative and Other Relationships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ORLADEYO</w:t>
      </w:r>
    </w:p>
    <w:p>
      <w:pPr>
        <w:pStyle w:val="TextBody"/>
        <w:spacing w:lineRule="auto" w:line="288" w:before="200" w:after="283"/>
        <w:ind w:left="0" w:right="0" w:firstLine="540"/>
        <w:rPr/>
      </w:pPr>
      <w:r>
        <w:rPr>
          <w:rFonts w:ascii="Times New Roman;sans-serif" w:hAnsi="Times New Roman;sans-serif"/>
          <w:b w:val="false"/>
          <w:i/>
          <w:color w:val="000000"/>
          <w:sz w:val="20"/>
        </w:rPr>
        <w:t>Torii Pharmaceutical Co., Ltd</w:t>
      </w:r>
      <w:r>
        <w:rPr>
          <w:rFonts w:ascii="Times New Roman;sans-serif" w:hAnsi="Times New Roman;sans-serif"/>
          <w:b w:val="false"/>
          <w:color w:val="000000"/>
          <w:sz w:val="20"/>
        </w:rPr>
        <w:t xml:space="preserv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November 5, 2019, the Company entered into a Commercialization and License Agreement with Torii (the “Torii Agreement”), granting Torii the exclusive right to commercialize ORLADEYO for the prevention of HAE attacks in Japan.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identified performance obligations related to (i) the license to develop and commercialize ORLADEYO, (ii) regulatory approval support and (iii) reimbursement pricing approval support. These were each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Peramivir Injection (RAPIVAB, RAPIACTA, PERAMIFLU)</w:t>
      </w:r>
    </w:p>
    <w:p>
      <w:pPr>
        <w:pStyle w:val="TextBody"/>
        <w:spacing w:lineRule="auto" w:line="288" w:before="200" w:after="283"/>
        <w:ind w:left="0" w:right="0" w:firstLine="540"/>
        <w:rPr/>
      </w:pPr>
      <w:r>
        <w:rPr>
          <w:rFonts w:ascii="Times New Roman;sans-serif" w:hAnsi="Times New Roman;sans-serif"/>
          <w:b w:val="false"/>
          <w:i/>
          <w:color w:val="000000"/>
          <w:sz w:val="20"/>
        </w:rPr>
        <w:t>Shionogi &amp; Co., Ltd</w:t>
      </w:r>
      <w:r>
        <w:rPr>
          <w:rFonts w:ascii="Times New Roman;sans-serif" w:hAnsi="Times New Roman;sans-serif"/>
          <w:b w:val="false"/>
          <w:color w:val="000000"/>
          <w:sz w:val="20"/>
        </w:rPr>
        <w:t xml:space="preserv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The Company developed peramivir under a license from the University of Alabama at Birmingham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pStyle w:val="TextBody"/>
        <w:spacing w:lineRule="auto" w:line="288" w:before="200" w:after="283"/>
        <w:ind w:left="0" w:right="0" w:firstLine="540"/>
        <w:rPr/>
      </w:pPr>
      <w:r>
        <w:rPr>
          <w:rFonts w:ascii="Times New Roman;sans-serif" w:hAnsi="Times New Roman;sans-serif"/>
          <w:b w:val="false"/>
          <w:i/>
          <w:color w:val="000000"/>
          <w:sz w:val="20"/>
        </w:rPr>
        <w:t>Green Cross Corporation</w:t>
      </w:r>
      <w:r>
        <w:rPr>
          <w:color w:val="000000"/>
        </w:rPr>
        <w:t xml:space="preserv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Government Collaborations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previously entered into contracts with the U.S. Government, including the procurement contract with HHS for up to 50,000 doses of RAPIVAB over a five-year period to supply the Strategic National Stockpile for use in a public health emergency and contracts with NIAID/HHS and BARDA/HHS for the development of galidesivir. As of March 31, 2023, the Company has delivered a total of 49,980 RAPIVAB doses of the 50,000 RAPIVAB doses available under the procurement contract, effectively completing the contract with HHS, and all of the Company’s government funding for galidesivir has expired.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Subsequent Events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2023, the Company secured $450,000 in committed financing from funds managed by Pharmakon Advisors, LP. The Company elected to draw $300,000 of the $450,000 available under the Pharmakon Loan Agreement on the closing date of the Pharmakon Loan Agreement. The remaining $150,000 of committed capital may be drawn at the Company’s option, subject to certain borrowing conditions, if requested on or prior to September 30, 2024.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Net proceeds to the Company at closing were approximately $26,000 following the repayment of the Athyrium Credit Agreement and payment of fees and expenses associated with the transaction.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new five-year Pharmakon Loan Agreement bears interest at the 3-month Secured Overnight Financing Rate (“SOFR”) + 7.00% (subject to a 1.75% floor). The Company has the option to pay up to 50% of the interest on the loans advanced on the closing date in-kind for the first eighteen months of the term (subject to an increase in margin from 7.00% to 7.25%), allowing the Company to defer a portion of cash interest payments until after this period. The Pharmakon Loan Agreement contains no scheduled amortization payments, with all outstanding principal due at the maturity date in 2028. There are no financial covenants associated with the financing.</w:t>
      </w:r>
    </w:p>
    <w:p>
      <w:pPr>
        <w:pStyle w:val="TextBody"/>
        <w:spacing w:before="20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540"/>
        <w:rPr/>
      </w:pPr>
      <w:r>
        <w:rPr>
          <w:rFonts w:ascii="Times New Roman;sans-serif" w:hAnsi="Times New Roman;sans-serif"/>
          <w:b w:val="false"/>
          <w:i/>
          <w:color w:val="000000"/>
          <w:sz w:val="20"/>
        </w:rPr>
        <w:t>The following Management</w:t>
      </w:r>
      <w:r>
        <w:rPr>
          <w:color w:val="000000"/>
        </w:rPr>
        <w:t>’</w:t>
      </w:r>
      <w:r>
        <w:rPr>
          <w:rFonts w:ascii="Times New Roman;sans-serif" w:hAnsi="Times New Roman;sans-serif"/>
          <w:b w:val="false"/>
          <w:i/>
          <w:color w:val="000000"/>
          <w:sz w:val="20"/>
        </w:rPr>
        <w:t>s Discussion and Analysis (</w:t>
      </w:r>
      <w:r>
        <w:rPr>
          <w:color w:val="000000"/>
        </w:rPr>
        <w:t>“</w:t>
      </w:r>
      <w:r>
        <w:rPr>
          <w:rFonts w:ascii="Times New Roman;sans-serif" w:hAnsi="Times New Roman;sans-serif"/>
          <w:b w:val="false"/>
          <w:i/>
          <w:color w:val="000000"/>
          <w:sz w:val="20"/>
        </w:rPr>
        <w:t>MD&amp;A</w:t>
      </w:r>
      <w:r>
        <w:rPr>
          <w:color w:val="000000"/>
        </w:rPr>
        <w:t>”</w:t>
      </w:r>
      <w:r>
        <w:rPr>
          <w:rFonts w:ascii="Times New Roman;sans-serif" w:hAnsi="Times New Roman;sans-serif"/>
          <w:b w:val="false"/>
          <w:i/>
          <w:color w:val="000000"/>
          <w:sz w:val="20"/>
        </w:rPr>
        <w:t xml:space="preserve">) is intended to help the reader understand our results of operations and financial condition. MD&amp;A is provided as a supplement to, and should be read in conjunction with, our unaudited consolidated financial statements and the accompanying notes to the financial statements and other disclosures included in this report (including the </w:t>
      </w:r>
      <w:r>
        <w:rPr>
          <w:color w:val="000000"/>
        </w:rPr>
        <w:t>“</w:t>
      </w:r>
      <w:r>
        <w:rPr>
          <w:rFonts w:ascii="Times New Roman;sans-serif" w:hAnsi="Times New Roman;sans-serif"/>
          <w:b w:val="false"/>
          <w:i/>
          <w:color w:val="000000"/>
          <w:sz w:val="20"/>
        </w:rPr>
        <w:t>Cautionary Note Regarding Forward-Looking Statements</w:t>
      </w:r>
      <w:r>
        <w:rPr>
          <w:color w:val="000000"/>
        </w:rPr>
        <w:t xml:space="preserve">” </w:t>
      </w:r>
      <w:r>
        <w:rPr>
          <w:rFonts w:ascii="Times New Roman;sans-serif" w:hAnsi="Times New Roman;sans-serif"/>
          <w:b w:val="false"/>
          <w:i/>
          <w:color w:val="000000"/>
          <w:sz w:val="20"/>
        </w:rPr>
        <w:t xml:space="preserve">at the beginning of this report and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in Part II, Item 1A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 commercial-stage biotechnology company that discovers and commercializes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Products and Product Candidates</w:t>
      </w:r>
    </w:p>
    <w:p>
      <w:pPr>
        <w:pStyle w:val="TextBody"/>
        <w:spacing w:lineRule="auto" w:line="288" w:before="200" w:after="283"/>
        <w:ind w:left="0" w:right="0" w:firstLine="540"/>
        <w:rPr/>
      </w:pPr>
      <w:r>
        <w:rPr>
          <w:rFonts w:ascii="Times New Roman;sans-serif" w:hAnsi="Times New Roman;sans-serif"/>
          <w:b w:val="false"/>
          <w:i/>
          <w:color w:val="000000"/>
          <w:sz w:val="20"/>
        </w:rPr>
        <w:t>ORLADEYO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(berotralstat)</w:t>
      </w:r>
      <w:r>
        <w:rPr>
          <w:rFonts w:ascii="Times New Roman;sans-serif" w:hAnsi="Times New Roman;sans-serif"/>
          <w:b w:val="false"/>
          <w:color w:val="000000"/>
          <w:sz w:val="20"/>
        </w:rPr>
        <w:t>. ORLADEYO is an oral, once-daily therapy discovered and developed by us for the prevention of hereditary angioedema (“HAE”) attacks. ORLADEYO is approved in the United States and multiple global markets for the prevention of HAE attacks in adults and pediatric patients 12 years and older.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two full years of commercialization experience with ORLADEYO in 2021 and 2022, we anticipate the global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II, Item 1A of this report for further discussion of these risks.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from sales of ORLADEYO for the three months ended March 31, 2023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 We are continuing to monitor and analyze this data as we continue to commercialize ORLADEYO. In addition, primarily because of typical first quarter requirements from payors for prescription reauthorization of specialty products, like ORLADEYO, that can temporarily move patients from paid drug to free product, copayment assistance and Medicare D cost sharing dynamics, ORLADEYO net revenue in the first quarter of 2023 was slightly less than the fourth quarter of 2022.</w:t>
      </w:r>
    </w:p>
    <w:p>
      <w:pPr>
        <w:pStyle w:val="TextBody"/>
        <w:spacing w:lineRule="auto" w:line="268" w:before="200" w:after="283"/>
        <w:ind w:left="0" w:right="0" w:firstLine="540"/>
        <w:rPr/>
      </w:pPr>
      <w:r>
        <w:rPr>
          <w:rFonts w:ascii="Times New Roman;sans-serif" w:hAnsi="Times New Roman;sans-serif"/>
          <w:b w:val="false"/>
          <w:i/>
          <w:color w:val="000000"/>
          <w:sz w:val="20"/>
        </w:rPr>
        <w:t>Complement Program</w:t>
      </w:r>
      <w:r>
        <w:rPr>
          <w:rFonts w:ascii="Times New Roman;sans-serif" w:hAnsi="Times New Roman;sans-serif"/>
          <w:b w:val="false"/>
          <w:color w:val="000000"/>
          <w:sz w:val="20"/>
        </w:rPr>
        <w:t>. The goal of our overall complement program is to advance several compounds across multiple pathways in the complement system to treat many complement-mediated diseases. These compounds include BCX10013, which targets the alternative pathway of complement. In addition, we are pursuing oral medicines directed at other targets across the classical, lectin, and terminal pathways of the complement system, including C2, a critical upstream serine protease enzyme for activation of the classical and lectin pathways. We have developed potent, selective molecules targeting C2, which are currently in lead optimization.</w:t>
      </w:r>
    </w:p>
    <w:p>
      <w:pPr>
        <w:pStyle w:val="TextBody"/>
        <w:spacing w:lineRule="auto" w:line="268" w:before="200" w:after="283"/>
        <w:ind w:left="0" w:right="0" w:firstLine="540"/>
        <w:rPr/>
      </w:pPr>
      <w:r>
        <w:rPr>
          <w:rFonts w:ascii="Times New Roman;sans-serif" w:hAnsi="Times New Roman;sans-serif"/>
          <w:b w:val="false"/>
          <w:i/>
          <w:color w:val="000000"/>
          <w:sz w:val="20"/>
        </w:rPr>
        <w:t>RAPIVAB</w:t>
      </w:r>
      <w:r>
        <w:rPr>
          <w:rFonts w:ascii="Times New Roman;sans-serif" w:hAnsi="Times New Roman;sans-serif"/>
          <w:b w:val="false"/>
          <w:color w:val="000000"/>
          <w:sz w:val="20"/>
        </w:rPr>
        <w:t>®</w:t>
      </w:r>
      <w:r>
        <w:rPr>
          <w:rFonts w:ascii="Times New Roman;sans-serif" w:hAnsi="Times New Roman;sans-serif"/>
          <w:b w:val="false"/>
          <w:i/>
          <w:color w:val="000000"/>
          <w:sz w:val="20"/>
        </w:rPr>
        <w:t>/RAPIACTA</w:t>
      </w:r>
      <w:r>
        <w:rPr>
          <w:rFonts w:ascii="Times New Roman;sans-serif" w:hAnsi="Times New Roman;sans-serif"/>
          <w:b w:val="false"/>
          <w:color w:val="000000"/>
          <w:sz w:val="20"/>
        </w:rPr>
        <w:t>®</w:t>
      </w:r>
      <w:r>
        <w:rPr>
          <w:rFonts w:ascii="Times New Roman;sans-serif" w:hAnsi="Times New Roman;sans-serif"/>
          <w:b w:val="false"/>
          <w:i/>
          <w:color w:val="000000"/>
          <w:sz w:val="20"/>
        </w:rPr>
        <w:t>/PERAMIFLU</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(peramivir injection).</w:t>
      </w:r>
      <w:r>
        <w:rPr>
          <w:color w:val="000000"/>
        </w:rPr>
        <w:t xml:space="preserve"> </w:t>
      </w:r>
      <w:r>
        <w:rPr>
          <w:rFonts w:ascii="Times New Roman;sans-serif" w:hAnsi="Times New Roman;sans-serif"/>
          <w:b w:val="false"/>
          <w:color w:val="000000"/>
          <w:sz w:val="20"/>
        </w:rPr>
        <w:t xml:space="preserve">RAPIVAB (peramivir injection) is approved in the United States for the treatment of acute uncomplicated influenza for patients six months and older. Peramivir injection is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68" w:before="200" w:after="283"/>
        <w:rPr>
          <w:rFonts w:ascii="Times New Roman;sans-serif" w:hAnsi="Times New Roman;sans-serif"/>
          <w:b w:val="false"/>
          <w:color w:val="000000"/>
          <w:sz w:val="20"/>
        </w:rPr>
      </w:pPr>
      <w:r>
        <w:rPr>
          <w:rFonts w:ascii="Times New Roman;sans-serif" w:hAnsi="Times New Roman;sans-serif"/>
          <w:b w:val="false"/>
          <w:color w:val="000000"/>
          <w:sz w:val="20"/>
        </w:rPr>
        <w:t>also approved in Canada (RAPIVAB), Australia (RAPIVAB), Japan (RAPIACTA), Taiwan (RAPIACTA), and Korea (PERAMIFLU).</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Revenues and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difficult to predict and depend on several factors, including those discussed in the “Risk Factors” 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Estimates” at the end of this MD&amp;A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spacing w:lineRule="auto" w:line="288" w:before="200" w:after="283"/>
        <w:rPr/>
      </w:pPr>
      <w:r>
        <w:rPr>
          <w:rFonts w:ascii="Times New Roman;sans-serif" w:hAnsi="Times New Roman;sans-serif"/>
          <w:b w:val="false"/>
          <w:i/>
          <w:color w:val="000000"/>
          <w:sz w:val="20"/>
        </w:rPr>
        <w:t>ORLADEYO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(berotralstat)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2023, we announced that the Company entered into a collaboration with Swixx BioPharma AG (“Swixx”) to commercialize ORLADEYO in Central and Eastern Europe (“CEE”). Under the terms of the agreement, Swixx will be responsible for commercializing ORLADEYO in 15 markets within CEE.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26, 2023, we announced the enrollment of the first patient in the pivotal APeX-P trial evaluating ORLADEYO in pediatric HAE patients who are 2 to &lt;12 years of age.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February 21, 2023, we announced that the Canadian Agency for Drugs and Technologies in Health Canadian Drug Expert Committee recently issued a final draft positive recommendation for ORLADEYO to be reimbursed for the routine prevention of HAE attacks in adults and pediatric patients 12 years of age and older.</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February 24, 2023, we announced that new data from the APeX-S and APeX-2 clinical trials, which evaluated ORLADEYO for the prophylactic treatment of HAE, demonstrated sustained reductions in attack rates and improvement in quality of life among patients living with HAE, highlighting its profile as a well-tolerated, effective and convenient prophylactic HAE therapeutic option. We also announced additional analyses from new real-world data that further demonstrate a meaningful reduction in attack rates experienced by patients on ORLADEYO, in addition to findings from a survey that underscore a significant disease and treatment burden among pediatric HAE patients, as reported by their caregivers.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that new data from the APeX-S clinical trial, which evaluated ORLADEYO for the prophylactic treatment of HAE, showed sustained reduction in disease burden for patients across multiple subgroups through 96 weeks of treatment.</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Complement-Mediated Diseases</w:t>
      </w:r>
    </w:p>
    <w:p>
      <w:pPr>
        <w:pStyle w:val="TextBody"/>
        <w:spacing w:lineRule="auto" w:line="288" w:before="20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BCX10013</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January 9, 2023, we announced that initial data from ongoing phase 1 single ascending dose and multiple ascending dose trials in healthy volunteers showed rapid, sustained and &gt;97 percent suppression of the alternative pathway of the complement system 24 hours following a single 110 mg dose, and that BCX10013 has been safe and generally well-tolerated at all doses studied to date. On February 21, 2023, we announced that recent dose-related observations in an ongoing BCX10013 nonclinical study will delay the clinical program.</w:t>
      </w:r>
    </w:p>
    <w:p>
      <w:pPr>
        <w:pStyle w:val="TextBody"/>
        <w:spacing w:before="0" w:after="0"/>
        <w:ind w:left="0" w:right="0" w:firstLine="54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Refinancing Transaction</w:t>
      </w:r>
    </w:p>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a $450 million Loan Agreement (the “Pharmakon Loan Agreement”) with BioPharma Credit Investments V (Master) LP and BPCR Limited Partnership, as lenders, and BioPharma Credit PLC, as collateral agent for the lenders. Certain of our wholly-owned subsidiaries are guarantors to the Pharmakon Loan Agreement. The Pharmakon Loan Agreement provides for an initial term loan in the principal amount of $300 million (the “Tranche A Loan”) which was funded on April 17, 2023 (the “Tranche A Closing Date”). We utilized the proceeds from the Tranche A Loan to repay the approximate $241.8 million of outstanding indebtedness under our then-existing credit facility with Athyrium Opportunities III Co-Invest 1 LP (the “Athyrium Credit Agreement”) and to pay transaction costs and fees, and we intend to use the remaining net proceeds of approximately $26 million for other general corporate purposes. The Pharmakon Loan Agreement also provides for three additional term loan tranches in principal amounts of $50 million each, which we may request, at our option, on or prior to September 30, 2024. The maturity date of the Pharmakon Loan Agreement is April 17, 2028, the fifth anniversary of the Tranche A Closing Date. See “Note 12—Subsequent Events” in the Notes to Consolidated Financial Statements in Part I, Item 1 of this report for additional information about our obligations under the Pharmakon Loan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Results of Operations (three months ended March 31, 2023 compared to the three months ended March 31, 2022)</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total revenues were $68.8 million as compared to $49.9 million for the three months ended March 31, 2022. The increase was primarily due to ORLADEYO net revenue, including royalties, of $68.4 million, an increase of $18.7 million.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the three months ended March 31, 2023 and 2022 was $0.9 million and $0.2 million, respectively. The increase in cost of product sales was due to an increase in ORLADEYO sales as compared to the prior year period as well as the utilization of validation materials and product in the prior year period, the cost of which was expensed prior to product launch. Additionally, for the three months ended March 31, 2023, an inventory valuation reserve of $0.2 million was recorded for inventory, primarily ORLADEYO, that was at risk of expiration prior to usage.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decreased to $48.4 million for the three months ended March 31, 2023 from $65.4 million for the three months ended March 31, 2022, primarily due to reduced R&amp;D investment following the discontinuation of the BCX9930 and BCX9250 programs announced in December and November 2022, respectively.</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R&amp;D expenses for the periods indicated (amounts are in thousands). Certain prior period amounts have been reclassified for consistency with the current year presentation. These reclassifications had no effect on total R&amp;D expenses.</w:t>
      </w:r>
    </w:p>
    <w:tbl>
      <w:tblPr>
        <w:tblW w:w="6970" w:type="dxa"/>
        <w:jc w:val="left"/>
        <w:tblInd w:w="0" w:type="dxa"/>
        <w:tblCellMar>
          <w:top w:w="28" w:type="dxa"/>
          <w:left w:w="28" w:type="dxa"/>
          <w:bottom w:w="28" w:type="dxa"/>
          <w:right w:w="28" w:type="dxa"/>
        </w:tblCellMar>
      </w:tblPr>
      <w:tblGrid>
        <w:gridCol w:w="1499"/>
        <w:gridCol w:w="1315"/>
        <w:gridCol w:w="1325"/>
        <w:gridCol w:w="240"/>
        <w:gridCol w:w="840"/>
        <w:gridCol w:w="124"/>
        <w:gridCol w:w="124"/>
        <w:gridCol w:w="124"/>
        <w:gridCol w:w="124"/>
        <w:gridCol w:w="240"/>
        <w:gridCol w:w="840"/>
        <w:gridCol w:w="175"/>
      </w:tblGrid>
      <w:tr>
        <w:trPr/>
        <w:tc>
          <w:tcPr>
            <w:tcW w:w="1499"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by program:</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Factor D program</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47,907 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Berotralstat</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FOP</w:t>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Peramivir</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Galidesivir</w:t>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preclinical and development costs</w:t>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R&amp;D expenses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48,388</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65,360</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for the three months ended March 31, 2023 were $47.9 million compared to $34.3 million in the three months ended March 31, 2022. The increase was primarily due to increased investment to expand and enhance the U.S. commercial team and expanded international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2023 was $27.4 million compared to $23.8 million for the three months ended March 31, 2022. The increase in interest expense was primarily associated with the additional aggregate borrowing of $75.0 million of the Term B Loan and the Term C Loan under the Athyrium Credit Agreement, which were funded on July 29, 2022.</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March 31, 2023 included $19.3 million of non-cash interest expense due to the amortization of interest associated with the royalty financing obligations and $8.0 million of interest expense, including the amortization of the deferred financing associated with the borrowings under the Athyrium Credit Agreement. Interest expense for the three months ended March 31, 2022 included $19.6 million of non-cash interest expense due to the amortization of interest associated with the royalty financing obligations under the 2020 RPI Royalty Purchase Agreement (as defined in Note 6—Royalty Monetizations—ORLADEYO and Factor D Inhibitors” in the Notes to Consolidated Financial Statements in Part I, Item 1 of this report) and $4.2 million of interest expense, net of deferred financing amortization, associated with the Term A Loan under the Athyrium Credit Agreement.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other income, net of $3.1 million was comprised primarily of interest income of $3.4 million and net foreign currency losses of $0.2 million. Other expense for the three months ended March 31, 2022 was primarily related to net foreign currency losses of $0.2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operations have principally been funded through public offerings and private placements of equity securities; our credit facilities; revenues from ORLADEYO; royalty monetization transactions; and cash from collaborative and other research and development agreements, including U.S. Government contracts. In addition to the above, we have previously received funding from other sources, including other collaborative and other research and development agreements, government grants, equipment lease financing, facility leases, research grants, and interest income on our 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2020 and 2021, we entered into the Royalty Purchase Agreements (as defined in “Note 6—Royalty Monetizations—ORLADEYO and Factor D Inhibitors” in the Notes to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We will be required to make payments to OMERS commencing with the calendar quarter beginning October 1, 2023. See “Note 6—Royalty Monetizations—ORLADEYO and Factor D Inhibitors” in the Notes to Consolidated Financial Statements in Part I, Item 1 of this report for additional information about these financing transactions.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net working capital of $405.7 million, a decrease of approximately $5.3 million from $411.0 million at December 31, 2022. The decrease in working capital was primarily due to normal operating expenses associated with the development of our product candidates and commercialization of ORLADEYO. Our principal sources of liquidity at March 31, 2023 were approximately $155.1 million in cash and cash equivalents and approximately $243.0 million in investments considered available-for-sale.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the Pharmakon Loan Agreement. The Pharmakon Loan Agreement provides for an initial $300 million Tranche A Loan, which was funded on April 17, 2023. We utilized the proceeds from the Tranche A Loan to repay the approximate $241.8 million of outstanding indebtedness under the Athyrium Credit Agreement and to pay transaction costs and fees, and we intend to use the remaining net proceeds of approximately $26 million for other general corporate purposes. The Pharmakon Loan Agreement also provides for three additional term loan tranches in principal amounts of $50 million each, which we may request, at our option, on or prior to September 30, 2024. The maturity date of the Pharmakon Loan Agreement is April 17, 2028. See “Note 12—Subsequent Events” in the Notes to Consolidated Financial Statements in Part I, Item 1 of this report for additional information about our obligations under the Pharmakon Loan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plan to finance our needs principally from the following: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lease, royalty, or loan financing;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public or private equity and/or debt financing;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existing capital resources and interest earned on that capital;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revenues from product sales;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payments under current or future collaborative and licensing agreements with corporate partners.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revenues, expenses, and cash utilization rate.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expectations for revenue and operating expenses, we believe our financial resources will be sufficient to fund our operations for at least the next 12 months. However, we have sustained operating losses for the majority of our corporate history and expect that our 2023 expenses will exceed our 2023 revenues. We expect to continue to incur operating losses and negative cash flows until revenues reach a level sufficient to support ongoing operations. Our liquidity needs will largely be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(6) securing U.S. Government funding of our programs, including obtaining procurement contracts.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long-term capital requirements and the adequacy of our available funds will depend upon many factors,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market acceptance of approved products and successful commercialization of such products by either us or our partners;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receive reimbursement and stockpiling procurement contracts;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progress and magnitude of our research, drug discovery and development programs;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existing collaborative relationships;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establish additional collaborative relationships with academic institutions, biotechnology or pharmaceutical companies, governmental agencies, distributors or other third parties;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extent to which our partners will share in the costs associated with the development of our programs or run the development programs themselves;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negotiate favorable development and marketing strategic alliances for certain products and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decision to build or expand internal development and commercial capabilities;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scope and results of preclinical studies and clinical trials to identify and develop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engage sites and enroll subjects in our clinical trials;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scope of manufacturing of our products to support our commercial operations and of our product candidates to support our preclinical research and clinical trials;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increases in personnel and related costs to support the development and commercialization of our products and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scope of manufacturing of our drug substance and product candidates required for future new drug application (“NDA”) filings;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competitive and technological advances;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time and costs involved in obtaining regulatory approvals;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post-approval commitments for ORLADEYO, RAPIVAB, and other products that receive regulatory approval;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Part II, Item 1A of this report for further discussion of the risks related to obtaining additional capital.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restrictive covenants contained in the Pharmakon Loan Agreement could cause us to be unable to pursue business opportunities that we or our stockholders may consider beneficial without the lenders’ permission or without repaying all obligations outstanding under the Pharmakon Loan Agreement. These covenants limit our ability to, among other things, dispose of assets; engage in mergers, acquisitions, and similar transactions; incur additional indebtedness; grant liens; make investments; pay dividends or make distributions or certain other restricted payments in respect of equity;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prepay other indebtedness; enter into restrictive agreements; undertake fundamental changes; or amend certain material contracts. A breach of any of these covenants could result in an event of default under the Pharmakon Loan Agreement. As of March 31, 2023, we were in compliance with the covenants to which we were then subject under the Athyrium Credit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 1—Significant Accounting Policies and Concentrations of Risk” in the Notes to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product sales are sales of ORLADEYO, which we began shipping to patients in December 2020, sales of peramivir to our licensing partners and sales of RAPIVAB to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we are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pPr>
      <w:r>
        <w:rPr>
          <w:rFonts w:ascii="Times New Roman;sans-serif" w:hAnsi="Times New Roman;sans-serif"/>
          <w:b w:val="false"/>
          <w:i/>
          <w:color w:val="000000"/>
          <w:sz w:val="20"/>
        </w:rPr>
        <w:t>Government and Managed Care Rebates</w:t>
      </w:r>
      <w:r>
        <w:rPr>
          <w:rFonts w:ascii="Times New Roman;sans-serif" w:hAnsi="Times New Roman;sans-serif"/>
          <w:b w:val="false"/>
          <w:color w:val="000000"/>
          <w:sz w:val="20"/>
        </w:rPr>
        <w:t>.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pStyle w:val="TextBody"/>
        <w:spacing w:lineRule="auto" w:line="288" w:before="200" w:after="283"/>
        <w:ind w:left="0" w:right="0" w:firstLine="540"/>
        <w:rPr/>
      </w:pPr>
      <w:r>
        <w:rPr>
          <w:rFonts w:ascii="Times New Roman;sans-serif" w:hAnsi="Times New Roman;sans-serif"/>
          <w:b w:val="false"/>
          <w:i/>
          <w:color w:val="000000"/>
          <w:sz w:val="20"/>
        </w:rPr>
        <w:t>Chargebacks</w:t>
      </w:r>
      <w:r>
        <w:rPr>
          <w:rFonts w:ascii="Times New Roman;sans-serif" w:hAnsi="Times New Roman;sans-serif"/>
          <w:b w:val="false"/>
          <w:color w:val="000000"/>
          <w:sz w:val="20"/>
        </w:rPr>
        <w:t>. Chargebacks are discounts that occur when certain contracted customers, pharmacy benefit managers, insurance companies, and government programs purchase directly from our specialty pharmacy. These customers purchase our products under contracts negotiated between them and our specialty pharmacy. The specialty pharmacy, in turn, charges back to us the difference between the price the specialty pharmacy paid and the negotiated price paid by the contracted customers, which may be higher or lower than the specialty pharmacy’s purchase price from us. We estimate chargebacks and adjust gross product revenues and accounts receivable based on the estimates at the time revenues are recognized.</w:t>
      </w:r>
    </w:p>
    <w:p>
      <w:pPr>
        <w:pStyle w:val="TextBody"/>
        <w:spacing w:lineRule="auto" w:line="288" w:before="200" w:after="283"/>
        <w:ind w:left="0" w:right="0" w:firstLine="540"/>
        <w:rPr/>
      </w:pPr>
      <w:r>
        <w:rPr>
          <w:rFonts w:ascii="Times New Roman;sans-serif" w:hAnsi="Times New Roman;sans-serif"/>
          <w:b w:val="false"/>
          <w:i/>
          <w:color w:val="000000"/>
          <w:sz w:val="20"/>
        </w:rPr>
        <w:t>Co-payment assistance and patient assistance programs</w:t>
      </w:r>
      <w:r>
        <w:rPr>
          <w:rFonts w:ascii="Times New Roman;sans-serif" w:hAnsi="Times New Roman;sans-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pStyle w:val="TextBody"/>
        <w:spacing w:lineRule="auto" w:line="288" w:before="200" w:after="283"/>
        <w:ind w:left="0" w:right="0" w:firstLine="540"/>
        <w:rPr/>
      </w:pPr>
      <w:r>
        <w:rPr>
          <w:rFonts w:ascii="Times New Roman;sans-serif" w:hAnsi="Times New Roman;sans-serif"/>
          <w:b w:val="false"/>
          <w:i/>
          <w:color w:val="000000"/>
          <w:sz w:val="20"/>
        </w:rPr>
        <w:t>Product returns</w:t>
      </w:r>
      <w:r>
        <w:rPr>
          <w:rFonts w:ascii="Times New Roman;sans-serif" w:hAnsi="Times New Roman;sans-serif"/>
          <w:b w:val="false"/>
          <w:color w:val="000000"/>
          <w:sz w:val="20"/>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Collaborative and Other Revenues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collaboration and license agreements with a number of third parties, as well as research and development agreements with certain government entities. Our primary sources of revenue from these collaborative and other research and development arrangements are license, service and royalty revenues.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is willing to pay for the product or service. Analyzing the arrangement to identify performance obligations requires the use of judgment, and each may be an obligation to deliver services, a right or license to use an asset, or another performance obligation.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inventories primarily relate to ORLADEYO. Additionally, our inventory includes RAPIVAB and peramivir.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 all inventory costs prior to packaging and labeling, including raw material, active product ingredient, and the drug product. Finished goods include packaged and labeled products.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During the quarter ended March 31, 2023, we evaluated our inventory levels and associated expiration dating relative to the latest sales forecasts for ORLADEYO and RAPIVAB and estimated those inventories at risk of obsolescence. Accordingly, we recorded an increase to the inventory valuation reserve of $0.2 million for a total reserve of $1.4 million as of March 31, 2023.</w:t>
      </w:r>
    </w:p>
    <w:p>
      <w:pPr>
        <w:pStyle w:val="TextBody"/>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regardless of the timing of the invoice. This process involves reviewing open contracts and purchase orders, communicating with applicable Company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financial statements based on the facts and circumstances, which can include assumptions such as expected patient enrollment, site activation and estimated project duration.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As of March 31, 2023 and December 31, 2022, the carrying value of accrued expenses approximates their fair value due to their short-term settlement.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costs are charged to expense when incurred. Research and development expenses include all direct and indirect development costs related to the development of our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we have license agreements with third parties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Deferred collaboration expenses represent sublicense payments paid to our academic partners upon receipt of consideration from various commercial partners, and other consideration paid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is deemed to have occurred. Significant management judgment is also required in determining estimates of future stock price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volatility and forfeitures to be used in the valuation of the options. Actual results, and future changes in estimates, may differ substantially from our current estimates.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 and Royalty Financing Obligations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Beginning in fiscal year 2021, we began accruing for U.S. state taxes and foreign income taxes as a result of increased nexus in both U.S. state and foreign jurisdictions where historically we had no presence.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00" w:after="283"/>
        <w:ind w:left="0" w:right="0" w:firstLine="540"/>
        <w:rPr>
          <w:color w:val="000000"/>
        </w:rPr>
      </w:pPr>
      <w:r>
        <w:rPr>
          <w:color w:val="000000"/>
        </w:rPr>
        <w:t>“</w:t>
      </w:r>
      <w:r>
        <w:rPr>
          <w:rFonts w:ascii="Times New Roman;sans-serif" w:hAnsi="Times New Roman;sans-serif"/>
          <w:b w:val="false"/>
          <w:color w:val="000000"/>
          <w:sz w:val="20"/>
        </w:rPr>
        <w:t>Note 1—Significant Accounting Policies and Concentrations of Risk” in the Notes to Consolidated Financial Statements included in Part I, Item 1 of this report discusses accounting pronouncements recently issued or proposed but not yet required to be adopted.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were subject to interest rate risk on our investment portfolio and borrowings under our Athyrium Credit Agreement through its payoff and termination on April 17, 2023 and, subsequent to that date, the Pharmakon Loan Agreement. The Athyrium Term Loans under the Athyrium Credit Agreement accrued interest each quarter at a rate equal to the three-month LIBOR rate, which was capped to be no less than 1.75% and no more than 3.50% (“LIBOR”), plus 8.25% or, for each quarterly interest period in which a PIK Interest Payment is made, LIBOR plus 10.25%. Accordingly, increases in interest rates could have increased the associated interest payments that we were required to make on the Athyrium Term Loans. As of March 31, 2023, interest was accrued at an effective rate of 11.88% on the $200.0 million borrowings under the Athyrium Credit Agreement. The Pharmakon Loan Agreement uses the 3-month Secured Overnight Financing Rate (“SOFR”) as the initial benchmark rate.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Most of our revenues and expenses are denominated in U.S. dollars. Our commercial sales in Europe are primarily denominated in Euros and the British Pound. We also had other transactions denominated in foreign currencies during the three months ended March 31, 2023,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Additionally, we have initiated operations in Canada and have foreign currency exposure to the Canadian Dollar.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three months ended March 31, 2023; however, we may do so in the future.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March 31, 2023, the Company’s disclosure controls and procedures are effective to ensure that information required to be disclosed by the Company in the reports filed or submitted by it under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quarter ended March 31, 2023 that have materially affected, or are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spacing w:lineRule="auto" w:line="288" w:before="20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Risks Relating to Our Business</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COVID-19</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European Medicines Agency (“EMA”), Japanese Pharmaceuticals and Medical Devices Agency (“PMDA”), and other health and governmental authorities, which could result in delays of reviews and approvals, including as we continue to expand internationally and bring ORLADEYO to additional global markets.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challenges or delays will not have an adverse impact on our business, financial condition and prospects.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have been and may continue to be affected by the COVID-19 pandemic. For example, the acceleration of COVID-19 slowed the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Where possible and practical, we continue to provide work-from-home flexibility for our employees, which could negatively impact productivity, disrupt our business and delay our clinical programs and timelines. We cannot accurately predict the impact on operations of any return-to-the-office plan on our business or on third parties with whom we conduct business. Our business may be negatively impacted in the event that large numbers of employees or key employees do not comply with any applicable protocols. These and similar, and perhaps more severe, disruptions to our operations could negatively impact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spread of COVID-19, which has caused a broad impact globally, could also materially affect our access to capital. While the future economic impact brought by, and the duration of, COVID-19 may be difficult to assess or predict, the pandemic could result in further significant disruption of global financial markets, reducing our ability to access the equity or debt capital markets or obtain other sources of capital, which could negatively affect our liquidity. In addition, a recession or market correction could materially affect our business and the value of our common stock.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global pandemic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the healthcare system, the pharmaceutical industry, or the global economy. In addition, the COVID-19 pandemic could have the effect of heightening many of the other risks described below.</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and Liquidity Risks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have incurred losses since our inception, expect to continue to incur such losses, and may never be profitable.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approvals,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in the future. If we are unable to raise capital as and when needed, we may need to adjust our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sustained operating losses for the majority of our corporate history and expect that our 2023 expenses will exceed our 2023 revenues. We expect to continue to incur operating losses and negative cash flows unless and until revenues reach a level sufficient to support ongoing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or from other sources, may not be available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will largely be determined by the success of operations in regard to the commercialization of our products, particularly ORLADEYO, and the progression of our product candidates in the future. Our plans for managing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our liquidity needs primarily include controlling the timing and spending on our research and development programs, raising additional funds as discussed herein, and commercializing our approved products. See “Management’s Discussion and Analysis of Financial Condition and Results of Operations—Liquidity and Capital Resources” in Part I, Item 2 of this report for additional information about our liquidity needs, capital requirements, potential funding alternatives, and adequacy of available funds.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any of our plans will be successful or that additional capital will be available to us on reasonable terms, or at all, when needed. If we are unable to obtain sufficient additional capital as and when needed, we may be forced to adjust or curtail our operations; delay, reduce, or stop ongoing clinical trials or commercialization efforts; cease operations altogether; or file for bankruptcy.</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Drug Development and Commercialization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and integrate viable products or product candidates into our business on acceptable terms, or at all, our business and drug development efforts would suffer.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our complement program (inclusive of BCX10013) and our other rare disease product candidates, could result in delays in or modifications to our trials or require the performance of additional unplanned trials. For example, recent dose-related observations in an ongoing BCX10013 nonclinical study will delay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such as we experienced with BCX9930 in 2022 prior to discontinuing its development later that year.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development plans for our product candidates, including our clinical trials (inclusive of BCX10013),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favorable results in clinical trials, unlikely to help advance a product to the point of a meaningful collaboration, or unlikely to have reasonable commercial potential.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Undesirable or inconclusive data in our preclinical studies and clinical trials or side effects in humans could result in the FDA or foreign regulatory authorities (including, e.g., the EMA, the Ministry of Health, Labor and Welfare (“MHLW”) in Japan or the United Kingdom’s Medicines and Healthcare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ability to complete the clinical development process successfully is dependent upon many factors, including, but not limited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or our partners’ ability to secure suitable clinical sites and investigators and to enroll and maintain an adequate number of patients on a timely basis or at all;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patients that enroll in a clinical trial may not comply with the clinical trial protocols or maintain contact with investigators to provide complete data during and after treatment;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product candidates may not prove to be either safe or effective or may produce unfavorable or inconclusive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authorities may disagree with our or our partners’ clinical trial protocols or our or their interpretation of data from preclinical studies and clinical trials;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clinical protocols or study procedures may not be adequately designed or followed by the investigators;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formulation improvements may not work as expected, which could negatively impact commercial demand for our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cost of preclinical studies and clinical trials may be greater than we anticipate;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ongoing COVID-19 pandemic on one or more of the foregoing factors.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rely heavily upon third parties for many important stages of our product candidate development, including, but not limited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discovery of natural proteins that cause or enable biological reactions necessary for the progression of the disease or disorder, called enzyme targets;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execution of certain pharmacology preclinical studies and late-stage development for our compounds and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management of our phase 1, 2 and 3 clinical trials, including medical monitoring, laboratory testing, and data management;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execution of toxicology studies that may be required to obtain approval for our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formulation improvement strategies and methods;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manufacturing the starting materials and drug substance required to formulate our products and the product candidates to be used in our clinical trials, toxicology studies and any potential commercial product;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management of certain regulatory interactions outside of the United States.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failure to engage in successful collaborations at any one of these stages would greatly impact our business. If we do not license enzyme targets or inhibitors from academic institutions or from other biotechnology companies on acceptable terms, or at all,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fail to obtain additional financing or acceptable partnership arrangements as and when needed, we may be unable to complete the development and commercialization of our products and product candidates or continue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effectively manage our product candidate pipeline; our ability to obtain regulatory approvals for our product candidates, including BCX10013; our ability to maintain regulatory approvals for, successfully commercialize, and achieve market acceptance of our products, including ORLADEYO; our ability to raise additional capital as and when needed; the amount of funding we receive from partnerships with third parties for the development and commercialization of our products and product candidates (including our collaboration with Torii);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continue future operations, progress our drug discovery and development programs, and commercialize our current products and product candidates, we may be required to raise additional capital. Our ability to raise additional capital as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required studies) for our complement program (including BCX10013) for diseases of the complement system and other rare disease product candidates, as well as any post-approval studies for our products. In addition, constriction and volatility in the equity and debt markets, including as a result of the impacts of COVID-19, rising inflation, increased interest rates, or disruption or instability in the banking industry, may restrict our future flexibility to raise capital as and when such needs arise. See “Risks Relating to Our Business—Financial and Liquidity Risks—We may need to raise additional capital in the future. If we are unable to raise capital as and when needed, we may need to adjust our operations” in this section and “Management’s Discussion and Analysis of Financial Condition and Results of Operations—Liquidity and Capital Resources” in Part I, Item 2 of this report for additional information about our liquidity risks and capital requirements.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COVID-19, rising inflation, increased interest rates, disruption or instability in the banking industry, or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spacing w:lineRule="auto" w:line="288" w:before="200" w:after="283"/>
        <w:ind w:left="0" w:right="0" w:firstLine="540"/>
        <w:rPr/>
      </w:pPr>
      <w:r>
        <w:rPr>
          <w:rFonts w:ascii="Times New Roman;sans-serif" w:hAnsi="Times New Roman;sans-serif"/>
          <w:b w:val="false"/>
          <w:color w:val="000000"/>
          <w:sz w:val="20"/>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and our partners have experienced, and may again in the future</w:t>
      </w:r>
      <w:r>
        <w:rPr>
          <w:color w:val="000000"/>
        </w:rPr>
        <w:t xml:space="preserve"> </w:t>
      </w:r>
      <w:r>
        <w:rPr>
          <w:rFonts w:ascii="Times New Roman;sans-serif" w:hAnsi="Times New Roman;sans-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focus on rare diseases, which may create additional risks and challenges.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partners may be required to recall the product, change the way the product is administered, conduct additional clinical trials, or be subject to civil or criminal penalties;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product may become less competitive and our reputation may suffer.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Currently, we have established collaborative relationships, including with Torii for the commercialization of ORLADEYO in Japan, with third-party distributors for ORLADEYO in certain other markets, and with each of Shionogi and Green Cross for the development and commercialization of peramivir. The process of establishing and implementing collaborative relationships is difficult, time-consuming and involves significant uncertainty,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contracts for collaborative arrangements may expire;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partners may choose to pursue alternative technologies, including those of our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do not have day-to-day control over the activities of our partners and have limited control over their decisions;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partners may not devote sufficient capital or resources toward our products and product candidates;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or our partners may not comply with applicable government regulatory requirements.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 results of our partnership with Torii may not meet our current expectations.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Torii may terminate the Torii Agreement under certain limited circumstances, including upon one year’s written notice after the sixth anniversary of the first commercial sale of ORLADEYO in Japan. If the Torii Agreement is terminated in connection with these provisions, or at all, we will no longer be entitled to receive any milestone or royalty payments thereunder, which could have a material adverse impact on our business and results of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Torii has sole control over, and decision-making authority with respect to, commercialization activities for ORLADEYO for the prevention of HAE attacks in Japan, subject to oversight from a joint steering committee. Therefore, 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There can be no assurance that our or our partners’ commercialization efforts, methods, and strategies for our products or technologies will succeed, and our future revenue generation is uncertain.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or our partners may fail to complete clinical trials successfully, or satisfy post-marketing commitments, sufficient to obtain and maintain regulatory agency marketing approval;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fail to employ a comprehensive and effective regulatory strategy, which could result in a delay or failure in commercialization of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and our partners’ ability to successfully commercialize our products is affected by the competitive landscape, which cannot be fully known at this time;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revenue from product sales depends on our ability to obtain and maintain favorable pricing;</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reimbursement is constantly changing, which could greatly affect usage of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future revenue from product sales will depend on our ability to successfully complete clinical studies, obtain regulatory approvals, and manufacture, market, distribute and commercialize our approved drugs;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COVID-19 pandemic on us or our partners.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insufficient resources being devoted in the manner necessary to satisfy our requirements within expected timeframes;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inconsistent production yields;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 liability claims or recalls of commercial product;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difficulties in scaling production to commercial and validation sizes;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interruption of the delivery of materials required for the manufacturing process;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distribute commercial supplies of our products to commercial vendors or end users in a timely manner;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scheduling of plant time with other vendors or unexpected equipment failure;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potential catastrophes that could strike their facilities or have an effect on infrastructure;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potential impurities in our drug substance or products that could affect availability of product for our clinical trials or future commercialization;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poor quality control and assurance or inadequate process controls;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provide us with accurate or timely information regarding inventories, the number of patients who are using our products, or serious adverse events and/or product complaints regarding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inability of third parties to satisfy their financial obligations to us or to others;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potential breach of the manufacturing or distribution agreement by the third party;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possible termination or nonrenewal of a critical agreement by the third party at a time that is costly or inconvenient to us;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lack of compliance or cooperation with regulations and specifications or requests set forth by the FDA or other foreign regulatory agencies or local customs, particularly associated with ORLADEYO, BCX10013, peramivir and our early-stage compounds.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or testing of products. If we or our contract manufacturers are unable to comply, we or they may be subject to regulatory action, civil actions or penalties, any of which could be costly to us and could result in a delay or shortage of product.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spacing w:lineRule="auto" w:line="288" w:before="200" w:after="283"/>
        <w:rPr/>
      </w:pPr>
      <w:r>
        <w:rPr>
          <w:rFonts w:ascii="Times New Roman;sans-serif" w:hAnsi="Times New Roman;sans-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ans-serif" w:hAnsi="Times New Roman;sans-serif"/>
          <w:b/>
          <w:i/>
          <w:color w:val="000000"/>
          <w:sz w:val="20"/>
        </w:rPr>
        <w:t>Any potential revenue benefits to us, including in the form of milestone payments, royalties or other consideration are highly speculative.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our products may not prove to be adequately safe and effective for market approval in markets other than the markets in which they are currently approved;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necessary funding for post-marketing commitments and further development of our products may not be available timely, at all, or in sufficient amounts;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advances in competing products could substantially replace potential demand for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government and third-party payors may not provide sufficient coverage or reimbursement, which would negatively impact the demand for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not be able to supply commercial material to our partners and our partners may not be able to maintain or establish sufficient and acceptable commercial manufacturing, either directly or through third-party manufacturers;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effectiveness of marketing and commercialization efforts for our products by us or our partners;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market satisfaction with existing alternative therapies;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perceived efficacy relative to other available therapies;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disease prevalence;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cost of treatment;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pricing and reimbursement strategy may not be effective;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pricing and availability of imports or alternative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marketing and sales activities of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shifts in the medical community to new treatment paradigms or standards of care;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relative convenience and ease of administration.</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Competing in Our Industry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compete effectively, the demand for our products may be reduced.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government agencies, research institutions and biotechnology and pharmaceutical companies. Competition may also arise from, among other things: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other drug development technologies;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methods of preventing or reducing the incidence of disease, including vaccines;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new small molecule or other classes of therapeutic agents.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Developments by others may render our products, product candidates, or technologies obsolete or noncompetitive.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our most recent Annual Report on Form 10-K for further discussion of our competitors, competitive products or programs, and the competitive conditions in these and other therapeutic areas.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one or more of our competitors’ products or programs, including potential competitors not currently identified, are successful, the market for our products may be reduced or eliminated.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Compared to us, many of our competitors and potential competitors have substantially greater:</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capital resources;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research and development resources, including personnel and technology;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experience;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preclinical study and clinical testing experience;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manufacturing, marketing, and sales experience;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production facilities.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Legal and Regulatory Risks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and our partners’ activities related to approved products or, following their regulatory approval (if applicable), any of our product candidates under development, such as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are subject to stringent FDA rules and oversight, and as an NDA holder, we may be held responsible for any advertising and promotion that is not in compliance with the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our operations with respect to our products that are subject to healthcare laws and regulations are found to be in violation of any of the healthcare fraud and abuse laws described above or in “Business—Government Regulation” in Part I, Item 1 of our most recent Annual Report on Form 10-K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spacing w:lineRule="auto" w:line="288" w:before="200" w:after="283"/>
        <w:rPr/>
      </w:pPr>
      <w:r>
        <w:rPr>
          <w:rFonts w:ascii="Times New Roman;sans-serif" w:hAnsi="Times New Roman;sans-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ans-serif" w:hAnsi="Times New Roman;sans-serif"/>
          <w:b/>
          <w:i/>
          <w:color w:val="000000"/>
          <w:sz w:val="20"/>
        </w:rPr>
        <w:t>ability to market our products, develop our product candidates, obtain collaborators and raise capital.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“Business—Government Regulation” 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We cannot be sure whether additional legislation or rulemaking related to the IRA will be issued or enacted, or what impact, if any, such changes will have on the profitability of our products or any of our product candidates, if approved for commercial use, in the future. The effect of the IRA on our business and the healthcare industry in general is not yet known. 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are subject to data security and privacy risks, and our actual or perceived failure to comply with regulations and other legal obligations related to privacy and data protection could harm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General Data Protection Regulation (“GDPR”) in the European Economic Area (“EEA”) and similar legislation in the United Kingdom and Switzerland. See “Business—Government Regulation—Data Privacy and Security Laws” in Part I, Item 1 of our most recent Annual Report on Form 10-K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Intellectual Property Risks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jurisdictions. The validity, scope, enforceability and commercial value of the rights protected by such patents, therefore, is highly uncertain.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may be involved in legal proceedings to protect or enforce our patents, the patents of our partners or our other intellectual property rights, which could be expensive, time consuming and unsuccessful.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degree and range of protection any patents will afford against competitors with similar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and when patents will issue;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patents do issue, we cannot be sure that we will be able to adequately defend such patents and whether or not we will be able to adequately enforce such patents; 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whether or not others will obtain patents claiming aspects similar to those covered by our patent applications.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the USPTO or other foreign patent office upholds patents issued to others or if the USPTO grants patent applications filed by others, we may have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obtain licenses or redesign our products or processes to avoid infringement;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stop using the subject matter claimed in those patents; 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pay damages.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Liability Risks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liabilities that substantially exceed our product liability insurance, which we would then be required to pay from other sources, if available;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 increase of our product liability insurance rates or the inability to maintain insurance coverage in the future on acceptable terms, or at all;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withdrawal of clinical trial volunteers or patients;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damage to our reputation and the reputation of our products, resulting in lower sales;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investigations that could require costly recalls or product modifications;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litigation costs;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diversion of management’s attention from managing our business.</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Contractual Arrangements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face risks related to our government-funded programs and are subject to various U.S. Government contract requirements, which may create a disadvantage and additional risks to us.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While all government funding for galidesivir expired in 2022, we still face risks related to our U.S. Government contracts.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terminate or reduce the scope of our contract with or without cause;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interpret relevant regulations (federal acquisition regulation clauses);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performance under circumstances which may not be favorable to us;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 an in-process review where the U.S. Government will review the project and its options under the contract;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control the timing and amount of funding, which impacts the development progress of our programs;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audit and object to our contract-related costs and fees, including allocated indirect costs.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Upon termination or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There are risks related to the potential government use or sale of our antivirals.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or our manufacturers will be able to fully meet the demand for our antivirals with respect to any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non-U.S. partnerships that we have entered into for peramivir will result in any order for peramivir in those countries or that peramivir will be approved for any use or will achieve market approval in additional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wrote off the balance due under the PhaRMA Notes to other income as a debt extinguishment as of December 31, 2021. See “Note 8—Royalty Monetizations—RAPIACTA—Non-Recourse Notes Payable−Debt Extinguishment” in the Notes to Consolidated Financial Statements in Part II, Item 8 of our most recent Annual Report on Form 10-K for additional information about the write-off.</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April 17, 2023, we entered into the $450 million Pharmakon Loan Agreement and closed on an initial term loan thereunder in the principal amount of $300 million. Under the new Pharmakon Loan Agreement, we will be required to pay to Pharmakon, for the account of the lenders, a prepayment premium or a make-whole premium, as applicable, plus certain fees or expenses set forth in the Pharmakon Loan Agreement in the event that we prepay or repay, or are required to prepay or repay, voluntarily or pursuant to a mandatory prepayment obligation under the Pharmakon Loan Agreement (e.g., upon a change of control of the Company and specified other events, subject to certain exceptions), all of the then-outstanding term loans under the Pharmakon Loan Agreement, in each case, subject to certain exceptions set forth in the Pharmakon Loan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indebtedness could have important consequences to our stockholders. For example, it: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increases our vulnerability to adverse general economic or industry conditions;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limits our flexibility in planning for, or reacting to, changes in our business or the industry in which we operate;</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makes us more vulnerable to increases in interest rates, as borrowings under the Pharmakon Loan Agreement are at variable rates;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requires us to dedicate a portion of our cash flow from operations to interest payments, limiting the availability of cash for other purposes;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limits our ability to obtain additional financing or refinancing in the future for working capital or other purposes;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places us at a competitive disadvantage compared to our competitors that have less indebtedness.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the Pharmakon Loan Agreement contains various covenants that limit our ability to engage in specified types of transactions. Subject to certain exceptions, these covenants limit our ability to, among other things, dispose of assets; engage in certain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International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exposes us to business, legal, regulatory, political, operational, financial, and economic risks.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introduction of new health authority requirements and/or changes in health authority expectations;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by us or our partners to obtain and maintain regulatory approvals for the use of our products in various countries;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complexities and difficulties in obtaining and maintaining protection for, and enforcing, our intellectual property;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difficulties in staffing and managing foreign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complexities associated with managing multiple payor reimbursement regimes, government payors, or patient self-pay systems;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limits on our ability to penetrate international markets;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natural disasters and political and economic instability, including wars (e.g., the conflict in Ukraine), terrorism, political unrest, results of certain elections and votes, actual or threatened public health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emergencies and outbreak of disease (e.g., the ongoing COVID-19 pandemic), boycotts, adoption or expansion of government trade restrictions, and other business restrictions;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certain expenses including, among others, expenses for travel, translation, and insurance;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international expansion of operations and adversely affect our business and results of operations.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Foreign currency exchange rate fluctuations could have an adverse impact on our results of operations, financial position, and cash flows.</w:t>
      </w:r>
    </w:p>
    <w:p>
      <w:pPr>
        <w:pStyle w:val="TextBody"/>
        <w:spacing w:before="0" w:after="0"/>
        <w:rPr/>
      </w:pPr>
      <w:r>
        <w:rPr/>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In addition, our royalties from Torii are derived from Torii’s sales of ORLADEYO in Japan, which sales are denominated in Japanese yen and converted into U.S. dollars for purposes of determining the royalty owed to us. We also have foreign currency exposure to fluctuations in other foreign currencies, such as the Swiss Franc, Danish Krone, Swedish Krona, and the Canadian Dollar.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“Quantitative and Qualitative Disclosures about Market Risk—Foreign Currency Risk” in Part I, Item 3 of this report for additional information about our foreign currency risk.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European governmental laws and regulations and other legal obligations related to privacy, data protection and information security could harm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EU member states, the United Kingdom, Switzerland and other countries have adopted data protection laws and regulations, which impose significant compliance obligations. These laws include the GDPR and similar national legislation, the EU Clinical Trials Regulation, and the e-Privacy Directive (2002/58/EC), and are discussed in more detail in “Business—Government Regulation—Data Privacy and Security Laws” in Part I, Item 1 of our most recent Annual Report on Form 10-K. 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Compliance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pStyle w:val="TextBody"/>
        <w:spacing w:lineRule="auto" w:line="288" w:before="200" w:after="283"/>
        <w:rPr/>
      </w:pPr>
      <w:r>
        <w:rPr>
          <w:rFonts w:ascii="Times New Roman;sans-serif" w:hAnsi="Times New Roman;sans-serif"/>
          <w:b/>
          <w:i/>
          <w:color w:val="000000"/>
          <w:sz w:val="20"/>
        </w:rPr>
        <w:t>The United Kingdom</w:t>
      </w:r>
      <w:r>
        <w:rPr>
          <w:color w:val="000000"/>
        </w:rPr>
        <w:t>’</w:t>
      </w:r>
      <w:r>
        <w:rPr>
          <w:rFonts w:ascii="Times New Roman;sans-serif" w:hAnsi="Times New Roman;sans-serif"/>
          <w:b/>
          <w:i/>
          <w:color w:val="000000"/>
          <w:sz w:val="20"/>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Relating to Technology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our facilities, or the facilities of our third-party vendors, incur damage or power is lost for a significant length of time, our business will suffer.</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 significant disruption in our or our third-party vendors’ information technology systems or a cybersecurity breach could adversely affect our business.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dependent on information technology systems to operate our business. In addition, the FDA and comparable foreign regulatory authorities regulate, among other things, the record keeping and storage of data pertaining to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 In addition, we have outsourced significant parts of our information technology and business infrastructure to third-party providers, and we currently use these providers to perform business critical information technology and business services for us. We are therefore vulnerable to cybersecurity attacks and incidents on the associated networks and systems, whether they are managed by us directly or by the third parties with whom we contract, and we have experienced and may in the future experience such cybersecurity threats and attacks.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Like other companies in our industry, our networks and infrastructure may be vulnerable to cyber-attacks or intrusions, including by computer hackers, foreign governments, foreign companies, or competitors, or may be breached by employee error, malfeasance or other disruption.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Risks Relating to Investing in Our Common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Some of our stockholders own greater than 5% of our outstanding common stock. Our top ten stockholders own approximately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stock price has been, and is likely to continue to be, highly volatile, which could cause the value of an investment in our common stock to decline significantly.</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March 31, 2023, the 52-week range of the market price of our stock was from $7.61 to $18.00 per share. The following factors, in addition to other risk factors described in this section, may have, and in some cases have had, a significant impact on the market price of our common stock:</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announcements of technological innovations or new products by us or our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developments or disputes concerning patents or proprietary rights;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additional dilution through sales of our common stock or other derivative securities;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status of new or existing licensing or collaborative agreements and government contracts;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announcements relating to the status of our programs;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us or our partners achieving or failing to achieve development milestones;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publicity regarding actual or potential medical results relating to products under development by us or our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publicity regarding certain public health concerns for which we are or may be developing treatments;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regulatory developments in both the United States and foreign countries;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public concern as to the safety of pharmaceutical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fluctuations in our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financial estimates or recommendations by securities analysts and the comparison of such estimates to our actual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our public guidance;</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the structure of healthcare payment systems, including developments in price control legislation;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capital commitments or other monetization transactions;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additions or departures of key personnel or members of our board of directors;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purchases or sales of substantial amounts of our stock by existing stockholders, including officers or directors;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economic and other external factors or other disasters or crises;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period-to-period fluctuations in our financial results.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Future sales and issuances of securities may dilute the ownership interests of our current stockholders and cause our stock price to decline.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Future sales of our common stock by us or our current stockholders into the public market could cause the market price of our stock to fall. As of April 28, 2023, there were 188,934,787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April 28, 2023, there were 34,185,014 stock options and restricted stock units outstanding and 11,740,717 shares available for issuance under our Amended and Restated Stock Incentive Plan (inclusive of the 7,000,000 shares that are subject to stockholder approval at our annual meeting of stockholders to be held on June 13, 2023), 6,185,479 stock options and restricted stock units outstanding and 480,621 shares available for issuance under our Amended and Restated Inducement Equity Incentive Plan, and 5,616,817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or will be, as applicable, registered pursuant to registration statements on Form S-8.</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1933,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of which warrants to purchase 11,511,472 shares of our common stock remain outstanding. In addition, on June 1, 2020, we issued to certain of the Baker Entities pre-funded warrants to purchase 3,511,111 shares of our common stock at a price of $4.49 per warrant. Each warrant has an exercise price of $0.01 per share. If the Baker Entities, by exercising their registration rights or otherwise, sell a large number of our shares, or the market perceives that the Baker Entities intend to sell a large number of our shares, this could adversely affect the market price of our common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have anti-takeover provisions in our corporate charter documents that may result in outcomes with which you do not agree.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rights of the holders of common stock. The issuance of preferred stock could make it more difficult for third parties to acquire a majority of our outstanding voting stock.</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have never paid dividends on our common stock and do not anticipate doing so in the foreseeable future.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spacing w:lineRule="auto" w:line="288" w:before="200" w:after="283"/>
        <w:rPr/>
      </w:pPr>
      <w:r>
        <w:rPr>
          <w:rFonts w:ascii="Times New Roman;sans-serif" w:hAnsi="Times New Roman;sans-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ans-serif" w:hAnsi="Times New Roman;sans-serif"/>
          <w:b/>
          <w:i/>
          <w:color w:val="000000"/>
          <w:sz w:val="20"/>
        </w:rPr>
        <w:t>s ability to obtain a favorable judicial forum for such disputes with us or our directors, officers or employees.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wide variety of events beyond our control, such as natural disasters (including as a result of climate change), epidemic or pandemic disease outbreaks (such as the ongoing COVID-19 pandemic), trade wars, armed conflict,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Factors—General Risk Factors—Our business, operations, clinical development or commercialization plans and timelines, and access to capital could be adversely affected by unpredictable and unstable market and economic conditions.” In addition, other events, such as the armed conflict between Russia and Ukraine, could adversely impact our business. For example,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Our business, operations, clinical development or commercialization plans and timelines, and access to capital could be adversely affected by unpredictable and unstable market and economic conditions.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operations, clinical development or commercialization plans and timelines, and access to capital could be adversely affected by unpredictable and unstable market and economic conditions, including as a result of rising inflation, increased interest rates, disruption or instability in the banking industry, the effects of the ongoing COVID-19 pandemic, foreign exchange rate fluctuations, and the conflict in Ukraine.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spacing w:before="0" w:after="0"/>
        <w:ind w:left="0" w:right="0" w:firstLine="540"/>
        <w:rPr/>
      </w:pPr>
      <w:r>
        <w:rPr/>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Unstable market and economic conditions could materially affect our ability to access the equity or debt capital markets or obtain other sources of capital in the future, which could negatively affect our liquidity. In addition, a recession or market correction could materially affect our business and the value of our common stock.</w:t>
      </w:r>
    </w:p>
    <w:p>
      <w:pPr>
        <w:pStyle w:val="TextBody"/>
        <w:spacing w:before="0" w:after="0"/>
        <w:rPr/>
      </w:pPr>
      <w:r>
        <w:rPr/>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Market and economic conditions continue to evolve, with the ultimate impacts being uncertain and subject to change. These effects could be material, and we will continue to monitor the economic climate, COVID-19 pandemic, and the conflict in Ukraine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“Risk Factors” section.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We are subject to legal proceedings, which could harm our reputation or result in other losses or unexpected expenditure of time and resources.</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Insurance coverage is increasingly more costly and difficult to obtain or maintain.</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If we fail to retain our existing key personnel or fail to attract and retain additional key personnel, the development of our product candidates, the commercialization of our products, and the related expansion of our business will be delayed or stopped.</w:t>
      </w:r>
    </w:p>
    <w:p>
      <w:pPr>
        <w:pStyle w:val="TextBody"/>
        <w:spacing w:lineRule="auto" w:line="288" w:before="20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94"/>
        <w:gridCol w:w="258"/>
        <w:gridCol w:w="259"/>
        <w:gridCol w:w="2876"/>
        <w:gridCol w:w="2685"/>
        <w:gridCol w:w="3833"/>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33"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Pr>
                <w:t>Certificate of Elimination of the Series B Junior Participating Preferred Stock. Incorporated by reference to Exhibit 3.1 to the Company’s Form 8-K filed May 13, 202</w:t>
              </w:r>
            </w:hyperlink>
            <w:hyperlink r:id="rId6">
              <w:r>
                <w:rPr>
                  <w:rStyle w:val="InternetLink"/>
                </w:rPr>
                <w:t>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20"/>
                  <w:u w:val="single"/>
                </w:rPr>
                <w:t>Certificate of Amendment to the Third Restated Certificate of Incorporation. Incorporated by reference to Exhibit 3.2 to the Company’s Form 8-K filed May 13, 2020.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8">
              <w:r>
                <w:rPr>
                  <w:rStyle w:val="InternetLink"/>
                  <w:rFonts w:ascii="Times New Roman;sans-serif" w:hAnsi="Times New Roman;sans-serif"/>
                  <w:b w:val="false"/>
                  <w:color w:val="0000FF"/>
                  <w:sz w:val="20"/>
                  <w:u w:val="single"/>
                </w:rPr>
                <w:t>Amended and Restated Bylaws of Registrant effective October 29, 2008. Incorporated by reference to Exhibit 3.2 to the Company’s Form 8-K filed November 4, 2008.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fldChar w:fldCharType="begin"/>
            </w:r>
            <w:r>
              <w:rPr>
                <w:rStyle w:val="InternetLink"/>
                <w:sz w:val="20"/>
                <w:u w:val="single"/>
                <w:b w:val="false"/>
                <w:rFonts w:ascii="Times New Roman;sans-serif" w:hAnsi="Times New Roman;sans-serif"/>
              </w:rPr>
              <w:instrText> HYPERLINK "http://www.sec.gov/Archives/edgar/data/882796/000110465918003194/a18-3548_1ex3d1.htm" \l "Exhibit3_1_084143"</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Amendment to Amended and Restated By-Laws of BioCryst Pharmaceuticals, Inc., dated January 21, 2018. Incorporated by reference to Exhibit 3.1 to the Company’s Form 8-K filed January 22, 2018.</w:t>
            </w:r>
            <w:r>
              <w:rPr>
                <w:rStyle w:val="InternetLink"/>
                <w:sz w:val="20"/>
                <w:u w:val="single"/>
                <w:b w:val="false"/>
                <w:rFonts w:ascii="Times New Roman;sans-serif" w:hAnsi="Times New Roman;sans-serif"/>
              </w:rPr>
              <w:fldChar w:fldCharType="end"/>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crx-20230331xexx311.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crx-20230331xexx312.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bcrx-20230331xexx321.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bcrx-20230331xexx322.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from the Quarterly Report on Form 10-Q of BioCryst Pharmaceuticals, Inc. for the three months ended March 31, 2023, formatted in Inline XBRL: (i) Consolidated Balance Sheets, (ii) Consolidated Statements of Comprehensive Loss, (iii) Consolidated Statements of Cash Flows, and (iv) Notes to Consolidated Financial Statements, tagged as blocks of text and including detailed tags.</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from this Quarterly Report on Form 10-Q for the quarter ended March 31, 2023 is formatted in Inline XBRL (contained in Exhibit 101).</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93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or furnished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76" w:before="0" w:after="0"/>
        <w:rPr/>
      </w:pPr>
      <w:hyperlink w:anchor="i62e9c526a8db412c9dc8c3402d04ef9f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this 8th day of May, 2023.</w:t>
      </w:r>
    </w:p>
    <w:tbl>
      <w:tblPr>
        <w:tblW w:w="5576" w:type="dxa"/>
        <w:jc w:val="left"/>
        <w:tblInd w:w="0" w:type="dxa"/>
        <w:tblCellMar>
          <w:top w:w="28" w:type="dxa"/>
          <w:left w:w="28" w:type="dxa"/>
          <w:bottom w:w="28" w:type="dxa"/>
          <w:right w:w="28" w:type="dxa"/>
        </w:tblCellMar>
      </w:tblPr>
      <w:tblGrid>
        <w:gridCol w:w="124"/>
        <w:gridCol w:w="109"/>
        <w:gridCol w:w="109"/>
        <w:gridCol w:w="1533"/>
        <w:gridCol w:w="1533"/>
        <w:gridCol w:w="21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BIOCRYST PHARMACEUTICALS,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L.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L. Jones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Director, Finance and Principal Accounting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Jon P. Stonehouse,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BioCryst Pharmaceuticals,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43" w:type="dxa"/>
        <w:jc w:val="left"/>
        <w:tblInd w:w="0" w:type="dxa"/>
        <w:tblCellMar>
          <w:top w:w="28" w:type="dxa"/>
          <w:left w:w="28" w:type="dxa"/>
          <w:bottom w:w="28" w:type="dxa"/>
          <w:right w:w="28" w:type="dxa"/>
        </w:tblCellMar>
      </w:tblPr>
      <w:tblGrid>
        <w:gridCol w:w="591"/>
        <w:gridCol w:w="520"/>
        <w:gridCol w:w="523"/>
        <w:gridCol w:w="940"/>
        <w:gridCol w:w="940"/>
        <w:gridCol w:w="132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Anthony Doyle, certify that: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BioCryst Pharmaceuticals, Inc.;</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643" w:type="dxa"/>
        <w:jc w:val="left"/>
        <w:tblInd w:w="0" w:type="dxa"/>
        <w:tblCellMar>
          <w:top w:w="28" w:type="dxa"/>
          <w:left w:w="28" w:type="dxa"/>
          <w:bottom w:w="28" w:type="dxa"/>
          <w:right w:w="28" w:type="dxa"/>
        </w:tblCellMar>
      </w:tblPr>
      <w:tblGrid>
        <w:gridCol w:w="591"/>
        <w:gridCol w:w="520"/>
        <w:gridCol w:w="523"/>
        <w:gridCol w:w="588"/>
        <w:gridCol w:w="588"/>
        <w:gridCol w:w="83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BioCryst Pharmaceuticals, Inc. (the “Company”) on Form 10-Q for the period ended March 31, 2023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51" w:type="dxa"/>
        <w:jc w:val="left"/>
        <w:tblInd w:w="0" w:type="dxa"/>
        <w:tblCellMar>
          <w:top w:w="28" w:type="dxa"/>
          <w:left w:w="28" w:type="dxa"/>
          <w:bottom w:w="28" w:type="dxa"/>
          <w:right w:w="28" w:type="dxa"/>
        </w:tblCellMar>
      </w:tblPr>
      <w:tblGrid>
        <w:gridCol w:w="1152"/>
        <w:gridCol w:w="1011"/>
        <w:gridCol w:w="1016"/>
        <w:gridCol w:w="109"/>
        <w:gridCol w:w="109"/>
        <w:gridCol w:w="154"/>
      </w:tblGrid>
      <w:tr>
        <w:trPr/>
        <w:tc>
          <w:tcPr>
            <w:tcW w:w="115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P. Stonehouse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P. Stonehouse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BioCryst Pharmaceuticals, Inc. (the “Company”) on Form 10-Q for the period ended March 31, 2023 as filed with the Securities and Exchange Commission on the date hereof (the “Report”), I, Anthony Doyle, Chief Financial Officer of the Company, certify, pursuant to 18 U.S.C. § 1350, as adopted pursuant to § 906 of the Sarbanes-Oxley Act of 2002, that, to the best of my knowledge:</w:t>
      </w:r>
    </w:p>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352" w:type="dxa"/>
        <w:jc w:val="left"/>
        <w:tblInd w:w="0" w:type="dxa"/>
        <w:tblCellMar>
          <w:top w:w="28" w:type="dxa"/>
          <w:left w:w="28" w:type="dxa"/>
          <w:bottom w:w="28" w:type="dxa"/>
          <w:right w:w="28" w:type="dxa"/>
        </w:tblCellMar>
      </w:tblPr>
      <w:tblGrid>
        <w:gridCol w:w="717"/>
        <w:gridCol w:w="630"/>
        <w:gridCol w:w="633"/>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Anthony Doyle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Doyle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2796/000103570406000836/d42297exv3w1.htm" TargetMode="External"/><Relationship Id="rId3" Type="http://schemas.openxmlformats.org/officeDocument/2006/relationships/hyperlink" Target="http://www.sec.gov/Archives/edgar/data/882796/000136231007001386/c70813exv3w1.htm" TargetMode="External"/><Relationship Id="rId4" Type="http://schemas.openxmlformats.org/officeDocument/2006/relationships/hyperlink" Target="http://www.sec.gov/Archives/edgar/data/882796/000119312514186707/d722313dex31.htm" TargetMode="External"/><Relationship Id="rId5" Type="http://schemas.openxmlformats.org/officeDocument/2006/relationships/hyperlink" Target="http://www.sec.gov/Archives/edgar/data/882796/000117184320003680/exh_31.htm" TargetMode="External"/><Relationship Id="rId6" Type="http://schemas.openxmlformats.org/officeDocument/2006/relationships/hyperlink" Target="http://www.sec.gov/Archives/edgar/data/882796/000117184320003680/exh_32.htm" TargetMode="External"/><Relationship Id="rId7" Type="http://schemas.openxmlformats.org/officeDocument/2006/relationships/hyperlink" Target="http://www.sec.gov/Archives/edgar/data/882796/000117184320003680/exh_32.htm" TargetMode="External"/><Relationship Id="rId8" Type="http://schemas.openxmlformats.org/officeDocument/2006/relationships/hyperlink" Target="http://www.sec.gov/Archives/edgar/data/882796/000136231008006580/c76716exv3w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48863</Words>
  <CharactersWithSpaces>323168</CharactersWithSpaces>
  <Paragraphs>1910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