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2025</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27703</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+1-919-859-1302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October 31, 2025, the registrant had 210,543,224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95"/>
        <w:gridCol w:w="2983"/>
        <w:gridCol w:w="2994"/>
        <w:gridCol w:w="243"/>
        <w:gridCol w:w="243"/>
        <w:gridCol w:w="347"/>
      </w:tblGrid>
      <w:tr>
        <w:trPr/>
        <w:tc>
          <w:tcPr>
            <w:tcW w:w="3395"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0">
              <w:r>
                <w:rPr>
                  <w:rStyle w:val="InternetLink"/>
                  <w:rFonts w:ascii="Times New Roman;serif" w:hAnsi="Times New Roman;serif"/>
                  <w:b w:val="false"/>
                  <w:color w:val="0000FF"/>
                  <w:sz w:val="20"/>
                  <w:u w:val="single"/>
                </w:rPr>
                <w:t>Cautionary Note Regarding Forward-Looking Statements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0">
              <w:r>
                <w:rPr>
                  <w:rStyle w:val="InternetLink"/>
                  <w:rFonts w:ascii="Times New Roman;serif" w:hAnsi="Times New Roman;serif"/>
                  <w:b w:val="false"/>
                  <w:color w:val="0000FF"/>
                  <w:sz w:val="20"/>
                  <w:u w:val="single"/>
                </w:rPr>
                <w:t>i</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3">
              <w:r>
                <w:rPr>
                  <w:rStyle w:val="InternetLink"/>
                  <w:rFonts w:ascii="Times New Roman;serif" w:hAnsi="Times New Roman;serif"/>
                  <w:b w:val="false"/>
                  <w:color w:val="0000FF"/>
                  <w:sz w:val="20"/>
                  <w:u w:val="single"/>
                </w:rPr>
                <w:t>Risk Factor Summary</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3">
              <w:r>
                <w:rPr>
                  <w:rStyle w:val="InternetLink"/>
                  <w:rFonts w:ascii="Times New Roman;serif" w:hAnsi="Times New Roman;serif"/>
                  <w:b w:val="false"/>
                  <w:color w:val="0000FF"/>
                  <w:sz w:val="20"/>
                  <w:u w:val="single"/>
                </w:rPr>
                <w:t>ii</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6">
              <w:r>
                <w:rPr>
                  <w:rStyle w:val="InternetLink"/>
                  <w:rFonts w:ascii="Times New Roman;serif" w:hAnsi="Times New Roman;serif"/>
                  <w:b w:val="false"/>
                  <w:color w:val="0000FF"/>
                  <w:sz w:val="20"/>
                  <w:u w:val="single"/>
                </w:rPr>
                <w:t>Part I. Financial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6">
              <w:r>
                <w:rPr>
                  <w:rStyle w:val="InternetLink"/>
                  <w:rFonts w:ascii="Times New Roman;serif" w:hAnsi="Times New Roman;serif"/>
                  <w:b w:val="false"/>
                  <w:color w:val="0000FF"/>
                  <w:sz w:val="20"/>
                  <w:u w:val="single"/>
                </w:rPr>
                <w:t>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9">
              <w:r>
                <w:rPr>
                  <w:rStyle w:val="InternetLink"/>
                  <w:rFonts w:ascii="Times New Roman;serif" w:hAnsi="Times New Roman;serif"/>
                  <w:b w:val="false"/>
                  <w:color w:val="0000FF"/>
                  <w:sz w:val="20"/>
                  <w:u w:val="single"/>
                </w:rPr>
                <w:t>Item 1. Financial Statements (Unaudited):</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9">
              <w:r>
                <w:rPr>
                  <w:rStyle w:val="InternetLink"/>
                  <w:rFonts w:ascii="Times New Roman;serif" w:hAnsi="Times New Roman;serif"/>
                  <w:b w:val="false"/>
                  <w:color w:val="0000FF"/>
                  <w:sz w:val="20"/>
                  <w:u w:val="single"/>
                </w:rPr>
                <w:t>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22">
              <w:r>
                <w:rPr>
                  <w:rStyle w:val="InternetLink"/>
                  <w:rFonts w:ascii="Times New Roman;serif" w:hAnsi="Times New Roman;serif"/>
                  <w:b w:val="false"/>
                  <w:color w:val="000080"/>
                  <w:sz w:val="20"/>
                  <w:u w:val="single"/>
                </w:rPr>
                <w:t xml:space="preserve">Condensed Consolidated Balance Sheets as of </w:t>
              </w:r>
            </w:hyperlink>
            <w:hyperlink w:anchor="id1b8c440ead54d70904211d3c0a5ea1f_22">
              <w:r>
                <w:rPr>
                  <w:rStyle w:val="InternetLink"/>
                  <w:rFonts w:ascii="Times New Roman;serif" w:hAnsi="Times New Roman;serif"/>
                  <w:b w:val="false"/>
                  <w:color w:val="000080"/>
                  <w:sz w:val="20"/>
                  <w:u w:val="single"/>
                </w:rPr>
                <w:t>September</w:t>
              </w:r>
            </w:hyperlink>
            <w:hyperlink w:anchor="id1b8c440ead54d70904211d3c0a5ea1f_22">
              <w:r>
                <w:rPr>
                  <w:rStyle w:val="InternetLink"/>
                  <w:rFonts w:ascii="Times New Roman;serif" w:hAnsi="Times New Roman;serif"/>
                  <w:b w:val="false"/>
                  <w:color w:val="000080"/>
                  <w:sz w:val="20"/>
                  <w:u w:val="single"/>
                </w:rPr>
                <w:t xml:space="preserve"> 30, 2025 and December 31, 2024</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22">
              <w:r>
                <w:rPr>
                  <w:rStyle w:val="InternetLink"/>
                  <w:rFonts w:ascii="Times New Roman;serif" w:hAnsi="Times New Roman;serif"/>
                  <w:b w:val="false"/>
                  <w:color w:val="0000FF"/>
                  <w:sz w:val="20"/>
                  <w:u w:val="single"/>
                </w:rPr>
                <w:t>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25">
              <w:r>
                <w:rPr>
                  <w:rStyle w:val="InternetLink"/>
                  <w:rFonts w:ascii="Times New Roman;serif" w:hAnsi="Times New Roman;serif"/>
                  <w:b w:val="false"/>
                  <w:color w:val="000080"/>
                  <w:sz w:val="20"/>
                  <w:u w:val="single"/>
                </w:rPr>
                <w:t xml:space="preserve">Condensed Consolidated Statements of Comprehensive Income (Loss) for the Three and </w:t>
              </w:r>
            </w:hyperlink>
            <w:hyperlink w:anchor="id1b8c440ead54d70904211d3c0a5ea1f_25">
              <w:r>
                <w:rPr>
                  <w:rStyle w:val="InternetLink"/>
                  <w:rFonts w:ascii="Times New Roman;serif" w:hAnsi="Times New Roman;serif"/>
                  <w:b w:val="false"/>
                  <w:color w:val="000080"/>
                  <w:sz w:val="20"/>
                  <w:u w:val="single"/>
                </w:rPr>
                <w:t>Nine</w:t>
              </w:r>
            </w:hyperlink>
            <w:hyperlink w:anchor="id1b8c440ead54d70904211d3c0a5ea1f_25">
              <w:r>
                <w:rPr>
                  <w:rStyle w:val="InternetLink"/>
                  <w:rFonts w:ascii="Times New Roman;serif" w:hAnsi="Times New Roman;serif"/>
                  <w:b w:val="false"/>
                  <w:color w:val="000080"/>
                  <w:sz w:val="20"/>
                  <w:u w:val="single"/>
                </w:rPr>
                <w:t xml:space="preserve"> Months Ended </w:t>
              </w:r>
            </w:hyperlink>
            <w:hyperlink w:anchor="id1b8c440ead54d70904211d3c0a5ea1f_25">
              <w:r>
                <w:rPr>
                  <w:rStyle w:val="InternetLink"/>
                  <w:rFonts w:ascii="Times New Roman;serif" w:hAnsi="Times New Roman;serif"/>
                  <w:b w:val="false"/>
                  <w:color w:val="000080"/>
                  <w:sz w:val="20"/>
                  <w:u w:val="single"/>
                </w:rPr>
                <w:t>September</w:t>
              </w:r>
            </w:hyperlink>
            <w:hyperlink w:anchor="id1b8c440ead54d70904211d3c0a5ea1f_25">
              <w:r>
                <w:rPr>
                  <w:rStyle w:val="InternetLink"/>
                  <w:rFonts w:ascii="Times New Roman;serif" w:hAnsi="Times New Roman;serif"/>
                  <w:b w:val="false"/>
                  <w:color w:val="000080"/>
                  <w:sz w:val="20"/>
                  <w:u w:val="single"/>
                </w:rPr>
                <w:t xml:space="preserve"> 30, 2025 and 2024</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25">
              <w:r>
                <w:rPr>
                  <w:rStyle w:val="InternetLink"/>
                  <w:rFonts w:ascii="Times New Roman;serif" w:hAnsi="Times New Roman;serif"/>
                  <w:b w:val="false"/>
                  <w:color w:val="0000FF"/>
                  <w:sz w:val="20"/>
                  <w:u w:val="single"/>
                </w:rPr>
                <w:t>2</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28">
              <w:r>
                <w:rPr>
                  <w:rStyle w:val="InternetLink"/>
                  <w:rFonts w:ascii="Times New Roman;serif" w:hAnsi="Times New Roman;serif"/>
                  <w:b w:val="false"/>
                  <w:color w:val="000080"/>
                  <w:sz w:val="20"/>
                  <w:u w:val="single"/>
                </w:rPr>
                <w:t xml:space="preserve">Condensed Consolidated Statements of Cash Flows for the </w:t>
              </w:r>
            </w:hyperlink>
            <w:hyperlink w:anchor="id1b8c440ead54d70904211d3c0a5ea1f_28">
              <w:r>
                <w:rPr>
                  <w:rStyle w:val="InternetLink"/>
                  <w:rFonts w:ascii="Times New Roman;serif" w:hAnsi="Times New Roman;serif"/>
                  <w:b w:val="false"/>
                  <w:color w:val="000080"/>
                  <w:sz w:val="20"/>
                  <w:u w:val="single"/>
                </w:rPr>
                <w:t>Nine</w:t>
              </w:r>
            </w:hyperlink>
            <w:hyperlink w:anchor="id1b8c440ead54d70904211d3c0a5ea1f_28">
              <w:r>
                <w:rPr>
                  <w:rStyle w:val="InternetLink"/>
                  <w:rFonts w:ascii="Times New Roman;serif" w:hAnsi="Times New Roman;serif"/>
                  <w:b w:val="false"/>
                  <w:color w:val="000080"/>
                  <w:sz w:val="20"/>
                  <w:u w:val="single"/>
                </w:rPr>
                <w:t xml:space="preserve"> Months Ended </w:t>
              </w:r>
            </w:hyperlink>
            <w:hyperlink w:anchor="id1b8c440ead54d70904211d3c0a5ea1f_28">
              <w:r>
                <w:rPr>
                  <w:rStyle w:val="InternetLink"/>
                  <w:rFonts w:ascii="Times New Roman;serif" w:hAnsi="Times New Roman;serif"/>
                  <w:b w:val="false"/>
                  <w:color w:val="000080"/>
                  <w:sz w:val="20"/>
                  <w:u w:val="single"/>
                </w:rPr>
                <w:t>Sep</w:t>
              </w:r>
            </w:hyperlink>
            <w:hyperlink w:anchor="id1b8c440ead54d70904211d3c0a5ea1f_28">
              <w:r>
                <w:rPr>
                  <w:rStyle w:val="InternetLink"/>
                  <w:rFonts w:ascii="Times New Roman;serif" w:hAnsi="Times New Roman;serif"/>
                  <w:b w:val="false"/>
                  <w:color w:val="000080"/>
                  <w:sz w:val="20"/>
                  <w:u w:val="single"/>
                </w:rPr>
                <w:t>tember</w:t>
              </w:r>
            </w:hyperlink>
            <w:hyperlink w:anchor="id1b8c440ead54d70904211d3c0a5ea1f_28">
              <w:r>
                <w:rPr>
                  <w:rStyle w:val="InternetLink"/>
                  <w:rFonts w:ascii="Times New Roman;serif" w:hAnsi="Times New Roman;serif"/>
                  <w:b w:val="false"/>
                  <w:color w:val="000080"/>
                  <w:sz w:val="20"/>
                  <w:u w:val="single"/>
                </w:rPr>
                <w:t xml:space="preserve"> 30, 2025 and 2024</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28">
              <w:r>
                <w:rPr>
                  <w:rStyle w:val="InternetLink"/>
                  <w:rFonts w:ascii="Times New Roman;serif" w:hAnsi="Times New Roman;serif"/>
                  <w:b w:val="false"/>
                  <w:color w:val="0000FF"/>
                  <w:sz w:val="20"/>
                  <w:u w:val="single"/>
                </w:rPr>
                <w:t>3</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31">
              <w:r>
                <w:rPr>
                  <w:rStyle w:val="InternetLink"/>
                  <w:rFonts w:ascii="Times New Roman;serif" w:hAnsi="Times New Roman;serif"/>
                  <w:b w:val="false"/>
                  <w:color w:val="000080"/>
                  <w:sz w:val="20"/>
                  <w:u w:val="single"/>
                </w:rPr>
                <w:t xml:space="preserve">Condensed Consolidated Statements of Stockholders’ Deficit for the Three and </w:t>
              </w:r>
            </w:hyperlink>
            <w:hyperlink w:anchor="id1b8c440ead54d70904211d3c0a5ea1f_31">
              <w:r>
                <w:rPr>
                  <w:rStyle w:val="InternetLink"/>
                  <w:rFonts w:ascii="Times New Roman;serif" w:hAnsi="Times New Roman;serif"/>
                  <w:b w:val="false"/>
                  <w:color w:val="000080"/>
                  <w:sz w:val="20"/>
                  <w:u w:val="single"/>
                </w:rPr>
                <w:t>Nine</w:t>
              </w:r>
            </w:hyperlink>
            <w:hyperlink w:anchor="id1b8c440ead54d70904211d3c0a5ea1f_31">
              <w:r>
                <w:rPr>
                  <w:rStyle w:val="InternetLink"/>
                  <w:rFonts w:ascii="Times New Roman;serif" w:hAnsi="Times New Roman;serif"/>
                  <w:b w:val="false"/>
                  <w:color w:val="000080"/>
                  <w:sz w:val="20"/>
                  <w:u w:val="single"/>
                </w:rPr>
                <w:t xml:space="preserve"> Months Ended </w:t>
              </w:r>
            </w:hyperlink>
            <w:hyperlink w:anchor="id1b8c440ead54d70904211d3c0a5ea1f_31">
              <w:r>
                <w:rPr>
                  <w:rStyle w:val="InternetLink"/>
                  <w:rFonts w:ascii="Times New Roman;serif" w:hAnsi="Times New Roman;serif"/>
                  <w:b w:val="false"/>
                  <w:color w:val="000080"/>
                  <w:sz w:val="20"/>
                  <w:u w:val="single"/>
                </w:rPr>
                <w:t>September</w:t>
              </w:r>
            </w:hyperlink>
            <w:hyperlink w:anchor="id1b8c440ead54d70904211d3c0a5ea1f_31">
              <w:r>
                <w:rPr>
                  <w:rStyle w:val="InternetLink"/>
                  <w:rFonts w:ascii="Times New Roman;serif" w:hAnsi="Times New Roman;serif"/>
                  <w:b w:val="false"/>
                  <w:color w:val="000080"/>
                  <w:sz w:val="20"/>
                  <w:u w:val="single"/>
                </w:rPr>
                <w:t xml:space="preserve"> 30, 2025 and 2024</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31">
              <w:r>
                <w:rPr>
                  <w:rStyle w:val="InternetLink"/>
                  <w:rFonts w:ascii="Times New Roman;serif" w:hAnsi="Times New Roman;serif"/>
                  <w:b w:val="false"/>
                  <w:color w:val="0000FF"/>
                  <w:sz w:val="20"/>
                  <w:u w:val="single"/>
                </w:rPr>
                <w:t>5</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34">
              <w:r>
                <w:rPr>
                  <w:rStyle w:val="InternetLink"/>
                  <w:rFonts w:ascii="Times New Roman;serif" w:hAnsi="Times New Roman;serif"/>
                  <w:b w:val="false"/>
                  <w:color w:val="0000FF"/>
                  <w:sz w:val="20"/>
                  <w:u w:val="single"/>
                </w:rPr>
                <w:t>Notes to Condensed Consolidated Financial Statements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34">
              <w:r>
                <w:rPr>
                  <w:rStyle w:val="InternetLink"/>
                  <w:rFonts w:ascii="Times New Roman;serif" w:hAnsi="Times New Roman;serif"/>
                  <w:b w:val="false"/>
                  <w:color w:val="0000FF"/>
                  <w:sz w:val="20"/>
                  <w:u w:val="single"/>
                </w:rPr>
                <w:t>7</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88">
              <w:r>
                <w:rPr>
                  <w:rStyle w:val="InternetLink"/>
                  <w:rFonts w:ascii="Times New Roman;serif" w:hAnsi="Times New Roman;serif"/>
                  <w:b w:val="false"/>
                  <w:color w:val="0000FF"/>
                  <w:sz w:val="20"/>
                  <w:u w:val="single"/>
                </w:rPr>
                <w:t>35</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12">
              <w:r>
                <w:rPr>
                  <w:rStyle w:val="InternetLink"/>
                  <w:rFonts w:ascii="Times New Roman;serif" w:hAnsi="Times New Roman;serif"/>
                  <w:b w:val="false"/>
                  <w:color w:val="0000FF"/>
                  <w:sz w:val="20"/>
                  <w:u w:val="single"/>
                </w:rPr>
                <w:t>Item 3. Quantitative and Qualitative Disclosures About Market Risk</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12">
              <w:r>
                <w:rPr>
                  <w:rStyle w:val="InternetLink"/>
                  <w:rFonts w:ascii="Times New Roman;serif" w:hAnsi="Times New Roman;serif"/>
                  <w:b w:val="false"/>
                  <w:color w:val="0000FF"/>
                  <w:sz w:val="20"/>
                  <w:u w:val="single"/>
                </w:rPr>
                <w:t>49</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15">
              <w:r>
                <w:rPr>
                  <w:rStyle w:val="InternetLink"/>
                  <w:rFonts w:ascii="Times New Roman;serif" w:hAnsi="Times New Roman;serif"/>
                  <w:b w:val="false"/>
                  <w:color w:val="0000FF"/>
                  <w:sz w:val="20"/>
                  <w:u w:val="single"/>
                </w:rPr>
                <w:t>Item 4. Controls and Procedures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15">
              <w:r>
                <w:rPr>
                  <w:rStyle w:val="InternetLink"/>
                  <w:rFonts w:ascii="Times New Roman;serif" w:hAnsi="Times New Roman;serif"/>
                  <w:b w:val="false"/>
                  <w:color w:val="0000FF"/>
                  <w:sz w:val="20"/>
                  <w:u w:val="single"/>
                </w:rPr>
                <w:t>50</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18">
              <w:r>
                <w:rPr>
                  <w:rStyle w:val="InternetLink"/>
                  <w:rFonts w:ascii="Times New Roman;serif" w:hAnsi="Times New Roman;serif"/>
                  <w:b w:val="false"/>
                  <w:color w:val="0000FF"/>
                  <w:sz w:val="20"/>
                  <w:u w:val="single"/>
                </w:rPr>
                <w:t>Part II. Other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18">
              <w:r>
                <w:rPr>
                  <w:rStyle w:val="InternetLink"/>
                  <w:rFonts w:ascii="Times New Roman;serif" w:hAnsi="Times New Roman;serif"/>
                  <w:b w:val="false"/>
                  <w:color w:val="0000FF"/>
                  <w:sz w:val="20"/>
                  <w:u w:val="single"/>
                </w:rPr>
                <w:t>51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21">
              <w:r>
                <w:rPr>
                  <w:rStyle w:val="InternetLink"/>
                  <w:rFonts w:ascii="Times New Roman;serif" w:hAnsi="Times New Roman;serif"/>
                  <w:b w:val="false"/>
                  <w:color w:val="0000FF"/>
                  <w:sz w:val="20"/>
                  <w:u w:val="single"/>
                </w:rPr>
                <w:t>Item 1. Legal Proceedings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21">
              <w:r>
                <w:rPr>
                  <w:rStyle w:val="InternetLink"/>
                  <w:rFonts w:ascii="Times New Roman;serif" w:hAnsi="Times New Roman;serif"/>
                  <w:b w:val="false"/>
                  <w:color w:val="0000FF"/>
                  <w:sz w:val="20"/>
                  <w:u w:val="single"/>
                </w:rPr>
                <w:t>51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24">
              <w:r>
                <w:rPr>
                  <w:rStyle w:val="InternetLink"/>
                  <w:rFonts w:ascii="Times New Roman;serif" w:hAnsi="Times New Roman;serif"/>
                  <w:b w:val="false"/>
                  <w:color w:val="0000FF"/>
                  <w:sz w:val="20"/>
                  <w:u w:val="single"/>
                </w:rPr>
                <w:t>Item 1A. Risk Factors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24">
              <w:r>
                <w:rPr>
                  <w:rStyle w:val="InternetLink"/>
                  <w:rFonts w:ascii="Times New Roman;serif" w:hAnsi="Times New Roman;serif"/>
                  <w:b w:val="false"/>
                  <w:color w:val="0000FF"/>
                  <w:sz w:val="20"/>
                  <w:u w:val="single"/>
                </w:rPr>
                <w:t>51</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27">
              <w:r>
                <w:rPr>
                  <w:rStyle w:val="InternetLink"/>
                  <w:rFonts w:ascii="Times New Roman;serif" w:hAnsi="Times New Roman;serif"/>
                  <w:b w:val="false"/>
                  <w:color w:val="0000FF"/>
                  <w:sz w:val="20"/>
                  <w:u w:val="single"/>
                </w:rPr>
                <w:t>Item 5. Other Information</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27">
              <w:r>
                <w:rPr>
                  <w:rStyle w:val="InternetLink"/>
                  <w:rFonts w:ascii="Times New Roman;serif" w:hAnsi="Times New Roman;serif"/>
                  <w:b w:val="false"/>
                  <w:color w:val="0000FF"/>
                  <w:sz w:val="20"/>
                  <w:u w:val="single"/>
                </w:rPr>
                <w:t>82</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33">
              <w:r>
                <w:rPr>
                  <w:rStyle w:val="InternetLink"/>
                  <w:rFonts w:ascii="Times New Roman;serif" w:hAnsi="Times New Roman;serif"/>
                  <w:b w:val="false"/>
                  <w:color w:val="0000FF"/>
                  <w:sz w:val="20"/>
                  <w:u w:val="single"/>
                </w:rPr>
                <w:t>Item 6. Exhibits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33">
              <w:r>
                <w:rPr>
                  <w:rStyle w:val="InternetLink"/>
                  <w:rFonts w:ascii="Times New Roman;serif" w:hAnsi="Times New Roman;serif"/>
                  <w:b w:val="false"/>
                  <w:color w:val="0000FF"/>
                  <w:sz w:val="20"/>
                  <w:u w:val="single"/>
                </w:rPr>
                <w:t>83</w:t>
              </w:r>
            </w:hyperlink>
          </w:p>
        </w:tc>
      </w:tr>
      <w:tr>
        <w:trPr/>
        <w:tc>
          <w:tcPr>
            <w:tcW w:w="937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d1b8c440ead54d70904211d3c0a5ea1f_136">
              <w:r>
                <w:rPr>
                  <w:rStyle w:val="InternetLink"/>
                  <w:rFonts w:ascii="Times New Roman;serif" w:hAnsi="Times New Roman;serif"/>
                  <w:b w:val="false"/>
                  <w:color w:val="0000FF"/>
                  <w:sz w:val="20"/>
                  <w:u w:val="single"/>
                </w:rPr>
                <w:t>Signatures</w:t>
              </w:r>
            </w:hyperlink>
          </w:p>
        </w:tc>
        <w:tc>
          <w:tcPr>
            <w:tcW w:w="83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d1b8c440ead54d70904211d3c0a5ea1f_136">
              <w:r>
                <w:rPr>
                  <w:rStyle w:val="InternetLink"/>
                  <w:rFonts w:ascii="Times New Roman;serif" w:hAnsi="Times New Roman;serif"/>
                  <w:b w:val="false"/>
                  <w:color w:val="0000FF"/>
                  <w:sz w:val="20"/>
                  <w:u w:val="single"/>
                </w:rPr>
                <w:t>85</w:t>
              </w:r>
            </w:hyperlink>
          </w:p>
        </w:tc>
      </w:tr>
      <w:tr>
        <w:trPr/>
        <w:tc>
          <w:tcPr>
            <w:tcW w:w="9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 xml:space="preserve">refer to BioCryst Pharmaceuticals, Inc. and, where appropriate, its subsidiaries.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U.S. Securities and Exchange Commission (“SEC”). These forward-looking statements include, but are not limited to, statements about: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BCX17725, avoralstat, and early-stage discovery programs, and our plans and anticipated timing regarding the same;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discovery and commercialization of best-in-class and first-in-class medicines;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plans, programs, progress and potential success of our collaborations, including with Torii Pharmaceutical Co., Ltd. (“Torii”) for ORLADEYO in Japan and Shionogi &amp; Co., Ltd. (“Shionogi”) and Green Cross Corporation (“Green Cross”) for peramivir in their territories;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our and any subsidiary guarantors’ ability to satisfy obligations under and to comply with the covenants set forth in any future definitive documentation entered into pursuant to the Commitment Letter (as defined below) with certain affiliates of Blackstone, Inc.;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or likelihood of regulatory filings or regulatory agreements, deferrals, approvals, and other decisions (including with respect to the ORLADEYO pediatric program);</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manage our liquidity needs to fund our operations or repay potential recourse debt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financial performance;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statements and projections regarding financial goals, including timing for achieving sustained profitability or positive cash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competitive companies, technologies, and our industry;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proposed Merger (as defined below) including, but not limited to, our expectations regarding the timing, closing, cost, and benefits of the proposed Merger and the transactions contemplated by the Merger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Risk Factor Summary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not achieve sustained profitability, and we may need to raise additional capital in the future. If we are unable to raise capital if and when needed, we may need to adjust our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risks relating to the proposed Merger and our ability to consummate the Merger, including that failure to complete the Merger could negatively impact us, the pending Merger may disrupt our ongoing business operations, and we may fail to realize the anticipated benefits of the Merger.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success depends in part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the U.S. Food and Drug Administration or comparable foreign regulatory authorities approve generic versions of any of our products that receive marketing approval, the sales of our products could be adversely affected.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shd w:fill="FFFFFF" w:val="clear"/>
        </w:rPr>
        <w:t>We anticipate incurring significant indebtedness in connection with the Commitment Letter (as defined below), and the definitive documentation for such indebtedness may contain conditions and restrictions that limit our flexibility in operating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non-U.S. governmental laws and regulations and other obligations related to privacy, data protection, and information security could harm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artificial intelligence,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If we fail to retain our existing key personnel, or fail to attract and retain additional key personnel, the development of our product candidates, the commercialization of our products, and the related expansion of our business may be delayed or stopped.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694"/>
        <w:gridCol w:w="2247"/>
        <w:gridCol w:w="2244"/>
        <w:gridCol w:w="251"/>
        <w:gridCol w:w="945"/>
        <w:gridCol w:w="139"/>
        <w:gridCol w:w="109"/>
        <w:gridCol w:w="109"/>
        <w:gridCol w:w="109"/>
        <w:gridCol w:w="244"/>
        <w:gridCol w:w="918"/>
        <w:gridCol w:w="196"/>
      </w:tblGrid>
      <w:tr>
        <w:trPr/>
        <w:tc>
          <w:tcPr>
            <w:tcW w:w="2694"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128,795 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216,137 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79,069 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355,684 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inventory, net</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23,390 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23,187 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39,669 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4,387 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held for sale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446,424 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490,420 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113,292 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190,237 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160,384 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481,053 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term loan</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194,366 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314,869 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held for sale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834,313 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966,354 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- 5,000; no shares issued and outstanding at September 30, 2025 and December 31, 2024</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- 450,000; shares issued and outstanding – 210,522 at September 30, 2025 and 208,543 at December 31, 2024</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1,360,890 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1,291,100 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(1,752,024)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(1,770,040)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(387,889)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(475,934)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446,424 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490,420 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554"/>
        <w:gridCol w:w="1222"/>
        <w:gridCol w:w="1230"/>
        <w:gridCol w:w="237"/>
        <w:gridCol w:w="932"/>
        <w:gridCol w:w="122"/>
        <w:gridCol w:w="122"/>
        <w:gridCol w:w="122"/>
        <w:gridCol w:w="122"/>
        <w:gridCol w:w="237"/>
        <w:gridCol w:w="932"/>
        <w:gridCol w:w="122"/>
        <w:gridCol w:w="109"/>
        <w:gridCol w:w="109"/>
        <w:gridCol w:w="109"/>
        <w:gridCol w:w="231"/>
        <w:gridCol w:w="905"/>
        <w:gridCol w:w="119"/>
        <w:gridCol w:w="119"/>
        <w:gridCol w:w="119"/>
        <w:gridCol w:w="119"/>
        <w:gridCol w:w="231"/>
        <w:gridCol w:w="905"/>
        <w:gridCol w:w="176"/>
      </w:tblGrid>
      <w:tr>
        <w:trPr/>
        <w:tc>
          <w:tcPr>
            <w:tcW w:w="155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(62,928)</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 for sale investments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(61,130)</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0.09</w:t>
            </w: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210,176</w:t>
            </w: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206,905</w:t>
            </w: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209,531</w:t>
            </w: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206,466</w:t>
            </w:r>
            <w:r>
              <w:rPr>
                <w:color w:val="000000"/>
              </w:rPr>
              <w:t>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(0.07)</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0.08</w:t>
            </w: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(0.30)</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219,885</w:t>
            </w:r>
            <w:r>
              <w:rPr>
                <w:color w:val="000000"/>
              </w:rPr>
              <w:t>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206,905</w:t>
            </w:r>
            <w:r>
              <w:rPr>
                <w:color w:val="000000"/>
              </w:rPr>
              <w:t> </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218,349</w:t>
            </w: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206,466</w:t>
            </w:r>
            <w:r>
              <w:rPr>
                <w:color w:val="000000"/>
              </w:rPr>
              <w:t> </w:t>
            </w:r>
          </w:p>
        </w:tc>
        <w:tc>
          <w:tcPr>
            <w:tcW w:w="1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773"/>
        <w:gridCol w:w="2410"/>
        <w:gridCol w:w="2417"/>
        <w:gridCol w:w="217"/>
        <w:gridCol w:w="718"/>
        <w:gridCol w:w="120"/>
        <w:gridCol w:w="120"/>
        <w:gridCol w:w="120"/>
        <w:gridCol w:w="120"/>
        <w:gridCol w:w="217"/>
        <w:gridCol w:w="795"/>
        <w:gridCol w:w="178"/>
      </w:tblGrid>
      <w:tr>
        <w:trPr/>
        <w:tc>
          <w:tcPr>
            <w:tcW w:w="2773"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7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obsolescence</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44,074 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Pharmakon PIK Interest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royalty financing obligations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secured term loan and amortization of debt issuance costs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investments, net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non-financial asset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receivables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inventory</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prepaid expenses and other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royalty financing obligations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 and accrued expenses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(46,807)</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and equipment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maturities of investments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262,480 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non-financial asset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investing activities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69,794 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34,796 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common stock issued under stock-based compensation plans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to directors in lieu of cash retainer</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Pharmakon term loan principal</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(115,847)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and fees on Pharmakon term loan</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royalty financing obligations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stock-based awards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(131,971)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Decrease in cash, cash equivalents and restricted cash, including cash classified within current assets held for sale </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and cash equivalents classified within current assets held for sale</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decrease in cash, and cash equivalents, and restricted cash</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99,064 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99,064 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tbl>
      <w:tblPr>
        <w:tblW w:w="7119" w:type="dxa"/>
        <w:jc w:val="center"/>
        <w:tblInd w:w="0" w:type="dxa"/>
        <w:tblLayout w:type="fixed"/>
        <w:tblCellMar>
          <w:top w:w="28" w:type="dxa"/>
          <w:left w:w="28" w:type="dxa"/>
          <w:bottom w:w="28" w:type="dxa"/>
          <w:right w:w="28" w:type="dxa"/>
        </w:tblCellMar>
      </w:tblPr>
      <w:tblGrid>
        <w:gridCol w:w="1755"/>
        <w:gridCol w:w="1543"/>
        <w:gridCol w:w="1547"/>
        <w:gridCol w:w="196"/>
        <w:gridCol w:w="646"/>
        <w:gridCol w:w="109"/>
        <w:gridCol w:w="109"/>
        <w:gridCol w:w="109"/>
        <w:gridCol w:w="109"/>
        <w:gridCol w:w="196"/>
        <w:gridCol w:w="64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stock-based awards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358" w:type="dxa"/>
        <w:jc w:val="left"/>
        <w:tblInd w:w="0" w:type="dxa"/>
        <w:tblLayout w:type="fixed"/>
        <w:tblCellMar>
          <w:top w:w="28" w:type="dxa"/>
          <w:left w:w="28" w:type="dxa"/>
          <w:bottom w:w="28" w:type="dxa"/>
          <w:right w:w="28" w:type="dxa"/>
        </w:tblCellMar>
      </w:tblPr>
      <w:tblGrid>
        <w:gridCol w:w="728"/>
        <w:gridCol w:w="311"/>
        <w:gridCol w:w="312"/>
        <w:gridCol w:w="420"/>
        <w:gridCol w:w="421"/>
        <w:gridCol w:w="226"/>
        <w:gridCol w:w="109"/>
        <w:gridCol w:w="109"/>
        <w:gridCol w:w="109"/>
        <w:gridCol w:w="211"/>
        <w:gridCol w:w="631"/>
        <w:gridCol w:w="109"/>
        <w:gridCol w:w="109"/>
        <w:gridCol w:w="109"/>
        <w:gridCol w:w="109"/>
        <w:gridCol w:w="211"/>
        <w:gridCol w:w="991"/>
        <w:gridCol w:w="109"/>
        <w:gridCol w:w="109"/>
        <w:gridCol w:w="109"/>
        <w:gridCol w:w="109"/>
        <w:gridCol w:w="316"/>
        <w:gridCol w:w="946"/>
        <w:gridCol w:w="164"/>
        <w:gridCol w:w="109"/>
        <w:gridCol w:w="109"/>
        <w:gridCol w:w="109"/>
        <w:gridCol w:w="211"/>
        <w:gridCol w:w="991"/>
        <w:gridCol w:w="109"/>
        <w:gridCol w:w="109"/>
        <w:gridCol w:w="109"/>
        <w:gridCol w:w="109"/>
        <w:gridCol w:w="228"/>
        <w:gridCol w:w="910"/>
        <w:gridCol w:w="168"/>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208,543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1,291,100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(475,934)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209,208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1,314,857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(451,927)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1,646</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(1,764,923)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(421,594)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210,522</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1,360,890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1,140</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(1,752,024)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(387,889)</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358" w:type="dxa"/>
        <w:jc w:val="left"/>
        <w:tblInd w:w="0" w:type="dxa"/>
        <w:tblLayout w:type="fixed"/>
        <w:tblCellMar>
          <w:top w:w="28" w:type="dxa"/>
          <w:left w:w="28" w:type="dxa"/>
          <w:bottom w:w="28" w:type="dxa"/>
          <w:right w:w="28" w:type="dxa"/>
        </w:tblCellMar>
      </w:tblPr>
      <w:tblGrid>
        <w:gridCol w:w="728"/>
        <w:gridCol w:w="311"/>
        <w:gridCol w:w="312"/>
        <w:gridCol w:w="420"/>
        <w:gridCol w:w="421"/>
        <w:gridCol w:w="226"/>
        <w:gridCol w:w="109"/>
        <w:gridCol w:w="109"/>
        <w:gridCol w:w="109"/>
        <w:gridCol w:w="211"/>
        <w:gridCol w:w="631"/>
        <w:gridCol w:w="109"/>
        <w:gridCol w:w="109"/>
        <w:gridCol w:w="109"/>
        <w:gridCol w:w="109"/>
        <w:gridCol w:w="211"/>
        <w:gridCol w:w="991"/>
        <w:gridCol w:w="109"/>
        <w:gridCol w:w="109"/>
        <w:gridCol w:w="109"/>
        <w:gridCol w:w="109"/>
        <w:gridCol w:w="316"/>
        <w:gridCol w:w="946"/>
        <w:gridCol w:w="164"/>
        <w:gridCol w:w="109"/>
        <w:gridCol w:w="109"/>
        <w:gridCol w:w="109"/>
        <w:gridCol w:w="211"/>
        <w:gridCol w:w="991"/>
        <w:gridCol w:w="109"/>
        <w:gridCol w:w="109"/>
        <w:gridCol w:w="109"/>
        <w:gridCol w:w="109"/>
        <w:gridCol w:w="228"/>
        <w:gridCol w:w="910"/>
        <w:gridCol w:w="168"/>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(1,681,159)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(455,528)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206,347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(1,716,538)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(476,167)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206,629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1,250,983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(1,729,212)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(475,606)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207,119</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1,270,318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2,293</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(1,743,245)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(468,563)</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focused on developing and commercializing medicines for hereditary angioedema (“HAE”) and other rare diseases, driven by the Company’s deep commitment to improving the lives of people living with these conditions. The Company has built a robust commercial infrastructure to support the launch and continued success of ORLADEYO®, an oral, once-daily therapy discovered and developed internally for the prevention of HAE attacks. The Company’s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its existing commercial capabilities and focusing on rare disease markets, the Company believes that it can more effectively optimize its costs and strategically allocate resources to support long-term, sustainable growth. The Company was founded in 1986 and incorporated in Delaware in 1991, and its headquarters is located in Durham, North Carolina.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September 30, 2025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condensed consolidated financial statements include the accounts of the Company and its subsidiaries.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serif" w:hAnsi="Times New Roman;serif"/>
          <w:b w:val="false"/>
          <w:i/>
          <w:color w:val="000000"/>
          <w:sz w:val="20"/>
        </w:rPr>
        <w:t>Note 13—Segment Information</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should be read in conjunction with the financial statements for the fiscal year ended December 31, 2024 and the notes thereto included in the Company’s 2024 Annual Report on Form 10-K as filed with the SEC on February 25, 2025. Interim operating results are not necessarily indicative of operating results for the full fiscal year. The condensed consolidated balance sheet as of December 31, 2024 was derived from the audited consolidated financial statements included in the Company’s most recent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been made relative to the calculation of net product sales,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classifies its long-lived assets to be sold as held for sale when the six criteria in ASC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are met. This generally occurs when an agreement to sell exists, or when management has committed to a plan to sell the assets within one year. Assets and liabilities to be disposed of together as a group in a single transaction (“disposal groups”) are classified as held for sale if their carrying amounts are principally expected to be recovered through a sale transaction rather than through continuing use.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long-lived assets included in a disposal group are reported at the lower of their carrying value or fair value less cost to sell, beginning in the period the held for sale criteria are met. Prior to disposal, losses are recognized for any initial or subsequent write-down to fair value less cost to sell. Any gains or losses not previously recognized that result from the sale of a disposal group shall be recognized at the date of sale. Upon designation as an asset held for sale, the Company stops recording depreciation and amortization expense on long-lived assets. The Company assesses the fair value of a long-lived asset less any costs to sell at each reporting period and until the asset is no longer classified as held for sale.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nine months ended September 30, 2025 and 2024 (in thousands):</w:t>
      </w:r>
    </w:p>
    <w:tbl>
      <w:tblPr>
        <w:tblW w:w="9304" w:type="dxa"/>
        <w:jc w:val="left"/>
        <w:tblInd w:w="0" w:type="dxa"/>
        <w:tblLayout w:type="fixed"/>
        <w:tblCellMar>
          <w:top w:w="28" w:type="dxa"/>
          <w:left w:w="28" w:type="dxa"/>
          <w:bottom w:w="28" w:type="dxa"/>
          <w:right w:w="28" w:type="dxa"/>
        </w:tblCellMar>
      </w:tblPr>
      <w:tblGrid>
        <w:gridCol w:w="1021"/>
        <w:gridCol w:w="897"/>
        <w:gridCol w:w="901"/>
        <w:gridCol w:w="248"/>
        <w:gridCol w:w="990"/>
        <w:gridCol w:w="128"/>
        <w:gridCol w:w="128"/>
        <w:gridCol w:w="128"/>
        <w:gridCol w:w="128"/>
        <w:gridCol w:w="248"/>
        <w:gridCol w:w="990"/>
        <w:gridCol w:w="128"/>
        <w:gridCol w:w="109"/>
        <w:gridCol w:w="109"/>
        <w:gridCol w:w="109"/>
        <w:gridCol w:w="238"/>
        <w:gridCol w:w="950"/>
        <w:gridCol w:w="123"/>
        <w:gridCol w:w="123"/>
        <w:gridCol w:w="123"/>
        <w:gridCol w:w="123"/>
        <w:gridCol w:w="238"/>
        <w:gridCol w:w="950"/>
        <w:gridCol w:w="17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463,952 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313,325 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revenues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159,395</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117,085</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468,282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319,178</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product sales are sales of ORLADEYO, which the Company began shipping to patients in December 2020, and sales of peramivir (RAPIVAB/RAPIACTA/PERAMIFLU) to the Company’s licensing partners and to the U.S. Department of Health and Human Services (“HHS”). In the United States, the Company generally ships ORLADEYO directly to patients through a single specialty pharmacy, which is considered its customer. Outside the United States, the Company sells ORLADEYO to specialty distributors and to hospitals and pharmacies, which collectively are considered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for sales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and (iii) product distribution information obtained from the Company’s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and patient assistance programs</w:t>
      </w:r>
      <w:r>
        <w:rPr>
          <w:rFonts w:ascii="Times New Roman;serif" w:hAnsi="Times New Roman;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collaboration and license agreements with a number of third parties. The Company’s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restricted cash was $1,979 and $1,610 as of September 30, 2025 and December 31, 2024, respectively, and primarily consisted of $1,400 as of September 30, 2025 and December 31, 2024, for a letter of credit the Company is required to maintain associated with its Birmingham lease. The letter of credit associated with the Birmingham lease of $1,400 is reflected within other assets on the Condensed Consolidated Balance Sheets as of September 30, 2025 and December 31,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applicable taxes unless deemed other than temporary. Realized gains and losses are reflected in interest and other income in the Condensed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Assets measured at fair value on a recurring basis include investments (See “</w:t>
      </w:r>
      <w:r>
        <w:rPr>
          <w:rFonts w:ascii="Times New Roman;serif" w:hAnsi="Times New Roman;serif"/>
          <w:b w:val="false"/>
          <w:i/>
          <w:color w:val="000000"/>
          <w:sz w:val="20"/>
        </w:rPr>
        <w:t>Note 4—Investments</w:t>
      </w:r>
      <w:r>
        <w:rPr>
          <w:color w:val="000000"/>
        </w:rPr>
        <w:t>”</w:t>
      </w:r>
      <w:r>
        <w:rPr>
          <w:rFonts w:ascii="Times New Roman;serif" w:hAnsi="Times New Roman;serif"/>
          <w:b w:val="false"/>
          <w:color w:val="000000"/>
          <w:sz w:val="20"/>
        </w:rPr>
        <w:t>). There were no liabilities measured at fair value on a recurring basis as of September 30, 2025 and December 31, 2024.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trade receivables arise from product sales and primarily represent amounts due from its specialty pharmacy customer in the United States and other third-party distributors, hospitals and pharmacies globally and have standard payment terms that generally require payment within 30 to 90 days.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Receivables from collaborations are recorded for amounts due to the Company related to royalty receivables from the Company’s partners, including Shionogi &amp; Co., Ltd., Green Cross, and Torii (See “</w:t>
      </w:r>
      <w:r>
        <w:rPr>
          <w:rFonts w:ascii="Times New Roman;serif" w:hAnsi="Times New Roman;serif"/>
          <w:b w:val="false"/>
          <w:i/>
          <w:color w:val="000000"/>
          <w:sz w:val="20"/>
        </w:rPr>
        <w:t>Note 12—Collaborative and Other Relationships</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primarily relates to ORLADEYO and also includes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reporting date, the Company evaluates the carrying value of its inventory and provides valuation reserves for any estimated excess,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 Additionally, the Company’s inventory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product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obtaining initial regulatory approval for an investigational product candidate, the Company expenses costs relating to production of pre-launch inventory as research and development expense in its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Statements of Comprehensive Income (Loss) in the period incurred. After regulatory approval has been received, the Company capitalizes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The Company accrues costs for clinical trial activities based upon estimates of the actual work completed in accordance with agreements established with third-party vendors. If the Company underestimates or overestimates the level of these costs, actual expenses could differ from such estimates. As of September 30, 2025 and December 31, 2024, the carrying value of accrued expenses approximates their fair value due to their short-term settlement.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includes the cost of producing inventory that is related to product revenue during the respective period, including freight. Cost of product sales may also include costs related to excess or obsolete inventory adjustment charges.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research and development activities are deferred and capitalized. Such amounts are recognized as expense when the related goods are delivered or the related services are performed.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costs associated with research activities as well as those associated with product development efforts, conducting pre-clinical trials, clinical trials and manufacturing activities.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an allocation of its general and administrative overhead costs that support the Company’s research and development efforts.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comprised of compensation and benefits and related costs associated with sales and marketing, finance, human resources, legal, information technology, quality, safety and regulatory activities related to marketed products, and other general and administrative personnel. Additionally, selling, general and administrative expenses are comprised of market research, marketing, advertising and legal expenses, including patent costs, licenses and other administrative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patent related costs are expensed to selling, general and administrative expenses when incurred as recoverability of such expenditures is uncertain.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leases certain assets under operating and finance leases, which consist of real estate leases, laboratory equipment leases and office equipment leases as of September 30, 2025. The Company determines whether a contract is, or contains, a lease at inception. The Company accounts for lease obligations in accordance with ASU 2016-02: </w:t>
      </w:r>
      <w:r>
        <w:rPr>
          <w:rFonts w:ascii="Times New Roman;serif" w:hAnsi="Times New Roman;serif"/>
          <w:b w:val="false"/>
          <w:i/>
          <w:color w:val="000000"/>
          <w:sz w:val="20"/>
        </w:rPr>
        <w:t>Leases (Topic 842)</w:t>
      </w:r>
      <w:r>
        <w:rPr>
          <w:rFonts w:ascii="Times New Roman;serif" w:hAnsi="Times New Roman;serif"/>
          <w:b w:val="false"/>
          <w:color w:val="000000"/>
          <w:sz w:val="20"/>
        </w:rPr>
        <w:t xml:space="preserve">, which requires a lessee to recognize a right-of-use asset and a lease liability on its balance sheet for most leases. The Company elected the practical expedient that exempts leases with an initial lease term of twelve months or less, as well as the practical expedient that allows companies to select, by class of underlying asset, not to separate lease and non-lease components.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the Company’s operating leases provide for renewal options, which can vary by lease. The right-of-use asset and lease liabilities on the Company’s Condensed Consolidated Balance Sheets represent payments over the lease term, which include renewal options for certain real estate leases that the Company is likely to exercise. Certain operating leases include rent escalation provisions, which the Company recognizes as expense on a straight-line basis. Lease expense for leases with an initial term of twelve months or less was not material.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on its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the Company’s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to value its stock option awards and recognize compensation expense on a straight-line basis over the requisite service period. The Company reduces stock-based compensation expense for estimated forfeitures. The estimation of share-based payment awards that will ultimately vest requires judgment, and to the extent actual results or updated estimates differ from the Company’s current estimates, such amounts will be recorded as a cumulative adjustment in the period estimates are revised. Actual results, and future changes in estimates, may differ substantially from the Company’s current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Deferred Financing Costs and Royalty Financing Obligations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Interest expense primarily relates to the royalty financing obligations (see “</w:t>
      </w:r>
      <w:r>
        <w:rPr>
          <w:rFonts w:ascii="Times New Roman;serif" w:hAnsi="Times New Roman;serif"/>
          <w:b w:val="false"/>
          <w:i/>
          <w:color w:val="000000"/>
          <w:sz w:val="20"/>
        </w:rPr>
        <w:t>Note 7—Royalty Financing Obligations</w:t>
      </w:r>
      <w:r>
        <w:rPr>
          <w:color w:val="000000"/>
        </w:rPr>
        <w:t>”</w:t>
      </w:r>
      <w:r>
        <w:rPr>
          <w:rFonts w:ascii="Times New Roman;serif" w:hAnsi="Times New Roman;serif"/>
          <w:b w:val="false"/>
          <w:color w:val="000000"/>
          <w:sz w:val="20"/>
        </w:rPr>
        <w:t>) and the term loan borrowings under the Pharmakon Loan Agreement (see “</w:t>
      </w:r>
      <w:r>
        <w:rPr>
          <w:rFonts w:ascii="Times New Roman;serif" w:hAnsi="Times New Roman;serif"/>
          <w:b w:val="false"/>
          <w:i/>
          <w:color w:val="000000"/>
          <w:sz w:val="20"/>
        </w:rPr>
        <w:t>Note 8—Deb</w:t>
      </w:r>
      <w:r>
        <w:rPr>
          <w:rFonts w:ascii="Times New Roman;serif" w:hAnsi="Times New Roman;serif"/>
          <w:b w:val="false"/>
          <w:color w:val="000000"/>
          <w:sz w:val="20"/>
        </w:rPr>
        <w:t xml:space="preserve">t”) during the nine months ended September 30, 2025 and 2024.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directly associated with the borrowings were capitalized and netted against the corresponding debt liabilities on the Condensed Consolidated Balance Sheets. These costs are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 the relevant facts and circumstances surrounding the uncertain tax positions. The Company recognizes interest and penalties related to income tax matters in 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Beginning in fiscal year 2021, the Company began accruing for U.S. state taxes and foreign income taxes as a result of increased nexus in both U.S. state and foreign jurisdictions where historically the Company had no presence and where no net operating losses had historically been established.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starting in 2022, amendments to Section 174 of the Internal Revenue Code of 1986, as amended (“IRC”), no longer permit an immediate deduction for research and development expenditures conducted on foreign soil in the tax year that such costs are incurred. Instead, these IRC Section 174 development costs must now be capitalized and amortized over a 15-year period. The new amortization period begins with the midpoint of any taxable year that IRC Section 174 costs are first incurred, regardless of whether the expenditures were made prior to or after July 1, and runs until the midpoint of year sixteen.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 xml:space="preserve">On July 4, 2025, the One Big Beautiful Bill Act (“OBBBA”) was signed into law, making permanent certain provisions of the Tax Cuts and Jobs Act, including permanent 100% bonus depreciation, expensing of domestic research costs, and amendments to the business interest expense limitation. In accordance with ASC Topic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the Company has recognized the effects of the new tax law in the period of enactment. As the Company maintains a full valuation allowance on its U.S. federal deferred tax assets, the legislation does not have a material impact on its condensed consolidated financial statements for the three months ended September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Condensed Consolidated Statement of Comprehensive Income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based upon the weighted average number of common shares outstanding during the period. Diluted net income (loss) per share is based upon the weighted average number of common shares outstanding and potentially dilutive common shares during the period as determined by using the treasury stock method. Potential common equivalent shares are excluded if their effect is anti-dilutive.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Income (Loss). There were no realized gains or losses reclassified out of accumulated other comprehensive income for the three and nine months ended September 30, 2025 and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Customers and Other Risks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sources of revenue and cash flow are the sales of ORLADEYO in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RAPIVAB is also generally distributed through the same specialty pharmacy in the United States. The specialty pharmacy’s inability or unwillingness to continue these distribution activities could adversely impact the Company’s business, results of operations and financial condition. Revenue where the specialty pharmacy is considered the customer was approximately 88% and 86% of total net revenues for the three and nine months ended September 30, 2025, respectively. Revenue where the specialty pharmacy is considered the customer was approximately 88% of total net revenues for both the three and nine months ended September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distributing ORLADEYO in other global markets directly or through other parties.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receivables from sales of ORLADEYO are primarily due from one customer, resulting in a concentration of credit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adopted by the Company during the nine months ended September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income (loss), or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evaluating the impact of adopting ASU 2024-03.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clarifies and modernizes the accounting for costs related to internal-use software, eliminating references to project stages and clarifying the threshold entities apply to begin capitalizing costs. ASU 2025-06 is effective for fiscal years beginning after December 15, 2027, and interim periods within those annual reporting periods, with early adoption permitted. The Company is evaluating the impact of adopting ASU 2025-06 but does not expect it will have a material effect on its consolidated balance sheet, statement of comprehensive income (loss), or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Assets and Liabilities Held for Sale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June 27, 2025, the Company entered into a definitive agreement (the “Stock Purchase Agreement”) with BioCryst Ireland Limited (“BioCryst Ireland”), a wholly owned subsidiary that operates the European ORLADEYO business, and Neopharmed Gentili S.p.A. (“Neopharmed”). On October 1, 2025 (the “Closing”), under the terms of the Stock Purchase Agreement, the Company sold to Neopharmed all of its equity interests in BioCryst Ireland, which, together with its subsidiaries, holds certain assets, rights, and employees related to our European ORLADEYO business (the “European ORLADEYO Business”). At the Closing, the Company received cash proceeds of $250,000, plus customary purchase price adjustments as set forth in the Stock Purchase Agreement. In addition, Neopharmed has agreed to pay the Company up to $14,000 if certain revenue milestones are achieved prior to December 31, 2032. Concurrent with the Closing, Neopharmed also paid a $15,000 royalty release fee to RPI 2019 Intermediate Finance Trust.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with the sale, the Company entered into several agreements with Neopharmed, including an Amended and Restated IP Licence Agreement, a Supply Agreement, a Global Brand and Support Agreement, a Transition Services Agreement, and a Trademark License Agreement (each as defined in</w:t>
      </w:r>
      <w:r>
        <w:rPr>
          <w:color w:val="000000"/>
        </w:rPr>
        <w:t>“</w:t>
      </w:r>
      <w:r>
        <w:rPr>
          <w:rFonts w:ascii="Times New Roman;serif" w:hAnsi="Times New Roman;serif"/>
          <w:b w:val="false"/>
          <w:i/>
          <w:color w:val="000000"/>
          <w:sz w:val="20"/>
        </w:rPr>
        <w:t>Note 16—Subsequent Events”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October 8, 2025, the Company used a portion of the proceeds from the sale of the European ORLADEYO business to pay off in full the outstanding principal balance and terminate the Pharmakon Loan Agreement (as defined in “</w:t>
      </w:r>
      <w:r>
        <w:rPr>
          <w:rFonts w:ascii="Times New Roman;serif" w:hAnsi="Times New Roman;serif"/>
          <w:b w:val="false"/>
          <w:i/>
          <w:color w:val="000000"/>
          <w:sz w:val="20"/>
        </w:rPr>
        <w:t>Note 8—Debt”</w:t>
      </w:r>
      <w:r>
        <w:rPr>
          <w:rFonts w:ascii="Times New Roman;serif" w:hAnsi="Times New Roman;serif"/>
          <w:b w:val="false"/>
          <w:color w:val="000000"/>
          <w:sz w:val="20"/>
        </w:rPr>
        <w:t xml:space="preserve">). See </w:t>
      </w:r>
      <w:r>
        <w:rPr>
          <w:color w:val="000000"/>
        </w:rPr>
        <w:t>“</w:t>
      </w:r>
      <w:r>
        <w:rPr>
          <w:rFonts w:ascii="Times New Roman;serif" w:hAnsi="Times New Roman;serif"/>
          <w:b w:val="false"/>
          <w:i/>
          <w:color w:val="000000"/>
          <w:sz w:val="20"/>
        </w:rPr>
        <w:t>Note 16—Subsequent Events”</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concluded that the criteria under ASC 360-10-45-9 for classification as held for sale were met for BioCryst Ireland. Accordingly, the assets and liabilities of BioCryst Ireland are classified as a disposal group held for sale in the Company’s Condensed Consolidated Balance Sheet. The disposal group is not considered a discontinued operation under ASC 205-20, as it does not represent a strategic shift that will have a major effect on the Company’s operations or financial results. Therefore, the results of operations for BioCryst Ireland are included in income from continuing operations for all periods presented.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impairment loss was recognized in connection with the classification of the disposal group as held for sale, as the estimated fair value less costs to sell exceeded its carrying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BioCryst Ireland that are classified as held for sale on the unaudited Condensed Consolidated Balance Sheet as of September 30, 2025 (in thousands):</w:t>
      </w:r>
    </w:p>
    <w:tbl>
      <w:tblPr>
        <w:tblW w:w="5264" w:type="dxa"/>
        <w:jc w:val="left"/>
        <w:tblInd w:w="0" w:type="dxa"/>
        <w:tblLayout w:type="fixed"/>
        <w:tblCellMar>
          <w:top w:w="28" w:type="dxa"/>
          <w:left w:w="28" w:type="dxa"/>
          <w:bottom w:w="28" w:type="dxa"/>
          <w:right w:w="28" w:type="dxa"/>
        </w:tblCellMar>
      </w:tblPr>
      <w:tblGrid>
        <w:gridCol w:w="1243"/>
        <w:gridCol w:w="1097"/>
        <w:gridCol w:w="1110"/>
        <w:gridCol w:w="352"/>
        <w:gridCol w:w="1205"/>
        <w:gridCol w:w="257"/>
      </w:tblGrid>
      <w:tr>
        <w:trPr/>
        <w:tc>
          <w:tcPr>
            <w:tcW w:w="12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33,231 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5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26,423 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26,859 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Note 3</w:t>
      </w:r>
      <w:r>
        <w:rPr>
          <w:color w:val="000000"/>
        </w:rPr>
        <w:t xml:space="preserve"> — </w:t>
      </w:r>
      <w:r>
        <w:rPr>
          <w:rFonts w:ascii="Times New Roman;serif" w:hAnsi="Times New Roman;serif"/>
          <w:b/>
          <w:color w:val="000000"/>
          <w:sz w:val="20"/>
        </w:rPr>
        <w:t>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nine months ended September 30, 2025 and 2024 (in thousands):</w:t>
      </w:r>
    </w:p>
    <w:tbl>
      <w:tblPr>
        <w:tblW w:w="8133" w:type="dxa"/>
        <w:jc w:val="left"/>
        <w:tblInd w:w="0" w:type="dxa"/>
        <w:tblLayout w:type="fixed"/>
        <w:tblCellMar>
          <w:top w:w="28" w:type="dxa"/>
          <w:left w:w="28" w:type="dxa"/>
          <w:bottom w:w="28" w:type="dxa"/>
          <w:right w:w="28" w:type="dxa"/>
        </w:tblCellMar>
      </w:tblPr>
      <w:tblGrid>
        <w:gridCol w:w="597"/>
        <w:gridCol w:w="525"/>
        <w:gridCol w:w="527"/>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U.S.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450,157 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313,474 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319,178 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revenues represent total revenues from product sales, collaborative revenues, and royalties. Other revenues primarily relate to the Company’s product sales and royalties for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individual country outside of the U.S. exceeded 10% of total revenues for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 (in thousands):</w:t>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seven securities with a total estimated fair value of $69,245 in an unrealized loss position. The Company believes the individual unrealized losses represent temporary declines primarily resulting from interest rate changes. The Company does not have an intent to sell these investments, and it is more likely than not that the investments will be held until recovery of their amortized cost basis. As such, no allowance was recognized.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(in thousands): </w:t>
      </w:r>
    </w:p>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14"/>
        <w:gridCol w:w="559"/>
        <w:gridCol w:w="163"/>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14"/>
        <w:gridCol w:w="559"/>
        <w:gridCol w:w="163"/>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September 30, 2025 and December 31, 2024 (in thousands):</w:t>
      </w:r>
    </w:p>
    <w:tbl>
      <w:tblPr>
        <w:tblW w:w="7391" w:type="dxa"/>
        <w:jc w:val="left"/>
        <w:tblInd w:w="0" w:type="dxa"/>
        <w:tblLayout w:type="fixed"/>
        <w:tblCellMar>
          <w:top w:w="28" w:type="dxa"/>
          <w:left w:w="28" w:type="dxa"/>
          <w:bottom w:w="28" w:type="dxa"/>
          <w:right w:w="28" w:type="dxa"/>
        </w:tblCellMar>
      </w:tblPr>
      <w:tblGrid>
        <w:gridCol w:w="1277"/>
        <w:gridCol w:w="1122"/>
        <w:gridCol w:w="1126"/>
        <w:gridCol w:w="326"/>
        <w:gridCol w:w="1276"/>
        <w:gridCol w:w="168"/>
        <w:gridCol w:w="109"/>
        <w:gridCol w:w="109"/>
        <w:gridCol w:w="109"/>
        <w:gridCol w:w="313"/>
        <w:gridCol w:w="1228"/>
        <w:gridCol w:w="22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168,464 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Trade Receivables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Receivables from product sales are recorded for amounts due to the Company related to sales of ORLADEYO and peramivir. At September 30, 2025 and December 31, 2024, receivables, net of reserves, related to sales of ORLADEYO were $88,034 and $76,282, respectively. At September 30, 2025 and December 31, 2024, receivables related to sales of peramivir were $153 and $564, respectively.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At September 30, 2025, there was $10,285 of accounts receivable, net of reserves, included in current assets held for sale. See “</w:t>
      </w:r>
      <w:r>
        <w:rPr>
          <w:rFonts w:ascii="Times New Roman;serif" w:hAnsi="Times New Roman;serif"/>
          <w:b w:val="false"/>
          <w:i/>
          <w:color w:val="000000"/>
          <w:sz w:val="20"/>
        </w:rPr>
        <w:t>Note 2—Assets and Liabilities Held for Sale</w:t>
      </w:r>
      <w:r>
        <w:rPr>
          <w:color w:val="000000"/>
        </w:rPr>
        <w:t xml:space="preserve">” </w:t>
      </w:r>
      <w:r>
        <w:rPr>
          <w:rFonts w:ascii="Times New Roman;serif" w:hAnsi="Times New Roman;serif"/>
          <w:b w:val="false"/>
          <w:color w:val="000000"/>
          <w:sz w:val="20"/>
        </w:rPr>
        <w:t xml:space="preserve">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Collaborative and Other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receivables from the Company’s royalty partners were $3,138 and $2,223,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6 </w:t>
      </w:r>
      <w:r>
        <w:rPr>
          <w:color w:val="000000"/>
        </w:rPr>
        <w:t xml:space="preserve">— </w:t>
      </w:r>
      <w:r>
        <w:rPr>
          <w:rFonts w:ascii="Times New Roman;serif" w:hAnsi="Times New Roman;serif"/>
          <w:b/>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Company’s inventory primarily related to ORLADEYO. The Company’s inventories consisted of the following (in thousands): </w:t>
      </w:r>
    </w:p>
    <w:tbl>
      <w:tblPr>
        <w:tblW w:w="5606" w:type="dxa"/>
        <w:jc w:val="left"/>
        <w:tblInd w:w="0" w:type="dxa"/>
        <w:tblLayout w:type="fixed"/>
        <w:tblCellMar>
          <w:top w:w="28" w:type="dxa"/>
          <w:left w:w="28" w:type="dxa"/>
          <w:bottom w:w="28" w:type="dxa"/>
          <w:right w:w="28" w:type="dxa"/>
        </w:tblCellMar>
      </w:tblPr>
      <w:tblGrid>
        <w:gridCol w:w="630"/>
        <w:gridCol w:w="552"/>
        <w:gridCol w:w="558"/>
        <w:gridCol w:w="358"/>
        <w:gridCol w:w="1226"/>
        <w:gridCol w:w="185"/>
        <w:gridCol w:w="109"/>
        <w:gridCol w:w="109"/>
        <w:gridCol w:w="109"/>
        <w:gridCol w:w="344"/>
        <w:gridCol w:w="1175"/>
        <w:gridCol w:w="25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15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As of September 30, 2025, there was $2,146 of inventory, net in current assets held for sale and $705 of inventory, net in non-current assets held for sale. See “</w:t>
      </w:r>
      <w:r>
        <w:rPr>
          <w:rFonts w:ascii="Times New Roman;serif" w:hAnsi="Times New Roman;serif"/>
          <w:b w:val="false"/>
          <w:i/>
          <w:color w:val="000000"/>
          <w:sz w:val="20"/>
        </w:rPr>
        <w:t>Note 2—Assets and Liabilities Held for Sale</w:t>
      </w:r>
      <w:r>
        <w:rPr>
          <w:color w:val="000000"/>
        </w:rPr>
        <w:t xml:space="preserve">” </w:t>
      </w:r>
      <w:r>
        <w:rPr>
          <w:rFonts w:ascii="Times New Roman;serif" w:hAnsi="Times New Roman;serif"/>
          <w:b w:val="false"/>
          <w:color w:val="000000"/>
          <w:sz w:val="20"/>
        </w:rPr>
        <w:t xml:space="preserve">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7 </w:t>
      </w:r>
      <w:r>
        <w:rPr>
          <w:color w:val="000000"/>
        </w:rPr>
        <w:t xml:space="preserve">— </w:t>
      </w:r>
      <w:r>
        <w:rPr>
          <w:rFonts w:ascii="Times New Roman;serif" w:hAnsi="Times New Roman;serif"/>
          <w:b/>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royalties payable under the 2021 RPI Royalty Purchase Agreement are in addition to the royalties payable to RPI under the 2020 RPI Royalty Purchase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from and after October 1, 2023. OMERS will no longer be entitled to receive any payments on the date in which aggregate payments actually received by OMERS equals 155.0% of the $150,000 purchase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transactions contemplated by each of the Royalty Purchase Agreements are referred to herein as the “Royalty Sales”.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8 herein) through its payoff and termination on April 17, 2023 or, subsequent to that date, the Pharmakon Loan Agreement (as defined in Note 8 herein), as applicable.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 xml:space="preserve">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 In addition, in connection with the Stock Purchase Agreement (as defined in </w:t>
      </w:r>
      <w:r>
        <w:rPr>
          <w:rFonts w:ascii="Times New Roman;serif" w:hAnsi="Times New Roman;serif"/>
          <w:b w:val="false"/>
          <w:i/>
          <w:color w:val="000000"/>
          <w:sz w:val="20"/>
        </w:rPr>
        <w:t>Note 2—Assets and Liabilities Held for Sale”</w:t>
      </w:r>
      <w:r>
        <w:rPr>
          <w:rFonts w:ascii="Times New Roman;serif" w:hAnsi="Times New Roman;serif"/>
          <w:b w:val="false"/>
          <w:color w:val="000000"/>
          <w:sz w:val="20"/>
        </w:rPr>
        <w:t xml:space="preserve">), RPI and OMERS provided their written consent of the consummation of the sale of the Company’s European ORLADEYO Business. See </w:t>
      </w:r>
      <w:r>
        <w:rPr>
          <w:color w:val="000000"/>
        </w:rPr>
        <w:t>“</w:t>
      </w:r>
      <w:r>
        <w:rPr>
          <w:rFonts w:ascii="Times New Roman;serif" w:hAnsi="Times New Roman;serif"/>
          <w:b w:val="false"/>
          <w:i/>
          <w:color w:val="000000"/>
          <w:sz w:val="20"/>
        </w:rPr>
        <w:t>Note 16—Subsequent Events”</w:t>
      </w:r>
      <w:r>
        <w:rPr>
          <w:color w:val="000000"/>
        </w:rPr>
        <w:t xml:space="preserve"> </w:t>
      </w:r>
      <w:r>
        <w:rPr>
          <w:rFonts w:ascii="Times New Roman;serif" w:hAnsi="Times New Roman;serif"/>
          <w:b w:val="false"/>
          <w:color w:val="000000"/>
          <w:sz w:val="20"/>
        </w:rPr>
        <w:t>for additional information on the sale of the Company’s European ORLADEYO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As of September 30, 2025 and December 31, 2024, the carrying value of the royalty financing obligations under the Royalty Purchase Agreements approximated fair value and was measured based on the Company’s current estimates of future payments to RPI and OMERS over the lives of the agreements, which are considered Level 3 inputs. The Company utilizes the prospective method to account for subsequent changes in the estimated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internal projections of future net product sales, which are based on key assumptions, including paid patients and price. To the extent such payments are greater or less than the Company’s initial estimates or the timing of such payments is materially different than its original estimates,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In such case of excess payments relative to interest accretion for the next twelve months, the excess payments are considered to be a short-term liability and classified within current liabilities on the Company’s Condensed Consolidated Balance Sheets.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there were no significant changes to the amount and timing of expected royalties under the Royalty Purchase Agreements based on the Company’s latest forecasts related to ORLADEYO sales.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three and nine months ended September 30, 2025 (in thousands) as well as the effective interest rate as of September 30, 2025: </w:t>
      </w:r>
    </w:p>
    <w:tbl>
      <w:tblPr>
        <w:tblW w:w="10205" w:type="dxa"/>
        <w:jc w:val="left"/>
        <w:tblInd w:w="0" w:type="dxa"/>
        <w:tblLayout w:type="fixed"/>
        <w:tblCellMar>
          <w:top w:w="28" w:type="dxa"/>
          <w:left w:w="28" w:type="dxa"/>
          <w:bottom w:w="28" w:type="dxa"/>
          <w:right w:w="28" w:type="dxa"/>
        </w:tblCellMar>
      </w:tblPr>
      <w:tblGrid>
        <w:gridCol w:w="1495"/>
        <w:gridCol w:w="1304"/>
        <w:gridCol w:w="130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6"/>
      </w:tblGrid>
      <w:tr>
        <w:trPr/>
        <w:tc>
          <w:tcPr>
            <w:tcW w:w="149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$18,319 and $55,240 for the three and nine months ended September 30, 2025, respectively. Cash paid for interest on the royalty financing obligations was $21,239 and $54,308 for the three and nine months ended September 30, 2024,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8 </w:t>
      </w:r>
      <w:r>
        <w:rPr>
          <w:color w:val="000000"/>
        </w:rPr>
        <w:t xml:space="preserve">— </w:t>
      </w:r>
      <w:r>
        <w:rPr>
          <w:rFonts w:ascii="Times New Roman;serif" w:hAnsi="Times New Roman;serif"/>
          <w:b/>
          <w:color w:val="000000"/>
          <w:sz w:val="20"/>
        </w:rPr>
        <w:t>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were guarantors to the Pharmakon Loan Agreement. The Pharmakon Loan Agreement provided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Pharmakon Loan Agreement also provided for three additional term loan tranches, at the Company’s option, in principal amounts of $50,000 each (each a “Subsequent Tranche Loan” and, collectively with the Tranche A Loan,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color w:val="000000"/>
        </w:rPr>
      </w:pPr>
      <w:r>
        <w:rPr>
          <w:color w:val="000000"/>
        </w:rPr>
        <w:t>“</w:t>
      </w:r>
      <w:r>
        <w:rPr>
          <w:rFonts w:ascii="Times New Roman;serif" w:hAnsi="Times New Roman;serif"/>
          <w:b w:val="false"/>
          <w:color w:val="000000"/>
          <w:sz w:val="20"/>
        </w:rPr>
        <w:t>Pharmakon Term Loans” and each, a “Pharmakon Term Loan”), which could have been requested on or prior to September 30, 2024. The Company chose not to request any Subsequent Tranche Loans and the options have since expired. The maturity date of the Pharmakon Loan Agreement was April 17, 2028 (the “Maturity Date”), the fifth anniversary of the Tranche A Closing Date.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provided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bore interest at a rate equal to the three-month Secured Overnight Financing Rate (“SOFR”), which could be no less than 1.75%, plus 7.00%, per annum or, for each interest period in which a Pharmakon PIK Interest Payment was made, with respect to the Tranche A Loan, SOFR plus 7.25%, per annum.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Tranche A Loan accrued interest at an effective interest rate of 12.28% and 13.34% for the three months ended September 30, 2025 and 2024,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was required to make a mandatory prepayment of the Pharmakon Term Loans (i) upon the occurrence of a change of control and (ii) prior to any repayment of any convertible debt that the Company may have issued in the future, subject to certain exceptions. The Company could make voluntary prepayments in whole or in part, in minimum $25,000 increments. Prepayments were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if the Company had requested any Subsequent Tranche Loans, certain funding fees would have been required to be paid.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also contained representations and warranties and affirmative and negative covenants customary for financings of this type, as well as customary events of default. Certain of the customary negative covenants limited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failure to comply with the covenants in the Pharmakon Loan Agreement, or an occurrence of any other event of default, could have permitted the lenders under the Pharmakon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Pharmakon Loan Agreement were secured by a security interest in, subject to certain exceptions, substantially all of the Company’s assets.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18, 2025, as allowable under the Pharmakon Loan Agreement, the Company made a $75,000 partial prepayment on the outstanding principal amount under the Pharmakon Term Loan. In conjunction with the partial prepayment, the Company incurred a $2,250 prepayment premium and paid $424 of interest accrued through the payment date. Additionally, unamortized deferred financing costs of $1,921 associated with the Pharmakon Term Loan were written-off at the time of repayment. Collectively, the prepayment and unamortized deferred financing costs totaled $4,171 and are reflected as a one-time loss on extinguishment of debt on the Condensed Consolidated Statements of Comprehensive Income (Loss) for the nine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24, 2025, as allowable under the Pharmakon Loan Agreement, the Company made a $50,000 partial prepayment on the outstanding principal amount under the Pharmakon Term Loan. In conjunction with the partial prepayment, the Company incurred a $1,500 prepayment premium and fees of $52 and paid $376 of interest accrued through the payment date. Additionally, unamortized deferred financing costs of $1,188 associated with the Pharmakon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Term Loan were written-off at the time of repayment. Collectively, the prepayment and unamortized deferred financing costs totaled $2,740 and are reflected as a one-time loss on extinguishment of debt on the Condensed Consolidated Statements of Comprehensive Income (Loss) for the three and nine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borrowings, including Pharmakon PIK Interest Payments, totaled $198,704 under the Pharmakon Loan Agreement. Interest expense on the Tranche A Loan for the three and nine months ended September 30, 2025 was $6,110 and $22,789, respectively, all of which was paid at the end of the quarterly period.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2024, borrowings, including the Pharmakon PIK Interest Payments, totaled $323,704 under the Pharmakon Loan Agreement. Interest expense on the Tranche A Loan for the three and nine months ended September 30, 2024 was $10,201 and $30,283, respectively. As allowable under the Pharmakon Loan Agreement, the Company designated and accounted for 50% of the quarterly interest payments for each of the three months ended March 31, 2024 and June 30, 2024 as a Pharmakon PIK Interest Payment and the total amount of $10,041 was added to the outstanding principal balance of the borrowing. The remaining 50% of the total quarterly interest payments for the three months ended March 31, 2024 and June 30, 2024 and the full quarterly interest payment for the three months ended September 30, 2024 totaling $20,242 was paid at the end of each quarterly period.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debt approximated its carrying value based on prevailing interest rates as of the balance sheet date and was considered as Level 2 in the fair value hierarchy.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Debt fees and issuance costs incurred with the Tranche A Loan under the Pharmakon Loan Agreement totaled $11,147 and were deferred and amortized as interest expense on an effective interest rate method over the term of the Tranche A Loan. Deferred financing amortization of $384 and $1,387 was recognized for the three and nine months ended September 30, 2025, respectively. Deferred financing amortization of $511 and $1,061 was recognized for the three and nine months ended September 30, 2024, respectively.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In connection with the Stock Purchase Agreement (as defined in </w:t>
      </w:r>
      <w:r>
        <w:rPr>
          <w:rFonts w:ascii="Times New Roman;serif" w:hAnsi="Times New Roman;serif"/>
          <w:b w:val="false"/>
          <w:i/>
          <w:color w:val="000000"/>
          <w:sz w:val="20"/>
        </w:rPr>
        <w:t>Note 2—Assets and Liabilities Held for Sale”</w:t>
      </w:r>
      <w:r>
        <w:rPr>
          <w:rFonts w:ascii="Times New Roman;serif" w:hAnsi="Times New Roman;serif"/>
          <w:b w:val="false"/>
          <w:color w:val="000000"/>
          <w:sz w:val="20"/>
        </w:rPr>
        <w:t xml:space="preserve">), Pharmakon provided its written consent of the consummation of the sale of the Company’s European ORLADEYO Business. On October 8, 2025, the Company used a portion of the proceeds from the sale of the European ORLADEYO Business to pay off in full the outstanding principal balance and terminate the Pharmakon Loan Agreement. See </w:t>
      </w:r>
      <w:r>
        <w:rPr>
          <w:color w:val="000000"/>
        </w:rPr>
        <w:t>“</w:t>
      </w:r>
      <w:r>
        <w:rPr>
          <w:rFonts w:ascii="Times New Roman;serif" w:hAnsi="Times New Roman;serif"/>
          <w:b w:val="false"/>
          <w:i/>
          <w:color w:val="000000"/>
          <w:sz w:val="20"/>
        </w:rPr>
        <w:t>Note 16—Subsequent Events”</w:t>
      </w:r>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9 </w:t>
      </w:r>
      <w:r>
        <w:rPr>
          <w:color w:val="000000"/>
        </w:rPr>
        <w:t xml:space="preserve">— </w:t>
      </w:r>
      <w:r>
        <w:rPr>
          <w:rFonts w:ascii="Times New Roman;serif" w:hAnsi="Times New Roman;serif"/>
          <w:b/>
          <w:color w:val="000000"/>
          <w:sz w:val="20"/>
        </w:rPr>
        <w:t xml:space="preserve">Lease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assets under operating leases, which primarily consist of real estate leases, and finance leases, which generally consist of laboratory equipment leases and office equipment leases, as of September 30, 2025. The Company’s real estate agreements expire at various times between 2026 through 2033 and include renewal options that range from three to five years in length.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 (in thousands):</w:t>
      </w:r>
    </w:p>
    <w:tbl>
      <w:tblPr>
        <w:tblW w:w="9395" w:type="dxa"/>
        <w:jc w:val="left"/>
        <w:tblInd w:w="0" w:type="dxa"/>
        <w:tblLayout w:type="fixed"/>
        <w:tblCellMar>
          <w:top w:w="28" w:type="dxa"/>
          <w:left w:w="28" w:type="dxa"/>
          <w:bottom w:w="28" w:type="dxa"/>
          <w:right w:w="28" w:type="dxa"/>
        </w:tblCellMar>
      </w:tblPr>
      <w:tblGrid>
        <w:gridCol w:w="1054"/>
        <w:gridCol w:w="925"/>
        <w:gridCol w:w="931"/>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7241" w:type="dxa"/>
        <w:jc w:val="left"/>
        <w:tblInd w:w="0" w:type="dxa"/>
        <w:tblLayout w:type="fixed"/>
        <w:tblCellMar>
          <w:top w:w="28" w:type="dxa"/>
          <w:left w:w="28" w:type="dxa"/>
          <w:bottom w:w="28" w:type="dxa"/>
          <w:right w:w="28" w:type="dxa"/>
        </w:tblCellMar>
      </w:tblPr>
      <w:tblGrid>
        <w:gridCol w:w="1220"/>
        <w:gridCol w:w="1074"/>
        <w:gridCol w:w="1081"/>
        <w:gridCol w:w="394"/>
        <w:gridCol w:w="394"/>
        <w:gridCol w:w="982"/>
        <w:gridCol w:w="109"/>
        <w:gridCol w:w="109"/>
        <w:gridCol w:w="109"/>
        <w:gridCol w:w="360"/>
        <w:gridCol w:w="360"/>
        <w:gridCol w:w="1049"/>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Condensed Consolidated Balance Sheets of the Company’s operating leases (in thousands): </w:t>
      </w:r>
    </w:p>
    <w:tbl>
      <w:tblPr>
        <w:tblW w:w="10205" w:type="dxa"/>
        <w:jc w:val="left"/>
        <w:tblInd w:w="0" w:type="dxa"/>
        <w:tblLayout w:type="fixed"/>
        <w:tblCellMar>
          <w:top w:w="28" w:type="dxa"/>
          <w:left w:w="28" w:type="dxa"/>
          <w:bottom w:w="28" w:type="dxa"/>
          <w:right w:w="28" w:type="dxa"/>
        </w:tblCellMar>
      </w:tblPr>
      <w:tblGrid>
        <w:gridCol w:w="1064"/>
        <w:gridCol w:w="914"/>
        <w:gridCol w:w="920"/>
        <w:gridCol w:w="1234"/>
        <w:gridCol w:w="1208"/>
        <w:gridCol w:w="1211"/>
        <w:gridCol w:w="372"/>
        <w:gridCol w:w="1094"/>
        <w:gridCol w:w="194"/>
        <w:gridCol w:w="109"/>
        <w:gridCol w:w="109"/>
        <w:gridCol w:w="109"/>
        <w:gridCol w:w="356"/>
        <w:gridCol w:w="1042"/>
        <w:gridCol w:w="269"/>
      </w:tblGrid>
      <w:tr>
        <w:trPr/>
        <w:tc>
          <w:tcPr>
            <w:tcW w:w="106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Right of use assets</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liabilities – current liabilities</w:t>
            </w:r>
          </w:p>
        </w:tc>
        <w:tc>
          <w:tcPr>
            <w:tcW w:w="37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liabilities – long-term liabilities</w:t>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Condensed Consolidated Balance Sheets of the Company’s finance leases (in thousands): </w:t>
      </w:r>
    </w:p>
    <w:tbl>
      <w:tblPr>
        <w:tblW w:w="10205" w:type="dxa"/>
        <w:jc w:val="left"/>
        <w:tblInd w:w="0" w:type="dxa"/>
        <w:tblLayout w:type="fixed"/>
        <w:tblCellMar>
          <w:top w:w="28" w:type="dxa"/>
          <w:left w:w="28" w:type="dxa"/>
          <w:bottom w:w="28" w:type="dxa"/>
          <w:right w:w="28" w:type="dxa"/>
        </w:tblCellMar>
      </w:tblPr>
      <w:tblGrid>
        <w:gridCol w:w="1043"/>
        <w:gridCol w:w="894"/>
        <w:gridCol w:w="896"/>
        <w:gridCol w:w="1226"/>
        <w:gridCol w:w="1209"/>
        <w:gridCol w:w="1212"/>
        <w:gridCol w:w="381"/>
        <w:gridCol w:w="1118"/>
        <w:gridCol w:w="198"/>
        <w:gridCol w:w="109"/>
        <w:gridCol w:w="109"/>
        <w:gridCol w:w="109"/>
        <w:gridCol w:w="364"/>
        <w:gridCol w:w="1065"/>
        <w:gridCol w:w="272"/>
      </w:tblGrid>
      <w:tr>
        <w:trPr/>
        <w:tc>
          <w:tcPr>
            <w:tcW w:w="10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3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Right of use assets</w:t>
            </w:r>
          </w:p>
        </w:tc>
        <w:tc>
          <w:tcPr>
            <w:tcW w:w="3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lease liabilities – current liabilities</w:t>
            </w:r>
          </w:p>
        </w:tc>
        <w:tc>
          <w:tcPr>
            <w:tcW w:w="3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3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lease liabilities – long-term liabilities</w:t>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assets are recorded net of accumulated amortization of $2,314 and $6,065 as of September 30, 2025 and December 31, 2024, respectively. Finance lease assets are recorded net of accumulated amortization of $4,519 and $4,059 as of September 30, 2025 and December 31,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September 30, 2025 are as follows (in thousands): </w:t>
      </w:r>
    </w:p>
    <w:tbl>
      <w:tblPr>
        <w:tblW w:w="5200" w:type="dxa"/>
        <w:jc w:val="left"/>
        <w:tblInd w:w="0" w:type="dxa"/>
        <w:tblLayout w:type="fixed"/>
        <w:tblCellMar>
          <w:top w:w="28" w:type="dxa"/>
          <w:left w:w="28" w:type="dxa"/>
          <w:bottom w:w="28" w:type="dxa"/>
          <w:right w:w="28" w:type="dxa"/>
        </w:tblCellMar>
      </w:tblPr>
      <w:tblGrid>
        <w:gridCol w:w="668"/>
        <w:gridCol w:w="586"/>
        <w:gridCol w:w="591"/>
        <w:gridCol w:w="358"/>
        <w:gridCol w:w="1046"/>
        <w:gridCol w:w="185"/>
        <w:gridCol w:w="109"/>
        <w:gridCol w:w="109"/>
        <w:gridCol w:w="109"/>
        <w:gridCol w:w="309"/>
        <w:gridCol w:w="904"/>
        <w:gridCol w:w="22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14,802 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8,773 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2627"/>
        <w:gridCol w:w="2293"/>
        <w:gridCol w:w="2304"/>
        <w:gridCol w:w="280"/>
        <w:gridCol w:w="819"/>
        <w:gridCol w:w="144"/>
        <w:gridCol w:w="144"/>
        <w:gridCol w:w="144"/>
        <w:gridCol w:w="144"/>
        <w:gridCol w:w="280"/>
        <w:gridCol w:w="819"/>
        <w:gridCol w:w="207"/>
      </w:tblGrid>
      <w:tr>
        <w:trPr/>
        <w:tc>
          <w:tcPr>
            <w:tcW w:w="2627"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to operating lease assets due to remeasurement of operating lease liabilities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10 </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 (in thousands):</w:t>
      </w:r>
    </w:p>
    <w:tbl>
      <w:tblPr>
        <w:tblW w:w="10205" w:type="dxa"/>
        <w:jc w:val="left"/>
        <w:tblInd w:w="0" w:type="dxa"/>
        <w:tblLayout w:type="fixed"/>
        <w:tblCellMar>
          <w:top w:w="28" w:type="dxa"/>
          <w:left w:w="28" w:type="dxa"/>
          <w:bottom w:w="28" w:type="dxa"/>
          <w:right w:w="28" w:type="dxa"/>
        </w:tblCellMar>
      </w:tblPr>
      <w:tblGrid>
        <w:gridCol w:w="2312"/>
        <w:gridCol w:w="2033"/>
        <w:gridCol w:w="2039"/>
        <w:gridCol w:w="582"/>
        <w:gridCol w:w="580"/>
        <w:gridCol w:w="582"/>
        <w:gridCol w:w="109"/>
        <w:gridCol w:w="109"/>
        <w:gridCol w:w="109"/>
        <w:gridCol w:w="513"/>
        <w:gridCol w:w="509"/>
        <w:gridCol w:w="728"/>
      </w:tblGrid>
      <w:tr>
        <w:trPr/>
        <w:tc>
          <w:tcPr>
            <w:tcW w:w="2312"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6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41,522 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44,240 </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13,721 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reserved for future issuance under the Inducement Equity Incentive Plan </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11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71,169 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62,158 </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11 </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21, 2025 and approved by the Company’s stockholders on June 12, 2025.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98"/>
        <w:gridCol w:w="1301"/>
        <w:gridCol w:w="1246"/>
        <w:gridCol w:w="460"/>
        <w:gridCol w:w="338"/>
        <w:gridCol w:w="338"/>
        <w:gridCol w:w="218"/>
        <w:gridCol w:w="218"/>
        <w:gridCol w:w="218"/>
        <w:gridCol w:w="460"/>
        <w:gridCol w:w="338"/>
        <w:gridCol w:w="338"/>
        <w:gridCol w:w="109"/>
        <w:gridCol w:w="109"/>
        <w:gridCol w:w="109"/>
        <w:gridCol w:w="440"/>
        <w:gridCol w:w="338"/>
        <w:gridCol w:w="338"/>
        <w:gridCol w:w="207"/>
        <w:gridCol w:w="207"/>
        <w:gridCol w:w="207"/>
        <w:gridCol w:w="440"/>
        <w:gridCol w:w="298"/>
        <w:gridCol w:w="432"/>
      </w:tblGrid>
      <w:tr>
        <w:trPr/>
        <w:tc>
          <w:tcPr>
            <w:tcW w:w="149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16,232</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54,841</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37,294</w:t>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6,241</w:t>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61,316</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44,074</w:t>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costs</w:t>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costs included in operating expenses</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18,601</w:t>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61,273</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44,074</w:t>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tbl>
      <w:tblPr>
        <w:tblW w:w="10205" w:type="dxa"/>
        <w:jc w:val="left"/>
        <w:tblInd w:w="0" w:type="dxa"/>
        <w:tblLayout w:type="fixed"/>
        <w:tblCellMar>
          <w:top w:w="28" w:type="dxa"/>
          <w:left w:w="28" w:type="dxa"/>
          <w:bottom w:w="28" w:type="dxa"/>
          <w:right w:w="28" w:type="dxa"/>
        </w:tblCellMar>
      </w:tblPr>
      <w:tblGrid>
        <w:gridCol w:w="690"/>
        <w:gridCol w:w="605"/>
        <w:gridCol w:w="609"/>
        <w:gridCol w:w="413"/>
        <w:gridCol w:w="360"/>
        <w:gridCol w:w="362"/>
        <w:gridCol w:w="109"/>
        <w:gridCol w:w="109"/>
        <w:gridCol w:w="109"/>
        <w:gridCol w:w="541"/>
        <w:gridCol w:w="1313"/>
        <w:gridCol w:w="282"/>
        <w:gridCol w:w="109"/>
        <w:gridCol w:w="109"/>
        <w:gridCol w:w="109"/>
        <w:gridCol w:w="810"/>
        <w:gridCol w:w="810"/>
        <w:gridCol w:w="812"/>
        <w:gridCol w:w="109"/>
        <w:gridCol w:w="109"/>
        <w:gridCol w:w="109"/>
        <w:gridCol w:w="312"/>
        <w:gridCol w:w="1070"/>
        <w:gridCol w:w="235"/>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39,082 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36,799 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7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23,314 </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23,388 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8021" w:type="dxa"/>
        <w:jc w:val="left"/>
        <w:tblInd w:w="0" w:type="dxa"/>
        <w:tblLayout w:type="fixed"/>
        <w:tblCellMar>
          <w:top w:w="28" w:type="dxa"/>
          <w:left w:w="28" w:type="dxa"/>
          <w:bottom w:w="28" w:type="dxa"/>
          <w:right w:w="28" w:type="dxa"/>
        </w:tblCellMar>
      </w:tblPr>
      <w:tblGrid>
        <w:gridCol w:w="994"/>
        <w:gridCol w:w="872"/>
        <w:gridCol w:w="879"/>
        <w:gridCol w:w="424"/>
        <w:gridCol w:w="424"/>
        <w:gridCol w:w="426"/>
        <w:gridCol w:w="109"/>
        <w:gridCol w:w="109"/>
        <w:gridCol w:w="109"/>
        <w:gridCol w:w="883"/>
        <w:gridCol w:w="2142"/>
        <w:gridCol w:w="650"/>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the first nine months of 2025 and 2024 was $9.17 and $5.80, respectively. The fair value of the restricted stock unit awards is amortized to expense over the vesting periods using a straight-line expense attribution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696"/>
        <w:gridCol w:w="610"/>
        <w:gridCol w:w="614"/>
        <w:gridCol w:w="361"/>
        <w:gridCol w:w="361"/>
        <w:gridCol w:w="363"/>
        <w:gridCol w:w="109"/>
        <w:gridCol w:w="109"/>
        <w:gridCol w:w="109"/>
        <w:gridCol w:w="547"/>
        <w:gridCol w:w="1328"/>
        <w:gridCol w:w="285"/>
        <w:gridCol w:w="109"/>
        <w:gridCol w:w="109"/>
        <w:gridCol w:w="109"/>
        <w:gridCol w:w="819"/>
        <w:gridCol w:w="819"/>
        <w:gridCol w:w="821"/>
        <w:gridCol w:w="109"/>
        <w:gridCol w:w="109"/>
        <w:gridCol w:w="109"/>
        <w:gridCol w:w="341"/>
        <w:gridCol w:w="1000"/>
        <w:gridCol w:w="259"/>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3,519 </w:t>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8021" w:type="dxa"/>
        <w:jc w:val="left"/>
        <w:tblInd w:w="0" w:type="dxa"/>
        <w:tblLayout w:type="fixed"/>
        <w:tblCellMar>
          <w:top w:w="28" w:type="dxa"/>
          <w:left w:w="28" w:type="dxa"/>
          <w:bottom w:w="28" w:type="dxa"/>
          <w:right w:w="28" w:type="dxa"/>
        </w:tblCellMar>
      </w:tblPr>
      <w:tblGrid>
        <w:gridCol w:w="994"/>
        <w:gridCol w:w="872"/>
        <w:gridCol w:w="879"/>
        <w:gridCol w:w="424"/>
        <w:gridCol w:w="424"/>
        <w:gridCol w:w="426"/>
        <w:gridCol w:w="109"/>
        <w:gridCol w:w="109"/>
        <w:gridCol w:w="109"/>
        <w:gridCol w:w="883"/>
        <w:gridCol w:w="2142"/>
        <w:gridCol w:w="650"/>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Inducement Plan, the fair value of the awards is determined based on the market value of the Company’s shares on the grant date. The weighted average grant date fair value of these awards granted during the first nine months of 2025 and 2024 was $8.47 and $6.25, respectively. The fair value of the restricted stock unit awards is amortized to expense over the vesting periods using a straight-line expense attribution method.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Weighted Average Assumptions for Stock Option Awards Granted to Employees and Directors under the Incentive and Inducement Plans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 </w:t>
      </w:r>
    </w:p>
    <w:p>
      <w:pPr>
        <w:pStyle w:val="TextBody"/>
        <w:bidi w:val="0"/>
        <w:spacing w:lineRule="auto" w:line="288" w:before="200" w:after="283"/>
        <w:jc w:val="left"/>
        <w:rPr/>
      </w:pPr>
      <w:r>
        <w:rPr>
          <w:rFonts w:ascii="Times New Roman;serif" w:hAnsi="Times New Roman;serif"/>
          <w:b w:val="false"/>
          <w:i/>
          <w:color w:val="000000"/>
          <w:sz w:val="20"/>
        </w:rPr>
        <w:t>Stock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key assumptions used by the Company to value the stock option awards granted under the Incentive Plan during the nine months ended September 30, 2025 and 2024. </w:t>
      </w:r>
    </w:p>
    <w:tbl>
      <w:tblPr>
        <w:tblW w:w="7061" w:type="dxa"/>
        <w:jc w:val="left"/>
        <w:tblInd w:w="0" w:type="dxa"/>
        <w:tblLayout w:type="fixed"/>
        <w:tblCellMar>
          <w:top w:w="28" w:type="dxa"/>
          <w:left w:w="28" w:type="dxa"/>
          <w:bottom w:w="28" w:type="dxa"/>
          <w:right w:w="28" w:type="dxa"/>
        </w:tblCellMar>
      </w:tblPr>
      <w:tblGrid>
        <w:gridCol w:w="1457"/>
        <w:gridCol w:w="1279"/>
        <w:gridCol w:w="1283"/>
        <w:gridCol w:w="272"/>
        <w:gridCol w:w="660"/>
        <w:gridCol w:w="350"/>
        <w:gridCol w:w="140"/>
        <w:gridCol w:w="140"/>
        <w:gridCol w:w="140"/>
        <w:gridCol w:w="272"/>
        <w:gridCol w:w="660"/>
        <w:gridCol w:w="408"/>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Inducement Equity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by the Company to value the stock option awards granted under the Inducement Plan during the nine months ended September 30, 2025 and 2024.</w:t>
      </w:r>
    </w:p>
    <w:tbl>
      <w:tblPr>
        <w:tblW w:w="7061" w:type="dxa"/>
        <w:jc w:val="left"/>
        <w:tblInd w:w="0" w:type="dxa"/>
        <w:tblLayout w:type="fixed"/>
        <w:tblCellMar>
          <w:top w:w="28" w:type="dxa"/>
          <w:left w:w="28" w:type="dxa"/>
          <w:bottom w:w="28" w:type="dxa"/>
          <w:right w:w="28" w:type="dxa"/>
        </w:tblCellMar>
      </w:tblPr>
      <w:tblGrid>
        <w:gridCol w:w="1457"/>
        <w:gridCol w:w="1279"/>
        <w:gridCol w:w="1283"/>
        <w:gridCol w:w="272"/>
        <w:gridCol w:w="660"/>
        <w:gridCol w:w="350"/>
        <w:gridCol w:w="140"/>
        <w:gridCol w:w="140"/>
        <w:gridCol w:w="140"/>
        <w:gridCol w:w="272"/>
        <w:gridCol w:w="660"/>
        <w:gridCol w:w="408"/>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5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40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0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ORLADEYO</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Torii Pharmaceutical Co., Ltd</w:t>
      </w:r>
      <w:r>
        <w:rPr>
          <w:rFonts w:ascii="Times New Roman;serif" w:hAnsi="Times New Roman;serif"/>
          <w:b w:val="false"/>
          <w:color w:val="000000"/>
          <w:sz w:val="20"/>
        </w:rPr>
        <w:t xml:space="preserve">. </w:t>
      </w:r>
      <w:r>
        <w:rPr>
          <w:rFonts w:ascii="Times New Roman;serif" w:hAnsi="Times New Roman;serif"/>
          <w:b w:val="false"/>
          <w:i/>
          <w:color w:val="000000"/>
          <w:sz w:val="20"/>
        </w:rPr>
        <w:t>(“Torii”)</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Peramivir Injection (RAPIVAB, RAPIACTA, PERAMIFLU)</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U.S. Department of Health and Human Services (“HHS”)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supplied the Center for the Strategic National Stockpile, the nation’s largest supply of life-saving pharmaceuticals and medical supplies for use in a public health emergency. The contract was structured with a 12-month base ordering period and four optional 12-month ordering periods, which the government could exercise on an annual basis. ASPR executed the first ordering period for $13,878. The Company delivered no doses of peramivir under this contract and recorded no revenue for the three months ended September 30, 2025. The Company delivered 16.8 thousand doses of peramivir under this contract and recorded revenue of $12,206 for the nine months ended September 30, 2025. There were no doses delivered and no revenue recorded for the three and nine months ended September 30, 2024. On May 15, 2025, ASPR notified the Company of its intent to not exercise any additional optional ordering periods available under the agreement.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Shionogi &amp; Co., Ltd. (“Shionogi”)</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owes sublicense payments to UAB on any future milestone payments and/or royalties received by the Company from Shionogi. </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Green Cross Corporation</w:t>
      </w:r>
      <w:r>
        <w:rPr>
          <w:color w:val="000000"/>
        </w:rPr>
        <w:t xml:space="preserve"> </w:t>
      </w:r>
      <w:r>
        <w:rPr>
          <w:rFonts w:ascii="Times New Roman;serif" w:hAnsi="Times New Roman;serif"/>
          <w:b w:val="false"/>
          <w:i/>
          <w:color w:val="000000"/>
          <w:sz w:val="20"/>
        </w:rPr>
        <w:t>(“Green Cross”)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Collaborations and Relationships</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Clearside Biomedical, Inc. (“Clearside”)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announced that it entered into a license agreement (the “Clearside Agreement”) with Clearside, enabling the Company to develop its investigational plasma kallikrein inhibitor, avoralstat, with Clearside’s SCS Microinjector® to deliver avoralstat to the back of the eye through the suprachoroidal space to treat patients with diabetic macular edema.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Clearside Agreement, Clearside received a $5,000 upfront license fee from the Company, which was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13 </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reportable and operating segment, centered around its commercialized product, ORLADEYO, and its pipeline with the goal of developing first-in-class or best-in-class oral small-molecule and injectable protein therapeutics to target difficult-to-treat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September 30, 2025 the Company’s cash, cash equivalents, and investments were $267,382, of which $14,840 was considered held for sale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i/>
          <w:color w:val="000000"/>
          <w:sz w:val="20"/>
        </w:rPr>
        <w:t>Note 2 - Assets Held for Sale”</w:t>
      </w:r>
      <w:r>
        <w:rPr>
          <w:rFonts w:ascii="Times New Roman;serif" w:hAnsi="Times New Roman;serif"/>
          <w:b w:val="false"/>
          <w:color w:val="000000"/>
          <w:sz w:val="20"/>
        </w:rPr>
        <w:t>). As of December 31, 2024 the Company’s cash, cash equivalents, and investments were $341,173.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information about segment revenues, significant segment expenses, and segment net income (loss) for the three and nine months ended September 30, 2025 and 2024 (in thousands):</w:t>
      </w:r>
    </w:p>
    <w:tbl>
      <w:tblPr>
        <w:tblW w:w="10205" w:type="dxa"/>
        <w:jc w:val="left"/>
        <w:tblInd w:w="0" w:type="dxa"/>
        <w:tblLayout w:type="fixed"/>
        <w:tblCellMar>
          <w:top w:w="28" w:type="dxa"/>
          <w:left w:w="28" w:type="dxa"/>
          <w:bottom w:w="28" w:type="dxa"/>
          <w:right w:w="28" w:type="dxa"/>
        </w:tblCellMar>
      </w:tblPr>
      <w:tblGrid>
        <w:gridCol w:w="1366"/>
        <w:gridCol w:w="1185"/>
        <w:gridCol w:w="1192"/>
        <w:gridCol w:w="249"/>
        <w:gridCol w:w="979"/>
        <w:gridCol w:w="128"/>
        <w:gridCol w:w="128"/>
        <w:gridCol w:w="128"/>
        <w:gridCol w:w="128"/>
        <w:gridCol w:w="249"/>
        <w:gridCol w:w="979"/>
        <w:gridCol w:w="128"/>
        <w:gridCol w:w="109"/>
        <w:gridCol w:w="109"/>
        <w:gridCol w:w="109"/>
        <w:gridCol w:w="240"/>
        <w:gridCol w:w="940"/>
        <w:gridCol w:w="123"/>
        <w:gridCol w:w="123"/>
        <w:gridCol w:w="123"/>
        <w:gridCol w:w="123"/>
        <w:gridCol w:w="240"/>
        <w:gridCol w:w="940"/>
        <w:gridCol w:w="187"/>
      </w:tblGrid>
      <w:tr>
        <w:trPr/>
        <w:tc>
          <w:tcPr>
            <w:tcW w:w="13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159,395 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117,085 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468,282 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42,630 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65,101 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252,866 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185,841 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64,737 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(gains) losses, net</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12,899</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(14,033)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18,016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(62,086)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 or loss: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 (loss)</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12,899</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(14,033)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18,016</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(62,086)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expense categories and amounts align with the segment-level information that is regularly provided to the CODM.</w:t>
            </w:r>
          </w:p>
        </w:tc>
      </w:tr>
    </w:tbl>
    <w:p>
      <w:pPr>
        <w:pStyle w:val="TextBody"/>
        <w:bidi w:val="0"/>
        <w:spacing w:lineRule="auto" w:line="276" w:before="240" w:after="283"/>
        <w:jc w:val="left"/>
        <w:rPr/>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3—Revenue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14</w:t>
      </w:r>
      <w:r>
        <w:rPr>
          <w:color w:val="000000"/>
        </w:rPr>
        <w:t xml:space="preserve"> — </w:t>
      </w:r>
      <w:r>
        <w:rPr>
          <w:rFonts w:ascii="Times New Roman;serif" w:hAnsi="Times New Roman;serif"/>
          <w:b/>
          <w:color w:val="000000"/>
          <w:sz w:val="20"/>
        </w:rPr>
        <w:t>Commitments and Contingencies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Annora’s ANDA. The Notice Letter does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15</w:t>
      </w:r>
      <w:r>
        <w:rPr>
          <w:color w:val="000000"/>
        </w:rPr>
        <w:t xml:space="preserve"> — </w:t>
      </w:r>
      <w:r>
        <w:rPr>
          <w:rFonts w:ascii="Times New Roman;serif" w:hAnsi="Times New Roman;serif"/>
          <w:b/>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for the three and nine months ended September 30, 2025 and 2024 were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513"/>
        <w:gridCol w:w="1284"/>
        <w:gridCol w:w="1291"/>
        <w:gridCol w:w="249"/>
        <w:gridCol w:w="851"/>
        <w:gridCol w:w="128"/>
        <w:gridCol w:w="128"/>
        <w:gridCol w:w="128"/>
        <w:gridCol w:w="128"/>
        <w:gridCol w:w="249"/>
        <w:gridCol w:w="922"/>
        <w:gridCol w:w="128"/>
        <w:gridCol w:w="109"/>
        <w:gridCol w:w="109"/>
        <w:gridCol w:w="109"/>
        <w:gridCol w:w="241"/>
        <w:gridCol w:w="825"/>
        <w:gridCol w:w="124"/>
        <w:gridCol w:w="124"/>
        <w:gridCol w:w="124"/>
        <w:gridCol w:w="124"/>
        <w:gridCol w:w="241"/>
        <w:gridCol w:w="893"/>
        <w:gridCol w:w="183"/>
      </w:tblGrid>
      <w:tr>
        <w:trPr/>
        <w:tc>
          <w:tcPr>
            <w:tcW w:w="151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potentially dilutive securities include outstanding stock options, unvested restricted stock units and shares issuable under the employee stock purchase plan for the three and nine months ended September 30, 2025 and 2024.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2024, during which the Company recorded a net loss, all potentially dilutive securities have been excluded from the computation of diluted net loss per share as the effect would be to reduce the net loss per share, and thus they are considered “anti-dilutive.” For this period, the weighted average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shares of common stock outstanding used to calculate both basic and diluted net loss per share of common stock is the same.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potential shares of common stock that were excluded from the computation of diluted net income (loss) per share attributable to common stockholders as they were anti-dilutive:</w:t>
      </w:r>
    </w:p>
    <w:tbl>
      <w:tblPr>
        <w:tblW w:w="7975" w:type="dxa"/>
        <w:jc w:val="left"/>
        <w:tblInd w:w="0" w:type="dxa"/>
        <w:tblLayout w:type="fixed"/>
        <w:tblCellMar>
          <w:top w:w="28" w:type="dxa"/>
          <w:left w:w="28" w:type="dxa"/>
          <w:bottom w:w="28" w:type="dxa"/>
          <w:right w:w="28" w:type="dxa"/>
        </w:tblCellMar>
      </w:tblPr>
      <w:tblGrid>
        <w:gridCol w:w="1136"/>
        <w:gridCol w:w="996"/>
        <w:gridCol w:w="1002"/>
        <w:gridCol w:w="744"/>
        <w:gridCol w:w="744"/>
        <w:gridCol w:w="746"/>
        <w:gridCol w:w="109"/>
        <w:gridCol w:w="109"/>
        <w:gridCol w:w="109"/>
        <w:gridCol w:w="666"/>
        <w:gridCol w:w="666"/>
        <w:gridCol w:w="948"/>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 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21,818 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38,559 </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22,191 </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44,441 </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16</w:t>
      </w:r>
      <w:r>
        <w:rPr>
          <w:color w:val="000000"/>
        </w:rPr>
        <w:t xml:space="preserve"> — </w:t>
      </w:r>
      <w:r>
        <w:rPr>
          <w:rFonts w:ascii="Times New Roman;serif" w:hAnsi="Times New Roman;serif"/>
          <w:b/>
          <w:color w:val="000000"/>
          <w:sz w:val="20"/>
        </w:rPr>
        <w:t>Subsequent Events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Neopharmed Gentili S.p.A. Stock Purchase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 xml:space="preserve">On October 1, 2025, under the terms of the Stock Purchase Agreement, the Company sold to Neopharmed all of its equity interests in BioCryst Ireland, which, together with its subsidiaries, holds certain assets, rights, and employees related to the Company’s European ORLADEYO Business. At the Closing, the Company received cash proceeds of </w:t>
      </w:r>
      <w:r>
        <w:rPr>
          <w:rFonts w:ascii="Times New Roman;serif" w:hAnsi="Times New Roman;serif"/>
          <w:b w:val="false"/>
          <w:color w:val="000000"/>
          <w:sz w:val="20"/>
        </w:rPr>
        <w:t>$250,000</w:t>
      </w:r>
      <w:r>
        <w:rPr>
          <w:rFonts w:ascii="Times New Roman;serif" w:hAnsi="Times New Roman;serif"/>
          <w:b w:val="false"/>
          <w:color w:val="000000"/>
          <w:sz w:val="20"/>
          <w:shd w:fill="FFFFFF" w:val="clear"/>
        </w:rPr>
        <w:t xml:space="preserve">, plus customary purchase price adjustments as set forth in the Stock Purchase Agreement. In addition, Neopharmed has agreed to pay the Company up to </w:t>
      </w:r>
      <w:r>
        <w:rPr>
          <w:rFonts w:ascii="Times New Roman;serif" w:hAnsi="Times New Roman;serif"/>
          <w:b w:val="false"/>
          <w:color w:val="000000"/>
          <w:sz w:val="20"/>
        </w:rPr>
        <w:t>$14,000</w:t>
      </w:r>
      <w:r>
        <w:rPr>
          <w:color w:val="000000"/>
          <w:shd w:fill="FFFFFF" w:val="clear"/>
        </w:rPr>
        <w:t xml:space="preserve"> </w:t>
      </w:r>
      <w:r>
        <w:rPr>
          <w:rFonts w:ascii="Times New Roman;serif" w:hAnsi="Times New Roman;serif"/>
          <w:b w:val="false"/>
          <w:color w:val="000000"/>
          <w:sz w:val="20"/>
          <w:shd w:fill="FFFFFF" w:val="clear"/>
        </w:rPr>
        <w:t xml:space="preserve">if certain revenue milestones are achieved prior to December 31, 2032. In connection with the Closing, Neopharmed also paid a </w:t>
      </w:r>
      <w:r>
        <w:rPr>
          <w:rFonts w:ascii="Times New Roman;serif" w:hAnsi="Times New Roman;serif"/>
          <w:b w:val="false"/>
          <w:color w:val="000000"/>
          <w:sz w:val="20"/>
        </w:rPr>
        <w:t>$15,000</w:t>
      </w:r>
      <w:r>
        <w:rPr>
          <w:color w:val="000000"/>
          <w:shd w:fill="FFFFFF" w:val="clear"/>
        </w:rPr>
        <w:t xml:space="preserve"> </w:t>
      </w:r>
      <w:r>
        <w:rPr>
          <w:rFonts w:ascii="Times New Roman;serif" w:hAnsi="Times New Roman;serif"/>
          <w:b w:val="false"/>
          <w:color w:val="000000"/>
          <w:sz w:val="20"/>
          <w:shd w:fill="FFFFFF" w:val="clear"/>
        </w:rPr>
        <w:t>royalty release fee to RPI 2019 Intermediate Finance Trust.</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Concurrent with the Closing of the transactions contemplated by the Stock Purchase Agreement, on October 1, 2025, the Company and BioCryst Ireland amended and restated their existing intellectual property licence agreement pursuant to which the Company will continue to grant to BioCryst Ireland certain rights with respect to ORLADEYO in the territory (the “Amended and Restated IP Licence Agreement”). The terms of the Amended and Restated IP Licence Agreement may also extend to the pediatric line extension of ORLADEYO, subject to certain regulatory approvals. </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Closing, on October 1, 2025, the Company entered into a supply agreement with BioCryst Ireland, pursuant to which the Company will be the exclusive supplier of ORLADEYO products to BioCryst Ireland for commercialization in the territory (the “Supply Agreement”). Additionally, in connection with the Closing, on October 1, 2025, the Company entered into a global brand and support agreement with BioCryst Ireland, which provides for coordination of brand and regulatory activities between the Company and BioCryst Ireland regarding ORLADEYO products (the “Global Brand and Support Agreement”). In connection with the Closing, on October 1, 2025, the Company entered into a mutual transition services agreement with BioCryst Ireland, pursuant to which the Company and BioCryst Ireland will provide each other with certain transition services for the periods of time and for the compensation set forth under the agreement, on customary commercial terms (the “Transition Services Agreement”).</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Lastly, in connection with the Closing, on October 1, 2025, the Company entered into a trademark license agreement with BioCryst Ireland, pursuant to which the Company granted to BioCryst Ireland a non-exclusive transitionary license to use the “BioCryst” name, solely to develop, manufacture and commercialize ORLADEYO products in the territory for a limited period of time, and an exclusive license to use the ORLADEYO product name to commercialize ORLADEYO products for such uses for the term of the Amended and Restated IP Licence Agreement, in each case subject to the terms and conditions set forth therein (the “Trademark License Agreement”).</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8, 2025, the Company used a portion of the proceeds from the sale of the European ORLADEYO Business to pay off in full the outstanding principal balance of $198,704 and terminate the Pharmakon Loan Agreement. In conjunction with the repayment the Company incurred a $5,961 prepayment premium and paid $485 of interest accrued through the payment date.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Astria Therapeutics, Inc. Agreement and Plan of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14, 2025, the Company, Axel Merger Sub, Inc., a Delaware corporation and a wholly owned subsidiary of the Company (“Merger Sub”), and Astria Therapeutics, Inc., a Delaware corporation (“Astria”), entered into an Agreement and Plan of Merger (the “Merger Agreement”). Pursuant to the Merger Agreement, and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satisfaction or waiver of the conditions specified therein, at the Effective Time (as defined below), Merger Sub will merge with and into Astria, with Astria surviving as a wholly owned subsidiary of the Company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at the effective time of the Merger (the “Effective Time”), each share of Astria common stock, par value $0.001 per share, issued and outstanding immediately prior to the Effective Time will be, subject to certain exceptions, converted into the right to receive (i) 0.59 of a share of the Company’s common stock (and, if applicable, cash in lieu of fractional shares), and (ii) $8.55 in cash, without interest, subject to certain adjustments and applicable withholding taxes. Holders of Astria’s Series X Convertible Preferred Stock, warrants, and certain options will also be entitled to certain consideration, as further set forth in the Merger Agreement. The Merger is subject to the approval of Astria’s stockholders, as well as customary regulatory approvals. In connection with entering into the Merger Agreement, certain stockholders of Astria entered into voting and support agreements with the Company, pursuant to which each such stockholder has agreed, among other things, to vote its, his or her shares of Astria common stock in favor of the adoption of the Merger Agreement and approval of the transactions contemplated thereby and, subject to certain exceptions, not to transfer such shares of Astria common stock prior to the earlier of the Effective Time and the termination of the Merger Agreement, without the prior written consent of the Company.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Commitments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transactions contemplated by the Merger Agreement, on October 14, 2025, the Company entered into a debt commitment letter (the “Commitment Letter”) with certain affiliates of Blackstone, Inc. (“Blackstone”), pursuant to which Blackstone agreed to provide a $550,000 senior secured credit facility consisting of (i) a committed initial term loan in an aggregate principal amount of $350,000 (the “Initial Term Loan”), (ii) a committed delayed draw term loan facility in an aggregate principal amount not exceeding $50,000 (the loans thereunder, the “Committed Delayed Draw Term Loans”), and (iii) an uncommitted delayed draw term loan facility in an aggregate principal amount not exceeding $150,000. The Initial Term Loan and any Committed Delayed Draw Term Loans funded on the closing date of the Merger will be used for the purpose of, among other things, funding the consideration for the transactions contemplated by the Merger Agreement and paying for related fees and expenses. The commitments with respect to the Initial Term Loan and any Committed Delayed Draw Term Loans funded on the closing date of the Merger are subject to customary conditions for acquisition financings, including the execution and delivery of definitive documentation with respect to the senior secured credit facility in accordance with the terms set forth in the Commitment Letter and the consummation of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focused on developing and commercializing medicines for hereditary angioedema (“HAE”) and other rare diseases, driven by our deep commitment to improving the lives of people living with these conditions. We have built a robust commercial infrastructure to support the launch and continued success of ORLADEYO, an oral, once-daily therapy discovered and developed internally for the prevention of HAE attacks. Our business strategy includes leveraging this established commercial platform to successfully commercialize a pipeline of potential first-in-class or best-in-class oral small-molecule and injectable protein therapeutics targeting a range of rare diseases. These programs are being pursued through both internal discovery efforts and strategic business development. By utilizing our existing commercial capabilities and focusing on rare disease markets, we believe that we can more effectively optimize our costs and strategically allocate resources to support long-term, sustainable growth.</w:t>
      </w:r>
    </w:p>
    <w:p>
      <w:pPr>
        <w:pStyle w:val="TextBody"/>
        <w:bidi w:val="0"/>
        <w:spacing w:lineRule="auto" w:line="288" w:before="200" w:after="283"/>
        <w:jc w:val="left"/>
        <w:rPr/>
      </w:pPr>
      <w:r>
        <w:rPr>
          <w:rFonts w:ascii="Times New Roman;serif" w:hAnsi="Times New Roman;serif"/>
          <w:b/>
          <w:i/>
          <w:color w:val="000000"/>
          <w:sz w:val="20"/>
        </w:rPr>
        <w:t>Products and Product Candidates</w:t>
      </w:r>
      <w:r>
        <w:rPr>
          <w:color w:val="000000"/>
        </w:rPr>
        <w:t xml:space="preserve"> </w:t>
      </w:r>
    </w:p>
    <w:p>
      <w:pPr>
        <w:pStyle w:val="TextBody"/>
        <w:bidi w:val="0"/>
        <w:spacing w:lineRule="auto" w:line="288" w:before="200" w:after="283"/>
        <w:jc w:val="left"/>
        <w:rPr/>
      </w:pPr>
      <w:r>
        <w:rPr>
          <w:rFonts w:ascii="Times New Roman;serif" w:hAnsi="Times New Roman;serif"/>
          <w:b w:val="false"/>
          <w:i/>
          <w:color w:val="000000"/>
          <w:sz w:val="20"/>
        </w:rPr>
        <w:t>ORLADEYO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(berotralstat)</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an oral capsule, once-daily therapy discovered and developed by us for the prevention of HAE attacks. ORLADEYO is approved in the United States and other global markets for the prevention of HAE attacks in adults and pediatric patients 12 years and older. In addition, the ongoing APeX-P clinical trial, which is complete through the primary endpoint, is continuing to assess an oral granule formulation of ORLADEYO in pediatric patients who are 2 to 11 years of age at enrollment. The Prescription Drug User Fee Act goal date for our new drug application for ORLADEYO granules in children with HAE aged 2 to 11 is December 12, 2025. ORLADEYO would be the first targeted oral prophylactic therapy for children with HAE.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Based on proprietary analyses of HAE prevalence and market research studies with HAE patients, physicians, and payors in the United States and Europe, and nearly five years of commercialization experience with ORLADEYO, we anticipate that the global commercial market for ORLADEYO has the potential to reach a global peak of $1 billion in annual net ORLADEYO revenues.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II, Item 1A of this report for further discussion of these risks.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Revenue from sales of ORLADEYO for the three and nine months ended September 30, 2025 is discussed under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in this MD&amp;A. Revenue from sales of ORLADEYO in future periods is subject to uncertainties and will depend on several factors, including, but not limited to,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w:t>
      </w:r>
      <w:r>
        <w:rPr>
          <w:rFonts w:ascii="Times New Roman;serif" w:hAnsi="Times New Roman;serif"/>
          <w:b w:val="false"/>
          <w:color w:val="000000"/>
          <w:sz w:val="20"/>
          <w:shd w:fill="FFFFFF" w:val="clear"/>
        </w:rPr>
        <w:t>yors, the number of patients receiv</w:t>
      </w:r>
      <w:r>
        <w:rPr>
          <w:rFonts w:ascii="Times New Roman;serif" w:hAnsi="Times New Roman;serif"/>
          <w:b w:val="false"/>
          <w:color w:val="000000"/>
          <w:sz w:val="20"/>
        </w:rPr>
        <w:t>ing free product, our pricing strategy, and market trends. We monitor and analyze this data on an ongoing basis as we continue to commercialize ORLADEYO and adjust our forecasts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patients are vulnerable to dehydration and recurrent infections. Currently, there are no approved treatments that target the 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Avoralstat, an investigational plasma kallikrein inhibitor, is designed to treat patients with diabetic macular edema (“DME”) through delivery of avoralstat to the back of the eye through the suprachoroidal space.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long-lasting exposure to the retinal vessels, which could result in less frequent injections and a reduced burden on patients and the healthcare system.</w:t>
      </w:r>
    </w:p>
    <w:p>
      <w:pPr>
        <w:pStyle w:val="TextBody"/>
        <w:bidi w:val="0"/>
        <w:spacing w:lineRule="auto" w:line="288" w:before="200" w:after="283"/>
        <w:jc w:val="left"/>
        <w:rPr/>
      </w:pPr>
      <w:r>
        <w:rPr>
          <w:rFonts w:ascii="Times New Roman;serif" w:hAnsi="Times New Roman;serif"/>
          <w:b w:val="false"/>
          <w:i/>
          <w:color w:val="000000"/>
          <w:sz w:val="20"/>
        </w:rPr>
        <w:t>RAPIVAB</w:t>
      </w:r>
      <w:r>
        <w:rPr>
          <w:rFonts w:ascii="Times New Roman;serif" w:hAnsi="Times New Roman;serif"/>
          <w:b w:val="false"/>
          <w:color w:val="000000"/>
          <w:sz w:val="20"/>
        </w:rPr>
        <w:t>®</w:t>
      </w:r>
      <w:r>
        <w:rPr>
          <w:rFonts w:ascii="Times New Roman;serif" w:hAnsi="Times New Roman;serif"/>
          <w:b w:val="false"/>
          <w:i/>
          <w:color w:val="000000"/>
          <w:sz w:val="20"/>
        </w:rPr>
        <w:t>/RAPIACTA</w:t>
      </w:r>
      <w:r>
        <w:rPr>
          <w:rFonts w:ascii="Times New Roman;serif" w:hAnsi="Times New Roman;serif"/>
          <w:b w:val="false"/>
          <w:color w:val="000000"/>
          <w:sz w:val="20"/>
        </w:rPr>
        <w:t>®</w:t>
      </w:r>
      <w:r>
        <w:rPr>
          <w:rFonts w:ascii="Times New Roman;serif" w:hAnsi="Times New Roman;serif"/>
          <w:b w:val="false"/>
          <w:i/>
          <w:color w:val="000000"/>
          <w:sz w:val="20"/>
        </w:rPr>
        <w:t>/PERAMIFLU</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(peramivir injection)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Since the 2009 H1N1 pandemic, RAPIVAB has been an important component of the U.S. Government’s influenza preparedness efforts. Peramivir injection is also approved in Canada (RAPIVAB), Australia (RAPIVAB), Japan (RAPIACTA), Taiwan (RAPIACTA), and Korea (PERAMIFLU).</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operating expenses are also difficult to predict and depend primarily on research and development activities, including drug manufacturing, clinical research activities, and the ongoing requirements of our development programs, as well as the costs of commercialization, direction from regulatory agencies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Developments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ORLADEYO (berotralstat)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4, 2025, we announced that new real-world data from over 350 patients with HAE with normal C1 inhibitor showed substantial reductions in attack rates with ORLADEYO, which we believe reinforces its value for a historically underserved patient segment and provides strong evidence to close gaps in both treatment and reimbursement.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On July 30, 2025</w:t>
      </w:r>
      <w:r>
        <w:rPr>
          <w:rFonts w:ascii="Times New Roman;serif" w:hAnsi="Times New Roman;serif"/>
          <w:b w:val="false"/>
          <w:color w:val="000000"/>
          <w:sz w:val="20"/>
        </w:rPr>
        <w:t>, we were notified that the U.S. Food and Drug Administration (the “FDA”) granted Fast Track designation for BCX17725 for the treatment of Netherton syndrome. On November 3, 2025, we announced that we expect initial data from Netherton syndrome patients participating in our phase 1 trial of BCX17725 by the end of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4, 2025, we announced that we were enrolling patients in the first clinical trial with suprachoroidal delivery of avoralstat in Australia. On November 3, 2025, we reaffirmed that we expect initial data from the avoralstat program by the end of the year and announced that we plan to seek a strategic partner for development beyond phase 1.</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Neopharmed Gentili S.p.A. Transaction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previously disclosed, on June 27, 2025, we entered into a stock purchase agreement (the “Stock Purchase Agreement”) with BioCryst Ireland Limited (“BioCryst Ireland”), a private limited company incorporated under the laws of Ireland and a wholly owned subsidiary of the Company, and Neopharmed Gentili S.p.A., a corporation organized under the laws of Italy (“Neopharmed”). On October 1, 2025 (the “Closing”), under the terms of the Stock Purchase Agreement, we sold to Neopharmed all of our equity interests in BioCryst Ireland, which, together with its subsidiaries, holds certain assets, rights, and employees related to our European ORLADEYO business (the “European ORLADEYO Business”). At the Closing, we received cash proceeds of </w:t>
      </w:r>
      <w:r>
        <w:rPr>
          <w:rFonts w:ascii="Times New Roman;serif" w:hAnsi="Times New Roman;serif"/>
          <w:b w:val="false"/>
          <w:color w:val="000000"/>
          <w:sz w:val="20"/>
        </w:rPr>
        <w:t>$250.0 million</w:t>
      </w:r>
      <w:r>
        <w:rPr>
          <w:rFonts w:ascii="Times New Roman;serif" w:hAnsi="Times New Roman;serif"/>
          <w:b w:val="false"/>
          <w:color w:val="000000"/>
          <w:sz w:val="20"/>
          <w:shd w:fill="FFFFFF" w:val="clear"/>
        </w:rPr>
        <w:t xml:space="preserve">, plus customary purchase price adjustments as set forth in the Stock Purchase Agreement. In addition, Neopharmed has agreed to pay us up to </w:t>
      </w:r>
      <w:r>
        <w:rPr>
          <w:rFonts w:ascii="Times New Roman;serif" w:hAnsi="Times New Roman;serif"/>
          <w:b w:val="false"/>
          <w:color w:val="000000"/>
          <w:sz w:val="20"/>
        </w:rPr>
        <w:t>$14.0 million</w:t>
      </w:r>
      <w:r>
        <w:rPr>
          <w:color w:val="000000"/>
          <w:shd w:fill="FFFFFF" w:val="clear"/>
        </w:rPr>
        <w:t xml:space="preserve"> </w:t>
      </w:r>
      <w:r>
        <w:rPr>
          <w:rFonts w:ascii="Times New Roman;serif" w:hAnsi="Times New Roman;serif"/>
          <w:b w:val="false"/>
          <w:color w:val="000000"/>
          <w:sz w:val="20"/>
          <w:shd w:fill="FFFFFF" w:val="clear"/>
        </w:rPr>
        <w:t>if certain revenue milestones are achieved prior to December 31, 2032</w:t>
      </w:r>
      <w:r>
        <w:rPr>
          <w:rFonts w:ascii="Times New Roman;serif" w:hAnsi="Times New Roman;serif"/>
          <w:b w:val="false"/>
          <w:color w:val="000000"/>
          <w:sz w:val="20"/>
        </w:rPr>
        <w:t xml:space="preserve">. In connection with the Closing, Neopharmed also paid a $15.0 million royalty release fee to RPI 2019 Intermediate Finance Trust.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Concurrent with the Closing of the transactions contemplated by the Stock Purchase Agreement, on October 1, 2025, we and BioCryst Ireland amended and restated our existing intellectual property licence agreement pursuant to which we will continue to grant to BioCryst Ireland certain rights with respect to ORLADEYO in the territory (the “Amended and Restated IP Licence Agreement”). The terms of the Amended and Restated IP Licence Agreement may also extend to the pediatric line extension of ORLADEYO, subject to certain regulatory approvals.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Closing, on October 1, 2025, we entered into a supply agreement with BioCryst Ireland, pursuant to which we will be the exclusive supplier of ORLADEYO products to BioCryst Ireland for commercialization in the territory. Additionally, in connection with the Closing, on October 1, 2025, we entered into a global brand and support agreement with BioCryst Ireland, which provides for coordination of brand and regulatory activities between us and BioCryst Ireland regarding ORLADEYO products. In connection with the Closing, on October 1, 2025, we also entered into a mutual transition services agreement with BioCryst Ireland, pursuant to which we and BioCryst Ireland will provide each other with certain transition services for the periods of time and for the compensation set forth under the agreement, on customary commercial terms.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Lastly, in connection with the Closing, on October 1, 2025, we entered into a trademark license agreement with BioCryst Ireland, pursuant to which we granted to BioCryst Ireland a non-exclusive transitionary license to use the “BioCryst” name, solely to develop, manufacture and commercialize ORLADEYO products in the territory for a limited period of time, and an exclusive license to use the ORLADEYO product name to commercialize ORLADEYO products for such uses for the term of the Amended and Restated IP Licence Agreement, in each case subject to the terms and conditions set forth therein.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Pharmakon Loan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previously disclosed,</w:t>
      </w:r>
      <w:r>
        <w:rPr>
          <w:color w:val="000000"/>
          <w:shd w:fill="FFFFFF" w:val="clear"/>
        </w:rPr>
        <w:t xml:space="preserve"> </w:t>
      </w:r>
      <w:r>
        <w:rPr>
          <w:rFonts w:ascii="Times New Roman;serif" w:hAnsi="Times New Roman;serif"/>
          <w:b w:val="false"/>
          <w:color w:val="000000"/>
          <w:sz w:val="20"/>
          <w:shd w:fill="FFFFFF" w:val="clear"/>
        </w:rPr>
        <w:t xml:space="preserve">on July 24, 2025, we made a partial prepayment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of the outstanding principal amount under the Pharmakon Loan Agreement. </w:t>
      </w:r>
      <w:r>
        <w:rPr>
          <w:rFonts w:ascii="Times New Roman;serif" w:hAnsi="Times New Roman;serif"/>
          <w:b w:val="false"/>
          <w:color w:val="000000"/>
          <w:sz w:val="20"/>
        </w:rPr>
        <w:t xml:space="preserve">On October 8, 2025, we used a portion of the proceeds from the sale of the </w:t>
      </w:r>
      <w:r>
        <w:rPr>
          <w:rFonts w:ascii="Times New Roman;serif" w:hAnsi="Times New Roman;serif"/>
          <w:b w:val="false"/>
          <w:color w:val="000000"/>
          <w:sz w:val="20"/>
          <w:shd w:fill="FFFFFF" w:val="clear"/>
        </w:rPr>
        <w:t>European ORLADEYO Business</w:t>
      </w:r>
      <w:r>
        <w:rPr>
          <w:color w:val="000000"/>
        </w:rPr>
        <w:t xml:space="preserve"> </w:t>
      </w:r>
      <w:r>
        <w:rPr>
          <w:rFonts w:ascii="Times New Roman;serif" w:hAnsi="Times New Roman;serif"/>
          <w:b w:val="false"/>
          <w:color w:val="000000"/>
          <w:sz w:val="20"/>
        </w:rPr>
        <w:t>to pay off in full the outstanding principal balance of $198.7 million and terminate the Pharmakon Loan Agreement.</w:t>
      </w:r>
      <w:r>
        <w:rPr>
          <w:color w:val="000000"/>
          <w:shd w:fill="FFFFFF" w:val="clear"/>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Astria Therapeutics, Inc. Agreement and Plan of Merger</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October 14, 2025, we entered into an Agreement and Plan of Merger (the “Merger Agreement”) with Axel Merger Sub, Inc., a Delaware corporation and our wholly owned subsidiary (“Merger Sub”), and Astria Therapeutics, Inc., a Delaware corporation (“Astria”). Pursuant to the Merger Agreement, and subject to the satisfaction or waiver of the conditions specified therein, at the Effective Time (as defined below), Merger Sub will merge with and into Astria, with Astria surviving as our wholly owned subsidiary (the “Merger”).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and conditions of the Merger Agreement, at the effective time of the Merger (the “Effective Time”), each share of Astria common stock, par value $0.001 per share, issued and outstanding immediately prior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Effective Time will be, subject to certain exceptions, converted into the right to receive (i) 0.59 of a share of our common stock (and, if applicable, cash in lieu of fractional shares), and (ii) $8.55 in cash, without interest, subject to certain adjustments and applicable withholding taxes. Holders of Astria’s Series X Convertible Preferred Stock, warrants, and certain options will also be entitled to certain consideration, as further set forth in the Merger Agreement. The Merger is subject to the approval of Astria’s stockholders, as well as customary regulatory approvals. In connection with entering into the Merger Agreement, certain stockholders of Astria entered into voting and support agreements with us, pursuant to which each such stockholder has agreed, among other things, to vote its, his or her shares of Astria common stock in favor of the adoption of the Merger Agreement and approval of the transactions contemplated thereby and, subject to certain exceptions, not to transfer such shares of Astria common stock prior to the earlier of the Effective Time and the termination of the Merger Agreement, without our prior written consent.</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Commitments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On October 14, 2025, in connection with the transactions contemplated by the Merger Agreement, we entered into a debt commitment letter (the “Commitment Letter”) with certain affiliates of Blackstone, Inc. (“Blackstone”) pursuant to which Blackstone agreed to provide a $550.0 million senior secured credit facility consisting of (i) a committed initial term loan in an aggregate principal amount of $350.0 million (the “Initial Term Loan”), (ii) a committed delayed draw term loan facility in an aggregate principal amount not exceeding $50.0 million (the loans thereunder, the “Committed Delayed Draw Term Loans”) and (iii) an uncommitted delayed draw term loan facility in an aggregate principal amount not exceeding $150.0 million. The Initial Term Loan and any Committed Delayed Draw Term Loans funded on the closing date of the Merger will be used for the purpose of, among other things, funding the consideration for the transactions contemplated by the Merger Agreement and paying fees and expenses related to the Merger. </w:t>
      </w:r>
      <w:r>
        <w:rPr>
          <w:rFonts w:ascii="Times New Roman;serif" w:hAnsi="Times New Roman;serif"/>
          <w:b w:val="false"/>
          <w:color w:val="000000"/>
          <w:sz w:val="20"/>
        </w:rPr>
        <w:t>The commitments with respect to the Initial Term Loan and any Committed Delayed Draw Term Loans funded on the closing date of the Merger are subject to customary conditions for acquisition financings, including the execution and delivery of definitive documentation with respect to the senior secured credit facility in accordance with the terms set forth in the Commitment Letter and the consummation of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(three months ended September 30, 2025 compared to the three months ended September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total revenues were $159.4 million compared to $117.1 million for the three months ended September 30, 2024. The increase in total revenues was due to a $42.8 million increase in ORLADEYO net revenue, including royalties, primarily due to an increase in volume of direct sales of ORLADEYO, which was driven by strong patient demand, an increase in price, and an increase in the rate of paid shipments.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for the three months ended September 30, 2025 and 2024 was $2.2 million and $3.2 million, respectively. The decrease in cost of product sales was primarily due to a decrease in inventory reserves recorded during the three months ended September 30, 2025 compared to the three months ended September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including program specific costs and shared or indirect operating costs recognized as research and development expenses for the periods indicated (in thousands): </w:t>
      </w:r>
    </w:p>
    <w:tbl>
      <w:tblPr>
        <w:tblW w:w="6970" w:type="dxa"/>
        <w:jc w:val="left"/>
        <w:tblInd w:w="0" w:type="dxa"/>
        <w:tblLayout w:type="fixed"/>
        <w:tblCellMar>
          <w:top w:w="28" w:type="dxa"/>
          <w:left w:w="28" w:type="dxa"/>
          <w:bottom w:w="28" w:type="dxa"/>
          <w:right w:w="28" w:type="dxa"/>
        </w:tblCellMar>
      </w:tblPr>
      <w:tblGrid>
        <w:gridCol w:w="1380"/>
        <w:gridCol w:w="1211"/>
        <w:gridCol w:w="1219"/>
        <w:gridCol w:w="268"/>
        <w:gridCol w:w="938"/>
        <w:gridCol w:w="138"/>
        <w:gridCol w:w="138"/>
        <w:gridCol w:w="138"/>
        <w:gridCol w:w="138"/>
        <w:gridCol w:w="268"/>
        <w:gridCol w:w="938"/>
        <w:gridCol w:w="196"/>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44,603</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41,081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or evaluate internal research and development costs on a program-by-program basis. As a result, a significant portion of our research and development expenses are not tracked on a program-by-program basis, as the costs may benefit multiple programs. Beginning the quarter ended September 30, 2025, we no longer allocate non-program specific external costs or internal costs to programs. These costs are separately presented on the respective line items listed above. Research and development expenses have been reclassified for the three months ended September 30, 2024 for comparability. There is no impact on total 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to $44.6 million for the three months ended September 30, 2025 from $41.1 million for the three months ended September 30, 2024. The increase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$6.4 million increase in BCX17725 primarily due to an increase in manufacturing and clinical operations as we enroll our phase 1 trial in healthy volunteers and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$2.1 million increase in research, discovery and preclinical programs primarily due to investigational new drug application-enabling activities related to our early-phase pipeline programs;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$2.0 million decrease in stock-based compensation expense primarily due to the acceleration of stock-based compensation expense upon adoption of the retirement policy in July 2024, partially offset by an increase in restricted stock unit awards granted;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$1.2 million decrease in Factor D Program due to the discontinuation and close-out of the program in 2024;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$0.9 million decrease in compensation and related personnel costs primarily attributed to a decrease in research and development related headcount.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Research and development expenses include all direct and indirect expenses relating to research and development activities. </w:t>
      </w:r>
      <w:r>
        <w:rPr>
          <w:rFonts w:ascii="Times New Roman;serif" w:hAnsi="Times New Roman;serif"/>
          <w:b w:val="false"/>
          <w:color w:val="000000"/>
          <w:sz w:val="20"/>
          <w:shd w:fill="FFFFFF" w:val="clear"/>
        </w:rPr>
        <w:t>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three months ended September 30, 2025 were $83.0 million compared to $65.1 million for the three months ended September 30, 2024. This increase was driven by an increase in ORLADEYO related regulatory, safety and quality activities as efforts shifted from development to supporting commercial products, reflecting the program’s commercial progression, as well as increases in variable costs driven by the increase in ORLADEYO sales and an increase in headcount primarily associated with European growth. This increase was also driven by $3.5 million of transaction-related costs and a $3.4 million increase in stock-based compensation expense as a result of an increase in restricted stock units granted and adjustments for estimated forfeitures.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was $19.7 million compared to $24.8 million for the three months ended September 30, 2024. Interest expense is primarily comprised of non-cash interest expense due to the amortization of interest associated with the royalty financing obligations and interest expense associated with the borrowings under the Pharmakon Loan Agreement (as defined below), including the amortization of the deferred financing costs, associated with the borrowings under the Pharmakon Loan. The decrease in interest expense was primarily the result of the $75.0 million and $50.0 million partial prepayments on the outstanding principal amount under the Pharmakon Term Loan in April 2025 and July 2025, respectively, and a decrease in the effective interest rate related to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interest income was $2.2 million compared to $3.6 million for the three months ended September 30, 2024. The decrease in interest income was primarily the result of an overall decrease in our investment portfolio and a decrease in interest rates. Net foreign currency gains were less than $0.1 million for the three months ended September 30, 2025 and $0.1 million for the three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July 2025, the Company made a $50.0 million partial prepayment on the outstanding principal amount under the Pharmakon Term Loan resulting in a one-time loss on extinguishment of debt of $2.7 million for the three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other income was $2.7 million, which was primarily comprised of pre-close transaction services BioCryst performed on behalf of Neopharmed related to the sale of BioCryst Ireland.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income tax benefit was $0.8 million compared to income tax expense of $0.6 million for the three months ended September 30, 2024. The increase was primarily driven by the impact of the One Big Beautiful Bill Act (“OBBBA”) which was signed into law on July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(nine months ended September 30, 2025 compared to the nine months ended September 30, 2024)</w:t>
      </w:r>
    </w:p>
    <w:p>
      <w:pPr>
        <w:pStyle w:val="TextBody"/>
        <w:bidi w:val="0"/>
        <w:spacing w:lineRule="auto" w:line="288" w:before="200" w:after="283"/>
        <w:ind w:left="0" w:right="0" w:firstLine="540"/>
        <w:jc w:val="left"/>
        <w:rPr/>
      </w:pPr>
      <w:r>
        <w:rPr>
          <w:rFonts w:ascii="Times New Roman;serif" w:hAnsi="Times New Roman;serif"/>
          <w:b w:val="false"/>
          <w:color w:val="000000"/>
          <w:sz w:val="20"/>
        </w:rPr>
        <w:t>For the</w:t>
      </w:r>
      <w:r>
        <w:rPr>
          <w:color w:val="000000"/>
        </w:rPr>
        <w:t xml:space="preserve"> </w:t>
      </w:r>
      <w:r>
        <w:rPr>
          <w:rFonts w:ascii="Times New Roman;serif" w:hAnsi="Times New Roman;serif"/>
          <w:b w:val="false"/>
          <w:color w:val="000000"/>
          <w:sz w:val="20"/>
        </w:rPr>
        <w:t>nine months ended September 30, 2025, total revenues were $468.3 million compared to $319.2 million for the</w:t>
      </w:r>
      <w:r>
        <w:rPr>
          <w:color w:val="000000"/>
        </w:rPr>
        <w:t xml:space="preserve"> </w:t>
      </w:r>
      <w:r>
        <w:rPr>
          <w:rFonts w:ascii="Times New Roman;serif" w:hAnsi="Times New Roman;serif"/>
          <w:b w:val="false"/>
          <w:color w:val="000000"/>
          <w:sz w:val="20"/>
        </w:rPr>
        <w:t>nine months ended September 30, 2024. The increase in total revenues was due to a $136.7 million increase in ORLADEYO net revenue, including royalties, primarily due to an increase in volume of direct sales of ORLADEYO, which was driven by strong patient demand, an increase in price, and an increase in the rate of paid shipments. The increase in total revenues was also due to an increase in other revenues of $12.4 million, primarily due to an increase in direct sales of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for the nine months ended September 30, 2025 and 2024 was $9.6 million and $6.2 million, respectively. The increase in cost of product sales was primarily due to the increase in peramivir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research and development expenses, including program specific costs and shared or indirect operating costs recognized as research and development expenses for the periods indicated (in thousands): </w:t>
      </w:r>
    </w:p>
    <w:tbl>
      <w:tblPr>
        <w:tblW w:w="6852" w:type="dxa"/>
        <w:jc w:val="left"/>
        <w:tblInd w:w="0" w:type="dxa"/>
        <w:tblLayout w:type="fixed"/>
        <w:tblCellMar>
          <w:top w:w="28" w:type="dxa"/>
          <w:left w:w="28" w:type="dxa"/>
          <w:bottom w:w="28" w:type="dxa"/>
          <w:right w:w="28" w:type="dxa"/>
        </w:tblCellMar>
      </w:tblPr>
      <w:tblGrid>
        <w:gridCol w:w="1380"/>
        <w:gridCol w:w="1211"/>
        <w:gridCol w:w="1219"/>
        <w:gridCol w:w="238"/>
        <w:gridCol w:w="950"/>
        <w:gridCol w:w="123"/>
        <w:gridCol w:w="123"/>
        <w:gridCol w:w="123"/>
        <w:gridCol w:w="123"/>
        <w:gridCol w:w="238"/>
        <w:gridCol w:w="950"/>
        <w:gridCol w:w="174"/>
      </w:tblGrid>
      <w:tr>
        <w:trPr/>
        <w:tc>
          <w:tcPr>
            <w:tcW w:w="138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discovery and preclinical programs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non-program specific and indirect costs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research and development expenses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125,259</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125,197</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maintain or evaluate internal research and development costs on a program-by-program basis. As a result, a significant portion of our research and development expenses are not tracked on a program-by-program basis, as the costs may benefit multiple programs. Beginning with the quarter ended September 30, 2025, we no longer allocate non-program specific external costs or internal costs to programs. These costs are separately presented on the respective line items listed above. Research and development expenses have been reclassified for the nine months ended September 30, 2024 for comparability. There is no impact on total 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to $125.3 million for the nine months ended September 30, 2025 from $125.2 million for the nine months ended September 30, 2024. The increase was primarily driven by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$6.8 million increase in BCX17725 primarily due to an increase in manufacturing and clinical operations as we enroll our phase 1 trial in healthy volunteers and patients;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$3.5 million increase in stock-based compensation expense primarily due an increase in restricted stock unit awards granted and the retirement policy adopted in July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$3.3 million increase in research, discovery and preclinical programs due to investigational new drug application-enabling activities related to our early-phase pipeline programs;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$2.6 million increase in avoralstat due to an increase in manufacturing and clinical startup activities; partially offset by: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$6.8 million decrease in Factor D Program due to the discontinuation and close-out of the program in 2024;</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$4.6 million decrease in compensation and related personnel costs primarily attributed to a decrease in research and development related headcount;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$3.3 million decrease in other non-program specific and indirect costs primarily attributed to a decrease in the general and administrative expense allocation due to our commercial progression; and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$1.3 million decrease in berotralstat primarily attributed to a decrease in costs associated with the APeX-P clinical trial, which is complete through the primary endpoint.</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Research and development expenses include all direct and indirect expenses relating to research and development activities.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w:t>
      </w:r>
      <w:r>
        <w:rPr>
          <w:rFonts w:ascii="Times New Roman;serif" w:hAnsi="Times New Roman;serif"/>
          <w:b w:val="false"/>
          <w:color w:val="000000"/>
          <w:sz w:val="20"/>
        </w:rPr>
        <w:t>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nine months ended September 30, 2025 were $252.9 million compared to $185.8 million for the nine months ended September 30, 2024. The increase was driven by an increase in ORLADEYO related regulatory, safety and quality activities as efforts shifted from development to supporting commercial products, reflecting the program’s commercial progression, as well as increases in variable costs driven by the increase in ORLADEYO sales, an increase from a change in general and administrative expense allocations, and an increase in headcount primarily associated with European growth. The increase was also driven by $9.9 million of transaction-related costs and a $13.7 million increase in stock-based compensation expense as a result of the retirement policy adopted in July 2024 and an increase in restricted stock unit awards granted.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nine months ended September 30, 2025 was $64.7 million compared to $74.1 million for the nine months ended September 30, 2024. Interest expense is primarily comprised of non-cash interest expense due to the amortization of interest associated with the royalty financing obligations and interest expense associated with the borrowings under the Pharmakon Loan Agreement, including the amortization of the deferred financing costs, associated with the borrowings under the Pharmakon Loan. The decrease in interest expense was primarily the result of the $75.0 million and $50.0 million partial prepayments on the outstanding principal amount under the Pharmakon Term Loan in April 2025 and July 2025, respectively, the decrease in the effective interest rate related to the Pharmakon Loan Agreement, and a decrease in non-cash interest expense associated with our royalty financing obligations as a result of a lower outstanding balance.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interest income was $7.8 million compared to $11.2 million for the nine months ended September 30, 2024. The decrease in interest income was primarily the result of an overall decrease in our investment portfolio and a decrease in interest rates. Net foreign currency losses were less than $0.1 million for the nine months ended September 30, 2025 and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and July 2025, the Company made $75.0 million and $50.0 million partial prepayments on the outstanding principal amount under the Pharmakon Term Loan, respectively, resulting in a one-time loss on extinguishment of debt of $6.9 million for the nine months ended September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other income was $2.7 million, which was primarily comprised of pre-close transaction services BioCryst performed on behalf of Neopharmed related to the sale of BioCryst Ireland.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income tax expense was $1.4 million compared to $1.1 million for the nine months ended September 30, 2024. The increase in income tax expense was primarily driven by the increase in foreign and US taxable income for the nine months ended September 30, 2025 compared to the nine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government grants, research grants, and interest income on our investments.</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 xml:space="preserve">On October 14, 2025, in connection with the Merger Agreement, we entered into the Commitment Letter with Blackstone, pursuant to which Blackstone agreed to provide a $550.0 million senior secured credit facility consisting of (i) the Initial Term Loan in an aggregate principal amount of $350.0 million, (ii) the Committed Delayed Draw Term Loans in an aggregate principal amount not exceeding $50.0 million, and (iii) an uncommitted delayed draw term loan facility in an aggregate principal amount not exceeding $150.0 million. The Initial Term Loan and any Committed Delayed Draw Term Loans funded on the closing date of the Merger will be used for the purpose of, among other things, funding the consideration for the transactions contemplated by the Merger Agreement and paying for related fees and expenses. The commitments with respect to the Initial Term Loan and any Committed Delayed Draw Term Loans funded on the closing date of the Merger are subject to customary conditions for acquisition financings, including the execution and delivery of definitive documentation with respect to the senior secured credit facility in accordance with the terms set forth in the Commitment Letter and the consummation of the Merger. See </w:t>
      </w:r>
      <w:r>
        <w:rPr>
          <w:color w:val="000000"/>
          <w:shd w:fill="FFFFFF" w:val="clear"/>
        </w:rPr>
        <w:t>“</w:t>
      </w:r>
      <w:r>
        <w:rPr>
          <w:rFonts w:ascii="Times New Roman;serif" w:hAnsi="Times New Roman;serif"/>
          <w:b w:val="false"/>
          <w:i/>
          <w:color w:val="000000"/>
          <w:sz w:val="20"/>
          <w:shd w:fill="FFFFFF" w:val="clear"/>
        </w:rPr>
        <w:t>Note 16—Subsequent Events”</w:t>
      </w:r>
      <w:r>
        <w:rPr>
          <w:color w:val="000000"/>
          <w:shd w:fill="FFFFFF" w:val="clear"/>
        </w:rPr>
        <w:t xml:space="preserve"> </w:t>
      </w:r>
      <w:r>
        <w:rPr>
          <w:rFonts w:ascii="Times New Roman;serif" w:hAnsi="Times New Roman;serif"/>
          <w:b w:val="false"/>
          <w:color w:val="000000"/>
          <w:sz w:val="20"/>
          <w:shd w:fill="FFFFFF" w:val="clear"/>
        </w:rPr>
        <w:t>in the Notes to Condensed Consolidated Financial Statements in Part I, Item 1 of this report for additional information about the Merger.</w:t>
      </w:r>
    </w:p>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On April 17, 2023, we entered into a $450.0 million Loan Agreement (the “Pharmakon Loan Agre</w:t>
      </w:r>
      <w:r>
        <w:rPr>
          <w:rFonts w:ascii="Times New Roman;serif" w:hAnsi="Times New Roman;serif"/>
          <w:b w:val="false"/>
          <w:color w:val="000000"/>
          <w:sz w:val="20"/>
        </w:rPr>
        <w:t xml:space="preserve">ement”) with BioPharma Credit Investments V (Master) LP and BPCR Limited Partnership, as lenders, and BioPharma Credit PLC, as collateral agent for the lenders. The Pharmakon Loan Agreement provided for an initial term loan in the principal amount of $300.0 million (the “Tranche A Loan”), which was funded on April 17, 2023. We utilized a portion of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Pharmakon Loan Agreement also provided for three additional term loan tranches in principal amounts of $50.0 million each, which we could have requested, at our option, on or prior to September 30, 2024. We chose not to request any of the additional term loan tranches. The maturity date of the Pharmakon Loan Agreement was April 17, 2028. On April 18, 2025, we made a partial prepayment of $75.0 million of the outstanding principal amount under the Pharmakon Loan Agreement, and o</w:t>
      </w:r>
      <w:r>
        <w:rPr>
          <w:rFonts w:ascii="Times New Roman;serif" w:hAnsi="Times New Roman;serif"/>
          <w:b w:val="false"/>
          <w:color w:val="000000"/>
          <w:sz w:val="20"/>
          <w:shd w:fill="FFFFFF" w:val="clear"/>
        </w:rPr>
        <w:t xml:space="preserve">n July 24, 2025, we made an additional partial prepayment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 xml:space="preserve">of the outstanding principal amount under the Pharmakon Loan Agreement. </w:t>
      </w:r>
      <w:r>
        <w:rPr>
          <w:rFonts w:ascii="Times New Roman;serif" w:hAnsi="Times New Roman;serif"/>
          <w:b w:val="false"/>
          <w:color w:val="000000"/>
          <w:sz w:val="20"/>
        </w:rPr>
        <w:t xml:space="preserve">On October 8, 2025, we used a portion of the proceeds from the sale of the </w:t>
      </w:r>
      <w:r>
        <w:rPr>
          <w:rFonts w:ascii="Times New Roman;serif" w:hAnsi="Times New Roman;serif"/>
          <w:b w:val="false"/>
          <w:color w:val="000000"/>
          <w:sz w:val="20"/>
          <w:shd w:fill="FFFFFF" w:val="clear"/>
        </w:rPr>
        <w:t>European ORLADEYO Business</w:t>
      </w:r>
      <w:r>
        <w:rPr>
          <w:color w:val="000000"/>
        </w:rPr>
        <w:t xml:space="preserve"> </w:t>
      </w:r>
      <w:r>
        <w:rPr>
          <w:rFonts w:ascii="Times New Roman;serif" w:hAnsi="Times New Roman;serif"/>
          <w:b w:val="false"/>
          <w:color w:val="000000"/>
          <w:sz w:val="20"/>
        </w:rPr>
        <w:t xml:space="preserve">to pay off in full the outstanding principal balance of $198.7 million and terminate the Pharmakon Loan Agreement. Together, these payoffs of the Pharmakon Loan are expected to save approximately $90.0 million of interest, as of September 30, 2025.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w:t>
      </w:r>
      <w:r>
        <w:rPr>
          <w:rFonts w:ascii="Times New Roman;serif" w:hAnsi="Times New Roman;serif"/>
          <w:b w:val="false"/>
          <w:color w:val="000000"/>
          <w:sz w:val="20"/>
          <w:shd w:fill="FFFFFF" w:val="clear"/>
        </w:rPr>
        <w:t xml:space="preserve">s and certain key European markets (collectively, the “Key </w:t>
      </w:r>
      <w:r>
        <w:rPr>
          <w:rFonts w:ascii="Times New Roman;serif" w:hAnsi="Times New Roman;serif"/>
          <w:b w:val="false"/>
          <w:color w:val="000000"/>
          <w:sz w:val="20"/>
        </w:rPr>
        <w:t>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for additional information about these financing transactions.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at September 30, 2025 were approximately $267.4 million in cash and cash equivalents and available-for-sale investments, of which $14.8 million was considered held for sale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 (in thousands):</w:t>
      </w:r>
    </w:p>
    <w:tbl>
      <w:tblPr>
        <w:tblW w:w="10205" w:type="dxa"/>
        <w:jc w:val="left"/>
        <w:tblInd w:w="0" w:type="dxa"/>
        <w:tblLayout w:type="fixed"/>
        <w:tblCellMar>
          <w:top w:w="28" w:type="dxa"/>
          <w:left w:w="28" w:type="dxa"/>
          <w:bottom w:w="28" w:type="dxa"/>
          <w:right w:w="28" w:type="dxa"/>
        </w:tblCellMar>
      </w:tblPr>
      <w:tblGrid>
        <w:gridCol w:w="2698"/>
        <w:gridCol w:w="2350"/>
        <w:gridCol w:w="2361"/>
        <w:gridCol w:w="226"/>
        <w:gridCol w:w="829"/>
        <w:gridCol w:w="126"/>
        <w:gridCol w:w="126"/>
        <w:gridCol w:w="126"/>
        <w:gridCol w:w="126"/>
        <w:gridCol w:w="226"/>
        <w:gridCol w:w="829"/>
        <w:gridCol w:w="182"/>
      </w:tblGrid>
      <w:tr>
        <w:trPr/>
        <w:tc>
          <w:tcPr>
            <w:tcW w:w="269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(46,807)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 including cash classified within current assets held for sale</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increase in cash and cash equivalents classified within current assets held for sale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(20,266)</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(13,383)</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net cash provided by operating activities of $55.4 million consisted primarily of net income of $18.0 million and $107.7 million of non-cash items. Non-cash items included $61.3 million of stock-based compensation expense, $39.8 million of non-cash interest expense on royalty financing obligations, and a loss on extinguishment of debt of $6.9 million. Net income and non-cash items were partially offset by $61.1 million of changes in operating assets and liabilities, primarily due to a decrease in royalty financing obligations and increases in receivables and accounts payable and accrued expenses, and $9.2 million in payments of Pharmakon PIK interest.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used in operating activities of $46.8 million consisted primarily of a net loss of $62.1 million and $76.0 million of changes in operating assets and liabilities, primarily due to a decrease in royalty financing obligations, a decrease in accounts payable and accrued expenses, and an increase in accounts receivable, partially offset by $91.2 million of non-cash items, including $44.1 million of stock-based compensation expense, $42.5 million in non-cash interest expense on royalty financing obligations, and $11.1 million of non-cash interest expense on secured term loan and amortization of debt issuance costs.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provided by investing activities of $69.8 million primarily related to sales and maturities of investment securities, partially offset by purchases of investment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provided by investing activities of $34.8 million primarily related to maturities of investment securities, partially offset by purchases of investment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used in financing activities of $132.0 million primarily consisted of repayment of Pharmakon term loan principal and related prepayment premium and fees totaling $119.6 million, and $16.4 million in principal payments on royalty financing obligations, partially offset by net proceeds from common stock issued under stock-based compensation plans.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used in financing activities of $1.7 million primarily consisted of withholding taxes paid on stock-based awards and principal payments on finance lease liabilities, partially offset by net proceeds from common stock issued under stock-based compensation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contain costs and cash flow requirements by closely managing our third-party costs and headcount, leasing scientific equipment and facilities, and contracting with other parties to conduct certain research and development projects. We may incur additional expenses, potentially resulting in significant losses, as we continue to pursue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activities, commercialize ORLADEYO, and engage in strategic business development.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finance our needs principally from the following: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revenues from product sales;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payments under current or future collaborative and licensing agreements with corporate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lease, royalty, or loan financing;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or private equity and/or debt financing.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planned clinical trials, plus the related development, manufacturing, regulatory approval process requirements, and additional resources required for the continuing development of our product candidates and the commercialization of our products will consume significant capital resources and could increase our expenses.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revenues and cash utilization rate could vary significantly depending on many factors, including the progress and results of our current and proposed clinical trials for our most advanced product candidates; the progress made in the manufacturing of our lead product candidates; the success of our commercialization efforts for, and market acceptance of, our products; the overall progression of our other programs; our business development activities; the amount of funding or assistance, if any, we receive from new partnerships with third parties for the development and/or commercialization of our products and product candidates; the development progress of any collaborative agreements for our product candidates; and the amount and timing of funding we receive, if any, from U.S. Government contracts.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Based on our expectations for revenue and operating expenses, we believe our financial resources will be sufficient to fund our operations for at least the next 12 months. We did not draw down the additional debt available to us under the Pharmakon Loan Agreement, and, on October 8, 2025, we prepaid the remaining outstanding principal amount on the Pharmakon Loan Agreement. In connection with the Merger Agreement, we entered into the Commitment Letter </w:t>
      </w:r>
      <w:r>
        <w:rPr>
          <w:rFonts w:ascii="Times New Roman;serif" w:hAnsi="Times New Roman;serif"/>
          <w:b w:val="false"/>
          <w:color w:val="000000"/>
          <w:sz w:val="20"/>
          <w:shd w:fill="FFFFFF" w:val="clear"/>
        </w:rPr>
        <w:t>with Blackstone, pursuant to which Blackstone agreed to provide a $550.0 million senior secured credit facility, subject to customary conditions for acquisition financings, including the execution and delivery of definitive documentation with respect to the senior secured credit facility in accordance with the terms set forth in the Commitment Letter and the consummation of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liquidity needs will be largely determined by the success of operations in regard to the successful commercialization of our products and the future progression of our product candidates. From time to time, we evaluate other opportunities to fund future operations, including: (1) 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perform under any government contracts and to receive reimbursement and stockpiling procurement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existing collaborative relationships;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additional collaborative relationships with academic institutions, biotechnology or pharmaceutical companies, and governmental agencies or other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drug substance and product candidates required for future new drug application (“NDA”) filings;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post-approval commitments for any products that receive regulatory approval;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development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color w:val="000000"/>
        </w:rPr>
        <w:t xml:space="preserve">” </w:t>
      </w:r>
      <w:r>
        <w:rPr>
          <w:rFonts w:ascii="Times New Roman;serif" w:hAnsi="Times New Roman;serif"/>
          <w:b w:val="false"/>
          <w:color w:val="000000"/>
          <w:sz w:val="20"/>
        </w:rPr>
        <w:t xml:space="preserve">in Part II, Item 1A of this report for further discussion of the risks related to obtaining additional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established various accounting policies that govern the application of U.S. GAAP, which were utilized in the preparation of our condensed consolidated financial statements. Certain accounting policies involve significant judgments and assumptions by management that have or are reasonably likely to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product sales are sales of ORLADEYO, which we began shipping to patients in December 2020, and sales of peramivir. In the United States, we generally ship ORLADEYO directly to patients through a single specialty pharmacy, which is considered our customer. Outside the United States, we sell ORLADEYO to specialty distributors and to hospitals and pharmacies, which collectively are considered our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for sales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and (iii) product distribution information obtained from our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our specialty pharmacy. These customers purchase our product under contracts negotiated between them and our specialty pharmacy. The specialty pharmacy, in turn, charges back to us the difference between the price that the specialty pharmacy paid and the negotiated price paid by the contracted customers, which may be higher or lower than the specialty pharmacy’s purchase price with us. We estimate chargebacks and adjust gross product revenues and establish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and patient assistance programs</w:t>
      </w:r>
      <w:r>
        <w:rPr>
          <w:rFonts w:ascii="Times New Roman;serif" w:hAnsi="Times New Roman;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we estimate the co-payment assistance amounts, which are recorded in the same period in which the related revenue is recognized, resulting in a reduction of product revenue and establishment of a current liability.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collaboration and license agreements with a number of third parties. Our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inventory primarily relates to ORLADEYO. Our inventory also includes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inventory is subject to expiration dating. At each reporting date, we evaluate the carrying value of our inventory and provide valuation reserves for any estimated excess, obsolete, short-dated or unmarketable inventory. In addition, we may experience spoilage of our raw materials and supplies. Our determination that a valuation reserve might be required, in addition to the quantification of such reserve, requires us to utilize significant judgment. Additionally, our inventory is subject to strict quality control and monitoring that is performed throughout the manufacturing process, including release of work-in-process to finished goods. In the event that certain batches or units of product do not meet quality specifications, we will record a write-down of any potential unmarketable inventory to its estimated net realizable value and record the expense as cost of product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Prior to obtaining initial regulatory approval for an investigational product candidate, we expense costs relating to production of pre-launch inventory as research and development expense in our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in the period incurred. After regulatory approval has been received, we capitalize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costs associated with research activities as well as those associated with our product development efforts, conducting pre-clinical trials, clinical trials and manufacturing activities.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These costs apply to our discovery research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consolidated financial statements, we are required to estimate our accrued research and development expenses.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our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We utilize the Black-Scholes option-pricing model to value our stock option awards and recognize compensation expense on a straight-line basis over the requisite service period.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Actual results, and future changes in estimates, may differ substantially from our current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and 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royalty financing obligations are eligible to be repaid based on royalties from net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We recognize interest and penalties related to income tax matters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540"/>
        <w:jc w:val="left"/>
        <w:rPr/>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interest rate risk on our investment portfolio. 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revenues and expenses are denominated in U.S. dollars. Our royalties from Torii are in Japanese Yen. We also had other transactions denominated in foreign currencies during the nine months ended September 30, 2025, primarily related to operations in Europe, contract manufacturing and ex-U.S. clinical trial activities, and we expect to continue to do so. Our limited foreign currency exposure relative to our operations is to fluctuations in the Euro, British Pound, and Canadian Dollar.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that foreign currency transaction gains or losses will be significant at our current level of operations. We have not engaged in foreign currency hedging during the nine months ended September 30, 2025; however, we may do so in the future.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maintain a set of disclosure controls and procedures that are designed to ensure that information relating to the Company required to be disclosed in our periodic filings under the Exchange Act is recorded, processed, summarized and 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September 30, 2025,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September 30, 2025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January 2025, we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we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We are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We intend to vigorously defend our intellectual property rights protecting ORLADEYO.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not achieve sustained profitability.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Since our inception, we have not achieved sustained profitability. Our expectations as to the sustainability of our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or acquire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7— 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may reduce the profitability of such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developing or acquiring product candidates, launching new products, and their potential for commercialization, we are unable to predict the extent of any future losses. Even though we have achieved profitability in a given reporting period, we may not be able to sustain or increase profitability on a quarterly or annual basis. If we are unable to achieve sustained profitability on our anticipated timeline, or at all, the market value of our common stock will likely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in the future. If we are unable to raise capital if and when needed, we may need to adjust our operations.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sustained operating losses for the majority of our corporate history. Even if we achieve sustained profitability, in order to continue future operations, progress our drug discovery and development programs, engage in strategic business development activities, and commercialize our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were applicable to us under the Pharmakon Loan Agreement. In addition, collaborative arrangements may require us to transfer certain material rights to our corporate partners. Insufficient funds or lack of an acceptable partnership have in the past, and may again in the future, require us to delay, scale-back or eliminate certain of our research and development programs. See “</w:t>
      </w:r>
      <w:r>
        <w:rPr>
          <w:rFonts w:ascii="Times New Roman;serif" w:hAnsi="Times New Roman;serif"/>
          <w:b w:val="false"/>
          <w:i/>
          <w:color w:val="000000"/>
          <w:sz w:val="20"/>
        </w:rPr>
        <w:t>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color w:val="000000"/>
        </w:rPr>
        <w:t xml:space="preserve">” </w:t>
      </w:r>
      <w:r>
        <w:rPr>
          <w:rFonts w:ascii="Times New Roman;serif" w:hAnsi="Times New Roman;serif"/>
          <w:b w:val="false"/>
          <w:color w:val="000000"/>
          <w:sz w:val="20"/>
        </w:rPr>
        <w:t>in this section for further discussion of the capital requirements for our development and commercialization efforts.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Relating to the Proposed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complete the Merger could negatively impact us.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Merger Agreement is subject to a number of conditions which must be fulfilled in order to complete the Merger. If the Merger is not completed for any reason, there may be various adverse consequences and we may experience negative reactions from the financial markets and from our counterparties and employees. For example, if the Merger is not completed we will not realize any of the anticipated benefits of the Merger, and our business may be impacted adversely by the failure to pursue other beneficial opportunities due to the focus of our management on the Merger. Additionally, if the Merger Agreement is terminated, the market price of our common stock could decline to the extent that current market prices reflect a market assumption that the Merger will be beneficial and will be completed. We also could be subject to litigation related to any failure to complete the Merger or to proceedings commenced against us to perform our obligations under the Merger Agreement.</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incurred and will incur substantial expenses relating to negotiation and completion of the transactions contemplated by the Merger Agreement. If the Merger is not completed, we would have to recognize these expenses without realizing the expected benefits of the Merger.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will be subject to business uncertainties, disruptions and contractual restrictions while the Merger is pending.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Uncertainty about the effect of the Merger on employees, suppliers, vendors and other counterparties may have an adverse effect on our business, financial condition and results of operations. These uncertainties may impair our ability to attract, retain and motivate key personnel and counterparties pending the completion of the Merger, as such personnel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counterparties may experience uncertainty about their future roles and relationships following the completion of the Merger. Additionally, these uncertainties could cause suppliers, vendors and other counterparties to seek to change existing business relationships with us or fail to extend an existing relationship with us, as applicable. In addition, competitors may target our existing personnel and counterparties by highlighting potential uncertainties and integration difficulties that may result from the Merger.</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pursuit of the Merger and the preparation for the integration may place a burden on our management and internal resources. Any significant diversion of management attention away from ongoing business concerns and any difficulties encountered in the transition and integration process could have an adverse effect on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Merger Agreement restricts us from taking certain actions without Astria’s consent while the Merger is pending. These restrictions could prevent us from pursuing attractive business opportunities that may arise prior to completion of the Merger.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benefits of the Merger do not meet the expectations of investors or securities analysts, the market price of our common stock may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decline as a result of the Merger if we do not achieve the perceived benefits of the Merger as rapidly or to the extent anticipated by financial analysts or the effect of the Merger on our financial results is not consistent with the expectations of financial analysts. Accordingly, holders of our common stock following the consummation of the Merger may experience a loss as a result of a decline in the market price of such common stock. In addition, a decline in the market price of our common stock following the consummation of the Merger could adversely affect our ability to issue additional securities if needed and to obtain additional financing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Combining Astria with our business may be more difficult, costly or time consuming than expected and the combined company following completion of the Merger (the “combined company”) may fail to realize the anticipated benefits and cost savings of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the Merger will depend, in part, on the ability to realize the anticipated benefits and cost savings from combining our business and Astria’s business. To realize the anticipated benefits and cost savings from the Merger, we and Astria must successfully integrate and combine our businesses in a manner that permits those benefits and costs savings to be realized. If we and Astria are not able to successfully achieve these objectives, the anticipated benefits of the Merger may not be realized fully or at all or may take longer to realize than expected. In addition, the actual cost savings and anticipated benefits of the Merger could be less than anticipated, and integration may result in additional unforeseen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 inability to realize the full extent of the anticipated benefits of the Merger and the other transactions contemplated by the Merger Agreement, as well as any delays encountered in the integration process, could have an adverse effect on the revenues, levels of expenses and operating results of the combined company following the completion of the Merger, which may adversely affect the value of the common stock of the combined company following the completion of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Astria have operated and, until the completion of the Merger, must continue to operate, independently. It is possible that the integration process could result in the loss of key employees, the disruption of each company’s ongoing business or inconsistencies in standards, controls, procedures and policies that adversely affect each company’s ability to maintain relationships with employees and counterparties or to achieve the anticipated benefits and cost savings of the Merger. Integration efforts may also divert management attention during this transition period and for an undetermined period after completion of the Merger, which may have an adverse effect on the combined company.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combined company will likely incur substantial expenses related to the Merger.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combined company will incur substantial expenses in connection with completion of the Merger and combining the business, operations, networks, systems, technologies, policies and procedures of the two companies. Although we and Astria have assumed that a certain level of transaction and combination expenses will be incurred, there are a number of factors beyond our control that could affect the total amount or the timing of our combination expenses. Many of the expenses that will be incurred are, by their nature, difficult to estimate accurately at the present time. We expect to incur these expenses before and after the completion of the Merger. The charges taken in connection with the Merger are expected to be significant, although the aggregate amount and timing of such charges are uncertain at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anticipated benefits related to the integration of Astria with our business will be realized to offset these transaction and integration expenses over time.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Issuance of shares of our common stock in connection with the Merger may adversely affect the market price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the payment of the merger consideration as contemplated by the Merger Agreement, we may issue up to 19.9% of the shares of our common stock issued and outstanding immediately prior to the effective time of the Merger. Based on 210,543,224 shares outstanding as of October 31, 2025, that maximum number is 41,898,101 shares. The issuance of these new shares of our common stock may result in fluctuations in the market price of our common stock, including a stock price decrease. In addition, following the closing of the Merger, former Astria stockholders or holders of other Astria securities may decide not to hold the shares of our common stock that they receive in or in connection with the Merger, and our stockholders may decide to reduce their investment in us as a result of the changes to our investment profile as a result of the Merger, which may result in further fluctuations in the market price of our common stock, including a stock price decrease.</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Drug Development and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in part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For example, any successful results of our preclinical and early clinical work for avoralstat, BCX17725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side effects that could result in substantial modifications or delays in the development plans for our product candidates, significant unexpected costs, or the termination of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Undesirable or inconclusive data in our preclinical studies and clinical trials or side effects in humans could result in the FDA or foreign regulatory authorities (including, e.g., the European Medicines Agency (“EMA”), the Ministry of Health, Labor and Welfare (“MHLW”) in Japan, or the United Kingdom’s Medicines and Healthcare products Regulatory Agency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protocols or study procedures may not be adequately designed or followed by the investigators;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including ORLADEYO; our ability to successfully consummate the proposed Merger, as contemplated under the Merger Agreement; our future business development activities; our ability to raise additional capital if needed; our ability to secure partnerships with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order to continue future operations, progress our drug discovery and development programs, expand our pipeline, and commercialize our products and product candidates, we may be required to raise additional capital. Our ability to raise additional capital if and when needed may be limited and may greatly depend u</w:t>
      </w:r>
      <w:r>
        <w:rPr>
          <w:rFonts w:ascii="Times New Roman;serif" w:hAnsi="Times New Roman;serif"/>
          <w:b w:val="false"/>
          <w:color w:val="000000"/>
          <w:sz w:val="20"/>
          <w:shd w:fill="FFFFFF" w:val="clear"/>
        </w:rPr>
        <w:t>pon ou</w:t>
      </w:r>
      <w:r>
        <w:rPr>
          <w:rFonts w:ascii="Times New Roman;serif" w:hAnsi="Times New Roman;serif"/>
          <w:b w:val="false"/>
          <w:color w:val="000000"/>
          <w:sz w:val="20"/>
        </w:rPr>
        <w:t>r sustained success in commercializing and maintaining market acceptance of ORLADEYO and the success of our current and future drug development programs, including the progress, timeline and ultimate outcome of such development programs (including, but not limited to, formulation progress, long-term human safety studies, clinical trial investigations, and carcinogenicity, drug-drug interaction, toxicity, or other required studies),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w:t>
      </w:r>
      <w:r>
        <w:rPr>
          <w:rFonts w:ascii="Times New Roman;serif" w:hAnsi="Times New Roman;serif"/>
          <w:b w:val="false"/>
          <w:i/>
          <w:color w:val="000000"/>
          <w:sz w:val="20"/>
        </w:rPr>
        <w:t>Risks Relating to Our Business—Financial and Liquidity Risks—We may need to raise additional capital in the future. If we are unable to raise capital if and when needed, we may need to adjust our operations</w:t>
      </w:r>
      <w:r>
        <w:rPr>
          <w:color w:val="000000"/>
        </w:rPr>
        <w:t xml:space="preserve">” </w:t>
      </w:r>
      <w:r>
        <w:rPr>
          <w:rFonts w:ascii="Times New Roman;serif" w:hAnsi="Times New Roman;serif"/>
          <w:b w:val="false"/>
          <w:color w:val="000000"/>
          <w:sz w:val="20"/>
        </w:rPr>
        <w:t>in this section and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risks and capital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Drug Development and Commercialization—Our success depends in part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pPr>
      <w:r>
        <w:rPr>
          <w:rFonts w:ascii="Times New Roman;serif" w:hAnsi="Times New Roman;serif"/>
          <w:b w:val="false"/>
          <w:color w:val="000000"/>
          <w:sz w:val="20"/>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w:t>
      </w:r>
      <w:r>
        <w:rPr>
          <w:rFonts w:ascii="Times New Roman;serif" w:hAnsi="Times New Roman;serif"/>
          <w:b w:val="false"/>
          <w:i/>
          <w:color w:val="000000"/>
          <w:sz w:val="20"/>
        </w:rPr>
        <w:t>Business—Government Regulation—FDA Regulation—Orphan Drugs</w:t>
      </w:r>
      <w:r>
        <w:rPr>
          <w:color w:val="000000"/>
        </w:rPr>
        <w:t xml:space="preserve">” </w:t>
      </w:r>
      <w:r>
        <w:rPr>
          <w:rFonts w:ascii="Times New Roman;serif" w:hAnsi="Times New Roman;serif"/>
          <w:b w:val="false"/>
          <w:color w:val="000000"/>
          <w:sz w:val="20"/>
        </w:rPr>
        <w:t>in Part I, Item 1 of our most recent Annual Report on Form 10-K.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successfully commercialize or establish collaborative relationships to commercialize or develop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with, among others, third-party distributors for ORLADEYO in certain markets, with Torii for ORLADEYO in Japan, with each of Shionogi and Green Cross for the development and commercialization of peramivir, and with Clearside for the development of avoralstat with Clearside’s SCS Microinjector®.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contracts for collaborative arrangements may expire;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devote sufficient capital or resources toward our products and product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a partnership agreement with Torii for ORLADEYO in Japan. Under our agreement with Torii,</w:t>
      </w:r>
      <w:r>
        <w:rPr>
          <w:color w:val="000000"/>
          <w:shd w:fill="FFFFFF" w:val="clear"/>
        </w:rPr>
        <w:t xml:space="preserve"> </w:t>
      </w:r>
      <w:r>
        <w:rPr>
          <w:rFonts w:ascii="Times New Roman;serif" w:hAnsi="Times New Roman;serif"/>
          <w:b w:val="false"/>
          <w:color w:val="000000"/>
          <w:sz w:val="20"/>
          <w:shd w:fill="FFFFFF" w:val="clear"/>
        </w:rPr>
        <w:t>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partners’ ability to successfully commercialize our products is affected by the competitive landscape, which cannot be fully known at this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revenue from product sales will depend on our ability to successfully complete clinical studies, obtain regulatory approvals, and manufacture, market, distribute and commercialize our approved drugs;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expanded our development and regulatory capabilities and implemented sales, marketing and distribution capabilities, and as a result, we may encounter difficulties in managing our growth, which could disrupt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and continue to recruit and train qualified personnel as needed. Due to our limited financial resources and the limited experience of our management team in managing a company with such growth, we may not be able to effectively manage such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breach of the manufacturing or distribution agreement by the third party;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termination or non-renewal of a material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bidi w:val="0"/>
        <w:spacing w:lineRule="auto" w:line="288" w:before="200" w:after="283"/>
        <w:jc w:val="left"/>
        <w:rPr/>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supply commercial material to our partners and our partners may not be able to maintain or establish sufficient and acceptable commercial manufacturing, either directly or through third-party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drug development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received FDA approval of ORLADEYO, an oral, once-daily therapy for the prevention of HAE attacks in adults and pediatric patients aged 12 years and older, in December 2020, and subsequently received regulatory approvals for ORLADEYO in other global markets. In addition, the ongoing APeX-P clinical trial, which is complete through the primary endpoint, is continuing to assess an oral granule formulation of ORLADEYO in pediatric patients who are 2 to 11 years of age at enrollment. We are also performing research on or developing products for the treatment of several other rare diseases, and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color w:val="000000"/>
        </w:rPr>
        <w:t>“</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facilities.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foreign regulatory authorities may also impose post-approval commitments on us for approved products, which we may not complete successfully or on time for any number of reasons, including, but not limited to, lack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or otherwise adversely affect our business.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significant tariffs or other restrictions imposed and related countermeasures taken by impacted foreign countries could adversely affect our operations and financial results.</w:t>
      </w:r>
      <w:r>
        <w:rPr>
          <w:color w:val="212529"/>
          <w:shd w:fill="FFFFFF" w:val="clear"/>
        </w:rPr>
        <w:t xml:space="preserve"> </w:t>
      </w:r>
      <w:r>
        <w:rPr>
          <w:rFonts w:ascii="Times New Roman;serif" w:hAnsi="Times New Roman;serif"/>
          <w:b w:val="false"/>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rPr/>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erif" w:hAnsi="Times New Roman;serif"/>
          <w:b/>
          <w:i/>
          <w:color w:val="000000"/>
          <w:sz w:val="20"/>
        </w:rPr>
        <w:t>ability to market our products or develop our product candidates.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$2,000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On July 4, 2025, the One Big Beautiful Bill Act (“OBBBA”) was signed into law in the United States. Although we are still evaluating the impact of the OBBBA on the provisions of the IRA and on our business, the OBBBA contains a variety of provisions that could impact our business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be sure whether additional legislation or rule-making related to the IRA will be issued or enacted, how insurance pharmacy benefit managers and other insurance providers that manage benefits for Medicare recipients will react to the IRA, or what impact, if any, such additional changes will have on the insurance coverage and profitability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be subject to legal obligations at the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Compliance with stringent 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also may be subject to the General Data Protection Regulation (“GDPR”) in the European Economic Area (“EEA”) and similar legislation in the United Kingdom and 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and “</w:t>
      </w:r>
      <w:r>
        <w:rPr>
          <w:rFonts w:ascii="Times New Roman;serif" w:hAnsi="Times New Roman;serif"/>
          <w:b w:val="false"/>
          <w:i/>
          <w:color w:val="000000"/>
          <w:sz w:val="20"/>
        </w:rPr>
        <w:t>Risks Relating to Our Business—Risks Relating to International Operations—Our actual or perceived failure to comply with European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as described under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As the NCE-1 date for ORLADEYO was in December 2024, we anticipate that third parties will challenge our applicable patents, which may result in our initiation of patent infringement litigation in response to such challenge. For example, in January 2025, we received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rPr>
        <w:t>Paragraph IV notice of certification from Annora advising that Annora has submitted an ANDA to the FDA seeking approval to manufacture, use or sell a generic version of ORLADEYO in the United States prior to the expiration of three patents listed in the FDA’s Orange Book, which expire in 2039</w:t>
      </w:r>
      <w:r>
        <w:rPr>
          <w:rFonts w:ascii="Times New Roman;serif" w:hAnsi="Times New Roman;serif"/>
          <w:b w:val="false"/>
          <w:color w:val="000000"/>
          <w:sz w:val="20"/>
          <w:shd w:fill="FFFFFF" w:val="clear"/>
        </w:rPr>
        <w:t xml:space="preserve">. On March 10, 2025, we ﬁled a patent infringement lawsuit in the United States District Court for the District of Delaware against the Defendants (as defined above) asserting infringement of the challenged patents arising from Annora’s ANDA filing with the FDA. </w:t>
      </w:r>
      <w:r>
        <w:rPr>
          <w:rFonts w:ascii="Times New Roman;serif" w:hAnsi="Times New Roman;serif"/>
          <w:b w:val="false"/>
          <w:color w:val="000000"/>
          <w:sz w:val="20"/>
        </w:rPr>
        <w:t xml:space="preserve">For further information, </w:t>
      </w:r>
      <w:r>
        <w:rPr>
          <w:rFonts w:ascii="Times New Roman;serif" w:hAnsi="Times New Roman;serif"/>
          <w:b w:val="false"/>
          <w:color w:val="000000"/>
          <w:sz w:val="20"/>
          <w:shd w:fill="FFFFFF" w:val="clear"/>
        </w:rPr>
        <w:t>see the section titled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w:t>
      </w:r>
      <w:r>
        <w:rPr>
          <w:rFonts w:ascii="Times New Roman;serif" w:hAnsi="Times New Roman;serif"/>
          <w:b w:val="false"/>
          <w:color w:val="000000"/>
          <w:sz w:val="20"/>
        </w:rPr>
        <w:t>and “</w:t>
      </w:r>
      <w:r>
        <w:rPr>
          <w:rFonts w:ascii="Times New Roman;serif" w:hAnsi="Times New Roman;serif"/>
          <w:b w:val="false"/>
          <w:i/>
          <w:color w:val="000000"/>
          <w:sz w:val="20"/>
        </w:rPr>
        <w:t>Note 14—Commitments and Contingencies”</w:t>
      </w:r>
      <w:r>
        <w:rPr>
          <w:color w:val="000000"/>
        </w:rPr>
        <w:t xml:space="preserve"> </w:t>
      </w:r>
      <w:r>
        <w:rPr>
          <w:rFonts w:ascii="Times New Roman;serif" w:hAnsi="Times New Roman;serif"/>
          <w:b w:val="false"/>
          <w:color w:val="000000"/>
          <w:sz w:val="20"/>
        </w:rPr>
        <w:t>in the Notes to Condensed Consolidated Financial Statements in Part I, Item 1 of this report. We intend to vigorously defend our intellectual property rights protecting ORLADEYO.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damages.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managing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risks related to our U.S. Government contracts, which may create a disadvantage and additional risks to us.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we entered into a contract with ASPR for the procurement of up to 95,625 doses over a five-year period of RAPIVAB for the treatment of influenza. The contract was structured with a 12-month base ordering period and four optional 12-month ordering periods, which the U.S. Government could exercise on an annual basis. While ASPR executed the first ordering period, on May 15, 2025, ASPR notified the Company of its intent to not exercise any additional optional ordering periods available under the agreement. We have delivered all doses under the base ordering period, effectively completing the contract with ASPR.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these U.S. Government contracts pending final close out of these contracts.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U.S. Government contracts typically contain a number of extraordinary provisions that would not typically be found in commercial contracts, and which may create a disadvantage and additional risks to us as compared to competitors that do not have U.S. Government contracts. If we enter into any new U.S. Government contracts, we may be subject to an increased risk of investigations, criminal prosecution, civil fraud, whistleblower lawsuits and other legal actions and liabilities as compared to private sector commercial companies, and we could suffer serious harm to our reputation if allegations of impropriety were made against us. We could be subject to severe penalties, including legal actions and liabilities, in the event that we are unable to comply with delivery requirements or any other provision of a future U.S. Government contract.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2011, JPR Royalty Sub LLC, our wholly-owned subsidiary (“Royalty Sub”), issued $30.0 million in aggregate principal amount of PhaRMA Senior Secured 14.0% Notes due on December 1, 2020 (the “PhaRMA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PhaRMA Notes are secured principally by (i) certain royalty and milestone payments under our agreement with Shionogi, pursuant to which Shionogi licensed from us the rights to market peramivir in Japan and Taiwan and (ii) the 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anticipate incurring significant indebtedness in connection with the previously announced financing commitments provided by certain affiliates of Blackstone, Inc., which could adversely affect our business. We anticipate that the definitive documentation in connection with such financing (the “Expected Loan Agreement”) will contain conditions and restrictions that limit our flexibility in operating our business. Under the Expected Loan Agreement,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October 14, 2025, we entered into a debt commitment letter with certain affiliates of Blackstone, Inc. (“Blackstone”) pursuant to which Blackstone agreed to provide a $550.0 million senior secured credit facility consisting of (i) a committed initial term loan in an aggregate principal amount of $350.0 million, (ii) a committed delayed draw term loan facility in an aggregate principal amount not exceeding $50.0 million and (iii) an uncommitted delayed draw term loan facility in an aggregate principal amount not exceeding $150.0 million. Under the Expected Loan Agreement, we will be required to pay to the lenders a prepayment premium or a make-whole premium, as applicable, plus certain fees or expenses to be set forth in the Expected Loan Agreement in the event that we prepay, or are required to prepay, voluntarily or pursuant to a mandatory prepayment obligation under the Expected Loan Agreement (e.g., upon a change of control of the Company and specified other events, subject to certain exceptions), all or part of the then-outstanding term loans under the Expected Loan Agreement, in each case, subject to certain exceptions to be set forth in the Expected Loan Agreement.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indebtedness could have important consequences to our stockholders. For example, we expect that such Expected Loan Agreement will: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makes us more vulnerable to increases in interest rates, as borrowings under the Expected Loan Agreement will accrue interest at variable, uncapped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dedicate a portion of our cash flow from operations to interest payments, limiting the availability of cash for other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our ability to obtain additional financing or refinancing in the future for working capital or other purposes;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us at a competitive disadvantage compared to our competitors that have less indebtedness.</w:t>
      </w:r>
    </w:p>
    <w:p>
      <w:pPr>
        <w:pStyle w:val="TextBody"/>
        <w:bidi w:val="0"/>
        <w:spacing w:before="0" w:after="0"/>
        <w:jc w:val="left"/>
        <w:rPr/>
      </w:pPr>
      <w:r>
        <w:rPr/>
      </w:r>
    </w:p>
    <w:p>
      <w:pPr>
        <w:pStyle w:val="TextBody"/>
        <w:bidi w:val="0"/>
        <w:spacing w:lineRule="auto" w:line="288" w:before="0" w:after="0"/>
        <w:ind w:left="0" w:right="0" w:firstLine="547"/>
        <w:jc w:val="left"/>
        <w:rPr/>
      </w:pPr>
      <w:r>
        <w:rPr>
          <w:rFonts w:ascii="Times New Roman;serif" w:hAnsi="Times New Roman;serif"/>
          <w:b w:val="false"/>
          <w:color w:val="000000"/>
          <w:sz w:val="20"/>
        </w:rPr>
        <w:t>Furthermore, we anticipate that the Expected Loan Agreement will contain various covenants that limit our ability to engage in specified types of transactions. Subject to certain exceptio</w:t>
      </w:r>
      <w:r>
        <w:rPr>
          <w:rFonts w:ascii="Times New Roman;serif" w:hAnsi="Times New Roman;serif"/>
          <w:b w:val="false"/>
          <w:color w:val="000000"/>
          <w:sz w:val="20"/>
          <w:shd w:fill="FFFFFF" w:val="clear"/>
        </w:rPr>
        <w:t>ns, these covenants are expected to limit our ability to, among other things, dispose of assets; engage in certain mergers, acquisitions, and similar</w:t>
      </w:r>
      <w:r>
        <w:rPr>
          <w:color w:val="000000"/>
        </w:rPr>
        <w:t xml:space="preserve"> </w:t>
      </w:r>
      <w:r>
        <w:rPr>
          <w:rFonts w:ascii="Times New Roman;serif" w:hAnsi="Times New Roman;serif"/>
          <w:b w:val="false"/>
          <w:color w:val="000000"/>
          <w:sz w:val="20"/>
        </w:rPr>
        <w:t>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The covenants that will be contained in the Expected Loan Agreement could cause us to be unable to pursue business opportunities that we or our stockholders may consider beneficial without the lenders’ permission or without repaying all outstanding obligations under the Expected Loan Agreement.</w:t>
      </w:r>
    </w:p>
    <w:p>
      <w:pPr>
        <w:pStyle w:val="TextBody"/>
        <w:bidi w:val="0"/>
        <w:spacing w:before="0" w:after="0"/>
        <w:jc w:val="left"/>
        <w:rPr/>
      </w:pPr>
      <w:r>
        <w:rPr/>
      </w:r>
    </w:p>
    <w:p>
      <w:pPr>
        <w:pStyle w:val="TextBody"/>
        <w:bidi w:val="0"/>
        <w:spacing w:lineRule="auto" w:line="288" w:before="0" w:after="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Expected Loan Agreement. An event of default would also occur if, among other things, we fail to pay amounts due under the Expected Loan Agreement, we fail to repay certain other indebtedness having an aggregate principal amount in excess of a threshold amount, an insolvency event occurs with respect to us, judgments for the payment of money in excess of a threshold amount are entered into against us, or a material impairment of our ability to perform our obligations under the Expected Loan Agreement occurs or certain negative regulatory events occur. In the case of a continuing event of default under the Expected Loan Agreement, the lenders under the Expected Loan Agreement will be able to elect to declare all amounts outstanding to be immediately due and payable, proceed against the collateral in which we anticipate granting to the lenders a security interest, or otherwise exercise the rights of a secured creditor. Amounts outstanding under the Expected Loan Agreement are expected to be secured by a security interest in, subject to certain exceptions, substantially all of our assets. Because substantially all of our assets are anticipated to be pledged to secure the Expected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conduct clinical studies and regulatory activities and have hired employees outside of the United States. Doing business internationally involves a number of risks,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expenses including, among others, expenses for travel, translation, and insurance;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regulatory and compliance risks that relate to maintaining accurate information and control over commercial operations and activities that may fall within the purview of the U.S. Foreign Corrupt Practices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 including its books and records provisions or anti-bribery provisions, and foreign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international expansion of operations and adversely affect our business and results of operations. Additionally, in some countries, such as Japan,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conduct operations in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we have foreign currency exposure to fluctuations in other foreign currencies, such as the Euro, British Pound,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 Item 3 of this report for additional information about our foreign currency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store most of our preclinical and clinical data at our facilities. While duplicate copies of most clinical data are secured off-site, and a significant portion of our data is included in regular backups of our systems, we could lose 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in February 2024).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From time to time, we use artificial intelligence in our business, and challenges with properly managing its use could adversely affect our business.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increasing use of AI and machine learning technology in the biopharmaceutical industry, combined with an uncertain regulatory environment, presents new risks and challenges. From time to time, we adopt and integrate AI solutions into our systems for specific use cases reviewed by legal and information security, and applications of AI may become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software may lead to the inadvertent release of confidential or proprietary information, which may adversely impact our ability to realize the benefit of our intellectual 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realize the anticipated benefits of the sale of our European ORLADEYO Business.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We may not be able to realize the anticipated benefits from the sale of our European ORLADEYO Business </w:t>
      </w:r>
      <w:r>
        <w:rPr>
          <w:rFonts w:ascii="Times New Roman;serif" w:hAnsi="Times New Roman;serif"/>
          <w:b w:val="false"/>
          <w:color w:val="000000"/>
          <w:sz w:val="20"/>
        </w:rPr>
        <w:t>(as defined in “</w:t>
      </w:r>
      <w:r>
        <w:rPr>
          <w:rFonts w:ascii="Times New Roman;serif" w:hAnsi="Times New Roman;serif"/>
          <w:b w:val="false"/>
          <w:i/>
          <w:color w:val="000000"/>
          <w:sz w:val="20"/>
        </w:rPr>
        <w:t>Note 2—Assets and Liabilities Held for Sale</w:t>
      </w:r>
      <w:r>
        <w:rPr>
          <w:color w:val="000000"/>
        </w:rPr>
        <w:t xml:space="preserve">” </w:t>
      </w:r>
      <w:r>
        <w:rPr>
          <w:rFonts w:ascii="Times New Roman;serif" w:hAnsi="Times New Roman;serif"/>
          <w:b w:val="false"/>
          <w:color w:val="000000"/>
          <w:sz w:val="20"/>
        </w:rPr>
        <w:t>in the Notes to Condensed Consolidated Financial Statements in Part I, Item 1 of this report)</w:t>
      </w:r>
      <w:r>
        <w:rPr>
          <w:rFonts w:ascii="Times New Roman;serif" w:hAnsi="Times New Roman;serif"/>
          <w:b w:val="false"/>
          <w:color w:val="000000"/>
          <w:sz w:val="20"/>
          <w:shd w:fill="FFFFFF" w:val="clear"/>
        </w:rPr>
        <w:t>. Our ability to realize the anticipated benefits of the sale and the success of the remaining company is subject to various risks and uncertainties, including the possibility that we may not be able to successfully sustain being a higher margin business or that we may not increase profitability through sustainable ORLADEYO growth, our pipeline, and potential external opportunities.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upon closing of the sale of the European ORLADEYO Business, we entered into a transition services agreement, which will provide for certain transition services to be provided to BioCryst Ireland Limited by us, for the periods of time and compensation set forth therein, in order to facilitate the transition of the European ORLADEYO Business to Neopharmed. Performance of our ongoing obligations under the transition services agreement is subject to additional risks, including that we may incur significant financial costs, we may not be able to successfully perform such obligations, and the focus and attention of our management and employee resources may be diverted, which could have a negative impact on our future revenues and/or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the amount of the milestone payments we may receive following the sale of our European ORLADEYO Business is subject to various risks and uncertainties. The milestone payments will be based on the achievement of specified net sales targets for the sale of ORLADEYO in Central and Eastern Europe. It is not possible to determine with precision as of the date of this Quarterly Report on Form 10-Q the amount or timing of sales of ORLADEYO in Central and Eastern Europe in the future and, therefore, it is possible that the milestone payments will not be earned or will be limited by lower net sales than anticipated. The specified net sales targets for ORLADEYO in Central and Eastern Europe were based on certain assumptions about the future financial performance of ORLADEYO in Central and Eastern Europe, and there can be no assurance that such projections will be achieved or that the milestone payments will become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fail to attract and retain additional key personnel, the development of our product candidates, the commercialization of our products, and the related expansion of our business may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anticipate that we will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combined business following the acquisition, or the acquired business could otherwise fail to meet our expectations, which, in each case, could have a material adverse effect on our business projections, financial condition, results of operations and prospects. See “</w:t>
      </w:r>
      <w:r>
        <w:rPr>
          <w:rFonts w:ascii="Times New Roman;serif" w:hAnsi="Times New Roman;serif"/>
          <w:b w:val="false"/>
          <w:i/>
          <w:color w:val="000000"/>
          <w:sz w:val="20"/>
        </w:rPr>
        <w:t>Risks Relating to the Proposed Merger</w:t>
      </w:r>
      <w:r>
        <w:rPr>
          <w:color w:val="000000"/>
        </w:rPr>
        <w:t xml:space="preserve">” </w:t>
      </w:r>
      <w:r>
        <w:rPr>
          <w:rFonts w:ascii="Times New Roman;serif" w:hAnsi="Times New Roman;serif"/>
          <w:b w:val="false"/>
          <w:color w:val="000000"/>
          <w:sz w:val="20"/>
        </w:rPr>
        <w:t>in this section for further discussion of the potential business disruptions, financial uncertainties, and operational risks that we face while the Merger is pending.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Some of our stockholders own greater than 5% of our outstanding common stock. Our top ten stockholders own approximately</w:t>
      </w:r>
      <w:r>
        <w:rPr>
          <w:color w:val="000000"/>
          <w:shd w:fill="FFFFFF" w:val="clear"/>
        </w:rPr>
        <w:t xml:space="preserve"> </w:t>
      </w:r>
      <w:r>
        <w:rPr>
          <w:rFonts w:ascii="Times New Roman;serif" w:hAnsi="Times New Roman;serif"/>
          <w:b w:val="false"/>
          <w:color w:val="000000"/>
          <w:sz w:val="20"/>
          <w:shd w:fill="FFFFFF" w:val="clear"/>
        </w:rPr>
        <w:t xml:space="preserve">42% </w:t>
      </w:r>
      <w:r>
        <w:rPr>
          <w:rFonts w:ascii="Times New Roman;serif" w:hAnsi="Times New Roman;serif"/>
          <w:b w:val="false"/>
          <w:color w:val="000000"/>
          <w:sz w:val="20"/>
        </w:rPr>
        <w:t>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September 30, 2025, the 52-week range of the market price of our stock was from $6.02 to $11.31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dilution through sales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or our partners achieving or failing to achieve development milestones;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(such as the proposed Merger), strategic partnerships, divestitures (such as the transaction with Neopharmed),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divert our management’s attention from other business concerns, which could seriously harm our business and adversely affect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Future sales of our common stock by us or our current stockholders into the public market could cause the market price of our stock to fall. As of September 30, 2025, there were 210,521,833 shares of our common stock outstanding. We may from time to time issue securities in relation to a license arrangement, collaboration, merger or acquisition. See, for example, “</w:t>
      </w:r>
      <w:r>
        <w:rPr>
          <w:rFonts w:ascii="Times New Roman;serif" w:hAnsi="Times New Roman;serif"/>
          <w:b w:val="false"/>
          <w:i/>
          <w:color w:val="000000"/>
          <w:sz w:val="20"/>
        </w:rPr>
        <w:t>Risk Factors—Risks Relating to Our Business—Risks Relating to the Proposed Merger—Issuance of shares of our common stock in connection with the Merger may adversely affect the market price of our common stock.”</w:t>
      </w:r>
      <w:r>
        <w:rPr>
          <w:color w:val="000000"/>
        </w:rPr>
        <w:t xml:space="preserve"> </w:t>
      </w:r>
      <w:r>
        <w:rPr>
          <w:rFonts w:ascii="Times New Roman;serif" w:hAnsi="Times New Roman;serif"/>
          <w:b w:val="false"/>
          <w:color w:val="000000"/>
          <w:sz w:val="20"/>
        </w:rPr>
        <w:t>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of September 30, 2025, there were 45,543,939 stock options and restricted stock units outstanding and 13,721,069 shares available for issuance under our Amended and Restated Stock Incentive Plan, 5,722,015 stock options and restricted stock units outstanding and 1,507,933 shares avai</w:t>
      </w:r>
      <w:r>
        <w:rPr>
          <w:rFonts w:ascii="Times New Roman;serif" w:hAnsi="Times New Roman;serif"/>
          <w:b w:val="false"/>
          <w:color w:val="000000"/>
          <w:sz w:val="20"/>
          <w:shd w:fill="FFFFFF" w:val="clear"/>
        </w:rPr>
        <w:t xml:space="preserve">lable for issuance under our Amended and Restated Inducement Equity Incentive Plan, and </w:t>
      </w:r>
      <w:r>
        <w:rPr>
          <w:rFonts w:ascii="Times New Roman;serif" w:hAnsi="Times New Roman;serif"/>
          <w:b w:val="false"/>
          <w:color w:val="000000"/>
          <w:sz w:val="20"/>
        </w:rPr>
        <w:t>4,674,237 shares a</w:t>
      </w:r>
      <w:r>
        <w:rPr>
          <w:rFonts w:ascii="Times New Roman;serif" w:hAnsi="Times New Roman;serif"/>
          <w:b w:val="false"/>
          <w:color w:val="000000"/>
          <w:sz w:val="20"/>
          <w:shd w:fill="FFFFFF" w:val="clear"/>
        </w:rPr>
        <w:t xml:space="preserve">vailable for issuance under our Amended and Restated Employee Stock Purchase Plan. </w:t>
      </w:r>
      <w:r>
        <w:rPr>
          <w:rFonts w:ascii="Times New Roman;serif" w:hAnsi="Times New Roman;serif"/>
          <w:b w:val="false"/>
          <w:color w:val="000000"/>
          <w:sz w:val="20"/>
        </w:rPr>
        <w:t>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rPr/>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erif" w:hAnsi="Times New Roman;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two of the directors and officers of the Company adopted, modified or terminated the “Rule 10b5-1 trading arrangements” (as such term is defined in Item 408(a) of Regulation S-K) as set forth in the table below.</w:t>
      </w:r>
    </w:p>
    <w:tbl>
      <w:tblPr>
        <w:tblW w:w="10205" w:type="dxa"/>
        <w:jc w:val="left"/>
        <w:tblInd w:w="0" w:type="dxa"/>
        <w:tblLayout w:type="fixed"/>
        <w:tblCellMar>
          <w:top w:w="28" w:type="dxa"/>
          <w:left w:w="28" w:type="dxa"/>
          <w:bottom w:w="28" w:type="dxa"/>
          <w:right w:w="28" w:type="dxa"/>
        </w:tblCellMar>
      </w:tblPr>
      <w:tblGrid>
        <w:gridCol w:w="616"/>
        <w:gridCol w:w="471"/>
        <w:gridCol w:w="418"/>
        <w:gridCol w:w="109"/>
        <w:gridCol w:w="109"/>
        <w:gridCol w:w="109"/>
        <w:gridCol w:w="394"/>
        <w:gridCol w:w="394"/>
        <w:gridCol w:w="398"/>
        <w:gridCol w:w="109"/>
        <w:gridCol w:w="109"/>
        <w:gridCol w:w="109"/>
        <w:gridCol w:w="321"/>
        <w:gridCol w:w="300"/>
        <w:gridCol w:w="302"/>
        <w:gridCol w:w="109"/>
        <w:gridCol w:w="109"/>
        <w:gridCol w:w="109"/>
        <w:gridCol w:w="1229"/>
        <w:gridCol w:w="1229"/>
        <w:gridCol w:w="1231"/>
        <w:gridCol w:w="109"/>
        <w:gridCol w:w="109"/>
        <w:gridCol w:w="109"/>
        <w:gridCol w:w="465"/>
        <w:gridCol w:w="465"/>
        <w:gridCol w:w="664"/>
      </w:tblGrid>
      <w:tr>
        <w:trPr/>
        <w:tc>
          <w:tcPr>
            <w:tcW w:w="6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Number of Securities</w:t>
            </w:r>
          </w:p>
        </w:tc>
      </w:tr>
      <w:tr>
        <w:trPr/>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Alane P. Barnes,</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Legal Officer and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Until December 20, 2027, or such earlier date upon which all transactions are completed or the plan is terminated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Machelle Sanders, </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Member of the Board of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14,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December 31, 2025, or such earlier date upon which all transactions are completed or the plan is terminated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200" w:after="283"/>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This trading plan was originally adopted on December 1, 2022 (the “2022 Barnes Plan”) and provided for the sale of up to (i) 24,710 shares of common stock and (ii) 137,897 shares of common stock underlying stock options through December 29, 2025. The 2022 Barnes Plan was amended on May 15, 2024 to cancel all open orders under the 2022 Barnes Plan and to provide for the sale of up to 119,897 shares of common stock underlying stock options expiring in 2024 and 2025 (the “2024 Barnes Plan”). The 2024 Barnes Plan was amended on August 13, 2025 (the “2025 Barnes Plan”) to cancel all open orders under the 2024 Barnes Plan and to provide for the sale of up to (i) 123,100 shares of common stock underlying restricted stock units, net of shares withheld to cover taxes, (ii) 19,770 shares of common stock, and (iii) 347,501 shares of common stock underlying stock options expiring in 2025 through 2027, pursuant to the terms of the 2025 Barnes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This trading plan (the “Sanders Plan”) provides for the sale of up to 9,600 shares of common stock, pursuant to the terms of the Sanders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38"/>
        <w:gridCol w:w="2738"/>
        <w:gridCol w:w="391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Stock Purchase Agreement, dated as of June 27, 2025, by and among BioCryst Pharmaceuticals, Inc., BioCryst Ireland Limited and Neopharmed Gentili S.p.A. Incorporated by reference to Exhibit 2.1 to the Company’s Form 8-K filed June 30,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Agreement and Plan of Merger, dated as of October 14, 2025, by and among BioCryst Pharmaceuticals, Inc., Axel Merger Sub, Inc., and Astria Therapeutics, Inc. Incorporated by reference to Exhibit 2.1 to the Company’s Form 8-K filed October 14,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80"/>
                  <w:sz w:val="20"/>
                  <w:u w:val="single"/>
                </w:rPr>
                <w:t>Certificate of Elimination of the Series B Junior Participating Preferred Stock. Incorporated by reference to Exhibit 3.1 to the Company’s Form 8-K filed May 13, 202</w:t>
              </w:r>
            </w:hyperlink>
            <w:hyperlink r:id="rId8">
              <w:r>
                <w:rPr>
                  <w:rStyle w:val="InternetLink"/>
                  <w:rFonts w:ascii="Times New Roman;serif" w:hAnsi="Times New Roman;serif"/>
                  <w:b w:val="false"/>
                  <w:color w:val="000080"/>
                  <w:sz w:val="20"/>
                  <w:u w:val="single"/>
                </w:rPr>
                <w:t>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3.2 to the Company’s Form 8-K filed May 13, 2020.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Amended and Restated Employment Agreement, effective July 23, 2025, by and between BioCryst Pharmaceuticals, Inc. and Babar Ghias. Incorporated by reference to Exhibit 10.3 to the Company’s Form 10-Q filed August 5,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Amendment No. 2 to the Employment Agreement, effective August 1, 2025, by and between BioCryst Pharmaceuticals, Inc. and Charles Gayer. Incorporated by reference to Exhibit 10.4 to the Company’s Form 10-Q filed August 5,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hackray-biocrystseparat.htm">
              <w:r>
                <w:rPr>
                  <w:rStyle w:val="InternetLink"/>
                  <w:rFonts w:ascii="Times New Roman;serif" w:hAnsi="Times New Roman;serif"/>
                  <w:b w:val="false"/>
                  <w:color w:val="0000FF"/>
                  <w:sz w:val="20"/>
                  <w:u w:val="single"/>
                  <w:shd w:fill="FFFFFF" w:val="clear"/>
                </w:rPr>
                <w:t>Separation Agreement, effective September 1, 2025, by and between BioCryst Pharmaceuticals, Inc. and Helen Thackray.</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930x10xqxex104.htm">
              <w:r>
                <w:rPr>
                  <w:rStyle w:val="InternetLink"/>
                  <w:rFonts w:ascii="Times New Roman;serif" w:hAnsi="Times New Roman;serif"/>
                  <w:b w:val="false"/>
                  <w:color w:val="0000FF"/>
                  <w:sz w:val="20"/>
                  <w:u w:val="single"/>
                  <w:shd w:fill="FFFFFF" w:val="clear"/>
                </w:rPr>
                <w:t>Consulting Agreement, effective September 1, 2025, by and between BioCryst Pharmaceuticals, Inc. and Helen Thackray.</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80"/>
                  <w:sz w:val="20"/>
                  <w:u w:val="single"/>
                </w:rPr>
                <w:t>Amended and Restated IP Licence Agreement, effective October 1, 2025, by and between BioCryst Pharmaceuticals, Inc. and BioCryst Ireland Limited. Incorporated by reference to Exhibit 10.1 to the Company</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s Form 8-K filed October 1,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80"/>
                  <w:sz w:val="20"/>
                  <w:u w:val="single"/>
                </w:rPr>
                <w:t>Supply Agreement, effective October 1, 2025, by and between BioCryst Pharmaceuticals, Inc. and BioCryst Ireland Limited. Incorporated by reference to Exhibit 10.2 to the Company</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s Form 8-K filed October 1,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1"/>
        <w:gridCol w:w="172"/>
        <w:gridCol w:w="173"/>
        <w:gridCol w:w="2804"/>
        <w:gridCol w:w="2804"/>
        <w:gridCol w:w="3971"/>
      </w:tblGrid>
      <w:tr>
        <w:trPr/>
        <w:tc>
          <w:tcPr>
            <w:tcW w:w="2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3971"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80"/>
                  <w:sz w:val="20"/>
                  <w:u w:val="single"/>
                </w:rPr>
                <w:t>Global Brand and Support Agreement, effective October 1, 2025, by and between BioCryst Pharmaceuticals, Inc. and BioCryst Ireland Limited. Incorporated by reference to Exhibit 10.3 to the Company</w:t>
              </w:r>
            </w:hyperlink>
            <w:hyperlink r:id="rId20">
              <w:r>
                <w:rPr>
                  <w:rStyle w:val="InternetLink"/>
                  <w:rFonts w:ascii="Times New Roman;serif" w:hAnsi="Times New Roman;serif"/>
                  <w:b w:val="false"/>
                  <w:color w:val="000080"/>
                  <w:sz w:val="20"/>
                  <w:u w:val="single"/>
                </w:rPr>
                <w:t>’</w:t>
              </w:r>
            </w:hyperlink>
            <w:hyperlink r:id="rId21">
              <w:r>
                <w:rPr>
                  <w:rStyle w:val="InternetLink"/>
                  <w:rFonts w:ascii="Times New Roman;serif" w:hAnsi="Times New Roman;serif"/>
                  <w:b w:val="false"/>
                  <w:color w:val="000080"/>
                  <w:sz w:val="20"/>
                  <w:u w:val="single"/>
                </w:rPr>
                <w:t>s Form 8-K filed October 1, 2025.</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80"/>
                  <w:sz w:val="20"/>
                  <w:u w:val="single"/>
                </w:rPr>
                <w:t>Transition Services Agreement, effective October 1, 2025, by and between BioCryst Pharmaceuticals, Inc. and BioCryst Ireland Limited. Incorporated by reference to Exhibit 10.4 to the Company</w:t>
              </w:r>
            </w:hyperlink>
            <w:hyperlink r:id="rId23">
              <w:r>
                <w:rPr>
                  <w:rStyle w:val="InternetLink"/>
                  <w:rFonts w:ascii="Times New Roman;serif" w:hAnsi="Times New Roman;serif"/>
                  <w:b w:val="false"/>
                  <w:color w:val="000080"/>
                  <w:sz w:val="20"/>
                  <w:u w:val="single"/>
                </w:rPr>
                <w:t>’</w:t>
              </w:r>
            </w:hyperlink>
            <w:hyperlink r:id="rId24">
              <w:r>
                <w:rPr>
                  <w:rStyle w:val="InternetLink"/>
                  <w:rFonts w:ascii="Times New Roman;serif" w:hAnsi="Times New Roman;serif"/>
                  <w:b w:val="false"/>
                  <w:color w:val="000080"/>
                  <w:sz w:val="20"/>
                  <w:u w:val="single"/>
                </w:rPr>
                <w:t>s Form 8-K filed October 1, 2025.</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80"/>
                  <w:sz w:val="20"/>
                  <w:u w:val="single"/>
                </w:rPr>
                <w:t>Trademark License Agreement, effective October 1, 2025, by and between BioCryst Pharmaceuticals, Inc. and BioCryst Ireland Limited. Incorporated by reference to Exhibit 10.5 to the Company</w:t>
              </w:r>
            </w:hyperlink>
            <w:hyperlink r:id="rId26">
              <w:r>
                <w:rPr>
                  <w:rStyle w:val="InternetLink"/>
                  <w:rFonts w:ascii="Times New Roman;serif" w:hAnsi="Times New Roman;serif"/>
                  <w:b w:val="false"/>
                  <w:color w:val="000080"/>
                  <w:sz w:val="20"/>
                  <w:u w:val="single"/>
                </w:rPr>
                <w:t>’</w:t>
              </w:r>
            </w:hyperlink>
            <w:hyperlink r:id="rId27">
              <w:r>
                <w:rPr>
                  <w:rStyle w:val="InternetLink"/>
                  <w:rFonts w:ascii="Times New Roman;serif" w:hAnsi="Times New Roman;serif"/>
                  <w:b w:val="false"/>
                  <w:color w:val="000080"/>
                  <w:sz w:val="20"/>
                  <w:u w:val="single"/>
                </w:rPr>
                <w:t>s Form 8-K filed October 1, 2025.</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80"/>
                  <w:sz w:val="20"/>
                  <w:u w:val="single"/>
                </w:rPr>
                <w:t>Form of Voting and Support Agreement. Incorporated by reference to Exhibit 99.1 to the Company</w:t>
              </w:r>
            </w:hyperlink>
            <w:hyperlink r:id="rId29">
              <w:r>
                <w:rPr>
                  <w:rStyle w:val="InternetLink"/>
                  <w:rFonts w:ascii="Times New Roman;serif" w:hAnsi="Times New Roman;serif"/>
                  <w:b w:val="false"/>
                  <w:color w:val="000080"/>
                  <w:sz w:val="20"/>
                  <w:u w:val="single"/>
                </w:rPr>
                <w:t>’</w:t>
              </w:r>
            </w:hyperlink>
            <w:hyperlink r:id="rId30">
              <w:r>
                <w:rPr>
                  <w:rStyle w:val="InternetLink"/>
                  <w:rFonts w:ascii="Times New Roman;serif" w:hAnsi="Times New Roman;serif"/>
                  <w:b w:val="false"/>
                  <w:color w:val="000080"/>
                  <w:sz w:val="20"/>
                  <w:u w:val="single"/>
                </w:rPr>
                <w:t>s Form 8-K filed October 14, 2025.</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930x10xqxex311.htm">
              <w:r>
                <w:rPr>
                  <w:rStyle w:val="InternetLink"/>
                  <w:rFonts w:ascii="Times New Roman;serif" w:hAnsi="Times New Roman;serif"/>
                  <w:b w:val="false"/>
                  <w:color w:val="0000FF"/>
                  <w:sz w:val="20"/>
                  <w:u w:val="single"/>
                </w:rPr>
                <w:t>Certification of the Principal Executive Officer Pursuant to Rule 13a-14(a) and Rule 15d-14(a) of the Securities Exchange Act of 1934, as Amended, as Adopted Pursuant to Section 302 of the Sarbanes-Oxley Act of 2002.</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930x10xqxex312.htm">
              <w:r>
                <w:rPr>
                  <w:rStyle w:val="InternetLink"/>
                  <w:rFonts w:ascii="Times New Roman;serif" w:hAnsi="Times New Roman;serif"/>
                  <w:b w:val="false"/>
                  <w:color w:val="0000FF"/>
                  <w:sz w:val="20"/>
                  <w:u w:val="single"/>
                </w:rPr>
                <w:t>Certification of the Principal Financial Officer Pursuant to Rule 13a-14(a) and Rule 15d-14(a) of the Securities Exchange Act of 1934, as Amended, as Adopted Pursuant to Section 302 of the Sarbanes-Oxley Act of 2002.</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930x10xqxex321.htm">
              <w:r>
                <w:rPr>
                  <w:rStyle w:val="InternetLink"/>
                  <w:rFonts w:ascii="Times New Roman;serif" w:hAnsi="Times New Roman;serif"/>
                  <w:b w:val="false"/>
                  <w:color w:val="0000FF"/>
                  <w:sz w:val="20"/>
                  <w:u w:val="single"/>
                </w:rPr>
                <w:t>Certification of the Principal Executive Officer Pursuant to 18 U.S.C. Section 1350, as Adopted Pursuant to Section 906 of the Sarbanes-Oxley Act of 2002.</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930x10xqxex322.htm">
              <w:r>
                <w:rPr>
                  <w:rStyle w:val="InternetLink"/>
                  <w:rFonts w:ascii="Times New Roman;serif" w:hAnsi="Times New Roman;serif"/>
                  <w:b w:val="false"/>
                  <w:color w:val="0000FF"/>
                  <w:sz w:val="20"/>
                  <w:u w:val="single"/>
                </w:rPr>
                <w:t>Certification of the Principal Financial Officer Pursuant to 18 U.S.C. Section 1350, as Adopted Pursuant to Section 906 of the Sarbanes-Oxley Act of 2002.</w:t>
              </w:r>
            </w:hyperlink>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BioCryst Pharmaceuticals, Inc. for the three and nine months ended September 30, 2025, formatted in Inline XBRL: (i) Condensed Consolidated Balance Sheets, (ii) Condensed Consolidated Statements of Comprehensive Income (Loss), (iii) Condensed Consolidated Statements of Cash Flows, (iv) Condensed Consolidated Statements of Stockholders’ Deficit, and (v) Notes to Condensed Consolidated Financial Statements, tagged as blocks of text and including detailed tags.</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tc>
      </w:tr>
      <w:tr>
        <w:trPr/>
        <w:tc>
          <w:tcPr>
            <w:tcW w:w="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schedules and exhibits have been omitted pursuant to Item 601(a)(5) of Regulation S-K. The Company agrees to furnish supplementally a copy of such schedules and exhibits, or any section thereof, to the SEC upon request.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0" w:after="0"/>
        <w:jc w:val="left"/>
        <w:rPr/>
      </w:pPr>
      <w:hyperlink w:anchor="id1b8c440ead54d70904211d3c0a5ea1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this 4th day of November, 2025.</w:t>
      </w:r>
    </w:p>
    <w:tbl>
      <w:tblPr>
        <w:tblW w:w="10205" w:type="dxa"/>
        <w:jc w:val="left"/>
        <w:tblInd w:w="0" w:type="dxa"/>
        <w:tblLayout w:type="fixed"/>
        <w:tblCellMar>
          <w:top w:w="28" w:type="dxa"/>
          <w:left w:w="28" w:type="dxa"/>
          <w:bottom w:w="28" w:type="dxa"/>
          <w:right w:w="28" w:type="dxa"/>
        </w:tblCellMar>
      </w:tblPr>
      <w:tblGrid>
        <w:gridCol w:w="1975"/>
        <w:gridCol w:w="1736"/>
        <w:gridCol w:w="1737"/>
        <w:gridCol w:w="1392"/>
        <w:gridCol w:w="1392"/>
        <w:gridCol w:w="1973"/>
      </w:tblGrid>
      <w:tr>
        <w:trPr/>
        <w:tc>
          <w:tcPr>
            <w:tcW w:w="197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center"/>
        <w:rPr/>
      </w:pPr>
      <w:bookmarkStart w:id="0" w:name="thackray-biocrystseparat.htm"/>
      <w:bookmarkStart w:id="1" w:name="ksthackraybiocrystseparat"/>
      <w:bookmarkEnd w:id="0"/>
      <w:bookmarkEnd w:id="1"/>
      <w:r>
        <w:rPr/>
        <w:drawing>
          <wp:inline distT="0" distB="0" distL="0" distR="0">
            <wp:extent cx="10048875" cy="13001625"/>
            <wp:effectExtent l="0" t="0" r="0" b="0"/>
            <wp:docPr id="9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2 OF 11 EMPLOYEE’S INITIALS HT of responsibilities and duties. If your employment is terminated for Cause during the Transition Period, you will not receive the Severance and other benefits described in Section 3 below. For purposes of this Agreement, “Cause” means a breach of this Agreement, or an act of misconduct, such as a violation of law, a wilful violation of Company policy or an act that risks or causes material harm to a co-worker, a Company relationship, or any Company assets. 2) Employment Compensation and Benefits. a) The Company will pay you on the regular payroll dates for your wages earned for the pay periods between now and the Separation Date, as well as, where applicable state laws require, any accrued but unused vacation time. b) Your health, dental, and vision coverage under the Company’s benefits plans ends on September 30, 2025. The Company will provide you the necessary forms to request continuation of applicable coverage. 3) Severance and Other Separation Benefits. a) The Company will provide you the Severance, as defined below in subsection 3(b)(i), and other benefits, as defined below in subsection 3(b)(ii-v) (sections 3(b)(i) – (v), collectively referred to as “Severance Benefits”), subject to the following conditions: i) You must sign and return this Agreement signed by you, to Steph Angelini – Chief People Officer (sangelini@biocryst.com) on or before the Due Date shown on the signature page below and comply fully with the terms of this Agreement; i) Your employment with the Company must not be terminated by the Company for “Cause” as defined in Section 1 of this Agreement; and ii) You must comply in all respects with your obligations under any and all agreements between you and any member of the Company Group, which includes the Company and its Affiliates (defined below), and each of their successors and assigns (collectively, the “Company Group”). For purposes of this Agreement, the Company’s “Affiliates” means those entities that directly or indirectly control, are controlled by, or are under common control with, the Company. b) The Severance Benefits to be provided to you subject to the conditions set forth in Section 3(a) are as follows: i) Severance in the total amount of $635,388 (the “Severance”), representing the amount of your base salary for the twelve (12) month period immediately following the Separation Date (“Severance Period”), minus applicable taxes and other withholdings as provided by law; provided that if you revoke your release of ADEA claims as provided in Section 11(b) below, the Severance will be reduced to $1,000. The Severance will be paid in approximately equal installments in accordance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3 OF 11 EMPLOYEE’S INITIALS HT Company’s regular payroll schedule and procedures, beginning on the first regular payroll date that is at least five (5) business days after the expiration of the seven-day revocation period described in Section 11(b), provided that the first such installment shall include installments for any payroll dates falling between the Separation Date and the first installment payment hereunder, and in the event that the installment schedule will not result in the full Severance being paid on or before March 15th of the year following the year in which your employment terminated, then a final installment payment in an amount equal to the remaining unpaid Severance due hereunder will be made at that time. ii) A payment, the amount of which to be determined in or around December 2025 by the Company’s Compensation Committee of the Board of Directors, representing the equivalent of the actual annual Incentive Compensation for the 2025 fiscal year, to be paid in one lump sum payment, minus applicable taxes and other withholdings as provided by law. Such Incentive Compensation payment detailed in Section 3(b)(ii) herein shall be subject to the same terms and conditions imposed upon all eligible employees or personnel of BioCryst notwithstanding that you will cease to remain an employee of BioCryst, and shall be paid to you at or around the same time as all of the Company’s eligible employees or personnel (provided, however, that continued employment shall not be required in order to receive such bonus payment and any such bonus payment will be fully vested immediately upon grant). iii) A payment the equivalent of one times (1x) your target annual Incentive Compensation in effect for the fiscal year in which the Separation Date occurred, i.e., in the total amount of $444,771.60, to be paid in one lump sum payment on December 31, 2025, minus applicable taxes and other withholdings as provided by law. iv) If you timely elect COBRA continuation of any COBRA-eligible insurance coverage in which you are participating under the Company’s benefits plans as of your Separation Date (including employee, dependent or family coverage as applicable), the Company will directly pay to the COBRA plan administrator the full cost of monthly premiums for COBRA continuation of such coverage, for the twelve (12) month period immediately following the Separation Date (through September, 2026) or until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Any coverage beyond the stated period will be at your own expense. In the event that you inadvertently receive reimbursement from the Company for a COBRA premium that you did not actually pay, you shall immediately return to the Company the full amount reimbursed for such premium. v) Outplacement assistance package providing up to six (6) months of outplacement services that you may use at any time during the twelve (12) month period following the Separation Date; such services to be administered by a third party—the provider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4 OF 11 EMPLOYEE’S INITIALS HT and services to be chosen, and paid directly to the provider, by the Company. Outplacement services not used within twelve (12) months following the Separation Date shall be forfeited. vi) Notwithstanding the applicable provisions of the Company’s Stock Incentive Plan or Inducement Equity Incentive Plan relating to termination of service and the Separation Date set forth herein, the Company hereby acknowledges and agrees that any portion of the unvested stock options and unvested restricted stock units you hold as of the Separation Date that would have vested in calendar year 2025 or calendar year 2026 if you remained in service with the Company through the applicable vesting date shall vest on December 31, 2025. c) All amounts paid or provided hereunder are subject to taxes and other withholdings as provided by law. The Company agrees that it will remit all withheld amounts to the proper taxing authorities and agrees to indemnify, defend, and hold you harmless for all taxes and all related fees, assessments or penalties that you may incur as a result of the Company’s failure to remit such amounts to the proper taxing authorities. Similarly, you agree that you are responsible for any and all additional taxes (over and above the amounts that are withheld by the Company) that may be assessed as a result of any payments and benefits paid or provided to you hereunder, and you hereby agree to indemnify, defend and hold harmless all members of the Company Group with respect to any such additional taxes and all related fees, assessments or penalties, that result directly from your failure to timely pay such amounts to the proper taxing authorities. Any amounts that you owe to any member of the Company Group at or after the Separation Date will be deducted from the Severance. 2) Release of all Claims. In consideration of the Severance Benefits to be provided to you pursuant to this Agreement, by signing below you hereby agree on your own behalf and on behalf of your heirs, executors, successors and assigns, that you hereby release in full and forever discharge the Company, every other member of the Company Group, and each and all of their respective past, present and future officers, directors, trustees, shareholders, members, owners, employees, employee benefit plans, agents, general and limited partners, investors, members, managers, joint venturers, representatives, successors and assigns, and all others connected with any of them, both individually and in their official capacities (collectively the “Released Parties”), from any and all causes of action, rights or claims (“claims”) of any type or description, known or unknown, which you have or had through and including the date of your signature below, including without limitation all claims in any way related to your employment by the Company or any member of the Company Group and the termination of such employment, including but not limited to any claim arising under any federal, state or local law, regulation or other requirement (including without limitation Title VII of the Civil Rights Act of 1964, the Age Discrimination in Employment Act, as amended by the Older Workers Benefit Protection Act, the Employee Retirement Income Security Act, the Americans with Disabilities Act, and the fair employment practices laws of the state or states in which you were employed by the Employer or otherwise had a relationship with the Employer or any of its subsidiaries or other affiliates, each as amended from time to time), (collectively, “Released Claims”), and you hereby agree that you will not assert any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5 OF 11 EMPLOYEE’S INITIALS HT against any of the Released Parties with respect to any of the Released Claims and will not accept any benefit based on any of the Released Claims; provided that notwithstanding the foregoing, you are not releasing (i) vested benefits pursuant to any benefit plan, subject to and in accordance with the terms of such plan(s), (ii) claims that arise after you sign this Agreement, (iii) claims which cannot by law be released, (iv) the right to pursue unemployment compensation, (v) any rights you may have pursuant to the Company’s Stock Incentive Plan, or (vi) the right to make a report or complaint to a law enforcement agency or to participate in a law enforcement agency proceeding, but you do waive any right to receive equitable or monetary relief related to any of the Released Claims as a result of any such proceeding. By signing this Agreement, you confirm and adopt the following statement: I expressly waive all rights afforded by any statute which limits the effect of a release with respect to unknown claims. I understand the significance of my release of unknown claims and my waiver of statutory protection. 3) Employee Covenants. You acknowledge and agree that because of your association with the Company and any other member of the Company Group, you have acquired a considerable amount of knowledge and goodwill with respect to the business of the Company and the Company Group, as well as the Company’s and Company Group’s customers, personnel and other business relationships, which knowledge and good will are extremely valuable to the Company and the Company Group and could be used to compete with them. It is therefore understood and agreed that the following Covenants are necessary to afford fair protection to the Company and the Company Group from unfair competition by you. Consequently, as material inducement for the Severance Benefits provided to you pursuant to this Agreement, you agree to the following “Covenants”: a) Pursuant to obligations set forth by the Securities and Exchange Commission (SEC), this Agreement shall be filed publicly with the SEC. Notwithstanding such obligations, the Parties represent, warrant, and confirm that they have not and will not disclose or discuss, orally or in writing, the circumstances relating to the negotiations and discussions leading to this Agreement other than (i) by Employee to or with Employee’s immediate family members, attorneys, accountants or professional tax advisors, each on the condition that such persons maintain the confidentiality of such information, or as provided in Section 5(i); or (ii) by the Company to or with to the Company’s employees on a limited, business need-to-know basis. If Employee is required by law or pursuant to a subpoena to disclose such information, Employee agrees to promptly provide written notice to Alane Barnes at abarnes@biocryst.com. b) You agree that for the duration of the Severance Period, you will fully cooperate with the Company in winding up and transferring your Company Group work and related records to the individuals designated by the Company and assist the Company with the transition of all accounts that you created or used for Company Group business (including without limitation, banking, purchasing, online access, data storage and processing, email, messaging and social media accounts), including providing all information that may be necessary to ensure that the Company is able to access and control such accounts.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6 OF 11 EMPLOYEE’S INITIALS HT c) You confirm and agree that you have already or you will, by close of business on September 19, 2025, update all social media that you control to remove any implication of ongoing employment with any member of the Company group. Dates of employment and positions held may remain. d) You confirm and agree that you have already or you will, by close of business on September 19, 2025 (“Return Date”), return to the Company, or fully disclose and cooperate with the Company for the disposition of, all property that you were issued or otherwise acquired as a result of your employment with any member of the Company Group (“Company Group Property”), within your possession or under your control, including but not limited to the following types of items, regardless of the form, location, device or media in which such items are stored: company car; mobile phone, laptop, external drives, hand-held devices, and all other equipment and computer hardware and software; keys, credit card; air card; logon information and passwords to all accounts you have created or accessed on behalf of any member of the Company Group; all information, Proprietary Information (as defined in your Employee’s Proprietary Information and Inventions Agreement referenced in Section 5(f) below), and other business records, files, documents, books and manuals; and all contact information, business communications and other documents and information related in any way to customers, employees, contractors and referral sources. You agree that all Company Group Property belongs to the Company Group, and that you will not assert any rights to ownership, use or control of any Company Group Property. You agree that if any Company Group Property exists in electronic form on a non-Company Group device, you will provide not later than the Return Date a detailed summary of such items and follow the Company’s instructions with respect to the disposition of such items, including if requested by the Company, submission of devices and accounts to a third party vendor designated by the Company, for inspection and removal of any Company Group Property. You agree that you will not retain any copies, excerpts or summaries of Company Group Property, and if you later discover any such items in your possession or under your control you will immediately notify the Company and follow the Company’s instructions with respect to the disposition of such items. You represent and agree you have not deleted and will not delete any emails, files or other information from any Company Group computer or device prior to returning it as provided herein. You agree that failure to return any such Company Group Property detailed in this subsection shall result in the deduction of the cost of such property from the Severance. e) You acknowledge that certain Company Group matters in which you have been involved may need your cooperation in the future. Accordingly, you agree that to the extent reasonably requested by the Company you will make yourself reasonably available to respond to queries regarding matters arising out of or related to your service to any member of the Company Group. f) You represent that you have fully complied with the terms of and acknowledge and agree that you remain bound by the terms of the Employee’s Proprietary Information and Inventions Agreement dated March 2, 2021, and the Non-Competition and Non-Solicitation Agreement dated March 2, 2021, and you agree to comply with them in all respects, except for disclosure expressly permitted by Section 5(i) below. You represent that as of the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7 OF 11 EMPLOYEE’S INITIALS HT of your signature to this Agreement, you have disclosed and assigned to the Company, and hereby assign to the Company, all Proprietary Information (as defined in your Employee’s Proprietary Information and Inventions Agreement). g) You warrant, represent and agree that after the Separation Date, except for the benefit of the Company Group and with the express written permission of an authorized officer of a member of the Company Group, you will not and will not aid any other party to, access or attempt to access any Company Group computer systems, networks, accounts or any resources or data that resides thereon, nor access, use, update, or modify any social media and other online accounts and profiles you created or used on behalf of any member of the Company Group, including without limitation accounts and profiles featuring or displaying the name and trademarks of any member of the Company Group. This Covenant shall not apply to any social media accounts or profiles that you created or used exclusively for your own personal use. h) You warrant, represent and agree that since receipt of this Agreement you have not, and for a period of five (5) years following the Effective Date of this Agreement you will not, disparage or otherwise make negative statements about any of the Released Parties (including without limitation their products and/or services, policies and practices) in any manner likely to be harmful to any of them or their business, business relationships, business reputation or personal reputation; provided however, this covenant does not prohibit statements expressly permitted by Section 5(i) below so long as such statements are not maliciously untrue. i) Nothing in this Agreement or the agreements referred to in Section 5(f) is intended to, or will be interpreted to, prevent you from (i) disclosing your own personal compensation and benefits information, or other personal information; (ii) disclosing information pertaining to sexual harassment or sexual assault in violation of federal, tribal, or state law, other sexual misconduct, or disputes regarding such matters; (iii) disclosing information to a law enforcement agency such as the EEOC, Department of Labor or NLRB, for the purposes of reporting or participating in the investigation of a suspected violation of applicable law; (iv) disclosing information that you are required to disclose pursuant to applicable law or legal process, provided that you notify the Company in writing of such required disclosure as much in advance as is practicable in the circumstances and cooperate with the Company or any other member of the Company Group to limit the scope of such required disclosure; or (v) if you are or were as of your last day of employment a non-supervisory employee, engaging in “concerted activity” with other employees or former employees of your employer to improve the terms and conditions of employment with such employer, as such activity is defined by the National Labor Relations Act and its implementing rules and regulations, including disclosing information relevant to such activity. Further, you will not be held criminally or civilly liable under any federal or state trade secret law if you discloses a trade secret (iv) to federal, state, or local government officials, to your attorneys, or in a sealed court document, for the purpose of reporting or investigating a suspected violation of the law; or (v) to your attorneys or in a sealed court document in connection with a lawsuit for retaliation by an employer for reporting a suspected violation of the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8 OF 11 EMPLOYEE’S INITIALS HT j) You agree that a breach or threatened breach of any of the Covenants in this Agreement may result in immediate and irreparable injury to the Company, and in the event that you breach any of these Covenants the Company shall be entitled, without limitation of remedy or the requirement to post a bond, to (i) seek temporary and permanent injunctive and other equitable relief restraining activities constituting a breach or threatened breach of this Agreement to the fullest extent allowed by law, without the requirement for posting a bond; and (ii) all such other remedies available at law or in equity, including, without limitation, the recovery of damages. No waiver of any breach of this Agreement shall be construed as a waiver of any succeeding breach of this Agreement. 4) Notwithstanding anything in this Agreement to the contrary, you agree that in the event a court of competent jurisdiction determines that you materially breach any of the terms of this Agreement, all Severance Benefits described in Section 3 above shall cease and in the event of a final, binding, non-appealable judgement including such a determination, you shall refund to the Company any amounts paid hereunder by the Company in excess of $1,000; you will not be entitled to any payment or benefits under this Agreement in excess thereof, in addition to any other damages available for such breach in law or in equity; you will indemnify the Company Group for all expenses incurred by any member thereof in seeking to enforce the Agreement or as a result of your failure to abide by this Agreement, including reasonable attorneys’ fees and costs; and, you will remain subject to the terms of this Agreement. 5) Every provision of this Agreement is severable from every other provision. If any provision of this Agreement is declared illegal or unenforceable in whole or in part by any court of competent jurisdiction, such declaration shall only be applicable in the jurisdiction that it is rendered, the remainder of the Agreement shall remain in full force and effect, and the parties agree that such court shall modify the offending provision(s) with as narrow a modification as possible to make it/them enforceable, and the Parties hereby consent to such modification. 6) This Agreement, together with the agreements referred to in Section 5(f), supersedes any and all other understandings and agreements between the Parties, either oral or in writing, related in any way to your employment or the termination thereof (or other matters addressed in this Agreement), constitutes the sole and only agreement between you and the Company related to such matters, and may only be amended by a written instrument signed by both Parties, provided that this Agreement does not supersede any obligations that you owe to any member of the Company Group related to confidential or proprietary information, intellectual property, non-competition, non-solicitation, and/or arbitration, which shall continue in full effect in accordance with their terms. The rights, duties and obligations of the Parties under this Agreement shall inure to the benefit of and shall be binding upon their respective representatives, successors, and permitted assigns (and in your case, heirs). Your rights and obligations hereunder may not be assigned to any person or entity. The Company may assign its rights and obligations hereunder to any of its affiliates or any successor in interest. It is expressly agreed that this Agreement is not, and is not to be used as, an admission of wrongdoing on the part of either of the Parties. 7) This Agreement will be governed by Maryland law, without giving effect to any choice or conflicts of law principles of any jurisdiction. Each party (i) consents to the personal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9 OF 11 EMPLOYEE’S INITIALS HT jurisdiction of any state or federal court located in Montgomery County, Maryland (and any corresponding appellate court) in any proceeding for interlocutory or equitable relief arising out of or relating to this Agreement, and (ii) waives any venue or inconvenient forum defense to any such proceeding maintained in such courts. Except as provided herein below, each Party agrees not to bring any proceeding arising out of or relating to this Agreement or your prior employment by the Company in any other court. Process in any such proceeding may be served on either party anywhere in the world. All other claims and disputes arising out of or relating to this Agreement or your employment by the Company or termination thereof shall be adjudicated by binding arbitration in Montgomery County, Maryland, in accordance with the provisions herein. Notice of arbitration shall be provided to the non-complaining party in accordance with the notice provisions of this Agreement within ninety (90) days after the circumstances giving rise to the claim shall become known or knowable to the complaining party through reasonable diligence. Within ten (10) business days after delivery of such notice, the parties shall each select one arbitrator willing to serve and provide notice to the other party; and, within ten (10) business days after notice is provided of the first two arbitrators, those two arbitrators shall select a third arbitrator who shall serve as the lead arbitrator, and notify the parties. The parties shall exchange reasonable discovery requests within thirty (30) days following selection of the three arbitrators, with responses due thirty (30) days thereafter, and each party may conduct one (1) deposition within thirty (30) days after receipt of discovery responses. The arbitration shall occur at a mutually agreeable time and location within sixty (60) days after responses to discovery and depositions are due. The arbitrators may limit or allow discovery and shorten or extend deadlines in their discretion, may conduct hearings in advance of arbitration, and may award preliminary and/or permanent relief. The arbitrators will allow but not require briefs or memoranda. The arbitrators shall be authorized to make any decision or award allowed by law, including but not limited to any remedy provided by law or equity, and the decisions of the arbitrators shall be final and binding on all parties without right of appeal. Unless awarded by the arbitrators, the cost of arbitration shall be born equally by the parties, except that each party shall pay the arbitrator that party selected. 8) SECTION 409A.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you on account of non-compliance with Section 409A.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10 OF 11 EMPLOYEE’S INITIALS HT 9) You hereby represent, warrant and agree as follows: a) You acknowledge your understanding that you are allowed at least twenty-one (21) days to consider the terms of this Agreement before signing it, that the Delivery Date listed above accurately reflects the date that you received it, and that to the extent you signed sooner than required, you did so without any pressure from the Released Parties. You also acknowledge that you are advised by the Company to seek the advice of an attorney prior to signing this Agreement; that you have had sufficient time to do so if you wished to; and that you have carefully read and are signing this Agreement voluntarily and with a full understanding of its terms. b) You are advised and understand that at any time within seven (7) calendar days following the date of your signature to this Agreement, you may revoke your release of claims arising under the Age Discrimination in Employment Act (“ADEA”) (and only your release of those claims) by providing written notice to Steph Angelini – Chief People Officer (sangelini@biocryst.com), in which case the total amount of Severance to be paid to you hereunder will be reduced to $1,000. If you do not revoke your release of ADEA claims as provided herein, your release of those claims will become effective and irrevocable on the 8th day after you sign this Agreement. Your release as to all other claims (and your agreement to all other terms of this Agreement) shall become effective and irrevocable when you sign and return this Agreement on or before the Due Date. c) As of the date of your signature below, you have been paid all compensation and benefits due you as a result of your work for the Company, and you retain no rights to receive nor will you take any action to pursue any additional compensation, payments, or benefits from the Company, other than the compensation and benefits described in this Agreement. d) You have not filed, caused or permitted to be filed on your behalf any charge, complaint or action before any federal, state or local administrative agency or court against the Company, or submitted any grievance against the Company. e) You have not relied on any promises or representations express or implied, that are not set forth expressly in this Agreement. f) YOU HAVE CAREFULLY READ THIS DOCUMENT, FULLY UNDERSTAND EACH AND EVERY TERM, AND VOLUNTARILY ENTER INTO IT. Please keep the Company apprised of any address changes you have between now and the expiration of all payment obligations noted herein. Unless notified otherwise, the Company will send applicable notices and payments to your address noted at the top of this letter. [THE NEXT PAGE IS THE SIGNATURE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1"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SEPARATION AGREEMENT PAGE 11 OF 11 EMPLOYEE’S INITIALS HT If you agree to the above terms, please initial each page, sign this Agreement, and return it to Steph Angelini – Chief People Officer (sangelini@biocryst.com) not later than the Due Date shown at the top of your signature block below, whereupon it will become a binding agreement between you and the Company. Be sure to keep a copy of these documents for your records, so that we both have an agreed guideline to follow with respect to your transition and separation from the Company. Sincerely, BioCryst Pharmaceuticals, Inc. By: /s/ Stephanie Angelini Name: Stephanie Angelini Title: Chief People Officer EMPLOYEE SIGNATURE DUE DATE: 21 days from your Delivery Date. By signing below, I agree to the terms set forth above and intend this Agreement to be legally binding. I acknowledge receipt of this letter on the Delivery Date noted at the top of this letter. I understand that if I sign this Agreement before my last day of employment, I may be required to sign another copy of this Agreement, in order to receive the Severance Benefits provided in Section 3 of this Agreement. /s/ Helen_Thackray 29 August 2025 EMPLOYEE: Helen Thackray DATE FOR COMPANY USE ONLY: Received and accepted this 29 day of August, 2025: BioCryst Pharmaceuticals, Inc. By: /s/ Alane Barnes Name: Alane Barnes Title: Chief Legal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CONSULTING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 xml:space="preserve">This </w:t>
      </w:r>
      <w:r>
        <w:rPr>
          <w:rFonts w:ascii="Times New Roman;serif" w:hAnsi="Times New Roman;serif"/>
          <w:b/>
          <w:color w:val="000000"/>
          <w:sz w:val="24"/>
        </w:rPr>
        <w:t>CONSULTING AGREEMENT</w:t>
      </w:r>
      <w:r>
        <w:rPr>
          <w:color w:val="000000"/>
        </w:rPr>
        <w:t xml:space="preserve"> </w:t>
      </w:r>
      <w:r>
        <w:rPr>
          <w:rFonts w:ascii="Times New Roman;serif" w:hAnsi="Times New Roman;serif"/>
          <w:b w:val="false"/>
          <w:color w:val="000000"/>
          <w:sz w:val="24"/>
        </w:rPr>
        <w:t>(the “Agreement”) is hereby entered into by and between Helen Thackray (“Consultant”) and BioCryst Pharmaceuticals, Inc. (together with its Affiliates, “BioCryst”) a Delaware corporation, with offices at 4505 Emperor Boulevard, Suite 200, Durham, North Carolina 27703 and shall be effective as of September 1, 2025 (the “Effective Date”). With respect to either party, “Affiliate” means any entity or organization controlling, controlled by or under common control with such party. For the purposes of this definition “control” means the possession, direct or indirect, of the power to direct or cause the direction of the management and policies of an organization or entity, whether the ownership of voting securities, by contract or otherwise.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 I T N E S S E T H:</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In consideration of the services rendered by Consultant to BioCryst, the compensation to be paid to Consultant by BioCryst, and the mutual promises and agreements hereinafter set forth, the parties hereto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Term</w:t>
      </w:r>
      <w:r>
        <w:rPr>
          <w:rFonts w:ascii="Times New Roman;serif" w:hAnsi="Times New Roman;serif"/>
          <w:b w:val="false"/>
          <w:color w:val="000000"/>
          <w:sz w:val="24"/>
        </w:rPr>
        <w:t xml:space="preserve">. This Agreement will commence on the Effective Date and continue in effect up to and through December 31, 2025, unless earlier terminated pursuant to Section 12 of this Agreement (the “Term”). </w:t>
      </w:r>
    </w:p>
    <w:p>
      <w:pPr>
        <w:pStyle w:val="TextBody"/>
        <w:bidi w:val="0"/>
        <w:spacing w:lineRule="auto" w:line="288" w:before="0" w:after="24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Services</w:t>
      </w:r>
      <w:r>
        <w:rPr>
          <w:rFonts w:ascii="Times New Roman;serif" w:hAnsi="Times New Roman;serif"/>
          <w:b w:val="false"/>
          <w:color w:val="000000"/>
          <w:sz w:val="24"/>
        </w:rPr>
        <w:t>. During the Term, Consultant agrees to make herself reasonably available to respond to inquiries from senior executives of BioCryst regarding the transition of her services and other matters about which Consultant has knowledge (collectively, the “Services”). Consultant shall report directly to BioCryst and shall provide the Services in accordance with reasonable instructions given to her by BioCryst. Consultant shall not utilize any third party in the performance of the Services without the prior written consent of BioCryst.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Services rendered under this Agreement constitute services in accordance with the terms BioCryst Stock Incentive Plan (the “Incentive Plan”) and the BioCryst Inducement Equity Incentive Plan (the “Inducement Plan” and together with the Incentive Plan, the “Plans”; and capitalized terms used but not defined in this Agreement shall have the meanings set forth in the Plans), and therefore, Consultant’s equity awards received while in the employment of BioCryst (the “Equity Awards”) will continue to vest during the Term in accordance with the provisions of the applicable Plans and any related award agreements. Without limiting the foregoing, the parties agree that there has not been and will not be any lapse of “Services” rendered to BioCryst with respect to the transition of Consultant from an Employee of BioCryst immediately prior to the effectiveness of this Agreement, and the existing outstanding Equity Awards heretofore granted Consultant shall remain in full force and effect, notwithstanding the transition of Consultant from Employee status to Consultant or independent contractor status.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upon expiration or termination of the Term, the Services will terminate and, therefore, the period for exercising any applicable vested stock options shall be a 180-day period commencing with the expiration or termination of the Term, but in no event shall this stock option be exercisable at any time after the Expiration Date. Upon the expiration of such 180-day period or (if earlier) upon the Expiration Date, vested stock options shall terminate and cease to be outstanding. Further, upon expiration or termination of the Term, Consultant’s then-unvested stock options and then-unvested restricted stock units shall be forfeited immediately and automatically to the Company and shall cease to be exercisable by Consultant. </w:t>
      </w:r>
    </w:p>
    <w:p>
      <w:pPr>
        <w:pStyle w:val="TextBody"/>
        <w:bidi w:val="0"/>
        <w:spacing w:before="0" w:after="0"/>
        <w:jc w:val="left"/>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u w:val="single"/>
        </w:rPr>
        <w:t>Payment and Expenses</w:t>
      </w:r>
      <w:r>
        <w:rPr>
          <w:rFonts w:ascii="Times New Roman;serif" w:hAnsi="Times New Roman;serif"/>
          <w:b w:val="false"/>
          <w:color w:val="000000"/>
          <w:sz w:val="24"/>
        </w:rPr>
        <w:t>. BioCryst shall pay to Consultant a flat retainer fee of $12,500/month for Services provided hereunder. No amounts will be withheld from this payment, but all such amounts will be reported on a form 1099 in the ordinary course. In addition, BioCryst shall reimburse Consultant for actual and reasonable out-of-pocket expenses that have been approved by BioCryst in advance, and incurred in the performance of the Services.</w:t>
      </w:r>
      <w:r>
        <w:rPr>
          <w:color w:val="000000"/>
        </w:rPr>
        <w:t xml:space="preserve"> </w:t>
      </w:r>
      <w:r>
        <w:rPr>
          <w:rFonts w:ascii="Times New Roman;serif" w:hAnsi="Times New Roman;serif"/>
          <w:b w:val="false"/>
          <w:color w:val="000000"/>
          <w:sz w:val="24"/>
        </w:rPr>
        <w:t xml:space="preserve">The continued vesting of the Equity Awards and the monthly retainer are Consultant’s sole compensation for rendering Services to BioCryst. Consultant shall provide BioCryst with monthly statements detailing any expense reimbursements that Consultant believes are due under this Agreement, and shall itemize and provide receipts for all expenses. BioCryst agrees to pay approved invoices within thirty (30) days of receipt. Consultant will not be reimbursed for individual expenses exceeding $25.00 without a corresponding receipt. BioCryst shall not be responsible for reimbursing expenses which are not billed within three (3) months of the date such expenses are incurred. </w:t>
      </w:r>
    </w:p>
    <w:p>
      <w:pPr>
        <w:pStyle w:val="TextBody"/>
        <w:bidi w:val="0"/>
        <w:spacing w:lineRule="auto" w:line="288" w:before="0" w:after="24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u w:val="single"/>
        </w:rPr>
        <w:t>Proprietary Information</w:t>
      </w:r>
      <w:r>
        <w:rPr>
          <w:rFonts w:ascii="Times New Roman;serif" w:hAnsi="Times New Roman;serif"/>
          <w:b w:val="false"/>
          <w:color w:val="000000"/>
          <w:sz w:val="24"/>
        </w:rPr>
        <w:t>.</w:t>
      </w:r>
    </w:p>
    <w:p>
      <w:pPr>
        <w:pStyle w:val="TextBody"/>
        <w:bidi w:val="0"/>
        <w:spacing w:lineRule="auto" w:line="288" w:before="240" w:after="60"/>
        <w:jc w:val="both"/>
        <w:rPr/>
      </w:pPr>
      <w:r>
        <w:rPr>
          <w:rFonts w:ascii="Times New Roman;serif" w:hAnsi="Times New Roman;serif"/>
          <w:b w:val="false"/>
          <w:color w:val="000000"/>
          <w:sz w:val="22"/>
        </w:rPr>
        <w:t>a.</w:t>
      </w:r>
      <w:r>
        <w:rPr>
          <w:rFonts w:ascii="Times New Roman;serif" w:hAnsi="Times New Roman;serif"/>
          <w:b/>
          <w:color w:val="000000"/>
          <w:sz w:val="24"/>
          <w:u w:val="single"/>
        </w:rPr>
        <w:t>Definition of “Proprietary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Consultant understands that BioCryst possesses and will possess Proprietary Information that is important to its business. In addition, BioCryst frequently receives information from third parties that is confidential in nature, and which BioCryst is obligated to keep confidential. For purposes of this Agreement, “Proprietary Information” is all information, whether or not in writing or other tangible form, that was or will be developed, created, or discovered by or on behalf of BioCryst, or which became or will become known by, or was or is conveyed to BioCryst (including, without limitation, “Results” as defined above), which has commercial value to BioCryst or which BioCryst is obligated to keep confidential. “Proprietary Information” includes, but is not limited to, business, financial, marketing and customer information, product development plans, forecasts, inventions (whether patentable or not) technology, know-how, processes, data, ideas, techniques, inventions, trade secrets, chemical materials, biological materials, genetic sequences, data, technical information, information about software programs and subroutines, source and object code, databases, database criteria, processes, designs, methodologies, internal documentation, works of authorship, the salaries and terms of compensation of other individuals, client and supplier lists, contacts at or knowledge of clients or prospective clients of BioCryst, and other information concerning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7665"/>
                <wp:effectExtent l="0" t="0" r="0" b="0"/>
                <wp:wrapNone/>
                <wp:docPr id="104" name="Frame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60"/>
        <w:jc w:val="both"/>
        <w:rPr/>
      </w:pPr>
      <w:r>
        <w:rPr>
          <w:rFonts w:ascii="Times New Roman;serif" w:hAnsi="Times New Roman;serif"/>
          <w:b w:val="false"/>
          <w:color w:val="000000"/>
          <w:sz w:val="24"/>
        </w:rPr>
        <w:t>actual or anticipated products or services, business, research or development, or any information which is received in confidence by or for BioCryst from any other person</w:t>
      </w:r>
      <w:r>
        <w:rPr>
          <w:rFonts w:ascii="Times New Roman;serif" w:hAnsi="Times New Roman;serif"/>
          <w:b w:val="false"/>
          <w:i/>
          <w:color w:val="000000"/>
          <w:sz w:val="24"/>
        </w:rPr>
        <w:t>.</w:t>
      </w:r>
      <w:r>
        <w:rPr>
          <w:color w:val="000000"/>
        </w:rPr>
        <w:t xml:space="preserve"> </w:t>
      </w:r>
    </w:p>
    <w:p>
      <w:pPr>
        <w:pStyle w:val="TextBody"/>
        <w:bidi w:val="0"/>
        <w:spacing w:lineRule="auto" w:line="288" w:before="240" w:after="60"/>
        <w:jc w:val="both"/>
        <w:rPr/>
      </w:pPr>
      <w:r>
        <w:rPr>
          <w:rFonts w:ascii="Times New Roman;serif" w:hAnsi="Times New Roman;serif"/>
          <w:b w:val="false"/>
          <w:color w:val="000000"/>
          <w:sz w:val="22"/>
        </w:rPr>
        <w:t>b.</w:t>
      </w:r>
      <w:r>
        <w:rPr>
          <w:rFonts w:ascii="Times New Roman;serif" w:hAnsi="Times New Roman;serif"/>
          <w:b/>
          <w:color w:val="000000"/>
          <w:sz w:val="24"/>
          <w:u w:val="single"/>
        </w:rPr>
        <w:t>Definition of “BioCryst Materials</w:t>
      </w:r>
      <w:r>
        <w:rPr>
          <w:color w:val="000000"/>
          <w:u w:val="single"/>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Consultant understands that BioCryst possesses or will possess “BioCryst Materials” which are important to its business. For purposes of this Agreement, “BioCryst Materials” are documents or other media or tangible items that contain or embody Proprietary Information or any other information concerning the business, operations or plans of BioCryst or clients, whether such documents have been prepared by Consultant or by others. “BioCryst Materials” include, but are not limited to, blueprints, drawings, photographs, charts, graphs, notebooks, customer lists, computer disks, tapes or printouts, sound and video recordings and other printed, typewritten or handwritten documents, sample products, prototypes and models.</w:t>
      </w:r>
    </w:p>
    <w:p>
      <w:pPr>
        <w:pStyle w:val="TextBody"/>
        <w:bidi w:val="0"/>
        <w:spacing w:lineRule="auto" w:line="288" w:before="240" w:after="60"/>
        <w:jc w:val="both"/>
        <w:rPr/>
      </w:pPr>
      <w:r>
        <w:rPr>
          <w:rFonts w:ascii="Times New Roman;serif" w:hAnsi="Times New Roman;serif"/>
          <w:b w:val="false"/>
          <w:color w:val="000000"/>
          <w:sz w:val="22"/>
        </w:rPr>
        <w:t>c.</w:t>
      </w:r>
      <w:r>
        <w:rPr>
          <w:rFonts w:ascii="Times New Roman;serif" w:hAnsi="Times New Roman;serif"/>
          <w:b/>
          <w:color w:val="000000"/>
          <w:sz w:val="24"/>
          <w:u w:val="single"/>
        </w:rPr>
        <w:t>Ownership of Proprietary Information; Assignment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Proprietary Information and all title, patents, patent rights, copyrights, trade secret rights, </w:t>
      </w:r>
      <w:r>
        <w:rPr>
          <w:rFonts w:ascii="Times New Roman;serif" w:hAnsi="Times New Roman;serif"/>
          <w:b w:val="false"/>
          <w:i/>
          <w:color w:val="000000"/>
          <w:sz w:val="24"/>
        </w:rPr>
        <w:t>sui generis</w:t>
      </w:r>
      <w:r>
        <w:rPr>
          <w:color w:val="000000"/>
        </w:rPr>
        <w:t xml:space="preserve"> </w:t>
      </w:r>
      <w:r>
        <w:rPr>
          <w:rFonts w:ascii="Times New Roman;serif" w:hAnsi="Times New Roman;serif"/>
          <w:b w:val="false"/>
          <w:color w:val="000000"/>
          <w:sz w:val="24"/>
        </w:rPr>
        <w:t>database rights and other intellectual or industrial property rights of any sort anywhere in the world (collectively “Rights”) in connection therewith shall be the sole property of BioCryst. Consultant hereby assigns to BioCryst any Rights Consultant may have or acquire in such Proprietary Information. At all times, both during the term of this Agreement and after its termination, Consultant will keep in confidence and trust and will not use or disclose any Proprietary Information or anything related to it without the prior written consent of an officer of BioCryst. Consultant acknowledges that any disclosure or unauthorized use of Proprietary Information will constitute a material breach of this Agreement and cause substantial harm to BioCryst for which monetary damages would not be a fully adequate remedy and, therefore, in the event of any such breach, in addition to other available remedies, BioCryst shall have the right to injunctive relief.</w:t>
      </w:r>
    </w:p>
    <w:p>
      <w:pPr>
        <w:pStyle w:val="TextBody"/>
        <w:bidi w:val="0"/>
        <w:spacing w:lineRule="auto" w:line="288" w:before="240" w:after="60"/>
        <w:jc w:val="both"/>
        <w:rPr/>
      </w:pPr>
      <w:r>
        <w:rPr>
          <w:rFonts w:ascii="Times New Roman;serif" w:hAnsi="Times New Roman;serif"/>
          <w:b w:val="false"/>
          <w:color w:val="000000"/>
          <w:sz w:val="22"/>
        </w:rPr>
        <w:t>d.</w:t>
      </w:r>
      <w:r>
        <w:rPr>
          <w:rFonts w:ascii="Times New Roman;serif" w:hAnsi="Times New Roman;serif"/>
          <w:b/>
          <w:color w:val="000000"/>
          <w:sz w:val="24"/>
          <w:u w:val="single"/>
        </w:rPr>
        <w:t>Ownership of BioCryst Materials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All BioCryst Materials shall be the sole property of BioCryst. Consultant agrees that during the term of this Agreement, Consultant will not remove any BioCryst Materials from the business premises of BioCryst or deliver any BioCryst Materials to any person or entity outside BioCryst, except as required to do in connection with performance of the Services under this Agreement. Consultant further agrees that, immediately upon BioCryst’s request and in any event upon completion of the Services or termination of this Agreement, Consultant shall deliver within fifteen (15) days to BioCryst all BioCryst Materials, any document or media which contains Results, apparatus, equipment and other physical property or any reproduction of such property, excepting only Consultant’s copy of this Agreement. </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color w:val="000000"/>
          <w:sz w:val="24"/>
        </w:rPr>
        <w:t>5.</w:t>
      </w:r>
      <w:r>
        <w:rPr>
          <w:rFonts w:ascii="Times New Roman;serif" w:hAnsi="Times New Roman;serif"/>
          <w:b/>
          <w:color w:val="000000"/>
          <w:sz w:val="24"/>
          <w:u w:val="single"/>
        </w:rPr>
        <w:t>Developments</w:t>
      </w:r>
      <w:r>
        <w:rPr>
          <w:rFonts w:ascii="Times New Roman;serif" w:hAnsi="Times New Roman;serif"/>
          <w:b/>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7665"/>
                <wp:effectExtent l="0" t="0" r="0" b="0"/>
                <wp:wrapNone/>
                <wp:docPr id="105" name="Frame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60"/>
        <w:jc w:val="both"/>
        <w:rPr/>
      </w:pPr>
      <w:r>
        <w:rPr>
          <w:rFonts w:ascii="Times New Roman;serif" w:hAnsi="Times New Roman;serif"/>
          <w:b w:val="false"/>
          <w:color w:val="000000"/>
          <w:sz w:val="22"/>
        </w:rPr>
        <w:t>a.</w:t>
      </w:r>
      <w:r>
        <w:rPr>
          <w:rFonts w:ascii="Times New Roman;serif" w:hAnsi="Times New Roman;serif"/>
          <w:b/>
          <w:color w:val="000000"/>
          <w:sz w:val="24"/>
          <w:u w:val="single"/>
        </w:rPr>
        <w:t>Disclosure of Developments to BioCryst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Consultant will promptly disclose in writing to</w:t>
      </w:r>
      <w:r>
        <w:rPr>
          <w:color w:val="000000"/>
        </w:rPr>
        <w:t xml:space="preserve"> </w:t>
      </w:r>
      <w:r>
        <w:rPr>
          <w:rFonts w:ascii="Times New Roman;serif" w:hAnsi="Times New Roman;serif"/>
          <w:b w:val="false"/>
          <w:color w:val="000000"/>
          <w:sz w:val="24"/>
        </w:rPr>
        <w:t>BioCryst, or to any persons designated by BioCryst from time to time, all “Developments” (which term includes, without limitation, inventions, data, chemical materials, biological materials, works of authorship, discoveries, improvements, designs, source and software code, trade secrets, technology, algorithms, computer programs, audio, video or other files or other content, ideas, processes, techniques, know-how and data, whether or not patentable), made, conceived, reduced to practice or developed by Consultant, either alone or jointly with others, during the term of this Agreement in connection with the Services. Consultant shall also disclose to BioCryst all Developments conceived, reduced to practice or developed by Consultant within fifteen (15) days of the termination of this Agreement that relate to any Proprietary Information of BioCryst. Such disclosures shall be received by BioCryst in confidence (to the extent that they are not assigned under Section 5(b) below) and do not extend the assignment made in Section 5(b) below.</w:t>
      </w:r>
      <w:r>
        <w:rPr>
          <w:color w:val="000000"/>
        </w:rPr>
        <w:t xml:space="preserve"> </w:t>
      </w:r>
    </w:p>
    <w:p>
      <w:pPr>
        <w:pStyle w:val="TextBody"/>
        <w:bidi w:val="0"/>
        <w:spacing w:lineRule="auto" w:line="288" w:before="240" w:after="60"/>
        <w:jc w:val="both"/>
        <w:rPr/>
      </w:pPr>
      <w:r>
        <w:rPr>
          <w:rFonts w:ascii="Times New Roman;serif" w:hAnsi="Times New Roman;serif"/>
          <w:b w:val="false"/>
          <w:color w:val="000000"/>
          <w:sz w:val="22"/>
        </w:rPr>
        <w:t>b.</w:t>
      </w:r>
      <w:r>
        <w:rPr>
          <w:rFonts w:ascii="Times New Roman;serif" w:hAnsi="Times New Roman;serif"/>
          <w:b/>
          <w:color w:val="000000"/>
          <w:sz w:val="24"/>
          <w:u w:val="single"/>
        </w:rPr>
        <w:t>Assignment of Developments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Consultant agrees that all Developments which Consultant makes, conceives, reduces to practice or develops (in whole or in part, either alone or jointly with others) during the term of this Agreement in connection with the Services or which relate to any Proprietary Information shall be the sole property of BioCryst. Consultant agrees to assign and hereby assigns to BioCryst all Rights to all Developments. BioCryst shall be the sole owner of all Rights in connection such Developments. </w:t>
      </w:r>
    </w:p>
    <w:p>
      <w:pPr>
        <w:pStyle w:val="TextBody"/>
        <w:bidi w:val="0"/>
        <w:spacing w:lineRule="auto" w:line="288" w:before="240" w:after="60"/>
        <w:jc w:val="both"/>
        <w:rPr/>
      </w:pPr>
      <w:r>
        <w:rPr>
          <w:rFonts w:ascii="Times New Roman;serif" w:hAnsi="Times New Roman;serif"/>
          <w:b w:val="false"/>
          <w:color w:val="000000"/>
          <w:sz w:val="22"/>
        </w:rPr>
        <w:t>c.</w:t>
      </w:r>
      <w:r>
        <w:rPr>
          <w:rFonts w:ascii="Times New Roman;serif" w:hAnsi="Times New Roman;serif"/>
          <w:b/>
          <w:color w:val="000000"/>
          <w:sz w:val="24"/>
          <w:u w:val="single"/>
        </w:rPr>
        <w:t>License</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If any Rights or Developments assigned hereunder or any Results are based on, or incorporate, or are improvements or derivatives of, or cannot be reasonably made, used, reproduced and distributed without using or violating technology or Rights owned or licensed by Consultant and not assigned hereunder, Consultant hereby grants BioCryst a perpetual, worldwide, royalty-free, non-exclusive, sublicensable right and license to exploit and exercise all such technology and Rights in support of BioCryst’s exercise or exploitation of any Results or assigned Rights or Developments (including any modifications, improvements and derivatives thereof).</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u w:val="single"/>
        </w:rPr>
        <w:t>Right to Inspect</w:t>
      </w:r>
      <w:r>
        <w:rPr>
          <w:rFonts w:ascii="Times New Roman;serif" w:hAnsi="Times New Roman;serif"/>
          <w:b w:val="false"/>
          <w:color w:val="000000"/>
          <w:sz w:val="24"/>
        </w:rPr>
        <w:t>. At all times before or after completion of the Services, Consultant agrees to permit authorized representatives of BioCryst, upon reasonable advance notice and during regular business hours, to examine and inspect (and where applicable make copies of) (i) the Developments and any materials relating thereto; (ii) Consultants facilities used to conduct services, (iii) raw study data, (iv) and any other relevant information necessary to confirm compliance with this Agreement and industry guidelines. Consultant agrees to take any steps necessary to cure deficiencies in the defined services at Consultant’s expense.</w:t>
      </w:r>
    </w:p>
    <w:p>
      <w:pPr>
        <w:pStyle w:val="TextBody"/>
        <w:bidi w:val="0"/>
        <w:spacing w:lineRule="auto" w:line="288" w:before="0" w:after="24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u w:val="single"/>
        </w:rPr>
        <w:t>Assistance by Consultant</w:t>
      </w:r>
      <w:r>
        <w:rPr>
          <w:rFonts w:ascii="Times New Roman;serif" w:hAnsi="Times New Roman;serif"/>
          <w:b w:val="false"/>
          <w:color w:val="000000"/>
          <w:sz w:val="24"/>
        </w:rPr>
        <w:t xml:space="preserve">. Consultant agrees to perform, during and after the term of this Agreement, all acts deemed necessary or desirable by BioCryst to permit and assist it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7665"/>
                <wp:effectExtent l="0" t="0" r="0" b="0"/>
                <wp:wrapNone/>
                <wp:docPr id="106" name="Frame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evidencing, perfecting, obtaining, maintaining, defending and enforcing Rights and/or Consultant’s assignment with respect to the Results and the Developments in any and all countries. Such acts may include, but are not limited to, execution of documents and assistance or cooperation in legal proceedings. Consultant hereby irrevocably designates and appoints BioCryst and its duly authorized officers and agents, as Consultant’s agents and attorneys-in-fact to act for and on behalf of and instead of Consultant, to execute and file any documents and to do all other lawfully permitted acts to further the above purposes with the same legal force and effect as if executed by Consultant.</w:t>
      </w:r>
    </w:p>
    <w:p>
      <w:pPr>
        <w:pStyle w:val="TextBody"/>
        <w:bidi w:val="0"/>
        <w:spacing w:lineRule="auto" w:line="288" w:before="0" w:after="24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u w:val="single"/>
        </w:rPr>
        <w:t>Non-Solicitation and Non-competition</w:t>
      </w:r>
      <w:r>
        <w:rPr>
          <w:rFonts w:ascii="Times New Roman;serif" w:hAnsi="Times New Roman;serif"/>
          <w:b w:val="false"/>
          <w:color w:val="000000"/>
          <w:sz w:val="24"/>
        </w:rPr>
        <w:t xml:space="preserve">. Consultant represents that Consultant has fully complied with the terms of and acknowledge and agrees that Consultant remains bound by the terms of the </w:t>
      </w:r>
      <w:r>
        <w:rPr>
          <w:rFonts w:ascii="Times New Roman;serif" w:hAnsi="Times New Roman;serif"/>
          <w:b w:val="false"/>
          <w:i/>
          <w:color w:val="000000"/>
          <w:sz w:val="24"/>
        </w:rPr>
        <w:t>Employee’s Proprietary Information and Inventions Agreement</w:t>
      </w:r>
      <w:r>
        <w:rPr>
          <w:color w:val="000000"/>
        </w:rPr>
        <w:t xml:space="preserve"> </w:t>
      </w:r>
      <w:r>
        <w:rPr>
          <w:rFonts w:ascii="Times New Roman;serif" w:hAnsi="Times New Roman;serif"/>
          <w:b w:val="false"/>
          <w:color w:val="000000"/>
          <w:sz w:val="24"/>
        </w:rPr>
        <w:t xml:space="preserve">dated March 2, 2021, and the </w:t>
      </w:r>
      <w:r>
        <w:rPr>
          <w:rFonts w:ascii="Times New Roman;serif" w:hAnsi="Times New Roman;serif"/>
          <w:b w:val="false"/>
          <w:i/>
          <w:color w:val="000000"/>
          <w:sz w:val="24"/>
        </w:rPr>
        <w:t>Non-Competition and Non-Solicitation Agreement</w:t>
      </w:r>
      <w:r>
        <w:rPr>
          <w:color w:val="000000"/>
        </w:rPr>
        <w:t xml:space="preserve"> </w:t>
      </w:r>
      <w:r>
        <w:rPr>
          <w:rFonts w:ascii="Times New Roman;serif" w:hAnsi="Times New Roman;serif"/>
          <w:b w:val="false"/>
          <w:color w:val="000000"/>
          <w:sz w:val="24"/>
        </w:rPr>
        <w:t xml:space="preserve">dated March 2, 2021, and Consultant agrees to comply with those agreements in all respects. Consultant represents that as of the date of Consultant’s signature to this Agreement, Consultant has disclosed and assigned to the Company, and hereby assigns to the Company, all Proprietary Information (as defined in Consultant’s </w:t>
      </w:r>
      <w:r>
        <w:rPr>
          <w:rFonts w:ascii="Times New Roman;serif" w:hAnsi="Times New Roman;serif"/>
          <w:b w:val="false"/>
          <w:i/>
          <w:color w:val="000000"/>
          <w:sz w:val="24"/>
        </w:rPr>
        <w:t>Employee’s Proprietary Information and Inventions Agreement</w:t>
      </w:r>
      <w:r>
        <w:rPr>
          <w:rFonts w:ascii="Times New Roman;serif" w:hAnsi="Times New Roman;serif"/>
          <w:b w:val="false"/>
          <w:color w:val="000000"/>
          <w:sz w:val="24"/>
        </w:rPr>
        <w:t xml:space="preserve">) in Consultant’s possession or control, regardless of how or where such items are stored (e.g., including in any personal or family member devices). </w:t>
      </w:r>
    </w:p>
    <w:p>
      <w:pPr>
        <w:pStyle w:val="TextBody"/>
        <w:bidi w:val="0"/>
        <w:spacing w:lineRule="auto" w:line="288" w:before="0" w:after="24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u w:val="single"/>
        </w:rPr>
        <w:t>Representations and Warranties</w:t>
      </w:r>
      <w:r>
        <w:rPr>
          <w:rFonts w:ascii="Times New Roman;serif" w:hAnsi="Times New Roman;serif"/>
          <w:b w:val="false"/>
          <w:color w:val="000000"/>
          <w:sz w:val="24"/>
        </w:rPr>
        <w:t>. Consultant represents and warrants that:</w:t>
      </w:r>
    </w:p>
    <w:p>
      <w:pPr>
        <w:pStyle w:val="TextBody"/>
        <w:bidi w:val="0"/>
        <w:spacing w:lineRule="auto" w:line="288" w:before="240" w:after="60"/>
        <w:jc w:val="both"/>
        <w:rPr/>
      </w:pPr>
      <w:r>
        <w:rPr>
          <w:rFonts w:ascii="Times New Roman;serif" w:hAnsi="Times New Roman;serif"/>
          <w:b w:val="false"/>
          <w:color w:val="000000"/>
          <w:sz w:val="22"/>
        </w:rPr>
        <w:t>a.</w:t>
      </w:r>
      <w:r>
        <w:rPr>
          <w:rFonts w:ascii="Times New Roman;serif" w:hAnsi="Times New Roman;serif"/>
          <w:b/>
          <w:color w:val="000000"/>
          <w:sz w:val="24"/>
          <w:u w:val="single"/>
        </w:rPr>
        <w:t>Non-disclosure of Third-party’s Confidential Information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performance of all the terms of this Agreement will not breach any agreement to keep in confidence proprietary information acquired by Consultant in confidence or in trust prior to the execution of this Agreement, and Consultant has not entered into, and Consultant agrees not to enter into, any agreement, either written or oral, that conflicts or might conflict with Consultant’s performance of the Services and other obligations under this Agreement.</w:t>
      </w:r>
    </w:p>
    <w:p>
      <w:pPr>
        <w:pStyle w:val="TextBody"/>
        <w:bidi w:val="0"/>
        <w:spacing w:lineRule="auto" w:line="288" w:before="240" w:after="60"/>
        <w:jc w:val="both"/>
        <w:rPr/>
      </w:pPr>
      <w:r>
        <w:rPr>
          <w:rFonts w:ascii="Times New Roman;serif" w:hAnsi="Times New Roman;serif"/>
          <w:b w:val="false"/>
          <w:color w:val="000000"/>
          <w:sz w:val="22"/>
        </w:rPr>
        <w:t>b.</w:t>
      </w:r>
      <w:r>
        <w:rPr>
          <w:rFonts w:ascii="Times New Roman;serif" w:hAnsi="Times New Roman;serif"/>
          <w:b/>
          <w:color w:val="000000"/>
          <w:sz w:val="24"/>
          <w:u w:val="single"/>
        </w:rPr>
        <w:t>Debarment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Consultant shall comply with all applicable laws and regulations related to the performance of the Services; Consultant has not been, and shall not be debarred by the FDA under 21 USC 335a and/or disqualified under 21 CFR 312.70; Consultant has not and shall not utilize any individual or facility that has been so disqualified or debarred in the performance of the Services; and Consultant shall immediately notify BioCryst upon its learning of any person or entity providing services in any capacity in connection with this agreement that is or becomes so debarred or disqualified or receives notice of an action of or for disbarment or disqualification. </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2"/>
        </w:rPr>
        <w:t>c.</w:t>
      </w:r>
      <w:r>
        <w:rPr>
          <w:rFonts w:ascii="Times New Roman;serif" w:hAnsi="Times New Roman;serif"/>
          <w:b/>
          <w:color w:val="000000"/>
          <w:sz w:val="24"/>
          <w:u w:val="single"/>
        </w:rPr>
        <w:t>Compliance with Law</w:t>
      </w:r>
      <w:r>
        <w:rPr>
          <w:rFonts w:ascii="Times New Roman;serif" w:hAnsi="Times New Roman;serif"/>
          <w:b w:val="false"/>
          <w:color w:val="000000"/>
          <w:sz w:val="24"/>
        </w:rPr>
        <w:t xml:space="preserve">. Consultant will comply with all applicable federal, state and local laws, regulations, professional standards, and industry codes, ordinances and orders, as amended from time to time, including but not limited to (i) the Foreign Corrupt Practices Act of 1977 and the UK Bribery Act, (ii) the federal anti-kickback statute (42 U.S.C. §1320a-7b(b)), and state anti-kickback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7665"/>
                <wp:effectExtent l="0" t="0" r="0" b="0"/>
                <wp:wrapNone/>
                <wp:docPr id="107" name="Frame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laws restricting gifts to, relationships with and information from prescribers, (iii) the federal Food and Drug Administration laws, regulations and guidance, including the federal Food, Drug and Cosmetic Act and the Prescription Drug Marketing Act, (iv) those governing the purchase and sale of securities while in possession of material, non-public information about a company, and (v) Good Laboratory Practices (“GLP”) and Good Clinical Practices (“GCP”). During the Term, Consultant shall promptly notify BioCryst in writing of any known or expected violations of this Section 9(c). In addition, Consultant will materially comply with all reasonable and applicable BioCryst policies and procedures as provided in writing to Consultant.</w:t>
      </w:r>
    </w:p>
    <w:p>
      <w:pPr>
        <w:pStyle w:val="TextBody"/>
        <w:bidi w:val="0"/>
        <w:spacing w:lineRule="auto" w:line="288" w:before="240" w:after="60"/>
        <w:jc w:val="both"/>
        <w:rPr/>
      </w:pPr>
      <w:r>
        <w:rPr>
          <w:rFonts w:ascii="Times New Roman;serif" w:hAnsi="Times New Roman;serif"/>
          <w:b w:val="false"/>
          <w:color w:val="000000"/>
          <w:sz w:val="22"/>
        </w:rPr>
        <w:t>d.</w:t>
      </w:r>
      <w:r>
        <w:rPr>
          <w:rFonts w:ascii="Times New Roman;serif" w:hAnsi="Times New Roman;serif"/>
          <w:b/>
          <w:color w:val="000000"/>
          <w:sz w:val="24"/>
          <w:u w:val="single"/>
        </w:rPr>
        <w:t>Originality of Developments</w:t>
      </w:r>
      <w:r>
        <w:rPr>
          <w:rFonts w:ascii="Times New Roman;serif" w:hAnsi="Times New Roman;serif"/>
          <w:b/>
          <w:color w:val="000000"/>
          <w:sz w:val="24"/>
        </w:rPr>
        <w:t xml:space="preserve">. </w:t>
      </w:r>
      <w:r>
        <w:rPr>
          <w:rFonts w:ascii="Times New Roman;serif" w:hAnsi="Times New Roman;serif"/>
          <w:b w:val="false"/>
          <w:color w:val="000000"/>
          <w:sz w:val="24"/>
        </w:rPr>
        <w:t>Any and all Developments that it has created or will create under this Agreement will be original and shall not infringe the rights of any third party.</w:t>
      </w:r>
    </w:p>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u w:val="single"/>
        </w:rPr>
        <w:t>Limitation of Liability</w:t>
      </w:r>
      <w:r>
        <w:rPr>
          <w:rFonts w:ascii="Times New Roman;serif" w:hAnsi="Times New Roman;serif"/>
          <w:b w:val="false"/>
          <w:color w:val="000000"/>
          <w:sz w:val="24"/>
        </w:rPr>
        <w:t>. BIOCRYST SHALL NOT BE LIABLE WITH RESPECT TO ANY SUBJECT MATTER OF THIS AGREEMENT UNDER ANY CONTRACT, NEGLIGENCE, STRICT LIABILITY OR OTHER THEORY FOR ANY INDIRECT, INCIDENTAL, SPECIAL, EXEMPLARY OR CONSEQUENTIAL DAMAGES, INCLUDING WITHOUT LIMITATION, ANY LOSS OR REVENUES OR PROFITS.</w:t>
      </w:r>
    </w:p>
    <w:p>
      <w:pPr>
        <w:pStyle w:val="TextBody"/>
        <w:bidi w:val="0"/>
        <w:spacing w:lineRule="auto" w:line="288" w:before="0" w:after="24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u w:val="single"/>
        </w:rPr>
        <w:t>Termination</w:t>
      </w:r>
      <w:r>
        <w:rPr>
          <w:rFonts w:ascii="Times New Roman;serif" w:hAnsi="Times New Roman;serif"/>
          <w:b w:val="false"/>
          <w:color w:val="000000"/>
          <w:sz w:val="24"/>
        </w:rPr>
        <w:t xml:space="preserve">. This Agreement may only be terminated by BioCryst if (i) Consultant has materially breached a material term of this Agreement, and (ii) BioCryst has provided Consultant written notice of the provision Consultant allegedly materially breached. Termination shall be immediately effective if Consultant fails to cure such breach within thirty (30) days of receipt of notice. Termination of this Agreement under the provisions of this section 12 shall not release either party from any obligation and payment becoming due prior to the effective date of termination, if such termination is not caused by the default of either party. </w:t>
      </w:r>
    </w:p>
    <w:p>
      <w:pPr>
        <w:pStyle w:val="TextBody"/>
        <w:bidi w:val="0"/>
        <w:spacing w:lineRule="auto" w:line="288" w:before="0" w:after="240"/>
        <w:ind w:left="0" w:right="0" w:hanging="360"/>
        <w:jc w:val="both"/>
        <w:rPr/>
      </w:pPr>
      <w:r>
        <w:rPr>
          <w:rFonts w:ascii="Times New Roman;serif" w:hAnsi="Times New Roman;serif"/>
          <w:b w:val="false"/>
          <w:color w:val="000000"/>
          <w:sz w:val="24"/>
        </w:rPr>
        <w:t>12.</w:t>
      </w:r>
      <w:r>
        <w:rPr>
          <w:rFonts w:ascii="Times New Roman;serif" w:hAnsi="Times New Roman;serif"/>
          <w:b/>
          <w:color w:val="000000"/>
          <w:sz w:val="24"/>
          <w:u w:val="single"/>
        </w:rPr>
        <w:t>Independent Contractor</w:t>
      </w:r>
      <w:r>
        <w:rPr>
          <w:rFonts w:ascii="Times New Roman;serif" w:hAnsi="Times New Roman;serif"/>
          <w:b w:val="false"/>
          <w:color w:val="000000"/>
          <w:sz w:val="24"/>
        </w:rPr>
        <w:t xml:space="preserve">. Nothing herein contained shall be deemed to create an agency, joint venture, partnership or franchise relationship between the parties hereto. Consultant acknowledges that he/she is an independent contractor, is not an agent or employee of BioCryst, is not entitled to any BioCryst employment rights or benefits and is not authorized to act on behalf of BioCryst. Consultant shall be solely responsible for any and all tax obligations of Consultant, including but not limited to, all city, state and federal income taxes, social security tax and other self employment taxes incurred by Consultant, and BioCryst shall not be responsible for withholding any such taxes from Consultant's fee. In addition, Consultant shall not be entitled to any employee benefits, including without limitation, retirement, profit sharing, or medical insurance. BioCryst shall not dictate the work hours of Consultant during the term of this Agreement. Subject to Section 9 of this Agreement, Consultant shall perform the Services on a non-exclusive basis and shall be free to accept other engagements during the term of this Agreement. The parties hereby acknowledge and agree that BioCryst shall have no right to control the manner, means, or method by which Consultant performs the Services. Rather, BioCryst shall be entitled only to direct Consultant with respect to the elements of the Services and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7665"/>
                <wp:effectExtent l="0" t="0" r="0" b="0"/>
                <wp:wrapNone/>
                <wp:docPr id="108" name="Frame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results to be derived by BioCryst, to inform Consultant as to where and by when the Services shall be performed, and to review and assess the performance of the Services by Consultant for the limited purposes of assuring that the Services have been performed and confirming that such results were satisfactory. BioCryst shall be entitled to exercise broad general power of supervision and control over the results of work performed by Consultant's personnel to ensure satisfactory performance, including but not limited to, the right to inspect, the right to stop work, the right to make suggestions or recommendations as to the details of the work, and the right to propose modifications to the work.</w:t>
      </w:r>
    </w:p>
    <w:p>
      <w:pPr>
        <w:pStyle w:val="TextBody"/>
        <w:bidi w:val="0"/>
        <w:spacing w:lineRule="auto" w:line="288" w:before="0" w:after="240"/>
        <w:ind w:left="0" w:right="0" w:hanging="360"/>
        <w:jc w:val="both"/>
        <w:rPr/>
      </w:pPr>
      <w:r>
        <w:rPr>
          <w:rFonts w:ascii="Times New Roman;serif" w:hAnsi="Times New Roman;serif"/>
          <w:b w:val="false"/>
          <w:color w:val="000000"/>
          <w:sz w:val="24"/>
        </w:rPr>
        <w:t>13.</w:t>
      </w:r>
      <w:r>
        <w:rPr>
          <w:rFonts w:ascii="Times New Roman;serif" w:hAnsi="Times New Roman;serif"/>
          <w:b/>
          <w:color w:val="000000"/>
          <w:sz w:val="24"/>
          <w:u w:val="single"/>
        </w:rPr>
        <w:t>Performance</w:t>
      </w:r>
      <w:r>
        <w:rPr>
          <w:rFonts w:ascii="Times New Roman;serif" w:hAnsi="Times New Roman;serif"/>
          <w:b w:val="false"/>
          <w:color w:val="000000"/>
          <w:sz w:val="24"/>
        </w:rPr>
        <w:t>. Consultant’s performance under this Agreement shall be conducted with due diligence and in full compliance with the highest professional standards of practice in the industry. Consultant shall comply with all applicable laws and BioCryst safety rules in the course of performing the Services. If Consultant’s work requires a license, Consultant has obtained that license and the license is in full force and effect.</w:t>
      </w:r>
    </w:p>
    <w:p>
      <w:pPr>
        <w:pStyle w:val="TextBody"/>
        <w:bidi w:val="0"/>
        <w:spacing w:lineRule="auto" w:line="288" w:before="0" w:after="240"/>
        <w:ind w:left="0" w:right="0" w:hanging="360"/>
        <w:jc w:val="both"/>
        <w:rPr/>
      </w:pPr>
      <w:r>
        <w:rPr>
          <w:rFonts w:ascii="Times New Roman;serif" w:hAnsi="Times New Roman;serif"/>
          <w:b w:val="false"/>
          <w:color w:val="000000"/>
          <w:sz w:val="24"/>
        </w:rPr>
        <w:t>14.</w:t>
      </w:r>
      <w:r>
        <w:rPr>
          <w:rFonts w:ascii="Times New Roman;serif" w:hAnsi="Times New Roman;serif"/>
          <w:b/>
          <w:color w:val="000000"/>
          <w:sz w:val="24"/>
          <w:u w:val="single"/>
        </w:rPr>
        <w:t>Pharmacovigilance.</w:t>
      </w:r>
      <w:r>
        <w:rPr>
          <w:color w:val="000000"/>
        </w:rPr>
        <w:t xml:space="preserve"> </w:t>
      </w:r>
      <w:r>
        <w:rPr>
          <w:rFonts w:ascii="Times New Roman;serif" w:hAnsi="Times New Roman;serif"/>
          <w:b w:val="false"/>
          <w:color w:val="000000"/>
          <w:sz w:val="24"/>
        </w:rPr>
        <w:t>Where Consultant is expected to engage with patients or health care professionals, Consultant shall (a) inform BioCryst at PM_Safety@biocryst.com within (1) one business day of its receipt of any safety information associated with the use of BioCryst products and (b) comply with BioCryst’s reasonable training and instructions in relation to safety information reporting including, but not limited to, reconciliation of reports as reasonably requested by BioCryst.</w:t>
      </w:r>
    </w:p>
    <w:p>
      <w:pPr>
        <w:pStyle w:val="TextBody"/>
        <w:bidi w:val="0"/>
        <w:spacing w:lineRule="auto" w:line="288" w:before="0" w:after="240"/>
        <w:ind w:left="0" w:right="0" w:hanging="360"/>
        <w:jc w:val="both"/>
        <w:rPr/>
      </w:pPr>
      <w:r>
        <w:rPr>
          <w:rFonts w:ascii="Times New Roman;serif" w:hAnsi="Times New Roman;serif"/>
          <w:b w:val="false"/>
          <w:color w:val="000000"/>
          <w:sz w:val="24"/>
        </w:rPr>
        <w:t>15.</w:t>
      </w:r>
      <w:r>
        <w:rPr>
          <w:rFonts w:ascii="Times New Roman;serif" w:hAnsi="Times New Roman;serif"/>
          <w:b/>
          <w:color w:val="000000"/>
          <w:sz w:val="24"/>
          <w:u w:val="single"/>
        </w:rPr>
        <w:t>Publicity/Material Non-Public Information</w:t>
      </w:r>
      <w:r>
        <w:rPr>
          <w:rFonts w:ascii="Times New Roman;serif" w:hAnsi="Times New Roman;serif"/>
          <w:b w:val="false"/>
          <w:color w:val="000000"/>
          <w:sz w:val="24"/>
        </w:rPr>
        <w:t xml:space="preserve">. Consultant shall not utilize or publicize the name “BioCryst Pharmaceuticals, Inc.,” the ticker symbol “BCRX” or any trademarks of BioCryst, without the express written consent of BioCryst. Consultant acknowledges that it is aware, and that it will advise its employees and agents, that, in the event it or they become aware of material, non-public information concerning BioCryst, the United States securities laws prohibit it or them from purchasing or selling securities of BioCryst while in possession of such material, non-public information. </w:t>
      </w:r>
    </w:p>
    <w:p>
      <w:pPr>
        <w:pStyle w:val="TextBody"/>
        <w:bidi w:val="0"/>
        <w:spacing w:lineRule="auto" w:line="288" w:before="0" w:after="240"/>
        <w:ind w:left="0" w:right="0" w:hanging="360"/>
        <w:jc w:val="both"/>
        <w:rPr/>
      </w:pPr>
      <w:r>
        <w:rPr>
          <w:rFonts w:ascii="Times New Roman;serif" w:hAnsi="Times New Roman;serif"/>
          <w:b w:val="false"/>
          <w:color w:val="000000"/>
          <w:sz w:val="24"/>
        </w:rPr>
        <w:t>16.</w:t>
      </w:r>
      <w:r>
        <w:rPr>
          <w:rFonts w:ascii="Times New Roman;serif" w:hAnsi="Times New Roman;serif"/>
          <w:b/>
          <w:color w:val="000000"/>
          <w:sz w:val="24"/>
          <w:u w:val="single"/>
        </w:rPr>
        <w:t>Indemnification</w:t>
      </w:r>
      <w:r>
        <w:rPr>
          <w:rFonts w:ascii="Times New Roman;serif" w:hAnsi="Times New Roman;serif"/>
          <w:b w:val="false"/>
          <w:color w:val="000000"/>
          <w:sz w:val="24"/>
        </w:rPr>
        <w:t>. Consultant will indemnify and hold BioCryst harmless, and will defend BioCryst against any and all loss, liability, damage, claims, demands or suits and related costs and expenses to persons or property that are directly caused by Consultant failure to satisfy its tax or withholding obligations, or a material breach of any term or condition of this Agreement by Consultant.</w:t>
      </w:r>
    </w:p>
    <w:p>
      <w:pPr>
        <w:pStyle w:val="TextBody"/>
        <w:bidi w:val="0"/>
        <w:spacing w:lineRule="auto" w:line="288" w:before="0" w:after="240"/>
        <w:ind w:left="0" w:right="0" w:hanging="360"/>
        <w:jc w:val="both"/>
        <w:rPr/>
      </w:pPr>
      <w:r>
        <w:rPr>
          <w:rFonts w:ascii="Times New Roman;serif" w:hAnsi="Times New Roman;serif"/>
          <w:b w:val="false"/>
          <w:color w:val="000000"/>
          <w:sz w:val="24"/>
        </w:rPr>
        <w:t>17.</w:t>
      </w:r>
      <w:r>
        <w:rPr>
          <w:rFonts w:ascii="Times New Roman;serif" w:hAnsi="Times New Roman;serif"/>
          <w:b/>
          <w:color w:val="000000"/>
          <w:sz w:val="24"/>
          <w:u w:val="single"/>
        </w:rPr>
        <w:t>Survival</w:t>
      </w:r>
      <w:r>
        <w:rPr>
          <w:rFonts w:ascii="Times New Roman;serif" w:hAnsi="Times New Roman;serif"/>
          <w:b w:val="false"/>
          <w:color w:val="000000"/>
          <w:sz w:val="24"/>
        </w:rPr>
        <w:t>. Consultant agrees that all obligations under Sections 4-11, and 16-24 of this Agreement shall continue in effect after termination of this Agreement.</w:t>
      </w:r>
    </w:p>
    <w:p>
      <w:pPr>
        <w:pStyle w:val="TextBody"/>
        <w:bidi w:val="0"/>
        <w:spacing w:lineRule="auto" w:line="288" w:before="0" w:after="240"/>
        <w:ind w:left="0" w:right="0" w:hanging="360"/>
        <w:jc w:val="both"/>
        <w:rPr/>
      </w:pPr>
      <w:r>
        <w:rPr>
          <w:rFonts w:ascii="Times New Roman;serif" w:hAnsi="Times New Roman;serif"/>
          <w:b w:val="false"/>
          <w:color w:val="000000"/>
          <w:sz w:val="24"/>
        </w:rPr>
        <w:t>18.</w:t>
      </w:r>
      <w:r>
        <w:rPr>
          <w:rFonts w:ascii="Times New Roman;serif" w:hAnsi="Times New Roman;serif"/>
          <w:b/>
          <w:color w:val="000000"/>
          <w:sz w:val="24"/>
          <w:u w:val="single"/>
        </w:rPr>
        <w:t>Severability</w:t>
      </w:r>
      <w:r>
        <w:rPr>
          <w:rFonts w:ascii="Times New Roman;serif" w:hAnsi="Times New Roman;serif"/>
          <w:b w:val="false"/>
          <w:color w:val="000000"/>
          <w:sz w:val="24"/>
        </w:rPr>
        <w:t>. If one or more provisions of this Agreement are held to be unenforceable under applicable law, such provisions shall be modified to the minimum extent necessary to comply with applicable law and the intent of the parties.</w:t>
      </w:r>
    </w:p>
    <w:p>
      <w:pPr>
        <w:pStyle w:val="TextBody"/>
        <w:bidi w:val="0"/>
        <w:spacing w:lineRule="auto" w:line="288" w:before="0" w:after="240"/>
        <w:ind w:left="0" w:right="0" w:hanging="360"/>
        <w:jc w:val="both"/>
        <w:rPr/>
      </w:pPr>
      <w:r>
        <w:rPr>
          <w:rFonts w:ascii="Times New Roman;serif" w:hAnsi="Times New Roman;serif"/>
          <w:b w:val="false"/>
          <w:color w:val="000000"/>
          <w:sz w:val="24"/>
        </w:rPr>
        <w:t>19.</w:t>
      </w:r>
      <w:r>
        <w:rPr>
          <w:rFonts w:ascii="Times New Roman;serif" w:hAnsi="Times New Roman;serif"/>
          <w:b/>
          <w:color w:val="000000"/>
          <w:sz w:val="24"/>
          <w:u w:val="single"/>
        </w:rPr>
        <w:t>Governing Law</w:t>
      </w:r>
      <w:r>
        <w:rPr>
          <w:rFonts w:ascii="Times New Roman;serif" w:hAnsi="Times New Roman;serif"/>
          <w:b w:val="false"/>
          <w:color w:val="000000"/>
          <w:sz w:val="24"/>
        </w:rPr>
        <w:t xml:space="preserve">. Consultant agrees that any dispute in the meaning, effect or validity of this Agreement shall be resolved in accordance with the laws of the State of North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67665"/>
                <wp:effectExtent l="0" t="0" r="0" b="0"/>
                <wp:wrapNone/>
                <wp:docPr id="109" name="Frame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Carolina without regard to the conflict of laws provisions thereof, and Consultant submits to the exclusive jurisdiction and venue of the federal and state courts located in Wake County, North Carolina. </w:t>
      </w:r>
    </w:p>
    <w:p>
      <w:pPr>
        <w:pStyle w:val="TextBody"/>
        <w:bidi w:val="0"/>
        <w:spacing w:lineRule="auto" w:line="288" w:before="0" w:after="240"/>
        <w:ind w:left="0" w:right="0" w:hanging="360"/>
        <w:jc w:val="both"/>
        <w:rPr/>
      </w:pPr>
      <w:r>
        <w:rPr>
          <w:rFonts w:ascii="Times New Roman;serif" w:hAnsi="Times New Roman;serif"/>
          <w:b w:val="false"/>
          <w:color w:val="000000"/>
          <w:sz w:val="24"/>
        </w:rPr>
        <w:t>20.</w:t>
      </w:r>
      <w:r>
        <w:rPr>
          <w:rFonts w:ascii="Times New Roman;serif" w:hAnsi="Times New Roman;serif"/>
          <w:b/>
          <w:color w:val="000000"/>
          <w:sz w:val="24"/>
          <w:u w:val="single"/>
        </w:rPr>
        <w:t>Binding Nature; Assignment</w:t>
      </w:r>
      <w:r>
        <w:rPr>
          <w:rFonts w:ascii="Times New Roman;serif" w:hAnsi="Times New Roman;serif"/>
          <w:b w:val="false"/>
          <w:color w:val="000000"/>
          <w:sz w:val="24"/>
        </w:rPr>
        <w:t xml:space="preserve">. This Agreement shall inure to the benefit of and be binding upon the successors and permitted assigns of the parties hereto. Notwithstanding the foregoing, this Agreement may not be assigned, in whole or in part, by either party without the prior written consent of the other party. However, BioCryst may transfer or assign this Agreement, in whole or in part, without prior notice to or consent of Consultant, to an Affiliate of BioCryst or in connection with a merger, consolidation, or a sale or transfer of all or substantially all of the assets to which this Agreement relates, provided that all obligations of BioCryst are assumed by the assignee. </w:t>
      </w:r>
    </w:p>
    <w:p>
      <w:pPr>
        <w:pStyle w:val="TextBody"/>
        <w:bidi w:val="0"/>
        <w:spacing w:lineRule="auto" w:line="288" w:before="0" w:after="240"/>
        <w:ind w:left="0" w:right="0" w:hanging="360"/>
        <w:jc w:val="both"/>
        <w:rPr/>
      </w:pPr>
      <w:r>
        <w:rPr>
          <w:rFonts w:ascii="Times New Roman;serif" w:hAnsi="Times New Roman;serif"/>
          <w:b w:val="false"/>
          <w:color w:val="000000"/>
          <w:sz w:val="24"/>
        </w:rPr>
        <w:t>21.</w:t>
      </w:r>
      <w:r>
        <w:rPr>
          <w:rFonts w:ascii="Times New Roman;serif" w:hAnsi="Times New Roman;serif"/>
          <w:b/>
          <w:color w:val="000000"/>
          <w:sz w:val="24"/>
          <w:u w:val="single"/>
        </w:rPr>
        <w:t>Entire Agreement</w:t>
      </w:r>
      <w:r>
        <w:rPr>
          <w:rFonts w:ascii="Times New Roman;serif" w:hAnsi="Times New Roman;serif"/>
          <w:b w:val="false"/>
          <w:color w:val="000000"/>
          <w:sz w:val="24"/>
        </w:rPr>
        <w:t>. This Agreement together with all Exhibits hereto contains the entire understanding of the parties regarding the terms and conditions of this Agreement and supersedes all prior negotiations, understandings and agreements between the parties, whether oral or in writing, related thereto. This Agreement does not supersede the Separation Letter Agreement executed contemporaneously herewith and does not supersede any obligations that Consultant owes to any member of the Company Group related to confidential or proprietary information, intellectual property, non-competition, non-solicitation, and/or arbitration, which shall continue in full effect in accordance with their terms. This Agreement can only be modified by a subsequent written agreement executed by an authorized signatory of BioCryst. During the performance of this agreement, the Consultant agrees to comply with all Federal, state and local laws respecting discrimination in employment and non-segregation of facilities including, but not limited to, the applicable provisions of E.O. 11246, Rehabilitation Act of 1973, Vietnam Era Veterans’ Readjustment Assistance Act of 1974, E.O. 13496 and respective regulations including 29 C.F.R. 471 Appendix A to Subpart A and 61-300.10, and the EEO Clauses set forth in 41 C.F.R. 60-1.4, -250.5(a), -300.5(a) and –741.5(a), all of which are incorporated herein by reference.</w:t>
      </w:r>
    </w:p>
    <w:p>
      <w:pPr>
        <w:pStyle w:val="TextBody"/>
        <w:bidi w:val="0"/>
        <w:spacing w:lineRule="auto" w:line="288" w:before="0" w:after="240"/>
        <w:ind w:left="0" w:right="0" w:hanging="360"/>
        <w:jc w:val="both"/>
        <w:rPr/>
      </w:pPr>
      <w:r>
        <w:rPr>
          <w:rFonts w:ascii="Times New Roman;serif" w:hAnsi="Times New Roman;serif"/>
          <w:b w:val="false"/>
          <w:color w:val="000000"/>
          <w:sz w:val="24"/>
        </w:rPr>
        <w:t>22.</w:t>
      </w:r>
      <w:r>
        <w:rPr>
          <w:rFonts w:ascii="Times New Roman;serif" w:hAnsi="Times New Roman;serif"/>
          <w:b/>
          <w:color w:val="000000"/>
          <w:sz w:val="24"/>
          <w:u w:val="single"/>
        </w:rPr>
        <w:t>Notices</w:t>
      </w:r>
      <w:r>
        <w:rPr>
          <w:rFonts w:ascii="Times New Roman;serif" w:hAnsi="Times New Roman;serif"/>
          <w:b w:val="false"/>
          <w:color w:val="000000"/>
          <w:sz w:val="24"/>
        </w:rPr>
        <w:t xml:space="preserve">. All notices hereunder shall be in writing, and shall be delivered in person, by facsimile transmission (fax), by overnight air courier or by mail, and shall be deemed effectively given the earlier of (i) when received, (ii) when delivered personally, (iii) one (1) business day after being delivered by facsimile (with electronic receipt of appropriate confirmation), (iv) one (1) business day after being deposited with a nationally recognized overnight courier service guaranteeing next-day delivery or (v) four (4) days after being deposited in the postage prepaid certified U.S. mail, return receipts requested, and addressed to the attention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7665"/>
                <wp:effectExtent l="0" t="0" r="0" b="0"/>
                <wp:wrapNone/>
                <wp:docPr id="110" name="Frame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tbl>
      <w:tblPr>
        <w:tblW w:w="5096" w:type="dxa"/>
        <w:jc w:val="left"/>
        <w:tblInd w:w="0" w:type="dxa"/>
        <w:tblLayout w:type="fixed"/>
        <w:tblCellMar>
          <w:top w:w="28" w:type="dxa"/>
          <w:left w:w="28" w:type="dxa"/>
          <w:bottom w:w="28" w:type="dxa"/>
          <w:right w:w="28" w:type="dxa"/>
        </w:tblCellMar>
      </w:tblPr>
      <w:tblGrid>
        <w:gridCol w:w="1116"/>
        <w:gridCol w:w="984"/>
        <w:gridCol w:w="989"/>
        <w:gridCol w:w="109"/>
        <w:gridCol w:w="109"/>
        <w:gridCol w:w="109"/>
        <w:gridCol w:w="492"/>
        <w:gridCol w:w="492"/>
        <w:gridCol w:w="696"/>
      </w:tblGrid>
      <w:tr>
        <w:trPr/>
        <w:tc>
          <w:tcPr>
            <w:tcW w:w="111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 BioCryst: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To Consultant:</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BioCryst Pharmaceuticals,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4505 Emperor Blvd., Suite 200</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Durham, NC 27703</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Telephone: 919-859-1302</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Facsimile: 919-859-1314</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Attn: General Counsel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Helen Thackray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br/>
              <w:t>[****]</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Tel: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tc>
      </w:tr>
    </w:tbl>
    <w:p>
      <w:pPr>
        <w:pStyle w:val="TextBody"/>
        <w:bidi w:val="0"/>
        <w:spacing w:before="0" w:after="0"/>
        <w:jc w:val="both"/>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4"/>
        </w:rPr>
        <w:t>23.</w:t>
      </w:r>
      <w:r>
        <w:rPr>
          <w:rFonts w:ascii="Times New Roman;serif" w:hAnsi="Times New Roman;serif"/>
          <w:b/>
          <w:color w:val="000000"/>
          <w:sz w:val="24"/>
          <w:u w:val="single"/>
        </w:rPr>
        <w:t>Headings</w:t>
      </w:r>
      <w:r>
        <w:rPr>
          <w:rFonts w:ascii="Times New Roman;serif" w:hAnsi="Times New Roman;serif"/>
          <w:b w:val="false"/>
          <w:color w:val="000000"/>
          <w:sz w:val="24"/>
        </w:rPr>
        <w:t>. The section headings in this Agreement are for purposes of reference only.</w:t>
      </w:r>
    </w:p>
    <w:p>
      <w:pPr>
        <w:pStyle w:val="TextBody"/>
        <w:bidi w:val="0"/>
        <w:spacing w:lineRule="auto" w:line="288" w:before="0" w:after="240"/>
        <w:ind w:left="0" w:right="0" w:hanging="360"/>
        <w:jc w:val="both"/>
        <w:rPr/>
      </w:pPr>
      <w:r>
        <w:rPr>
          <w:rFonts w:ascii="Times New Roman;serif" w:hAnsi="Times New Roman;serif"/>
          <w:b w:val="false"/>
          <w:color w:val="000000"/>
          <w:sz w:val="24"/>
        </w:rPr>
        <w:t>24.</w:t>
      </w:r>
      <w:r>
        <w:rPr>
          <w:rFonts w:ascii="Times New Roman;serif" w:hAnsi="Times New Roman;serif"/>
          <w:b/>
          <w:color w:val="000000"/>
          <w:sz w:val="24"/>
          <w:u w:val="single"/>
        </w:rPr>
        <w:t>Facsimile and Counterparts</w:t>
      </w:r>
      <w:r>
        <w:rPr>
          <w:rFonts w:ascii="Times New Roman;serif" w:hAnsi="Times New Roman;serif"/>
          <w:b w:val="false"/>
          <w:color w:val="000000"/>
          <w:sz w:val="24"/>
        </w:rPr>
        <w:t xml:space="preserve">. This Agreement may be executed via facsimile and in counterparts, each of which shall be deemed to be an original but all of which together shall constitute one and the same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CONSULTANT HAS READ THIS AGREEMENT CAREFULLY AND UNDERSTANDS AND ACCEPTS THE OBLIGATIONS WHICH IT IMPOSES UPON CONSULTANT WITHOUT RESERVATION. NO PROMISES OR REPRESENTATIONS HAVE BEEN MADE TO CONSULTANT TO INDUCE CONSULTANT TO SIGN THIS AGREEMENT. CONSULTANT SIGNS THIS AGREEMENT VOLUNTARILY AND FREELY.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8084" w:type="dxa"/>
        <w:jc w:val="left"/>
        <w:tblInd w:w="0" w:type="dxa"/>
        <w:tblLayout w:type="fixed"/>
        <w:tblCellMar>
          <w:top w:w="28" w:type="dxa"/>
          <w:left w:w="28" w:type="dxa"/>
          <w:bottom w:w="28" w:type="dxa"/>
          <w:right w:w="28" w:type="dxa"/>
        </w:tblCellMar>
      </w:tblPr>
      <w:tblGrid>
        <w:gridCol w:w="1212"/>
        <w:gridCol w:w="1065"/>
        <w:gridCol w:w="1068"/>
        <w:gridCol w:w="1388"/>
        <w:gridCol w:w="1388"/>
        <w:gridCol w:w="1963"/>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Helen Thackray (“Consultant”)</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BioCryst Pharmaceuticals, Inc. (“BioCryst”) </w:t>
            </w:r>
          </w:p>
        </w:tc>
      </w:tr>
      <w:tr>
        <w:trPr/>
        <w:tc>
          <w:tcPr>
            <w:tcW w:w="334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Signature: </w:t>
            </w:r>
            <w:r>
              <w:rPr>
                <w:rFonts w:ascii="Times New Roman;serif" w:hAnsi="Times New Roman;serif"/>
                <w:b w:val="false"/>
                <w:color w:val="000000"/>
                <w:sz w:val="24"/>
                <w:u w:val="single"/>
              </w:rPr>
              <w:t>/s/ Helen Thackray</w:t>
            </w:r>
          </w:p>
        </w:tc>
        <w:tc>
          <w:tcPr>
            <w:tcW w:w="4739"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Signature: </w:t>
            </w:r>
            <w:r>
              <w:rPr>
                <w:rFonts w:ascii="Times New Roman;serif" w:hAnsi="Times New Roman;serif"/>
                <w:b w:val="false"/>
                <w:color w:val="000000"/>
                <w:sz w:val="24"/>
                <w:u w:val="single"/>
              </w:rPr>
              <w:t>/s/ Alane Barnes</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Helen Thackray</w:t>
            </w:r>
          </w:p>
        </w:tc>
        <w:tc>
          <w:tcPr>
            <w:tcW w:w="4739"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Alane Barnes</w:t>
            </w:r>
          </w:p>
        </w:tc>
      </w:tr>
      <w:tr>
        <w:trPr/>
        <w:tc>
          <w:tcPr>
            <w:tcW w:w="3345" w:type="dxa"/>
            <w:gridSpan w:val="3"/>
            <w:tcBorders/>
            <w:tcMar>
              <w:top w:w="0" w:type="dxa"/>
              <w:left w:w="0" w:type="dxa"/>
              <w:bottom w:w="0" w:type="dxa"/>
              <w:right w:w="0" w:type="dxa"/>
            </w:tcMar>
            <w:vAlign w:val="center"/>
          </w:tcPr>
          <w:p>
            <w:pPr>
              <w:pStyle w:val="TableContents"/>
              <w:bidi w:val="0"/>
              <w:spacing w:before="240" w:after="283"/>
              <w:jc w:val="both"/>
              <w:rPr/>
            </w:pPr>
            <w:r>
              <w:rPr/>
            </w:r>
          </w:p>
        </w:tc>
        <w:tc>
          <w:tcPr>
            <w:tcW w:w="4739" w:type="dxa"/>
            <w:gridSpan w:val="3"/>
            <w:tcBorders/>
            <w:tcMar>
              <w:top w:w="0" w:type="dxa"/>
              <w:left w:w="0" w:type="dxa"/>
              <w:bottom w:w="0" w:type="dxa"/>
              <w:right w:w="0" w:type="dxa"/>
            </w:tcMar>
            <w:vAlign w:val="center"/>
          </w:tcPr>
          <w:p>
            <w:pPr>
              <w:pStyle w:val="TableContents"/>
              <w:bidi w:val="0"/>
              <w:spacing w:lineRule="auto" w:line="288" w:before="240" w:after="283"/>
              <w:jc w:val="both"/>
              <w:rPr/>
            </w:pPr>
            <w:r>
              <w:rPr>
                <w:rFonts w:ascii="Times New Roman;serif" w:hAnsi="Times New Roman;serif"/>
                <w:b w:val="false"/>
                <w:color w:val="000000"/>
                <w:sz w:val="24"/>
              </w:rPr>
              <w:t xml:space="preserve">Title: </w:t>
            </w:r>
            <w:r>
              <w:rPr>
                <w:rFonts w:ascii="Times New Roman;serif" w:hAnsi="Times New Roman;serif"/>
                <w:b w:val="false"/>
                <w:color w:val="000000"/>
                <w:sz w:val="24"/>
                <w:u w:val="single"/>
              </w:rPr>
              <w:t>Chief Legal Officer</w:t>
            </w:r>
          </w:p>
        </w:tc>
      </w:tr>
    </w:tbl>
    <w:p>
      <w:pPr>
        <w:pStyle w:val="TextBody"/>
        <w:bidi w:val="0"/>
        <w:spacing w:before="0" w:after="24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67665"/>
                <wp:effectExtent l="0" t="0" r="0" b="0"/>
                <wp:wrapNone/>
                <wp:docPr id="111" name="Frame1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Jon P. Stonehouse,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98"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265"/>
        <w:gridCol w:w="265"/>
        <w:gridCol w:w="265"/>
        <w:gridCol w:w="265"/>
        <w:gridCol w:w="265"/>
        <w:gridCol w:w="265"/>
        <w:gridCol w:w="265"/>
        <w:gridCol w:w="265"/>
        <w:gridCol w:w="385"/>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25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96" w:type="dxa"/>
        <w:jc w:val="left"/>
        <w:tblInd w:w="0" w:type="dxa"/>
        <w:tblLayout w:type="fixed"/>
        <w:tblCellMar>
          <w:top w:w="28" w:type="dxa"/>
          <w:left w:w="28" w:type="dxa"/>
          <w:bottom w:w="28" w:type="dxa"/>
          <w:right w:w="28" w:type="dxa"/>
        </w:tblCellMar>
      </w:tblPr>
      <w:tblGrid>
        <w:gridCol w:w="261"/>
        <w:gridCol w:w="229"/>
        <w:gridCol w:w="229"/>
        <w:gridCol w:w="229"/>
        <w:gridCol w:w="229"/>
        <w:gridCol w:w="229"/>
        <w:gridCol w:w="229"/>
        <w:gridCol w:w="229"/>
        <w:gridCol w:w="229"/>
        <w:gridCol w:w="563"/>
        <w:gridCol w:w="563"/>
        <w:gridCol w:w="563"/>
        <w:gridCol w:w="563"/>
        <w:gridCol w:w="563"/>
        <w:gridCol w:w="563"/>
        <w:gridCol w:w="563"/>
        <w:gridCol w:w="563"/>
        <w:gridCol w:w="799"/>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5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20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September 30, 2025,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825" w:type="dxa"/>
        <w:jc w:val="left"/>
        <w:tblInd w:w="0" w:type="dxa"/>
        <w:tblLayout w:type="fixed"/>
        <w:tblCellMar>
          <w:top w:w="28" w:type="dxa"/>
          <w:left w:w="28" w:type="dxa"/>
          <w:bottom w:w="28" w:type="dxa"/>
          <w:right w:w="28" w:type="dxa"/>
        </w:tblCellMar>
      </w:tblPr>
      <w:tblGrid>
        <w:gridCol w:w="306"/>
        <w:gridCol w:w="269"/>
        <w:gridCol w:w="269"/>
        <w:gridCol w:w="269"/>
        <w:gridCol w:w="269"/>
        <w:gridCol w:w="269"/>
        <w:gridCol w:w="269"/>
        <w:gridCol w:w="269"/>
        <w:gridCol w:w="283"/>
        <w:gridCol w:w="109"/>
        <w:gridCol w:w="109"/>
        <w:gridCol w:w="109"/>
        <w:gridCol w:w="109"/>
        <w:gridCol w:w="109"/>
        <w:gridCol w:w="109"/>
        <w:gridCol w:w="109"/>
        <w:gridCol w:w="109"/>
        <w:gridCol w:w="109"/>
        <w:gridCol w:w="109"/>
        <w:gridCol w:w="109"/>
        <w:gridCol w:w="15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September 30, 2025,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302" w:type="dxa"/>
        <w:jc w:val="left"/>
        <w:tblInd w:w="0" w:type="dxa"/>
        <w:tblLayout w:type="fixed"/>
        <w:tblCellMar>
          <w:top w:w="28" w:type="dxa"/>
          <w:left w:w="28" w:type="dxa"/>
          <w:bottom w:w="28" w:type="dxa"/>
          <w:right w:w="28" w:type="dxa"/>
        </w:tblCellMar>
      </w:tblPr>
      <w:tblGrid>
        <w:gridCol w:w="660"/>
        <w:gridCol w:w="577"/>
        <w:gridCol w:w="577"/>
        <w:gridCol w:w="577"/>
        <w:gridCol w:w="577"/>
        <w:gridCol w:w="577"/>
        <w:gridCol w:w="577"/>
        <w:gridCol w:w="577"/>
        <w:gridCol w:w="577"/>
        <w:gridCol w:w="109"/>
        <w:gridCol w:w="109"/>
        <w:gridCol w:w="109"/>
        <w:gridCol w:w="109"/>
        <w:gridCol w:w="109"/>
        <w:gridCol w:w="109"/>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796/000114036125024089/ef20051351_ex2-1.htm" TargetMode="External"/><Relationship Id="rId3" Type="http://schemas.openxmlformats.org/officeDocument/2006/relationships/hyperlink" Target="https://www.sec.gov/Archives/edgar/data/882796/000114036125038031/ef20057029_ex2-1.htm" TargetMode="External"/><Relationship Id="rId4" Type="http://schemas.openxmlformats.org/officeDocument/2006/relationships/hyperlink" Target="https://www.sec.gov/Archives/edgar/data/882796/000103570406000836/d42297exv3w1.htm" TargetMode="External"/><Relationship Id="rId5" Type="http://schemas.openxmlformats.org/officeDocument/2006/relationships/hyperlink" Target="https://www.sec.gov/Archives/edgar/data/882796/000136231007001386/c70813exv3w1.htm" TargetMode="External"/><Relationship Id="rId6" Type="http://schemas.openxmlformats.org/officeDocument/2006/relationships/hyperlink" Target="https://www.sec.gov/Archives/edgar/data/882796/000119312514186707/d722313dex31.htm" TargetMode="External"/><Relationship Id="rId7" Type="http://schemas.openxmlformats.org/officeDocument/2006/relationships/hyperlink" Target="https://www.sec.gov/Archives/edgar/data/882796/000117184320003680/exh_31.htm" TargetMode="External"/><Relationship Id="rId8" Type="http://schemas.openxmlformats.org/officeDocument/2006/relationships/hyperlink" Target="http://www.sec.gov/Archives/edgar/data/882796/000117184320003680/exh_32.htm" TargetMode="External"/><Relationship Id="rId9" Type="http://schemas.openxmlformats.org/officeDocument/2006/relationships/hyperlink" Target="https://www.sec.gov/Archives/edgar/data/882796/000117184320003680/exh_32.htm" TargetMode="External"/><Relationship Id="rId10" Type="http://schemas.openxmlformats.org/officeDocument/2006/relationships/hyperlink" Target="https://www.sec.gov/Archives/edgar/data/882796/000117184324000297/exh_31.htm" TargetMode="External"/><Relationship Id="rId11" Type="http://schemas.openxmlformats.org/officeDocument/2006/relationships/hyperlink" Target="https://www.sec.gov/Archives/edgar/data/882796/000162828025037795/bcrx-20250630x10xqxex103.htm" TargetMode="External"/><Relationship Id="rId12" Type="http://schemas.openxmlformats.org/officeDocument/2006/relationships/hyperlink" Target="https://www.sec.gov/Archives/edgar/data/882796/000162828025037795/bcrx-20250630x10xqxex104.htm" TargetMode="External"/><Relationship Id="rId13" Type="http://schemas.openxmlformats.org/officeDocument/2006/relationships/hyperlink" Target="https://www.sec.gov/Archives/edgar/data/882796/000114036125036875/ef20056247_ex10-1.htm" TargetMode="External"/><Relationship Id="rId14" Type="http://schemas.openxmlformats.org/officeDocument/2006/relationships/hyperlink" Target="https://www.sec.gov/Archives/edgar/data/882796/000114036125036875/ef20056247_ex10-1.htm" TargetMode="External"/><Relationship Id="rId15" Type="http://schemas.openxmlformats.org/officeDocument/2006/relationships/hyperlink" Target="https://www.sec.gov/Archives/edgar/data/882796/000114036125036875/ef20056247_ex10-1.htm" TargetMode="External"/><Relationship Id="rId16" Type="http://schemas.openxmlformats.org/officeDocument/2006/relationships/hyperlink" Target="https://www.sec.gov/Archives/edgar/data/882796/000114036125036875/ef20056247_ex10-2.htm" TargetMode="External"/><Relationship Id="rId17" Type="http://schemas.openxmlformats.org/officeDocument/2006/relationships/hyperlink" Target="https://www.sec.gov/Archives/edgar/data/882796/000114036125036875/ef20056247_ex10-2.htm" TargetMode="External"/><Relationship Id="rId18" Type="http://schemas.openxmlformats.org/officeDocument/2006/relationships/hyperlink" Target="https://www.sec.gov/Archives/edgar/data/882796/000114036125036875/ef20056247_ex10-2.htm" TargetMode="External"/><Relationship Id="rId19" Type="http://schemas.openxmlformats.org/officeDocument/2006/relationships/hyperlink" Target="https://www.sec.gov/Archives/edgar/data/882796/000114036125036875/ef20056247_ex10-3.htm" TargetMode="External"/><Relationship Id="rId20" Type="http://schemas.openxmlformats.org/officeDocument/2006/relationships/hyperlink" Target="https://www.sec.gov/Archives/edgar/data/882796/000114036125036875/ef20056247_ex10-3.htm" TargetMode="External"/><Relationship Id="rId21" Type="http://schemas.openxmlformats.org/officeDocument/2006/relationships/hyperlink" Target="https://www.sec.gov/Archives/edgar/data/882796/000114036125036875/ef20056247_ex10-3.htm" TargetMode="External"/><Relationship Id="rId22" Type="http://schemas.openxmlformats.org/officeDocument/2006/relationships/hyperlink" Target="https://www.sec.gov/Archives/edgar/data/882796/000114036125036875/ef20056247_ex10-4.htm" TargetMode="External"/><Relationship Id="rId23" Type="http://schemas.openxmlformats.org/officeDocument/2006/relationships/hyperlink" Target="https://www.sec.gov/Archives/edgar/data/882796/000114036125036875/ef20056247_ex10-4.htm" TargetMode="External"/><Relationship Id="rId24" Type="http://schemas.openxmlformats.org/officeDocument/2006/relationships/hyperlink" Target="https://www.sec.gov/Archives/edgar/data/882796/000114036125036875/ef20056247_ex10-4.htm" TargetMode="External"/><Relationship Id="rId25" Type="http://schemas.openxmlformats.org/officeDocument/2006/relationships/hyperlink" Target="https://www.sec.gov/Archives/edgar/data/882796/000114036125036875/ef20056247_ex10-5.htm" TargetMode="External"/><Relationship Id="rId26" Type="http://schemas.openxmlformats.org/officeDocument/2006/relationships/hyperlink" Target="https://www.sec.gov/Archives/edgar/data/882796/000114036125036875/ef20056247_ex10-5.htm" TargetMode="External"/><Relationship Id="rId27" Type="http://schemas.openxmlformats.org/officeDocument/2006/relationships/hyperlink" Target="https://www.sec.gov/Archives/edgar/data/882796/000114036125036875/ef20056247_ex10-5.htm" TargetMode="External"/><Relationship Id="rId28" Type="http://schemas.openxmlformats.org/officeDocument/2006/relationships/hyperlink" Target="https://www.sec.gov/Archives/edgar/data/882796/000114036125038031/ef20057029_ex99-1.htm" TargetMode="External"/><Relationship Id="rId29" Type="http://schemas.openxmlformats.org/officeDocument/2006/relationships/hyperlink" Target="https://www.sec.gov/Archives/edgar/data/882796/000114036125038031/ef20057029_ex99-1.htm" TargetMode="External"/><Relationship Id="rId30" Type="http://schemas.openxmlformats.org/officeDocument/2006/relationships/hyperlink" Target="https://www.sec.gov/Archives/edgar/data/882796/000114036125038031/ef20057029_ex99-1.htm" TargetMode="External"/><Relationship Id="rId31" Type="http://schemas.openxmlformats.org/officeDocument/2006/relationships/image" Target="media/image1.jpeg"/><Relationship Id="rId32" Type="http://schemas.openxmlformats.org/officeDocument/2006/relationships/image" Target="media/image2.jpeg"/><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5.jpeg"/><Relationship Id="rId36" Type="http://schemas.openxmlformats.org/officeDocument/2006/relationships/image" Target="media/image6.jpeg"/><Relationship Id="rId37" Type="http://schemas.openxmlformats.org/officeDocument/2006/relationships/image" Target="media/image7.jpeg"/><Relationship Id="rId38" Type="http://schemas.openxmlformats.org/officeDocument/2006/relationships/image" Target="media/image8.jpeg"/><Relationship Id="rId39" Type="http://schemas.openxmlformats.org/officeDocument/2006/relationships/image" Target="media/image9.jpeg"/><Relationship Id="rId40" Type="http://schemas.openxmlformats.org/officeDocument/2006/relationships/image" Target="media/image10.jpeg"/><Relationship Id="rId41" Type="http://schemas.openxmlformats.org/officeDocument/2006/relationships/image" Target="media/image11.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68928</Words>
  <Characters>387560</Characters>
  <CharactersWithSpaces>454602</CharactersWithSpaces>
  <Paragraphs>3263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thackray-biocrystseparat</dc:title>
</cp:coreProperties>
</file>