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89" w:lineRule="exact"/>
        <w:rPr>
          <w:sz w:val="24"/>
          <w:szCs w:val="24"/>
          <w:color w:val="auto"/>
        </w:rPr>
      </w:pPr>
    </w:p>
    <w:p>
      <w:pPr>
        <w:ind w:right="2340"/>
        <w:spacing w:after="0" w:line="461"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For the quarterly period ended September 30, 2022</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4"/>
          <w:szCs w:val="24"/>
          <w:color w:val="auto"/>
        </w:rPr>
      </w:pPr>
    </w:p>
    <w:p>
      <w:pPr>
        <w:ind w:right="2360"/>
        <w:spacing w:after="0" w:line="459" w:lineRule="auto"/>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For the transition period from ______________________ to ______________________</w:t>
      </w:r>
    </w:p>
    <w:p>
      <w:pPr>
        <w:spacing w:after="0" w:line="1"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9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Commission File Number 000-23186</w:t>
            </w:r>
          </w:p>
        </w:tc>
        <w:tc>
          <w:tcPr>
            <w:tcW w:w="4140" w:type="dxa"/>
            <w:vAlign w:val="bottom"/>
          </w:tcPr>
          <w:p>
            <w:pPr>
              <w:spacing w:after="0"/>
              <w:rPr>
                <w:sz w:val="20"/>
                <w:szCs w:val="20"/>
                <w:color w:val="auto"/>
              </w:rPr>
            </w:pPr>
          </w:p>
        </w:tc>
      </w:tr>
      <w:tr>
        <w:trPr>
          <w:trHeight w:val="373"/>
        </w:trPr>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40" w:type="dxa"/>
            <w:vAlign w:val="bottom"/>
            <w:gridSpan w:val="3"/>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r>
      <w:tr>
        <w:trPr>
          <w:trHeight w:val="234"/>
        </w:trPr>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40" w:type="dxa"/>
            <w:vAlign w:val="bottom"/>
            <w:gridSpan w:val="3"/>
          </w:tcPr>
          <w:p>
            <w:pPr>
              <w:jc w:val="center"/>
              <w:ind w:right="31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46"/>
        </w:trPr>
        <w:tc>
          <w:tcPr>
            <w:tcW w:w="2280" w:type="dxa"/>
            <w:vAlign w:val="bottom"/>
          </w:tcPr>
          <w:p>
            <w:pPr>
              <w:spacing w:after="0"/>
              <w:rPr>
                <w:sz w:val="24"/>
                <w:szCs w:val="24"/>
                <w:color w:val="auto"/>
              </w:rPr>
            </w:pPr>
          </w:p>
        </w:tc>
        <w:tc>
          <w:tcPr>
            <w:tcW w:w="4840" w:type="dxa"/>
            <w:vAlign w:val="bottom"/>
            <w:gridSpan w:val="3"/>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140" w:type="dxa"/>
            <w:vAlign w:val="bottom"/>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62-1413174</w:t>
            </w:r>
          </w:p>
        </w:tc>
      </w:tr>
      <w:tr>
        <w:trPr>
          <w:trHeight w:val="256"/>
        </w:trPr>
        <w:tc>
          <w:tcPr>
            <w:tcW w:w="2280" w:type="dxa"/>
            <w:vAlign w:val="bottom"/>
          </w:tcPr>
          <w:p>
            <w:pPr>
              <w:spacing w:after="0"/>
              <w:rPr>
                <w:sz w:val="22"/>
                <w:szCs w:val="22"/>
                <w:color w:val="auto"/>
              </w:rPr>
            </w:pPr>
          </w:p>
        </w:tc>
        <w:tc>
          <w:tcPr>
            <w:tcW w:w="4840" w:type="dxa"/>
            <w:vAlign w:val="bottom"/>
            <w:gridSpan w:val="3"/>
          </w:tcPr>
          <w:p>
            <w:pPr>
              <w:jc w:val="center"/>
              <w:ind w:right="246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57"/>
        </w:trPr>
        <w:tc>
          <w:tcPr>
            <w:tcW w:w="2280" w:type="dxa"/>
            <w:vAlign w:val="bottom"/>
          </w:tcPr>
          <w:p>
            <w:pPr>
              <w:spacing w:after="0"/>
              <w:rPr>
                <w:sz w:val="22"/>
                <w:szCs w:val="22"/>
                <w:color w:val="auto"/>
              </w:rPr>
            </w:pPr>
          </w:p>
        </w:tc>
        <w:tc>
          <w:tcPr>
            <w:tcW w:w="4840" w:type="dxa"/>
            <w:vAlign w:val="bottom"/>
            <w:gridSpan w:val="3"/>
          </w:tcPr>
          <w:p>
            <w:pPr>
              <w:jc w:val="center"/>
              <w:ind w:right="246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27"/>
        </w:trPr>
        <w:tc>
          <w:tcPr>
            <w:tcW w:w="2280" w:type="dxa"/>
            <w:vAlign w:val="bottom"/>
          </w:tcPr>
          <w:p>
            <w:pPr>
              <w:spacing w:after="0"/>
              <w:rPr>
                <w:sz w:val="24"/>
                <w:szCs w:val="24"/>
                <w:color w:val="auto"/>
              </w:rPr>
            </w:pPr>
          </w:p>
        </w:tc>
        <w:tc>
          <w:tcPr>
            <w:tcW w:w="4840" w:type="dxa"/>
            <w:vAlign w:val="bottom"/>
            <w:gridSpan w:val="3"/>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9"/>
              </w:rPr>
              <w:t>4505 Emperor Blvd., Suite 200</w:t>
            </w:r>
          </w:p>
        </w:tc>
        <w:tc>
          <w:tcPr>
            <w:tcW w:w="4140" w:type="dxa"/>
            <w:vAlign w:val="bottom"/>
          </w:tcPr>
          <w:p>
            <w:pPr>
              <w:spacing w:after="0"/>
              <w:rPr>
                <w:sz w:val="24"/>
                <w:szCs w:val="24"/>
                <w:color w:val="auto"/>
              </w:rPr>
            </w:pPr>
          </w:p>
        </w:tc>
      </w:tr>
      <w:tr>
        <w:trPr>
          <w:trHeight w:val="256"/>
        </w:trPr>
        <w:tc>
          <w:tcPr>
            <w:tcW w:w="2280" w:type="dxa"/>
            <w:vAlign w:val="bottom"/>
          </w:tcPr>
          <w:p>
            <w:pPr>
              <w:spacing w:after="0"/>
              <w:rPr>
                <w:sz w:val="22"/>
                <w:szCs w:val="22"/>
                <w:color w:val="auto"/>
              </w:rPr>
            </w:pPr>
          </w:p>
        </w:tc>
        <w:tc>
          <w:tcPr>
            <w:tcW w:w="4840" w:type="dxa"/>
            <w:vAlign w:val="bottom"/>
            <w:gridSpan w:val="3"/>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Durham, North Carolina</w:t>
            </w:r>
          </w:p>
        </w:tc>
        <w:tc>
          <w:tcPr>
            <w:tcW w:w="4140" w:type="dxa"/>
            <w:vAlign w:val="bottom"/>
          </w:tcPr>
          <w:p>
            <w:pPr>
              <w:jc w:val="right"/>
              <w:ind w:right="1850"/>
              <w:spacing w:after="0"/>
              <w:rPr>
                <w:sz w:val="20"/>
                <w:szCs w:val="20"/>
                <w:color w:val="auto"/>
              </w:rPr>
            </w:pPr>
            <w:r>
              <w:rPr>
                <w:rFonts w:ascii="Times New Roman" w:cs="Times New Roman" w:eastAsia="Times New Roman" w:hAnsi="Times New Roman"/>
                <w:sz w:val="18"/>
                <w:szCs w:val="18"/>
                <w:b w:val="1"/>
                <w:bCs w:val="1"/>
                <w:color w:val="auto"/>
              </w:rPr>
              <w:t>27703</w:t>
            </w:r>
          </w:p>
        </w:tc>
      </w:tr>
      <w:tr>
        <w:trPr>
          <w:trHeight w:val="257"/>
        </w:trPr>
        <w:tc>
          <w:tcPr>
            <w:tcW w:w="712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(Zip Code)</w:t>
            </w:r>
          </w:p>
        </w:tc>
      </w:tr>
      <w:tr>
        <w:trPr>
          <w:trHeight w:val="481"/>
        </w:trPr>
        <w:tc>
          <w:tcPr>
            <w:tcW w:w="2280" w:type="dxa"/>
            <w:vAlign w:val="bottom"/>
          </w:tcPr>
          <w:p>
            <w:pPr>
              <w:spacing w:after="0"/>
              <w:rPr>
                <w:sz w:val="24"/>
                <w:szCs w:val="24"/>
                <w:color w:val="auto"/>
              </w:rPr>
            </w:pPr>
          </w:p>
        </w:tc>
        <w:tc>
          <w:tcPr>
            <w:tcW w:w="4140" w:type="dxa"/>
            <w:vAlign w:val="bottom"/>
            <w:gridSpan w:val="2"/>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rPr>
              <w:t>+1-919-859-1302</w:t>
            </w:r>
          </w:p>
        </w:tc>
        <w:tc>
          <w:tcPr>
            <w:tcW w:w="7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34"/>
        </w:trPr>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40" w:type="dxa"/>
            <w:vAlign w:val="bottom"/>
            <w:gridSpan w:val="3"/>
          </w:tcPr>
          <w:p>
            <w:pPr>
              <w:jc w:val="center"/>
              <w:ind w:right="31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05"/>
        </w:trPr>
        <w:tc>
          <w:tcPr>
            <w:tcW w:w="7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202"/>
        </w:trPr>
        <w:tc>
          <w:tcPr>
            <w:tcW w:w="2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tcPr>
          <w:p>
            <w:pPr>
              <w:spacing w:after="0"/>
              <w:rPr>
                <w:sz w:val="17"/>
                <w:szCs w:val="17"/>
                <w:color w:val="auto"/>
              </w:rPr>
            </w:pPr>
          </w:p>
        </w:tc>
      </w:tr>
      <w:tr>
        <w:trPr>
          <w:trHeight w:val="244"/>
        </w:trPr>
        <w:tc>
          <w:tcPr>
            <w:tcW w:w="2280" w:type="dxa"/>
            <w:vAlign w:val="bottom"/>
            <w:tcBorders>
              <w:left w:val="single" w:sz="8" w:color="auto"/>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94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700" w:type="dxa"/>
            <w:vAlign w:val="bottom"/>
            <w:tcBorders>
              <w:bottom w:val="single" w:sz="8" w:color="auto"/>
            </w:tcBorders>
          </w:tcPr>
          <w:p>
            <w:pPr>
              <w:spacing w:after="0"/>
              <w:rPr>
                <w:sz w:val="21"/>
                <w:szCs w:val="21"/>
                <w:color w:val="auto"/>
              </w:rPr>
            </w:pPr>
          </w:p>
        </w:tc>
        <w:tc>
          <w:tcPr>
            <w:tcW w:w="4140" w:type="dxa"/>
            <w:vAlign w:val="bottom"/>
            <w:tcBorders>
              <w:bottom w:val="single" w:sz="8" w:color="auto"/>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2280" w:type="dxa"/>
            <w:vAlign w:val="bottom"/>
            <w:tcBorders>
              <w:left w:val="single" w:sz="8" w:color="auto"/>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Common Stock</w:t>
            </w:r>
          </w:p>
        </w:tc>
        <w:tc>
          <w:tcPr>
            <w:tcW w:w="94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BCRX</w:t>
            </w:r>
          </w:p>
        </w:tc>
        <w:tc>
          <w:tcPr>
            <w:tcW w:w="700" w:type="dxa"/>
            <w:vAlign w:val="bottom"/>
            <w:tcBorders>
              <w:bottom w:val="single" w:sz="8" w:color="auto"/>
            </w:tcBorders>
          </w:tcPr>
          <w:p>
            <w:pPr>
              <w:spacing w:after="0"/>
              <w:rPr>
                <w:sz w:val="21"/>
                <w:szCs w:val="21"/>
                <w:color w:val="auto"/>
              </w:rPr>
            </w:pPr>
          </w:p>
        </w:tc>
        <w:tc>
          <w:tcPr>
            <w:tcW w:w="4140" w:type="dxa"/>
            <w:vAlign w:val="bottom"/>
            <w:tcBorders>
              <w:bottom w:val="single" w:sz="8" w:color="auto"/>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52"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9"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2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5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1100"/>
              <w:spacing w:after="0" w:line="198" w:lineRule="exact"/>
              <w:rPr>
                <w:sz w:val="20"/>
                <w:szCs w:val="20"/>
                <w:color w:val="auto"/>
              </w:rPr>
            </w:pPr>
            <w:r>
              <w:rPr>
                <w:rFonts w:ascii="Wingdings" w:cs="Wingdings" w:eastAsia="Wingdings" w:hAnsi="Wingdings"/>
                <w:sz w:val="18"/>
                <w:szCs w:val="18"/>
                <w:b w:val="1"/>
                <w:bCs w:val="1"/>
                <w:color w:val="auto"/>
              </w:rPr>
              <w:t>x</w:t>
            </w:r>
          </w:p>
        </w:tc>
        <w:tc>
          <w:tcPr>
            <w:tcW w:w="5520" w:type="dxa"/>
            <w:vAlign w:val="bottom"/>
          </w:tcPr>
          <w:p>
            <w:pPr>
              <w:ind w:left="5360"/>
              <w:spacing w:after="0" w:line="198" w:lineRule="exact"/>
              <w:rPr>
                <w:sz w:val="20"/>
                <w:szCs w:val="20"/>
                <w:color w:val="auto"/>
              </w:rPr>
            </w:pPr>
            <w:r>
              <w:rPr>
                <w:rFonts w:ascii="Wingdings" w:cs="Wingdings" w:eastAsia="Wingdings" w:hAnsi="Wingdings"/>
                <w:sz w:val="18"/>
                <w:szCs w:val="18"/>
                <w:b w:val="1"/>
                <w:bCs w:val="1"/>
                <w:color w:val="auto"/>
                <w:w w:val="86"/>
              </w:rPr>
              <w:t>o</w:t>
            </w:r>
          </w:p>
        </w:tc>
      </w:tr>
      <w:tr>
        <w:trPr>
          <w:trHeight w:val="203"/>
        </w:trPr>
        <w:tc>
          <w:tcPr>
            <w:tcW w:w="27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spacing w:after="0"/>
              <w:rPr>
                <w:sz w:val="17"/>
                <w:szCs w:val="17"/>
                <w:color w:val="auto"/>
              </w:rPr>
            </w:pPr>
          </w:p>
        </w:tc>
        <w:tc>
          <w:tcPr>
            <w:tcW w:w="5520" w:type="dxa"/>
            <w:vAlign w:val="bottom"/>
          </w:tcPr>
          <w:p>
            <w:pPr>
              <w:ind w:left="1520"/>
              <w:spacing w:after="0" w:line="203" w:lineRule="exact"/>
              <w:rPr>
                <w:sz w:val="20"/>
                <w:szCs w:val="20"/>
                <w:color w:val="auto"/>
              </w:rPr>
            </w:pPr>
            <w:r>
              <w:rPr>
                <w:rFonts w:ascii="Times New Roman" w:cs="Times New Roman" w:eastAsia="Times New Roman" w:hAnsi="Times New Roman"/>
                <w:sz w:val="18"/>
                <w:szCs w:val="18"/>
                <w:color w:val="auto"/>
              </w:rPr>
              <w:t>Smaller reporting company</w:t>
            </w:r>
          </w:p>
        </w:tc>
      </w:tr>
      <w:tr>
        <w:trPr>
          <w:trHeight w:val="198"/>
        </w:trPr>
        <w:tc>
          <w:tcPr>
            <w:tcW w:w="2720" w:type="dxa"/>
            <w:vAlign w:val="bottom"/>
          </w:tcPr>
          <w:p>
            <w:pPr>
              <w:spacing w:after="0"/>
              <w:rPr>
                <w:sz w:val="17"/>
                <w:szCs w:val="17"/>
                <w:color w:val="auto"/>
              </w:rPr>
            </w:pPr>
          </w:p>
        </w:tc>
        <w:tc>
          <w:tcPr>
            <w:tcW w:w="2800" w:type="dxa"/>
            <w:vAlign w:val="bottom"/>
          </w:tcPr>
          <w:p>
            <w:pPr>
              <w:ind w:left="1100"/>
              <w:spacing w:after="0" w:line="198" w:lineRule="exact"/>
              <w:rPr>
                <w:sz w:val="20"/>
                <w:szCs w:val="20"/>
                <w:color w:val="auto"/>
              </w:rPr>
            </w:pPr>
            <w:r>
              <w:rPr>
                <w:rFonts w:ascii="Wingdings" w:cs="Wingdings" w:eastAsia="Wingdings" w:hAnsi="Wingdings"/>
                <w:sz w:val="18"/>
                <w:szCs w:val="18"/>
                <w:b w:val="1"/>
                <w:bCs w:val="1"/>
                <w:color w:val="auto"/>
              </w:rPr>
              <w:t>o</w:t>
            </w:r>
          </w:p>
        </w:tc>
        <w:tc>
          <w:tcPr>
            <w:tcW w:w="5520" w:type="dxa"/>
            <w:vAlign w:val="bottom"/>
          </w:tcPr>
          <w:p>
            <w:pPr>
              <w:ind w:left="5360"/>
              <w:spacing w:after="0" w:line="198" w:lineRule="exact"/>
              <w:rPr>
                <w:sz w:val="20"/>
                <w:szCs w:val="20"/>
                <w:color w:val="auto"/>
              </w:rPr>
            </w:pPr>
            <w:r>
              <w:rPr>
                <w:rFonts w:ascii="Wingdings" w:cs="Wingdings" w:eastAsia="Wingdings" w:hAnsi="Wingdings"/>
                <w:sz w:val="18"/>
                <w:szCs w:val="18"/>
                <w:b w:val="1"/>
                <w:bCs w:val="1"/>
                <w:color w:val="auto"/>
                <w:w w:val="86"/>
              </w:rPr>
              <w:t>o</w:t>
            </w:r>
          </w:p>
        </w:tc>
      </w:tr>
      <w:tr>
        <w:trPr>
          <w:trHeight w:val="248"/>
        </w:trPr>
        <w:tc>
          <w:tcPr>
            <w:tcW w:w="27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55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Emerging growth company</w:t>
            </w:r>
          </w:p>
        </w:tc>
      </w:tr>
      <w:tr>
        <w:trPr>
          <w:trHeight w:val="198"/>
        </w:trPr>
        <w:tc>
          <w:tcPr>
            <w:tcW w:w="27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520" w:type="dxa"/>
            <w:vAlign w:val="bottom"/>
          </w:tcPr>
          <w:p>
            <w:pPr>
              <w:ind w:left="5360"/>
              <w:spacing w:after="0" w:line="198" w:lineRule="exact"/>
              <w:rPr>
                <w:sz w:val="20"/>
                <w:szCs w:val="20"/>
                <w:color w:val="auto"/>
              </w:rPr>
            </w:pPr>
            <w:r>
              <w:rPr>
                <w:rFonts w:ascii="Wingdings" w:cs="Wingdings" w:eastAsia="Wingdings" w:hAnsi="Wingdings"/>
                <w:sz w:val="18"/>
                <w:szCs w:val="18"/>
                <w:b w:val="1"/>
                <w:bCs w:val="1"/>
                <w:color w:val="auto"/>
                <w:w w:val="86"/>
              </w:rPr>
              <w:t>o</w:t>
            </w:r>
          </w:p>
        </w:tc>
      </w:tr>
    </w:tbl>
    <w:p>
      <w:pPr>
        <w:spacing w:after="0" w:line="297" w:lineRule="exact"/>
        <w:rPr>
          <w:sz w:val="24"/>
          <w:szCs w:val="24"/>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par value $0.01, of the Registrant outstanding as of October 31, 2022 was 186,423,835.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920" w:type="dxa"/>
            <w:vAlign w:val="bottom"/>
            <w:gridSpan w:val="7"/>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60" w:type="dxa"/>
            <w:vAlign w:val="bottom"/>
            <w:gridSpan w:val="5"/>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459"/>
        </w:trPr>
        <w:tc>
          <w:tcPr>
            <w:tcW w:w="41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5920" w:type="dxa"/>
            <w:vAlign w:val="bottom"/>
            <w:gridSpan w:val="6"/>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0000FF"/>
              </w:rPr>
              <w:t>i</w:t>
            </w:r>
          </w:p>
        </w:tc>
      </w:tr>
      <w:tr>
        <w:trPr>
          <w:trHeight w:val="237"/>
        </w:trPr>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 Summary</w:t>
            </w:r>
          </w:p>
        </w:tc>
        <w:tc>
          <w:tcPr>
            <w:tcW w:w="940" w:type="dxa"/>
            <w:vAlign w:val="bottom"/>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ii</w:t>
            </w: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Item 1. Financial Statements:</w:t>
            </w:r>
          </w:p>
        </w:tc>
        <w:tc>
          <w:tcPr>
            <w:tcW w:w="7960" w:type="dxa"/>
            <w:vAlign w:val="bottom"/>
            <w:gridSpan w:val="9"/>
          </w:tcPr>
          <w:p>
            <w:pPr>
              <w:spacing w:after="0"/>
              <w:rPr>
                <w:sz w:val="20"/>
                <w:szCs w:val="20"/>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54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Balance Sheets - September 30, 2022 and December 31, 2021</w:t>
            </w:r>
          </w:p>
        </w:tc>
        <w:tc>
          <w:tcPr>
            <w:tcW w:w="4460" w:type="dxa"/>
            <w:vAlign w:val="bottom"/>
            <w:gridSpan w:val="4"/>
          </w:tcPr>
          <w:p>
            <w:pPr>
              <w:spacing w:after="0"/>
              <w:rPr>
                <w:sz w:val="20"/>
                <w:szCs w:val="20"/>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 Three and Nine Months Ended September 30, 2022 and 2021</w:t>
            </w:r>
          </w:p>
        </w:tc>
        <w:tc>
          <w:tcPr>
            <w:tcW w:w="1800" w:type="dxa"/>
            <w:vAlign w:val="bottom"/>
          </w:tcPr>
          <w:p>
            <w:pPr>
              <w:spacing w:after="0"/>
              <w:rPr>
                <w:sz w:val="20"/>
                <w:szCs w:val="20"/>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66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 Nine Months Ended September 30, 2022 and 2021</w:t>
            </w:r>
          </w:p>
        </w:tc>
        <w:tc>
          <w:tcPr>
            <w:tcW w:w="1440" w:type="dxa"/>
            <w:vAlign w:val="bottom"/>
            <w:gridSpan w:val="2"/>
          </w:tcPr>
          <w:p>
            <w:pPr>
              <w:spacing w:after="0"/>
              <w:rPr>
                <w:sz w:val="20"/>
                <w:szCs w:val="20"/>
                <w:color w:val="auto"/>
              </w:rPr>
            </w:pPr>
          </w:p>
        </w:tc>
        <w:tc>
          <w:tcPr>
            <w:tcW w:w="1800" w:type="dxa"/>
            <w:vAlign w:val="bottom"/>
          </w:tcPr>
          <w:p>
            <w:pPr>
              <w:spacing w:after="0"/>
              <w:rPr>
                <w:sz w:val="20"/>
                <w:szCs w:val="20"/>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9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Deficit - Three and Nine Months Ended September 30, 2022 and 2021</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920" w:type="dxa"/>
            <w:vAlign w:val="bottom"/>
            <w:gridSpan w:val="7"/>
          </w:tcPr>
          <w:p>
            <w:pPr>
              <w:spacing w:after="0"/>
              <w:rPr>
                <w:sz w:val="20"/>
                <w:szCs w:val="20"/>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060" w:type="dxa"/>
            <w:vAlign w:val="bottom"/>
            <w:gridSpan w:val="2"/>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20"/>
                <w:szCs w:val="20"/>
                <w:color w:val="auto"/>
              </w:rPr>
            </w:pPr>
          </w:p>
        </w:tc>
      </w:tr>
      <w:tr>
        <w:trPr>
          <w:trHeight w:val="236"/>
        </w:trPr>
        <w:tc>
          <w:tcPr>
            <w:tcW w:w="49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160" w:type="dxa"/>
            <w:vAlign w:val="bottom"/>
            <w:gridSpan w:val="5"/>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20"/>
                <w:szCs w:val="20"/>
                <w:color w:val="auto"/>
              </w:rPr>
            </w:pPr>
          </w:p>
        </w:tc>
      </w:tr>
      <w:tr>
        <w:trPr>
          <w:trHeight w:val="237"/>
        </w:trPr>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20"/>
                <w:szCs w:val="20"/>
                <w:color w:val="auto"/>
              </w:rPr>
            </w:pPr>
          </w:p>
        </w:tc>
      </w:tr>
      <w:tr>
        <w:trPr>
          <w:trHeight w:val="237"/>
        </w:trPr>
        <w:tc>
          <w:tcPr>
            <w:tcW w:w="2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760" w:type="dxa"/>
            <w:vAlign w:val="bottom"/>
            <w:gridSpan w:val="8"/>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20"/>
                <w:szCs w:val="20"/>
                <w:color w:val="auto"/>
              </w:rPr>
            </w:pPr>
          </w:p>
        </w:tc>
      </w:tr>
      <w:tr>
        <w:trPr>
          <w:trHeight w:val="237"/>
        </w:trPr>
        <w:tc>
          <w:tcPr>
            <w:tcW w:w="16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60" w:type="dxa"/>
            <w:vAlign w:val="bottom"/>
            <w:tcBorders>
              <w:top w:val="single" w:sz="8" w:color="0000FF"/>
            </w:tcBorders>
          </w:tcPr>
          <w:p>
            <w:pPr>
              <w:spacing w:after="0"/>
              <w:rPr>
                <w:sz w:val="20"/>
                <w:szCs w:val="20"/>
                <w:color w:val="auto"/>
              </w:rPr>
            </w:pPr>
          </w:p>
        </w:tc>
        <w:tc>
          <w:tcPr>
            <w:tcW w:w="8220" w:type="dxa"/>
            <w:vAlign w:val="bottom"/>
            <w:gridSpan w:val="11"/>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20"/>
                <w:szCs w:val="20"/>
                <w:color w:val="auto"/>
              </w:rPr>
            </w:pPr>
          </w:p>
        </w:tc>
      </w:tr>
      <w:tr>
        <w:trPr>
          <w:trHeight w:val="237"/>
        </w:trPr>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20"/>
                <w:szCs w:val="20"/>
                <w:color w:val="auto"/>
              </w:rPr>
            </w:pPr>
          </w:p>
        </w:tc>
      </w:tr>
      <w:tr>
        <w:trPr>
          <w:trHeight w:val="236"/>
        </w:trPr>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920" w:type="dxa"/>
            <w:vAlign w:val="bottom"/>
            <w:gridSpan w:val="14"/>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20"/>
                <w:szCs w:val="20"/>
                <w:color w:val="auto"/>
              </w:rPr>
            </w:pPr>
          </w:p>
        </w:tc>
      </w:tr>
      <w:tr>
        <w:trPr>
          <w:trHeight w:val="507"/>
        </w:trPr>
        <w:tc>
          <w:tcPr>
            <w:tcW w:w="7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EX-10.1</w:t>
            </w:r>
          </w:p>
        </w:tc>
        <w:tc>
          <w:tcPr>
            <w:tcW w:w="9320" w:type="dxa"/>
            <w:vAlign w:val="bottom"/>
            <w:gridSpan w:val="15"/>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9460" w:type="dxa"/>
            <w:vAlign w:val="bottom"/>
            <w:gridSpan w:val="1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EX-10.2</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9460" w:type="dxa"/>
            <w:vAlign w:val="bottom"/>
            <w:gridSpan w:val="1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EX-10.4</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EX-31.1</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EX-31.2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EX-32.1</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When used in this report, unless otherwise indicated,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BioCryst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BioCryst Pharmaceuticals,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where appropriate, its subsidiaries.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“Risk Factors” and “Management’s Discussion and Analysis of Financial Condition and Results of Operations” sections of this report, as well as any amendments we make to those sections in filings with the Securities and Exchange Commission (“SEC”). These forward-looking statements include, but are not limited to, statements about:</w:t>
      </w:r>
    </w:p>
    <w:p>
      <w:pPr>
        <w:spacing w:after="0" w:line="154" w:lineRule="exact"/>
        <w:rPr>
          <w:sz w:val="20"/>
          <w:szCs w:val="20"/>
          <w:color w:val="auto"/>
        </w:rPr>
      </w:pPr>
    </w:p>
    <w:p>
      <w:pPr>
        <w:ind w:left="820" w:right="100" w:hanging="326"/>
        <w:spacing w:after="0" w:line="266"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development, clinical development, commercialization, or post-marketing studies of our products and product candidates, including ORLADEYO® (berotralstat), BCX9930, BCX10013, BCX9250, peramivir, galidesivir, and early-stage discovery programs, and our plans regarding the same;</w:t>
      </w:r>
    </w:p>
    <w:p>
      <w:pPr>
        <w:spacing w:after="0" w:line="148"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our commercialization of ORLADEYO in the United States and elsewhere and expectations regarding the commercial market for ORLADEYO;</w:t>
      </w:r>
    </w:p>
    <w:p>
      <w:pPr>
        <w:spacing w:after="0" w:line="121"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government stockpiling orders of our products and product candidates, including the timing or likelihood of entering into any U.S. Government stockpile order and our ability to execute any such order;</w:t>
      </w:r>
    </w:p>
    <w:p>
      <w:pPr>
        <w:spacing w:after="0" w:line="121" w:lineRule="exact"/>
        <w:rPr>
          <w:rFonts w:ascii="Times New Roman" w:cs="Times New Roman" w:eastAsia="Times New Roman" w:hAnsi="Times New Roman"/>
          <w:sz w:val="18"/>
          <w:szCs w:val="18"/>
          <w:color w:val="auto"/>
        </w:rPr>
      </w:pPr>
    </w:p>
    <w:p>
      <w:pPr>
        <w:ind w:left="820" w:hanging="326"/>
        <w:spacing w:after="0" w:line="266"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out or expiration of our contracts with the Biomedical Advanced Research and Development Authority within the U.S. Department of Health and Human Services (“BARDA/HHS”) and the National Institute of Allergy and Infectious Diseases within the HHS (“NIAID/HHS”) for the development of galidesivir and our plans regarding the galidesivir program;</w:t>
      </w:r>
    </w:p>
    <w:p>
      <w:pPr>
        <w:spacing w:after="0" w:line="14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regulatory approvals, or milestones, royalties or profit from sales of our products by us or our partners;</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products, product candidates and technology;</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or out-license rights to our products and product candidates;</w:t>
      </w:r>
    </w:p>
    <w:p>
      <w:pPr>
        <w:spacing w:after="0" w:line="198" w:lineRule="exact"/>
        <w:rPr>
          <w:rFonts w:ascii="Times New Roman" w:cs="Times New Roman" w:eastAsia="Times New Roman" w:hAnsi="Times New Roman"/>
          <w:sz w:val="18"/>
          <w:szCs w:val="18"/>
          <w:color w:val="auto"/>
        </w:rPr>
      </w:pPr>
    </w:p>
    <w:p>
      <w:pPr>
        <w:ind w:left="820" w:right="10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programs, progress and potential success of our collaborations, including with Torii Pharmaceutical Co., Ltd. (“Torii”) for ORLADEYO in Japan and Shionogi &amp; Co., Ltd. (“Shionogi”) and Green Cross Corporation (“Green Cross”) for peramivir in their territories;</w:t>
      </w:r>
    </w:p>
    <w:p>
      <w:pPr>
        <w:spacing w:after="0" w:line="121" w:lineRule="exact"/>
        <w:rPr>
          <w:rFonts w:ascii="Times New Roman" w:cs="Times New Roman" w:eastAsia="Times New Roman" w:hAnsi="Times New Roman"/>
          <w:sz w:val="18"/>
          <w:szCs w:val="18"/>
          <w:color w:val="auto"/>
        </w:rPr>
      </w:pPr>
    </w:p>
    <w:p>
      <w:pPr>
        <w:ind w:left="820" w:right="70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subsidiary guarantors’ ability to satisfy obligations under our Credit Agreement (as defined below) and to comply with the covenants as set forth in the agreements governing our debt obligations;</w:t>
      </w:r>
    </w:p>
    <w:p>
      <w:pPr>
        <w:spacing w:after="0" w:line="121" w:lineRule="exact"/>
        <w:rPr>
          <w:rFonts w:ascii="Times New Roman" w:cs="Times New Roman" w:eastAsia="Times New Roman" w:hAnsi="Times New Roman"/>
          <w:sz w:val="18"/>
          <w:szCs w:val="18"/>
          <w:color w:val="auto"/>
        </w:rPr>
      </w:pPr>
    </w:p>
    <w:p>
      <w:pPr>
        <w:ind w:left="820" w:right="4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product candidates, and technology;</w:t>
      </w:r>
    </w:p>
    <w:p>
      <w:pPr>
        <w:spacing w:after="0" w:line="13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of others;</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revenues, expenses, capital requirements, annual cash utilization, and our needs for additional financing;</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or regulatory agreements, deferrals, approvals, and other decisions;</w:t>
      </w:r>
    </w:p>
    <w:p>
      <w:pPr>
        <w:spacing w:after="0" w:line="198" w:lineRule="exact"/>
        <w:rPr>
          <w:rFonts w:ascii="Times New Roman" w:cs="Times New Roman" w:eastAsia="Times New Roman" w:hAnsi="Times New Roman"/>
          <w:sz w:val="18"/>
          <w:szCs w:val="18"/>
          <w:color w:val="auto"/>
        </w:rPr>
      </w:pPr>
    </w:p>
    <w:p>
      <w:pPr>
        <w:ind w:left="820" w:right="4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liquidity needs, including our ability to raise additional capital, to fund our operations or repay our recourse debt obligations;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pacing w:after="0" w:line="19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technologies, and our industry.</w:t>
      </w:r>
    </w:p>
    <w:p>
      <w:pPr>
        <w:spacing w:after="0" w:line="18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“Risk Factors” in Part II, Item 1A, some of which are summarized in the “Risk Factor Summary” 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any of these statements or to publicly announce the results of any revisions to any forward-looking statements to reflect future events or developments, except as may be required by U.S. federal securities laws.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0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An investment in the Company involves risks. You should carefully read this entire report and consider the uncertainties and risks discussed in the “Risk Factors” section in Part II, Item 1A of this report, which may adversely affect our business, financial condition, or results of operations, along with the other information included in our other filings with the SEC, before making an investment decision in the Company. A summary of the principal factors that make an investment in the Company speculative or risky is set forth below.</w:t>
      </w:r>
    </w:p>
    <w:p>
      <w:pPr>
        <w:spacing w:after="0" w:line="139" w:lineRule="exact"/>
        <w:rPr>
          <w:sz w:val="20"/>
          <w:szCs w:val="20"/>
          <w:color w:val="auto"/>
        </w:rPr>
      </w:pPr>
    </w:p>
    <w:p>
      <w:pPr>
        <w:ind w:left="820" w:right="120" w:hanging="326"/>
        <w:spacing w:after="0" w:line="261"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novel coronavirus (“COVID-19”) pandemic could create challenges in all aspects of our business, including, without limitation, delays, stoppages, difficulties, and increased expenses with respect to our and our partners’ development, regulatory processes, and supply chains, negatively impact our ability to access the capital or credit markets to finance our operations, or have the effect of heightening many of the risks described below or in the “Risk Factors” section in Part II, Item 1A of this report.</w:t>
      </w:r>
    </w:p>
    <w:p>
      <w:pPr>
        <w:spacing w:after="0" w:line="13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since our inception, expect to continue to incur losses, and may never be profitable.</w:t>
      </w:r>
    </w:p>
    <w:p>
      <w:pPr>
        <w:spacing w:after="0" w:line="19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in the future. If we are unable to raise capital when needed, we may need to adjust our operations.</w:t>
      </w:r>
    </w:p>
    <w:p>
      <w:pPr>
        <w:spacing w:after="0" w:line="184" w:lineRule="exact"/>
        <w:rPr>
          <w:rFonts w:ascii="Times New Roman" w:cs="Times New Roman" w:eastAsia="Times New Roman" w:hAnsi="Times New Roman"/>
          <w:sz w:val="18"/>
          <w:szCs w:val="18"/>
          <w:color w:val="auto"/>
        </w:rPr>
      </w:pPr>
    </w:p>
    <w:p>
      <w:pPr>
        <w:ind w:left="820" w:right="180" w:hanging="326"/>
        <w:spacing w:after="0" w:line="254" w:lineRule="auto"/>
        <w:tabs>
          <w:tab w:leader="none" w:pos="81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success depends upon our ability to manage our product candidate pipeline, advance our product candidates through the various stages of development, especially through the clinical trial process, to receive and maintain regulatory approval for the commercial sale of our product candidates, and to successfully commercialize any approved products.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or take other actions that could materially impact the cost, timing, and success of our planned development strategies.</w:t>
      </w:r>
    </w:p>
    <w:p>
      <w:pPr>
        <w:spacing w:after="0" w:line="151" w:lineRule="exact"/>
        <w:rPr>
          <w:rFonts w:ascii="Times New Roman" w:cs="Times New Roman" w:eastAsia="Times New Roman" w:hAnsi="Times New Roman"/>
          <w:sz w:val="18"/>
          <w:szCs w:val="18"/>
          <w:i w:val="1"/>
          <w:iCs w:val="1"/>
          <w:color w:val="auto"/>
        </w:rPr>
      </w:pPr>
    </w:p>
    <w:p>
      <w:pPr>
        <w:ind w:left="820" w:right="60" w:hanging="326"/>
        <w:spacing w:after="0" w:line="258"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establish and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spacing w:after="0" w:line="156" w:lineRule="exact"/>
        <w:rPr>
          <w:rFonts w:ascii="Times New Roman" w:cs="Times New Roman" w:eastAsia="Times New Roman" w:hAnsi="Times New Roman"/>
          <w:sz w:val="18"/>
          <w:szCs w:val="18"/>
          <w:color w:val="auto"/>
        </w:rPr>
      </w:pPr>
    </w:p>
    <w:p>
      <w:pPr>
        <w:ind w:left="820" w:right="680" w:hanging="326"/>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additional financing or acceptable partnership arrangements as and when needed, we may be unable to complete the development and commercialization of our products and product candidates or continue operations.</w:t>
      </w:r>
    </w:p>
    <w:p>
      <w:pPr>
        <w:spacing w:after="0" w:line="121" w:lineRule="exact"/>
        <w:rPr>
          <w:rFonts w:ascii="Times New Roman" w:cs="Times New Roman" w:eastAsia="Times New Roman" w:hAnsi="Times New Roman"/>
          <w:sz w:val="18"/>
          <w:szCs w:val="18"/>
          <w:color w:val="auto"/>
        </w:rPr>
      </w:pPr>
    </w:p>
    <w:p>
      <w:pPr>
        <w:ind w:left="820" w:right="120" w:hanging="326"/>
        <w:spacing w:after="0" w:line="266"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viability of any approved product could be compromised if the product is less effective than expected, causes undesirable side effects that were not previously identified, or fails to achieve market acceptance by physicians, patients, third-party payors, health authorities, and others.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right="40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our or our partners’ commercialization efforts, methods, and strategies for our products or technologies will succeed, and our future revenue generation is uncertain.</w:t>
      </w:r>
    </w:p>
    <w:p>
      <w:pPr>
        <w:spacing w:after="0" w:line="134" w:lineRule="exact"/>
        <w:rPr>
          <w:rFonts w:ascii="Times New Roman" w:cs="Times New Roman" w:eastAsia="Times New Roman" w:hAnsi="Times New Roman"/>
          <w:sz w:val="18"/>
          <w:szCs w:val="18"/>
          <w:color w:val="auto"/>
        </w:rPr>
      </w:pPr>
    </w:p>
    <w:p>
      <w:pPr>
        <w:ind w:left="820" w:right="10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expanding our development and regulatory capabilities and implementing sales, marketing, and distribution capabilities, and as a result, we may encounter difficulties managing our growth, which could disrupt our operations.</w:t>
      </w:r>
    </w:p>
    <w:p>
      <w:pPr>
        <w:spacing w:after="0" w:line="121" w:lineRule="exact"/>
        <w:rPr>
          <w:rFonts w:ascii="Times New Roman" w:cs="Times New Roman" w:eastAsia="Times New Roman" w:hAnsi="Times New Roman"/>
          <w:sz w:val="18"/>
          <w:szCs w:val="18"/>
          <w:color w:val="auto"/>
        </w:rPr>
      </w:pPr>
    </w:p>
    <w:p>
      <w:pPr>
        <w:ind w:left="820" w:right="94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if we are unable to compete effectively, the demand for our products may be reduced. In addition, developments by others may render our products, product candidates, or technologies obsolete or noncompetitive.</w:t>
      </w:r>
    </w:p>
    <w:p>
      <w:pPr>
        <w:spacing w:after="0" w:line="121" w:lineRule="exact"/>
        <w:rPr>
          <w:rFonts w:ascii="Times New Roman" w:cs="Times New Roman" w:eastAsia="Times New Roman" w:hAnsi="Times New Roman"/>
          <w:sz w:val="18"/>
          <w:szCs w:val="18"/>
          <w:color w:val="auto"/>
        </w:rPr>
      </w:pPr>
    </w:p>
    <w:p>
      <w:pPr>
        <w:ind w:left="820" w:right="60" w:hanging="326"/>
        <w:spacing w:after="0" w:line="258"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and develop our products and product candidates, obtain collaborators, and raise capital.</w:t>
      </w:r>
    </w:p>
    <w:p>
      <w:pPr>
        <w:spacing w:after="0" w:line="156" w:lineRule="exact"/>
        <w:rPr>
          <w:rFonts w:ascii="Times New Roman" w:cs="Times New Roman" w:eastAsia="Times New Roman" w:hAnsi="Times New Roman"/>
          <w:sz w:val="18"/>
          <w:szCs w:val="18"/>
          <w:color w:val="auto"/>
        </w:rPr>
      </w:pPr>
    </w:p>
    <w:p>
      <w:pPr>
        <w:ind w:left="820" w:right="280" w:hanging="326"/>
        <w:spacing w:after="0" w:line="266"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adequately protect or enforce our intellectual property rights or secure rights to patents of others, the value of those rights would diminish. Legal proceedings to protect or enforce our patents, the patents of our partners, or our other intellectual property rights could be expensive, time consuming, and unsuccessful.</w:t>
      </w:r>
    </w:p>
    <w:p>
      <w:pPr>
        <w:spacing w:after="0" w:line="135"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 inherent risk of liability in the event that the use or misuse of our products or product candidates results in personal injury or death, and our product liability insurance coverage may be insufficient.</w:t>
      </w:r>
    </w:p>
    <w:p>
      <w:pPr>
        <w:spacing w:after="0" w:line="121" w:lineRule="exact"/>
        <w:rPr>
          <w:rFonts w:ascii="Times New Roman" w:cs="Times New Roman" w:eastAsia="Times New Roman" w:hAnsi="Times New Roman"/>
          <w:sz w:val="18"/>
          <w:szCs w:val="18"/>
          <w:color w:val="auto"/>
        </w:rPr>
      </w:pPr>
    </w:p>
    <w:p>
      <w:pPr>
        <w:jc w:val="both"/>
        <w:ind w:left="820" w:right="200" w:hanging="326"/>
        <w:spacing w:after="0" w:line="266"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our government-funded programs and are subject to various U.S. Government contract requirements, which typically contain a number of extraordinary provisions that would not typically be found in commercial contracts and which may create a disadvantage and additional risks to us as compared to competitors that do not rely on U.S. Government contracts.</w:t>
      </w:r>
    </w:p>
    <w:p>
      <w:pPr>
        <w:spacing w:after="0" w:line="148" w:lineRule="exact"/>
        <w:rPr>
          <w:rFonts w:ascii="Times New Roman" w:cs="Times New Roman" w:eastAsia="Times New Roman" w:hAnsi="Times New Roman"/>
          <w:sz w:val="18"/>
          <w:szCs w:val="18"/>
          <w:color w:val="auto"/>
        </w:rPr>
      </w:pPr>
    </w:p>
    <w:p>
      <w:pPr>
        <w:ind w:left="820" w:right="42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reach milestones or to make annual minimum payments or otherwise breach our obligations under our license agreements, our licensors may terminate our agreements with them and seek additional remedies.</w:t>
      </w:r>
    </w:p>
    <w:p>
      <w:pPr>
        <w:spacing w:after="0" w:line="121" w:lineRule="exact"/>
        <w:rPr>
          <w:rFonts w:ascii="Times New Roman" w:cs="Times New Roman" w:eastAsia="Times New Roman" w:hAnsi="Times New Roman"/>
          <w:sz w:val="18"/>
          <w:szCs w:val="18"/>
          <w:color w:val="auto"/>
        </w:rPr>
      </w:pPr>
    </w:p>
    <w:p>
      <w:pPr>
        <w:ind w:left="820" w:right="320" w:hanging="326"/>
        <w:spacing w:after="0" w:line="266"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Agreement contains conditions and restrictions that limit our flexibility in operating our business. We may be required to make a prepayment or repay our outstanding indebtedness under the Credit Agreement earlier than we expect if a prepayment event or an event of default occurs, including a material adverse change with respect to us, which could have a material adverse effect on our business.</w:t>
      </w:r>
    </w:p>
    <w:p>
      <w:pPr>
        <w:spacing w:after="0" w:line="135" w:lineRule="exact"/>
        <w:rPr>
          <w:rFonts w:ascii="Times New Roman" w:cs="Times New Roman" w:eastAsia="Times New Roman" w:hAnsi="Times New Roman"/>
          <w:sz w:val="18"/>
          <w:szCs w:val="18"/>
          <w:color w:val="auto"/>
        </w:rPr>
      </w:pPr>
    </w:p>
    <w:p>
      <w:pPr>
        <w:ind w:left="820" w:right="200" w:hanging="326"/>
        <w:spacing w:after="0" w:line="258"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of our business exposes us to business, legal, regulatory, political, operational, financial, and economic risks. For example, our actual or perceived failure to comply with European governmental laws and regulations and other obligations related to privacy, data protection, and information security could harm our business. In addition, the United Kingdom’s withdrawal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5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facilities incur damage or power is lost for a significant length of time, our business will suffer.</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disruption in our information technology systems or a cybersecurity breach could adversely affect our business.</w:t>
      </w:r>
    </w:p>
    <w:p>
      <w:pPr>
        <w:spacing w:after="0" w:line="184"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principal stockholders hold a substantial amount of our common stock and may be able to influence significant corporate decisions, which may conflict with the interests of other stockholders.</w:t>
      </w:r>
    </w:p>
    <w:p>
      <w:pPr>
        <w:spacing w:after="0" w:line="134"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is likely to continue to be, highly volatile, which could cause the value of an investment in our common stock to decline significantly.</w:t>
      </w:r>
    </w:p>
    <w:p>
      <w:pPr>
        <w:spacing w:after="0" w:line="121" w:lineRule="exact"/>
        <w:rPr>
          <w:rFonts w:ascii="Times New Roman" w:cs="Times New Roman" w:eastAsia="Times New Roman" w:hAnsi="Times New Roman"/>
          <w:sz w:val="18"/>
          <w:szCs w:val="18"/>
          <w:color w:val="auto"/>
        </w:rPr>
      </w:pPr>
    </w:p>
    <w:p>
      <w:pPr>
        <w:ind w:left="820" w:right="100" w:hanging="326"/>
        <w:spacing w:after="0" w:line="266"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 or pandemic disease outbreaks, trade wars, armed conflicts, political unrest, or other events could disrupt our business or operations or those of our development partners, manufacturers, regulators, or third parties with whom we conduct business now or in the future.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hanging="326"/>
        <w:spacing w:after="0"/>
        <w:tabs>
          <w:tab w:leader="none" w:pos="8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legal proceedings, which could harm our reputation or result in other losses or unexpected expenditure of time and resources.</w:t>
      </w:r>
    </w:p>
    <w:p>
      <w:pPr>
        <w:spacing w:after="0" w:line="209" w:lineRule="exact"/>
        <w:rPr>
          <w:rFonts w:ascii="Times New Roman" w:cs="Times New Roman" w:eastAsia="Times New Roman" w:hAnsi="Times New Roman"/>
          <w:sz w:val="17"/>
          <w:szCs w:val="17"/>
          <w:color w:val="auto"/>
        </w:rPr>
      </w:pPr>
    </w:p>
    <w:p>
      <w:pPr>
        <w:ind w:left="820" w:right="120" w:hanging="326"/>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6"/>
        </w:trPr>
        <w:tc>
          <w:tcPr>
            <w:tcW w:w="1280" w:type="dxa"/>
            <w:vAlign w:val="bottom"/>
            <w:tcBorders>
              <w:top w:val="single" w:sz="8" w:color="0000FF"/>
            </w:tcBorders>
          </w:tcPr>
          <w:p>
            <w:pPr>
              <w:spacing w:after="0"/>
              <w:rPr>
                <w:sz w:val="24"/>
                <w:szCs w:val="24"/>
                <w:color w:val="auto"/>
              </w:rPr>
            </w:pPr>
          </w:p>
        </w:tc>
        <w:tc>
          <w:tcPr>
            <w:tcW w:w="68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80" w:type="dxa"/>
            <w:vAlign w:val="bottom"/>
          </w:tcPr>
          <w:p>
            <w:pPr>
              <w:spacing w:after="0"/>
              <w:rPr>
                <w:sz w:val="24"/>
                <w:szCs w:val="24"/>
                <w:color w:val="auto"/>
              </w:rPr>
            </w:pPr>
          </w:p>
        </w:tc>
        <w:tc>
          <w:tcPr>
            <w:tcW w:w="68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80" w:type="dxa"/>
            <w:vAlign w:val="bottom"/>
          </w:tcPr>
          <w:p>
            <w:pPr>
              <w:spacing w:after="0"/>
              <w:rPr>
                <w:sz w:val="24"/>
                <w:szCs w:val="24"/>
                <w:color w:val="auto"/>
              </w:rPr>
            </w:pPr>
          </w:p>
        </w:tc>
        <w:tc>
          <w:tcPr>
            <w:tcW w:w="680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680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246,899</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504,389</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29,413</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15,791</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0" w:type="dxa"/>
            <w:vAlign w:val="bottom"/>
          </w:tcPr>
          <w:p>
            <w:pPr>
              <w:spacing w:after="0"/>
              <w:rPr>
                <w:sz w:val="1"/>
                <w:szCs w:val="1"/>
                <w:color w:val="auto"/>
              </w:rPr>
            </w:pPr>
          </w:p>
        </w:tc>
      </w:tr>
      <w:tr>
        <w:trPr>
          <w:trHeight w:val="223"/>
        </w:trPr>
        <w:tc>
          <w:tcPr>
            <w:tcW w:w="8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566,136</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0" w:type="dxa"/>
            <w:vAlign w:val="bottom"/>
          </w:tcPr>
          <w:p>
            <w:pPr>
              <w:spacing w:after="0"/>
              <w:rPr>
                <w:sz w:val="1"/>
                <w:szCs w:val="1"/>
                <w:color w:val="auto"/>
              </w:rPr>
            </w:pPr>
          </w:p>
        </w:tc>
      </w:tr>
      <w:tr>
        <w:trPr>
          <w:trHeight w:val="223"/>
        </w:trPr>
        <w:tc>
          <w:tcPr>
            <w:tcW w:w="8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558,594</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588,151</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6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27,808</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72,670</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Lease financing obligation</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103,718</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financing obligation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financing obligations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449,375</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Secured term loan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136,082</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shares authorized - 5,000; no shares issued and outstanding</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$0.01 par value; shares authorized - 450,000; shares issued and outstanding – 186,411 as of</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2022 and 184,350 as of December 31, 2021</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1,138,654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1,098,498</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(1,383,079)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(1,207,504)</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(106,986)</w:t>
            </w:r>
          </w:p>
        </w:tc>
        <w:tc>
          <w:tcPr>
            <w:tcW w:w="0" w:type="dxa"/>
            <w:vAlign w:val="bottom"/>
          </w:tcPr>
          <w:p>
            <w:pPr>
              <w:spacing w:after="0"/>
              <w:rPr>
                <w:sz w:val="1"/>
                <w:szCs w:val="1"/>
                <w:color w:val="auto"/>
              </w:rPr>
            </w:pPr>
          </w:p>
        </w:tc>
      </w:tr>
      <w:tr>
        <w:trPr>
          <w:trHeight w:val="223"/>
        </w:trPr>
        <w:tc>
          <w:tcPr>
            <w:tcW w:w="8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558,594</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588,151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98"/>
        </w:trPr>
        <w:tc>
          <w:tcPr>
            <w:tcW w:w="1280" w:type="dxa"/>
            <w:vAlign w:val="bottom"/>
            <w:tcBorders>
              <w:top w:val="single" w:sz="8" w:color="0000FF"/>
            </w:tcBorders>
          </w:tcPr>
          <w:p>
            <w:pPr>
              <w:spacing w:after="0"/>
              <w:rPr>
                <w:sz w:val="24"/>
                <w:szCs w:val="24"/>
                <w:color w:val="auto"/>
              </w:rPr>
            </w:pPr>
          </w:p>
        </w:tc>
        <w:tc>
          <w:tcPr>
            <w:tcW w:w="2420" w:type="dxa"/>
            <w:vAlign w:val="bottom"/>
          </w:tcPr>
          <w:p>
            <w:pPr>
              <w:spacing w:after="0"/>
              <w:rPr>
                <w:sz w:val="24"/>
                <w:szCs w:val="24"/>
                <w:color w:val="auto"/>
              </w:rPr>
            </w:pPr>
          </w:p>
        </w:tc>
        <w:tc>
          <w:tcPr>
            <w:tcW w:w="4440" w:type="dxa"/>
            <w:vAlign w:val="bottom"/>
            <w:gridSpan w:val="7"/>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7"/>
        </w:trPr>
        <w:tc>
          <w:tcPr>
            <w:tcW w:w="1280" w:type="dxa"/>
            <w:vAlign w:val="bottom"/>
          </w:tcPr>
          <w:p>
            <w:pPr>
              <w:spacing w:after="0"/>
              <w:rPr>
                <w:sz w:val="24"/>
                <w:szCs w:val="24"/>
                <w:color w:val="auto"/>
              </w:rPr>
            </w:pPr>
          </w:p>
        </w:tc>
        <w:tc>
          <w:tcPr>
            <w:tcW w:w="7020" w:type="dxa"/>
            <w:vAlign w:val="bottom"/>
            <w:gridSpan w:val="9"/>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3"/>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40" w:type="dxa"/>
            <w:vAlign w:val="bottom"/>
            <w:gridSpan w:val="7"/>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data-Unaudited)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4"/>
                <w:szCs w:val="24"/>
                <w:color w:val="auto"/>
              </w:rPr>
            </w:pPr>
          </w:p>
        </w:tc>
        <w:tc>
          <w:tcPr>
            <w:tcW w:w="29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128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189,647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90,442</w:t>
            </w: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Milestone revenue</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Collaborative and other research and development</w:t>
            </w:r>
          </w:p>
        </w:tc>
        <w:tc>
          <w:tcPr>
            <w:tcW w:w="1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r>
      <w:tr>
        <w:trPr>
          <w:trHeight w:val="223"/>
        </w:trPr>
        <w:tc>
          <w:tcPr>
            <w:tcW w:w="3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110,012</w:t>
            </w: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w:t>
            </w: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145,279</w:t>
            </w: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83,431</w:t>
            </w: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w:t>
            </w:r>
          </w:p>
        </w:tc>
        <w:tc>
          <w:tcPr>
            <w:tcW w:w="1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3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235,555</w:t>
            </w: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(125,543)</w:t>
            </w: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(40,514)</w:t>
            </w:r>
          </w:p>
        </w:tc>
      </w:tr>
      <w:tr>
        <w:trPr>
          <w:trHeight w:val="230"/>
        </w:trPr>
        <w:tc>
          <w:tcPr>
            <w:tcW w:w="3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losses, net</w:t>
            </w:r>
          </w:p>
        </w:tc>
        <w:tc>
          <w:tcPr>
            <w:tcW w:w="1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(166,283)</w:t>
            </w:r>
          </w:p>
        </w:tc>
      </w:tr>
      <w:tr>
        <w:trPr>
          <w:trHeight w:val="223"/>
        </w:trPr>
        <w:tc>
          <w:tcPr>
            <w:tcW w:w="3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(166,283)</w:t>
            </w: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available for sale investments</w:t>
            </w:r>
          </w:p>
        </w:tc>
        <w:tc>
          <w:tcPr>
            <w:tcW w:w="1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(166,172)</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128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(0.93)</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49"/>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186,180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179,106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185,566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178,199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898"/>
        </w:trPr>
        <w:tc>
          <w:tcPr>
            <w:tcW w:w="1280" w:type="dxa"/>
            <w:vAlign w:val="bottom"/>
            <w:tcBorders>
              <w:top w:val="single" w:sz="8" w:color="0000FF"/>
            </w:tcBorders>
          </w:tcPr>
          <w:p>
            <w:pPr>
              <w:spacing w:after="0"/>
              <w:rPr>
                <w:sz w:val="24"/>
                <w:szCs w:val="24"/>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1280" w:type="dxa"/>
            <w:vAlign w:val="bottom"/>
          </w:tcPr>
          <w:p>
            <w:pPr>
              <w:spacing w:after="0"/>
              <w:rPr>
                <w:sz w:val="24"/>
                <w:szCs w:val="24"/>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3"/>
        </w:trPr>
        <w:tc>
          <w:tcPr>
            <w:tcW w:w="1280" w:type="dxa"/>
            <w:vAlign w:val="bottom"/>
          </w:tcPr>
          <w:p>
            <w:pPr>
              <w:spacing w:after="0"/>
              <w:rPr>
                <w:sz w:val="24"/>
                <w:szCs w:val="24"/>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(In thousands-Unaudited)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1280" w:type="dxa"/>
            <w:vAlign w:val="bottom"/>
            <w:tcBorders>
              <w:bottom w:val="single" w:sz="8" w:color="CCEEFF"/>
            </w:tcBorders>
          </w:tcPr>
          <w:p>
            <w:pPr>
              <w:spacing w:after="0"/>
              <w:rPr>
                <w:sz w:val="19"/>
                <w:szCs w:val="19"/>
                <w:color w:val="auto"/>
              </w:rPr>
            </w:pPr>
          </w:p>
        </w:tc>
        <w:tc>
          <w:tcPr>
            <w:tcW w:w="69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(175,575)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(166,283)</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26,140</w:t>
            </w:r>
          </w:p>
        </w:tc>
      </w:tr>
      <w:tr>
        <w:trPr>
          <w:trHeight w:val="184"/>
        </w:trPr>
        <w:tc>
          <w:tcPr>
            <w:tcW w:w="818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Non-cash interest expense on royalty financing obligations and secured term loan and amortization of debt</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36,440</w:t>
            </w: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premium/discount on investments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(17,579)</w:t>
            </w:r>
          </w:p>
        </w:tc>
      </w:tr>
      <w:tr>
        <w:trPr>
          <w:trHeight w:val="23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16,692</w:t>
            </w: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payable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r>
      <w:tr>
        <w:trPr>
          <w:trHeight w:val="229"/>
        </w:trPr>
        <w:tc>
          <w:tcPr>
            <w:tcW w:w="8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2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(109,698)</w:t>
            </w:r>
          </w:p>
        </w:tc>
      </w:tr>
      <w:tr>
        <w:trPr>
          <w:trHeight w:val="229"/>
        </w:trPr>
        <w:tc>
          <w:tcPr>
            <w:tcW w:w="81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 of property and equipment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investments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28,201</w:t>
            </w:r>
          </w:p>
        </w:tc>
      </w:tr>
      <w:tr>
        <w:trPr>
          <w:trHeight w:val="22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26,924</w:t>
            </w:r>
          </w:p>
        </w:tc>
      </w:tr>
      <w:tr>
        <w:trPr>
          <w:trHeight w:val="229"/>
        </w:trPr>
        <w:tc>
          <w:tcPr>
            <w:tcW w:w="81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proceeds from common stock issued under stock-based compensation plans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from secured term loans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12,250</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128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(70,455)</w:t>
            </w: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274,348</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203,893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BIOCRYST PHARMACEUTICALS,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6"/>
                <w:szCs w:val="16"/>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15"/>
                <w:szCs w:val="15"/>
                <w:color w:val="auto"/>
              </w:rPr>
            </w:pPr>
          </w:p>
        </w:tc>
        <w:tc>
          <w:tcPr>
            <w:tcW w:w="16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tcPr>
          <w:p>
            <w:pPr>
              <w:spacing w:after="0"/>
              <w:rPr>
                <w:sz w:val="19"/>
                <w:szCs w:val="19"/>
                <w:color w:val="auto"/>
              </w:rPr>
            </w:pP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1,098,498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(1,207,504)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(106,986)</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84"/>
        </w:trPr>
        <w:tc>
          <w:tcPr>
            <w:tcW w:w="35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Employee stock purchase plan sales, 115</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net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 1,108 shares,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1,115,443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(1,281,700)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(164,215)</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(58,859)</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 253 shares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 51 shares, net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9,865</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1,125,453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(1,340,559)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(213,232)</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(42,520)</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84"/>
        </w:trPr>
        <w:tc>
          <w:tcPr>
            <w:tcW w:w="35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Employee stock purchase plan sales, 145</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net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 390 shares,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1,138,654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(1,383,079)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(242,659)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6"/>
                <w:szCs w:val="16"/>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15"/>
                <w:szCs w:val="15"/>
                <w:color w:val="auto"/>
              </w:rPr>
            </w:pPr>
          </w:p>
        </w:tc>
        <w:tc>
          <w:tcPr>
            <w:tcW w:w="16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tcPr>
          <w:p>
            <w:pPr>
              <w:spacing w:after="0"/>
              <w:rPr>
                <w:sz w:val="19"/>
                <w:szCs w:val="19"/>
                <w:color w:val="auto"/>
              </w:rPr>
            </w:pP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1,002,408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(1,023,442)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(19,262)</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(64,284)</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184"/>
        </w:trPr>
        <w:tc>
          <w:tcPr>
            <w:tcW w:w="35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Employee stock purchase plan sales, 193</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net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 593 shares,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1,777</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1,010,779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(1,087,726)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(74,988)</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1,056 shares,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1,022,975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(1,130,924)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(106,075)</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(58,801)</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4"/>
        </w:trPr>
        <w:tc>
          <w:tcPr>
            <w:tcW w:w="35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Employee stock purchase plan sales, 123</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net</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942 shares,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13,029</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1,040,769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(1,189,725)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(147,044)</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BIOCRYST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Significant Accounting Policies and Concentrations of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8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BioCryst Pharmaceuticals, Inc. (the “Company”) is a commercial-stage biotechnology company that discovers novel, oral, small-molecule medicines. The Company focuses on the treatment of rare diseases in which significant unmet medical needs exist and an enzyme plays the key role in the biological pathway of the disease. The Company was founded in 1986 and incorporated in Delaware in 1991, and its headquarters is located in Durham, North Carolina. The Company integrates the disciplines of biology, crystallography, medicinal chemistry and computer modeling to discover and develop small molecule pharmaceuticals through the process known as structure-guided drug design.</w:t>
      </w:r>
    </w:p>
    <w:p>
      <w:pPr>
        <w:spacing w:after="0" w:line="15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Company’s marketed products include oral, once-daily ORLADEYO® for the prevention of hereditary angioedema (“HAE”) attacks and RAPIVAB® (peramivir injection) for the treatment of acute uncomplicated influenza in the United States. ORLADEYO received regulatory approval in the United States in December 2020. ORLADEYO has also received regulatory approvals in multiple global markets. The Company is commercializing ORLADEYO in each of these territories directly or through distributors, except in Japan where Torii Pharmaceutical Co., Ltd., the Company’s collaborative partner, has the exclusive right to commercialize ORLADEYO for the prevention of HAE attacks in exchange for certain milestone and royalty payments to the Company. In addition to its approval in the United States, peramivir injection has received regulatory approvals in Canada, Australia, Japan, Taiwan and Korea.</w:t>
      </w:r>
    </w:p>
    <w:p>
      <w:pPr>
        <w:spacing w:after="0" w:line="148"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Based on the Company’s expectations for revenue and operating expenses, the Company believes its financial resources available at September 30, 2022 will be sufficient to fund its operations for at least the next 12 months. The Company has sustained operating losses for the majority of its corporate history and expects that its 2022 expenses will exceed its 2022 revenues. The Company expects to continue to incur operating losses and negative cash flows until revenues reach a level sufficient to support ongoing operations. The Company’s liquidity needs will be largely determined by the success of operations in regard to the successful commercialization of its products and the progression of its product candidates in the future. The Company regularly evaluates other opportunities to fund future operations, including: (1) securing or increasing U.S. Government funding of its programs, including obtaining procurement contracts; (2) out-licensing rights to certain of its products or product candidates, pursuant to which the Company would receive cash milestone payments;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one or more research and development programs, including by discontinuing development; and/or (6) restructuring operations to change its overhead structure. The Company may issue securities, including common stock, preferred stock, depositary shares, purchase contracts, warrants, debt securities and units, through private placement transactions or registered public offerings in the future. The Company’s future liquidity needs, and ability to address those needs, will largely be determined by the success of its products and product candidates; the timing, scope and magnitude of its research and development and commercial expenses; and key developments and regulatory events and its decisions in the future.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intercompany transactions and balances among the consolidated entities have been eliminated from the consolidated financial statements.</w:t>
      </w:r>
    </w:p>
    <w:p>
      <w:pPr>
        <w:spacing w:after="0" w:line="12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accounting principles generally accepted in the United States (“U.S. GAAP”) for interim financial reporting and the instructions to Form 10-Q and do not include all of the information and footnotes required by U.S. GAAP for complete financial statements. Such financial statements reflect all adjustments that are, in management’s opinion, necessary to present fairly, in all material respects, the Company’s consolidated financial position, results of operations, and cash flows. There were no adjustments other than normal recurring adjustments.</w:t>
      </w:r>
    </w:p>
    <w:p>
      <w:pPr>
        <w:spacing w:after="0" w:line="143"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financial statements for the year ended December 31, 2021 and the notes thereto included in the Company’s 2021 Annual Report on Form 10-K. Interim operating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results are not necessarily indicative of operating results for the full year. The balance sheet as of December 31, 2021 has been derived from the audited consolidated financial statements included in the Company’s most recent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revenues and expenses, and related disclosure of contingent assets and liabilities. The most significant estimates in the Company’s consolidated financial statements relate to the valuation of stock options, the ORLADEYO and Factor D inhibitors royalty financing obligations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Pursuant to Accounting Standards Codification (“ASC”) 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43"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00"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Company’s principal sources of product sales are sales of ORLADEYO, which the Company began shipping to patients in December 2020, sales of peramivir to the Company’s licensing partners and sales of RAPIVAB to the U.S. Department of Health and Human Services (“HHS”) under the Company’s procurement contract. In the United States, the Company ships ORLADEYO directly to patients through a single specialty pharmacy, which is considered its customer. In the European Union, United Kingdom and elsewhere, the Company sells ORLADEYO to specialty distributors as well as hospitals and pharmacies, which collectively are considered its customers.</w:t>
      </w:r>
    </w:p>
    <w:p>
      <w:pPr>
        <w:spacing w:after="0" w:line="143"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recognizes revenue for sales when its customers obtain control of the product, which generally occurs upon delivery. For ORLADEYO, the Company classifies payments to its specialty pharmacy customer for certain services provided by its customer as selling, general and administrative expenses to the extent such services provided are determined to be distinct from the sale of its product.</w:t>
      </w:r>
    </w:p>
    <w:p>
      <w:pPr>
        <w:spacing w:after="0" w:line="135"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 reflect the Company’s best estimates of the amount of consideration to which it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5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Government and Managed Care Rebates</w:t>
      </w:r>
      <w:r>
        <w:rPr>
          <w:rFonts w:ascii="Times New Roman" w:cs="Times New Roman" w:eastAsia="Times New Roman" w:hAnsi="Times New Roman"/>
          <w:sz w:val="18"/>
          <w:szCs w:val="18"/>
          <w:color w:val="auto"/>
        </w:rPr>
        <w:t>. The Company contracts with government agencies and managed care organizations or, collectively, 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These reserves are recorded in the same period in which the revenue is recognized, resulting in a reduction of product revenue and the</w:t>
      </w: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establishment of a current liability. The Company estimates the rebates that it will provide to third-party payors based upon (i) the Company's contracts with these third-party payors, (ii) the government mandated discounts applicable to government-funded programs, (iii) a range of possible outcomes that are probability-weighted for the estimated payor mix, and (iv) product distribution information obtained from the Company's specialty pharmacy.</w:t>
      </w:r>
    </w:p>
    <w:p>
      <w:pPr>
        <w:spacing w:after="0" w:line="147"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Chargebacks are discounts that occur when certain contracted customers, pharmacy benefit managers, insurance companies,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programs purchase directly from the Company’s specialty pharmacy. These customers purchase the Company’s product under contracts negotiated between them and the Company’s specialty pharmacy. The specialty pharmacy, in turn, charges back to the Company the difference between the price the specialty pharmacy paid and the negotiated price paid by the contracted customers, which may be higher or lower than the specialty pharmacy’s purchase price from the Company. The Company estimates chargebacks and adjusts gross product revenues and accounts receivable based on the estimates at the time revenues are recognized.</w:t>
      </w:r>
    </w:p>
    <w:p>
      <w:pPr>
        <w:spacing w:after="0" w:line="142" w:lineRule="exact"/>
        <w:rPr>
          <w:sz w:val="20"/>
          <w:szCs w:val="20"/>
          <w:color w:val="auto"/>
        </w:rPr>
      </w:pPr>
    </w:p>
    <w:p>
      <w:pPr>
        <w:ind w:right="8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Co-payment assistance and patient assistance programs</w:t>
      </w:r>
      <w:r>
        <w:rPr>
          <w:rFonts w:ascii="Times New Roman" w:cs="Times New Roman" w:eastAsia="Times New Roman" w:hAnsi="Times New Roman"/>
          <w:sz w:val="18"/>
          <w:szCs w:val="18"/>
          <w:color w:val="auto"/>
        </w:rPr>
        <w:t>. 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Based upon the terms of the program and co-payment assistance utilization reports received from the specialty pharmacy, the Company is able to estimate the co-payment assistance amounts, which are recorded in the same period in which the related revenue is recognized, resulting in a reduction of product revenue. The Company also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spacing w:after="0" w:line="142"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 The Company does not provide contractual return rights to its customers, except in instances where the product is damaged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and Other Research and Development Arrangements and Royalties</w:t>
      </w:r>
    </w:p>
    <w:p>
      <w:pPr>
        <w:spacing w:after="0" w:line="187"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has collaboration and license agreements with a number of third parties, as well as research and development agreements with certain government entities. The Company’s primary sources of revenue from these collaborative and other research and development arrangements are license, service and royalty revenues.</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from license fees, royalty payments, milestone payments, and research and development fees are recognized as revenue when the earnings process is complete and the Company has no further continuing performance obligations or the Company has completed the performance obligations under the terms of the agreement.</w:t>
      </w:r>
    </w:p>
    <w:p>
      <w:pPr>
        <w:spacing w:after="0" w:line="14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Arrangements that involve the delivery of more than one performance obligation are initially evaluated as to whether the intellectual property licenses granted by the Company represent distinct performance obligations. If they are determined to be distinct, the value of the intellectual property licenses would be recognized up front while the research and development service fees would be recognized as the performance obligations are satisfied. For performance obligations based on services performed, the Company measures progress using an input method based on the effort it expends or costs it incurs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using either an adjusted market assessment approach or an expected cost plus margin approach, representing the amount that the Company believes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57"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Milestone payments are recognized as licensing revenue upon the achievement of specified milestones if (i) the milestone is substantive in nature and the achievement of the milestone was not probable at the inception of the agreement</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and (ii) the Company has a right to payment. Any milestone payments received prior to satisfying these revenue recognition criteria are recorded as deferred revenue.</w:t>
      </w:r>
    </w:p>
    <w:p>
      <w:pPr>
        <w:spacing w:after="0" w:line="135"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Reimbursements received for direct out-of-pocket expenses related to research and development costs are recorded as revenue in the Consolidated Statements of Comprehensive Loss rather than as a reduction in expenses. Under the Company’s contracts with the Biomedical Advanced Research and Development Authority within the HHS (“BARDA/HHS”) and the National Institute of Allergy and Infectious Diseases (“NIAID/HHS”), revenue is recognized as reimbursable direct and indirect costs are incurred.</w:t>
      </w:r>
    </w:p>
    <w:p>
      <w:pPr>
        <w:spacing w:after="0" w:line="13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generally considers cash equivalents to be all cash held in commercial checking accounts, certificates of deposit, money market accounts or investments in debt instruments with maturities of three months or less at the time of purchase. The carrying value of cash and cash equivalents approximates fair value due to the short-term nature of these items.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Restricted cash of $21 and $1,924 as of September 30, 2022 and December 31, 2021, respectively, reflects royalty revenue paid by Shionogi designated for interest on the PhaRMA Notes (defined in Note 6). Additionally, restricted cash of $1,423 and $1,421 as of September 30, 2022 and December 31, 2021, respectively, reflects collateral for a letter of credit the Company is required to maintain associated with the lease execution and build-out of its Birmingham research facilities.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8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Company invests in high credit quality investments in accordance with its investment policy, which is designed to minimize the possibility of loss. The objective of the Company’s investment policy is to ensure the safety and preservation of invested funds, as well as maintaining liquidity sufficient to meet cash flow requirements. The Company places its excess cash with high credit quality financial institutions, commercial companies, and government agencies in order to limit the amount of its credit exposure. In accordance with its policy, the Company is able to invest in marketable debt securities that may consist of U.S. Government and government agency securities, money market and mutual fund investments, certificates of deposits, municipal and corporate notes and bonds, and commercial paper, among others. The Company’s investment policy requires it to purchase high-quality marketable securities with a maximum individual maturity of three years and requires an average portfolio maturity of no more than 12 months. Some of the securities in which the Company invests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Generally, the Company’s investments are not collateralized. The Company has not realized any significant losses from its investments.</w:t>
      </w:r>
    </w:p>
    <w:p>
      <w:pPr>
        <w:spacing w:after="0" w:line="149"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The Company classifies all of its investments as available-for-sale. Unrealized gains and losses on investments are recognized in comprehensive 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interest and other income in the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 At September 30, 2022, the Company believes that the cost of its investments is recoverable in all material respects.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w:t>
      </w:r>
    </w:p>
    <w:p>
      <w:pPr>
        <w:spacing w:after="0" w:line="20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majority of the Company’s trade receivables arise from product sales and primarily represent amounts due from its specialty pharmacy customer in the United States and other third-party distributors, hospitals and pharmacies in the European Union, United Kingdom and elsewhere and have standard payment terms that generally require payment within 30 to 90 days.</w:t>
      </w:r>
    </w:p>
    <w:p>
      <w:pPr>
        <w:spacing w:after="0" w:line="135"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Receivables from collaborations are recorded for amounts due to the Company related to reimbursable research and development costs from the HHS, and royalty receivables from the Company’s partners, including Shionogi, Green Cross, and Torii.</w:t>
      </w:r>
    </w:p>
    <w:p>
      <w:pPr>
        <w:spacing w:after="0" w:line="121"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Monthly invoices are submitted to HHS related to reimbursable research and development costs. The Company is also entitled to monthly reimbursement of indirect costs based on rates stipulated in the underlying contract. The Company’s calculations of its indirect cost rates are subject to audit by the U.S. Government.</w:t>
      </w:r>
    </w:p>
    <w:p>
      <w:pPr>
        <w:spacing w:after="0" w:line="14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Company does not adjust its receivables for the effects of a significant financing component at contract inception if it expects to collect the receivables in one year or less from the time of sale.</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Company provides reserves against trade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0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values its inventories at the lower of cost or estimated net realizable value. The Company determines the cost of its inventories, which includes amounts related to materials, labor, manufacturing overhead and shipping and handling costs on a first-in, first-out (FIFO) basis. Raw materials and work-in-process include all inventory costs prior to packaging and labelling, including raw material, active product ingredient, and the drug product. Finished goods include packaged and labelled products.</w:t>
      </w:r>
    </w:p>
    <w:p>
      <w:pPr>
        <w:spacing w:after="0" w:line="13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Company’s inventories are subject to expiration dating. The Company regularly evaluates the carrying value of its inventories and provides valuation reserves for any estimated obsolete, short-dated or unmarketable inventories. In addition, the Company may experience spoilage of its raw materials and supplies. The Company’s determination that a valuation reserve might be required, in addition to the quantification of such reserve, requires it to utilize significant judgment.</w:t>
      </w:r>
    </w:p>
    <w:p>
      <w:pPr>
        <w:spacing w:after="0" w:line="13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expenses costs related to the production of inventories as research and development expenses in the period incurred until such time it is believed that future economic benefit is expected to be recognized, which generally is reliant upon receipt of regulatory approval. Upon regulatory approval, the Company capitalizes subsequent costs related to the production of inventories.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89"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computed using the straight-line method over the estimated useful lives of the assets. Computer equipment is depreciated over a life of three years. Laboratory equipment, office equipment, and software are depreciated over a life of five years. Furniture and fixtures are depreciated over a life of seven years. Leasehold improvements are amortized over their estimated useful lives or the expected lease term, whichever is less.</w:t>
      </w:r>
    </w:p>
    <w:p>
      <w:pPr>
        <w:spacing w:after="0" w:line="13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In accordance with U.S. GAAP, 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02"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The Company generally enters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level of service performed and the associated cost incurred for the service when the Company has not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 The Company periodically confirms the accuracy of its estimates with the service providers and makes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the Company’s raw materials, drug substance, drug products, and product candidates; and (iv) professional fees.</w:t>
      </w:r>
    </w:p>
    <w:p>
      <w:pPr>
        <w:spacing w:after="0" w:line="14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expended in each period. If the actual timing of the performance of services or the level of effort varies from the estimate, the Company will adjust the accrual accordingly. As of September 30, 2022 and December 31, 2021, the carrying value of accrued expenses approximates their fair value due to their short-term settlement.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202"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Cost of product sales includes the cost of producing and distributing inventories that are related to product revenue during the respective period, including freight. In addition, shipping and handling costs for product shipments are recorded as incurred. Finally, cost of product sales may also include costs related to excess or obsolete inventory adjustment charges.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The Company’s research and development costs are charged to expense when incurred. Research and development expenses include all direct and indirect development costs related to the development of the Company’s portfolio of product candidates.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the Company’s manufacturing and clinical and preclinical studies are performed by third-party CROs. Costs for studies performed by CROs are accrued by the Company over the service periods specified in the contracts, and estimates are adjusted, if required, based upon the Company’s ongoing review of the level of services actually performed.</w:t>
      </w:r>
    </w:p>
    <w:p>
      <w:pPr>
        <w:spacing w:after="0" w:line="165"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Additionally, the Company has license agreements with third parties, such as Albert Einstein College of Medicine of Yeshiva University (“AECOM”), Industrial Research, Ltd. (“IRL”), and the University of Alabama at Birmingham (“UAB”), which require fees related to sublicense agreements or maintenance fees. The Company expenses sublicense payments as incurred unless they are related to revenues that have been deferred, in which case the expenses are deferred and recognized over the related revenue recognition period. The Company expenses maintenance payments as incurred.</w:t>
      </w:r>
    </w:p>
    <w:p>
      <w:pPr>
        <w:spacing w:after="0" w:line="14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Deferred collaboration expenses represent sublicense payments, paid to the Company’s academic partners upon receipt of consideration from various commercial partners, and other consideration paid to the Company’s academic partners for modification to existing license agreements. These deferred expenses would not have been incurred without receipt of such payments or modifications from the Company’s commercial partners and are being expensed in proportion to the related revenue being recognized. The Company believes that this accounting treatment appropriately matches expenses with the associated revenue.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2" w:lineRule="exact"/>
        <w:rPr>
          <w:sz w:val="20"/>
          <w:szCs w:val="20"/>
          <w:color w:val="auto"/>
        </w:rPr>
      </w:pPr>
    </w:p>
    <w:p>
      <w:pPr>
        <w:ind w:right="480" w:firstLine="486"/>
        <w:spacing w:after="0" w:line="289" w:lineRule="auto"/>
        <w:rPr>
          <w:sz w:val="20"/>
          <w:szCs w:val="20"/>
          <w:color w:val="auto"/>
        </w:rPr>
      </w:pPr>
      <w:r>
        <w:rPr>
          <w:rFonts w:ascii="Times New Roman" w:cs="Times New Roman" w:eastAsia="Times New Roman" w:hAnsi="Times New Roman"/>
          <w:sz w:val="17"/>
          <w:szCs w:val="17"/>
          <w:color w:val="auto"/>
        </w:rPr>
        <w:t>Selling, general and administrative expense is primarily comprised of compensation and benefits associated with sales and marketing, finance, human resources, legal, information technology and other administrative personnel. Additionally, selling, general and administrative expenses are comprised of market research, marketing, advertising and legal expenses, including patent costs, licenses and other general and administrative costs.</w:t>
      </w:r>
    </w:p>
    <w:p>
      <w:pPr>
        <w:spacing w:after="0" w:line="117"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Advertising expenses related to ORLADEYO were $3,476 and $11,555 for the three and nine months ended September 30, 2022, respectively, and $1,492 and $4,696 for the three and nine months ended September 30, 2021, respectively.</w:t>
      </w:r>
    </w:p>
    <w:p>
      <w:pPr>
        <w:spacing w:after="0" w:line="121"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All patent related costs are expensed to selling, general and administrative expenses when incurred as recoverability of such expenditures is uncertain.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jc w:val="both"/>
        <w:ind w:right="300"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 leases certain assets under operating leases, which primarily consisted of real estate leases, laboratory equipment leases and office equipment leases as of September 30, 2022. The Company accounts for lease obligations in accordance with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requires a lessee to recognize a right-of-use asset and a lease liability on its balance sheet for most operating leases.</w:t>
      </w:r>
    </w:p>
    <w:p>
      <w:pPr>
        <w:spacing w:after="0" w:line="13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Certain of the Company’s operating leases provide for renewal options, which can vary by lease. The right-of-use asset and lease liabilities on the Company’s Consolidated Balance Sheets represent payments over the lease term, which includes renewal options for certain real estate leases that the Company is likely to exercise. As part of the Company’s assessment of the lease term, the Company elected the hindsight practical expedient, which allows companies to use current knowledge and expectations when determining the likelihood to extend lease options. Certain operating leases include rent escalation provisions, which the Company recognizes as expense on a straight-line basis. Lease expense for leases with an initial term of twelve months or less was not material.</w:t>
      </w:r>
    </w:p>
    <w:p>
      <w:pPr>
        <w:spacing w:after="0" w:line="160"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discount rate used in the calculation of the Company’s right-of-use asset and lease liability was determined based on the stated rate within each contract when available, or the Company’s collateralized borrowing rate from lending institutions.</w:t>
      </w:r>
    </w:p>
    <w:p>
      <w:pPr>
        <w:spacing w:after="0" w:line="121"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Company has not made any residual value guarantees related to its operating leases; therefore, the Company has no corresponding liability recorded on its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All share-based payments, including grants of stock option awards and restricted stock unit awards, are recognized in the Company’s Consolidated Statements of Comprehensive Loss based on their fair values. The fair value of stock option awards is estimated using the Black-Scholes option pricing model. The fair value of restricted stock unit awards is based on the grant date closing price of the common stock. Stock-based compensation cost is recognized as expense on a straight-line basis over the requisite service period of the award. In addition, the Company has outstanding performance-based stock options and restricted stock units for which no compensation expense is recognized until “performance” is deemed to have occurred.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Deferred Financing Costs</w:t>
      </w:r>
    </w:p>
    <w:p>
      <w:pPr>
        <w:spacing w:after="0" w:line="18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Interest expense for the three and nine months ended September 30, 2022 was $24,775 and $72,634, respectively, and $14,115 and $40,514 for the three and nine months ended September 30, 2021, respectively, and primarily relates to the royalty financing obligations (Note 6), the secured term loan borrowing from the Credit Agreement (Note 7) and the PhaRMA Notes (Note 6). Costs directly associated with the borrowings have been capitalized and are netted against the corresponding debt liabilities on the Consolidated Balance Sheets. These costs are being amortized to interest expense over the terms of the corresponding borrowings using the effective interest rate method. Amortization of deferred financing costs included in interest expense was $(258) and $(597) for the three and nine months ended September 30, 2022, respectively, and $(158) and $(369) for the three and nine months ended September 30, 2021, respectively.</w:t>
      </w:r>
    </w:p>
    <w:p>
      <w:pPr>
        <w:spacing w:after="0" w:line="16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In December 2021, the PhaRMA Notes and associated accrued interest payable was written-off into other income as a debt extinguishment (Refer to “Note 6—Royalty Monetizations—RAPIACTA—Non-Recourse Notes Payable – Debt Extinguishment” for additional information regarding the debt extinguishment).</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Royalty Financing Obligations</w:t>
      </w:r>
    </w:p>
    <w:p>
      <w:pPr>
        <w:spacing w:after="0" w:line="20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royalty financing obligations are eligible to be repaid based on royalties from net sales of ORLADEYO, BCX9930, and another earlier stage Factor D inhibitor (BCX10013). Interest expense is accrued using the effective interest rate method over the estimated period each of the related liabilities will be paid. This requires the Company to estimate the total amount of future royalty payments to be generated from product sales over the life of the agreement. The Company imputes interest on the carrying value of each of the royalty financing obligations and records interest expense using an imputed effective interest rate. The Company 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49"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Beginning in fiscal year 2021, the Company began accruing foreign income taxes as a result of increased nexus in foreign jurisdictions where historically the Company had no presence.</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In addition, starting in 2022, amendments to Section 174 of the Internal Revenue Code of 1986, as amended (“IRC”), will no longer permit an immediate deduction for research and development expenditures in the tax year that such costs are incurred. Instead, these IRC Section 174 development costs must now be capitalized and amortized over either a five- or 15-year period, depending on the location of the activities performed. The new amortization period begins with the midpoint of any taxable year that IRC Section 174 costs are first incurred, regardless of whether the expenditures were made prior to or after July 1, and runs until the midpoint of year five for activities conducted in the United States or year 15 in the case of development conducted on foreign soil. As a result of this tax law change, the Company has recorded a U.S. state tax provision for the nine months ended September 30,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0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Net loss per share is based upon the weighted average number of common shares outstanding during the period. Diluted loss per share is equivalent to basic net loss per share for all periods presented herein because common equivalent shares from unexercised stock options, warrants and common shares expected to be issued under the Company’s equity compensation plans were anti-dilutive. The calculation of diluted earnings per share does not include 26,236 and 25,918 shares of potential common stock for the three and nine months ended September 30, 2022, respectively, and 28,472 and 26,131 shares of potential common stock for the three and nine months ended September 30, 2021, respectively, as their impact would be anti-dilutive.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189"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Accumulated other comprehensive income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income and recorded as interest and other income on the Consolidated Statements of Comprehensive Loss. There were no realized gains or losses reclassified out of accumulated other comprehensive income for the nine months ended September 30, 2022. For the nine months ended September 30, 2021, realized gains of $1 were reclassified out of accumulated other comprehensive loss.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 and Other Risks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187"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The Company’s primary sources of revenue and cash flow are the sales of ORLADEYO in the United States and other global markets as well as sales of RAPIVAB (peramivir injection) under the Company's procurement contract with the Assistant Secretary for Preparedness and Response within HHS. Additionally, the Company receives reimbursement of</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galidesivir (formerly BCX4430) development expenses earned under cost-plus-fixed-fee contracts with BARDA/HHS and NIAID/HHS.</w:t>
      </w:r>
    </w:p>
    <w:p>
      <w:pPr>
        <w:spacing w:after="0" w:line="198"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ORLADEYO is distributed through an arrangement with a single specialty pharmacy in the United States. The specialty pharmacy subsequently sells ORLADEYO to its customers (pharmacy benefit managers, insurance companies, government programs and group purchasing organizations) and dispenses product to patients. The specialty pharmacy’s inability or unwillingness to continue these distribution activities could adversely impact the Company’s business, results of operations and financial condition.</w:t>
      </w:r>
    </w:p>
    <w:p>
      <w:pPr>
        <w:spacing w:after="0" w:line="139"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Company is distributing ORLADEYO in other global markets directly or through distributors, except in Japan where Torii, the Company’s collaborative partner, has the exclusive right to commercialize ORLADEYO.</w:t>
      </w:r>
    </w:p>
    <w:p>
      <w:pPr>
        <w:spacing w:after="0" w:line="121"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The Company relies on BARDA/HHS and NIAID/HHS to reimburse predominantly all of the development costs for its galidesivir program. Accordingly, reimbursement of these expenses has represented a significant portion of the Company’s collaborative and other research and development revenues. All government funding for galidesivir is expected to expire in 2022.</w:t>
      </w:r>
    </w:p>
    <w:p>
      <w:pPr>
        <w:spacing w:after="0" w:line="149"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Additionally, HHS is the primary customer for RAPIVAB, and it has exercised the remaining option for the purchase of RAPIVAB under the procurement contract with the Company.</w:t>
      </w:r>
    </w:p>
    <w:p>
      <w:pPr>
        <w:spacing w:after="0" w:line="12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Third-Party Manufacturing and Distribution Concentration</w:t>
      </w:r>
    </w:p>
    <w:p>
      <w:pPr>
        <w:spacing w:after="0" w:line="200"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The Company relies on single source manufacturers for active pharmaceutical ingredient and finished drug product manufacturing of product candidates in development and on a single specialty pharmacy for distribution of approved drug product in the United States. Delays or disruption in the manufacture or distribution of any product could adversely impact the future procurement stockpiling of the Company’s product candidates and commercial revenue,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8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Cash equivalents and investments are financial instruments that potentially subject the Company to concentration of risk to the extent recorded on the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12 months or less.</w:t>
      </w:r>
    </w:p>
    <w:p>
      <w:pPr>
        <w:spacing w:after="0" w:line="156"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Company’s receivables from sales of ORLADEYO are primarily due from one customer, resulting in a concentration of credit risk. Sales of ORLADEYO from the Company to the specialty pharmacy only occur once an order of product has been received by the specialty pharmacy from one of its customers, which include pharmacy benefit managers, insurance companies, government programs and group purchasing organizations.</w:t>
      </w:r>
    </w:p>
    <w:p>
      <w:pPr>
        <w:spacing w:after="0" w:line="135" w:lineRule="exact"/>
        <w:rPr>
          <w:sz w:val="20"/>
          <w:szCs w:val="20"/>
          <w:color w:val="auto"/>
        </w:rPr>
      </w:pPr>
    </w:p>
    <w:p>
      <w:pPr>
        <w:ind w:right="540" w:firstLine="486"/>
        <w:spacing w:after="0" w:line="461" w:lineRule="auto"/>
        <w:rPr>
          <w:sz w:val="20"/>
          <w:szCs w:val="20"/>
          <w:color w:val="auto"/>
        </w:rPr>
      </w:pPr>
      <w:r>
        <w:rPr>
          <w:rFonts w:ascii="Times New Roman" w:cs="Times New Roman" w:eastAsia="Times New Roman" w:hAnsi="Times New Roman"/>
          <w:sz w:val="18"/>
          <w:szCs w:val="18"/>
          <w:color w:val="auto"/>
        </w:rPr>
        <w:t xml:space="preserve">The majority of the Company’s receivables from collaborations are due from the U.S. Government, for which there is no assumed credit risk. </w:t>
      </w:r>
      <w:r>
        <w:rPr>
          <w:rFonts w:ascii="Times New Roman" w:cs="Times New Roman" w:eastAsia="Times New Roman" w:hAnsi="Times New Roman"/>
          <w:sz w:val="18"/>
          <w:szCs w:val="18"/>
          <w:b w:val="1"/>
          <w:bCs w:val="1"/>
          <w:i w:val="1"/>
          <w:iCs w:val="1"/>
          <w:color w:val="auto"/>
        </w:rPr>
        <w:t>Recently Adopted Accounting Pronouncements</w:t>
      </w:r>
    </w:p>
    <w:p>
      <w:pPr>
        <w:spacing w:after="0" w:line="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There have been no new accounting pronouncements adopted by the Company or new accounting pronouncements issued by the Financial Accounting Standards Board during the nine months ended September 30, 2022, as compared to the recent accounting pronouncements described in Note 1 of the Company’s Annual Report on Form 10-K for the year ended December 31, 2021, that the Company believes are of significance or potential significance to the Company.</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05"/>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Company recorded the following revenues (in thousands):</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5060" w:type="dxa"/>
            <w:vAlign w:val="bottom"/>
          </w:tcPr>
          <w:p>
            <w:pPr>
              <w:spacing w:after="0"/>
              <w:rPr>
                <w:sz w:val="24"/>
                <w:szCs w:val="24"/>
                <w:color w:val="auto"/>
              </w:rPr>
            </w:pPr>
          </w:p>
        </w:tc>
        <w:tc>
          <w:tcPr>
            <w:tcW w:w="306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0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ORLADEYO</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65,395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179,492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76,023</w:t>
            </w: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RAPIVAB</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w:t>
            </w:r>
          </w:p>
        </w:tc>
      </w:tr>
      <w:tr>
        <w:trPr>
          <w:trHeight w:val="230"/>
        </w:trPr>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Peramivir</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7,254</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sales, net</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75,213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39,141</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90,442</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revenue</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Collaborative and other research and development revenues: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Department of Health and Human Services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r>
      <w:tr>
        <w:trPr>
          <w:trHeight w:val="22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collaborative and other research and development revenues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75,827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110,012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Investments</w:t>
      </w:r>
    </w:p>
    <w:p>
      <w:pPr>
        <w:spacing w:after="0" w:line="189"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The following tables summarize the fair value of the Company’s investments by type. The estimated fair values of the Company’s fixed income investments are classified as Level 2 in the fair value hierarchy as defined in U.S. GAAP. These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 which utilize Level 2 inputs.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60" w:type="dxa"/>
            <w:vAlign w:val="bottom"/>
          </w:tcPr>
          <w:p>
            <w:pPr>
              <w:spacing w:after="0"/>
              <w:rPr>
                <w:sz w:val="14"/>
                <w:szCs w:val="14"/>
                <w:color w:val="auto"/>
              </w:rPr>
            </w:pPr>
          </w:p>
        </w:tc>
        <w:tc>
          <w:tcPr>
            <w:tcW w:w="120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Accrued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4"/>
                <w:szCs w:val="14"/>
                <w:color w:val="auto"/>
              </w:rPr>
            </w:pP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5"/>
                <w:szCs w:val="15"/>
                <w:color w:val="auto"/>
              </w:rPr>
            </w:pPr>
          </w:p>
        </w:tc>
        <w:tc>
          <w:tcPr>
            <w:tcW w:w="13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60" w:type="dxa"/>
            <w:vAlign w:val="bottom"/>
          </w:tcPr>
          <w:p>
            <w:pPr>
              <w:spacing w:after="0"/>
              <w:rPr>
                <w:sz w:val="20"/>
                <w:szCs w:val="20"/>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58"/>
        </w:trPr>
        <w:tc>
          <w:tcPr>
            <w:tcW w:w="350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color w:val="auto"/>
              </w:rPr>
              <w:t>Obligations of U.S. Government and its</w:t>
            </w:r>
          </w:p>
        </w:tc>
        <w:tc>
          <w:tcPr>
            <w:tcW w:w="2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204,348</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215,125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214,291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60" w:type="dxa"/>
            <w:vAlign w:val="bottom"/>
          </w:tcPr>
          <w:p>
            <w:pPr>
              <w:spacing w:after="0"/>
              <w:rPr>
                <w:sz w:val="14"/>
                <w:szCs w:val="14"/>
                <w:color w:val="auto"/>
              </w:rPr>
            </w:pPr>
          </w:p>
        </w:tc>
        <w:tc>
          <w:tcPr>
            <w:tcW w:w="120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Accrued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4"/>
                <w:szCs w:val="14"/>
                <w:color w:val="auto"/>
              </w:rPr>
            </w:pP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5"/>
                <w:szCs w:val="15"/>
                <w:color w:val="auto"/>
              </w:rPr>
            </w:pPr>
          </w:p>
        </w:tc>
        <w:tc>
          <w:tcPr>
            <w:tcW w:w="13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60" w:type="dxa"/>
            <w:vAlign w:val="bottom"/>
          </w:tcPr>
          <w:p>
            <w:pPr>
              <w:spacing w:after="0"/>
              <w:rPr>
                <w:sz w:val="20"/>
                <w:szCs w:val="20"/>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58"/>
        </w:trPr>
        <w:tc>
          <w:tcPr>
            <w:tcW w:w="350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color w:val="auto"/>
              </w:rPr>
              <w:t>Obligations of U.S. Government and its</w:t>
            </w:r>
          </w:p>
        </w:tc>
        <w:tc>
          <w:tcPr>
            <w:tcW w:w="2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5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scheduled maturity for the Company’s investments at September 30, 2022 and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20" w:type="dxa"/>
            <w:vAlign w:val="bottom"/>
          </w:tcPr>
          <w:p>
            <w:pPr>
              <w:spacing w:after="0"/>
              <w:rPr>
                <w:sz w:val="20"/>
                <w:szCs w:val="20"/>
                <w:color w:val="auto"/>
              </w:rPr>
            </w:pP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Maturing after one year through two years</w:t>
            </w:r>
          </w:p>
        </w:tc>
        <w:tc>
          <w:tcPr>
            <w:tcW w:w="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Trade Receivables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w:t>
      </w:r>
    </w:p>
    <w:p>
      <w:pPr>
        <w:spacing w:after="0" w:line="189"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Receivables from product sales are recorded for amounts due to the Company related to sales of ORLADEYO and RAPIVAB. At September 30, 2022 and December 31, 2021, receivables related to sales of ORLADEYO were $39,565 and $27,384, respectively. At September 30, 2022 and December 31, 2021, receivables related to sales of RAPIVAB were $28 and $49, respectively. No reserve or allowance amounts were recorded as of both September 30, 2022 and December 31,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05"/>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Receivables from collaborations were as follows (in thousands):</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66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6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Billed</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Unbilled</w:t>
            </w:r>
          </w:p>
        </w:tc>
        <w:tc>
          <w:tcPr>
            <w:tcW w:w="32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Department of Health and Human Services</w:t>
            </w: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Shionogi &amp; Co. Ltd.</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receivables from partners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2,774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w:t>
            </w:r>
          </w:p>
        </w:tc>
      </w:tr>
      <w:tr>
        <w:trPr>
          <w:trHeight w:val="20"/>
        </w:trPr>
        <w:tc>
          <w:tcPr>
            <w:tcW w:w="6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20"/>
        </w:trPr>
        <w:tc>
          <w:tcPr>
            <w:tcW w:w="66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6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Billed</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Unbilled</w:t>
            </w:r>
          </w:p>
        </w:tc>
        <w:tc>
          <w:tcPr>
            <w:tcW w:w="32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Department of Health and Human Services</w:t>
            </w: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receivables from partners</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48"/>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firstLine="486"/>
        <w:spacing w:after="0" w:line="461" w:lineRule="auto"/>
        <w:rPr>
          <w:sz w:val="20"/>
          <w:szCs w:val="20"/>
          <w:color w:val="auto"/>
        </w:rPr>
      </w:pPr>
      <w:r>
        <w:rPr>
          <w:rFonts w:ascii="Times New Roman" w:cs="Times New Roman" w:eastAsia="Times New Roman" w:hAnsi="Times New Roman"/>
          <w:sz w:val="18"/>
          <w:szCs w:val="18"/>
          <w:color w:val="auto"/>
        </w:rPr>
        <w:t xml:space="preserve">As of both September 30, 2022 and December 31, 2021, the Company maintained a reserve of $701 related to royalties associated with Green Cross. </w:t>
      </w: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Inventory</w:t>
      </w:r>
    </w:p>
    <w:p>
      <w:pPr>
        <w:spacing w:after="0" w:line="1"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At September 30, 2022 and December 31, 2021, the Company’s inventory primarily related to ORLADEYO. Additionally, inventory included RAPIVAB and peramivir, which is manufactured for the Company’s partners.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inventories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34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16,036</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w:t>
            </w:r>
          </w:p>
        </w:tc>
        <w:tc>
          <w:tcPr>
            <w:tcW w:w="34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3"/>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inventory, net</w:t>
            </w:r>
          </w:p>
        </w:tc>
        <w:tc>
          <w:tcPr>
            <w:tcW w:w="34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15,791</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348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35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560" w:type="dxa"/>
            <w:vAlign w:val="bottom"/>
            <w:tcBorders>
              <w:bottom w:val="single" w:sz="8" w:color="9A9A9A"/>
            </w:tcBorders>
          </w:tcPr>
          <w:p>
            <w:pPr>
              <w:spacing w:after="0"/>
              <w:rPr>
                <w:sz w:val="8"/>
                <w:szCs w:val="8"/>
                <w:color w:val="auto"/>
              </w:rPr>
            </w:pPr>
          </w:p>
        </w:tc>
        <w:tc>
          <w:tcPr>
            <w:tcW w:w="34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Royalty Monetizations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RAPIACTA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87"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On March 9, 2011, the Company completed a $30,000 financing transaction to monetize certain future royalty and milestone payments under the Company’s agreement with Shionogi (the “Shionogi Agreement”), pursuant to which Shionogi licensed from the Company the rights to market RAPIACTA in Japan and Taiwan. The Company received net proceeds of $22,691 from the transaction after transaction costs of $4,309 and the establishment of a $3,000 interest reserve account by JPR Royalty Sub LLC, a wholly-owned subsidiary of the Company (“Royalty Sub”), available to help cover interest shortfalls in the future. All of the interest reserve account has been fully utilized with the September 2012 interest payment.</w:t>
      </w:r>
    </w:p>
    <w:p>
      <w:pPr>
        <w:spacing w:after="0" w:line="156"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As part of the transaction, the Company entered into a purchase and sale agreement dated as of March 9, 2011 with Royalty Sub, whereby the Company transferred to Royalty Sub, among other things, (i) its rights to receive certain royalty and milestone payments from Shionogi arising under the Shionogi Agreement and (ii) the right to receive payments under a Japanese yen/U.S. dollar foreign currency hedge arrangement (as further described below, the “Currency Hedge Agreement”) put into place by the Company in connection with the transaction. Royalty payments are paid by Shionogi in Japanese yen, and any milestone payments will be paid in U.S. dollars. The Company’s collaboration with Shionogi was not impacted as a result of this transaction.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Non-Recourse Notes Payable</w:t>
      </w:r>
    </w:p>
    <w:p>
      <w:pPr>
        <w:spacing w:after="0" w:line="187"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On March 9, 2011, Royalty Sub completed a private placement to institutional investors of $30,000 in aggregate principal amount of its PhaRMA Senior Secured 14.0% Notes due on December 1, 2020 (the “PhaRMA Notes”). The PhaRMA Notes were issued by Royalty Sub under an Indenture, dated as of March 9, 2011 (the “Indenture”), by and between Royalty Sub and U.S. Bank National Association, as Trustee. Principal and interest on the PhaRMA Notes are payable from, and are secured by, the rights to royalty and milestone payments under the Shionogi Agreement transferred by the Company to Royalty Sub and payments, if any, made to Royalty Sub under the Currency Hedge Agreement. The PhaRMA Notes bear interest at 14% per annum, payable annually in arrears on September 1st of each year. The Company remains entitled to receive any royalties and milestone payments related to sales of peramivir by Shionogi following repayment of the PhaRMA Notes.</w:t>
      </w:r>
    </w:p>
    <w:p>
      <w:pPr>
        <w:spacing w:after="0" w:line="162"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Royalty Sub’s obligations to pay principal and interest on the PhaRMA Notes are obligations solely of Royalty Sub and are without recourse to any other person, including the Company, except to the extent of the Company’s pledge of its equity interests in Royalty Sub in support of the PhaRMA Notes. The Company may, but is not obligated to, make capital contributions to a capital account that may be used to redeem, or on up to one occasion pay any interest shortfall on, the PhaRMA Notes.</w:t>
      </w:r>
    </w:p>
    <w:p>
      <w:pPr>
        <w:spacing w:after="0" w:line="13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September 2014, Royalty Sub was unable to pay the accrued interest obligation due September 3, 2013. Under the terms of the Indenture, Royalty Sub’s inability to pay the full amount of interest payable in September 2013 by the next succeeding payment date for the PhaRMA Notes, which was September 1, 2014, constituted an event of default. Accordingly, the PhaRMA Notes and related accrued interest have been classified as current liabilities on the December 31, 2014 balance sheet and thereafter. As a result of the event of default under the PhaRMA Notes, the holders of the PhaRMA Notes may foreclose on the collateral securing the PhaRMA Notes and the equity interest in Royalty Sub and exercise other remedies available to them under the Indenture in respect of the PhaRMA Notes. In such event, the Company may not realize the benefit of future royalty payments that might otherwise accrue to it following repayment of the PhaRMA Notes and it might otherwise be adversely affected. Due to the non-recourse nature of the PhaRMA Notes, in the event of any potential foreclosure, the primary impact to the Company would be the loss of future royalty payments, if any, from Shionogi and legal costs associated with retiring the PhaRMA Notes. The PhaRMA Notes had a final legal maturity date of December 1, 2020, at which time the outstanding principal amount of the PhaRMA Notes of $30,000, together with accrued and unpaid interest of $20,614, was due in full.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Non-Recourse Notes Payable – Debt Extinguishment</w:t>
      </w:r>
    </w:p>
    <w:p>
      <w:pPr>
        <w:spacing w:after="0" w:line="200"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During 2021, the royalty-bearing patents associated with RAPIACTA in Japan expired. Accordingly, the Company evaluated the current circumstances of the PhaRMA Notes, including (i) their non-recourse nature relative to the Company, (ii) the current state of default since September 1, 2014 and the legal maturity on December 1, 2020 and (iii) the loss of patent protection relative to RAPIACTA in Japan, upon which any significant repayment of the PhaRMA Notes is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predicated. As a result, the Company determined that it was no longer the financial obligor, and as a result, the principal balance of $30,000 and associated accrued interest payable balance of $25,838 were written off, resulting in a gain on extinguishment recorded in other income (expense) for the year ended December 31, 2021.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ORLADEYO and Factor D Inhibitors</w:t>
      </w:r>
    </w:p>
    <w:p>
      <w:pPr>
        <w:spacing w:after="0" w:line="18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On December 7, 2020, the Company and RPI 2019 Intermediate Finance Trust (“RPI”) entered into a Purchase and Sale Agreement (the “2020 RPI Royalty Purchase Agreement”), pursuant to which the Company sold to RPI the right to receive certain royalty payments from the Company for a purchase price of $125,000 in cash (the “2020 RPI Royalty Sale”). Under the 2020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 8.75% of aggregate annual net sales of ORLADEYO for annual net sales up to $350,000 and (ii) 2.75% of annual net sales for annual net sales between $350,000 and $550,000. No royalty payments are payable on annual Direct Sales over $550,000. In addition, RPI will be entitled to receive 1.0% of global net sales, if any, of BCX9930.</w:t>
      </w:r>
    </w:p>
    <w:p>
      <w:pPr>
        <w:spacing w:after="0" w:line="151"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Under the 2020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w:t>
      </w:r>
    </w:p>
    <w:p>
      <w:pPr>
        <w:spacing w:after="0" w:line="156"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On November 19, 2021, the Company and RPI entered into (i) a Purchase and Sale Agreement (the “2021 RPI Royalty Purchase Agreement” and together with the 2020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 Company sold to OMERS the right to receive certain royalty payments from the Company for a purchase price of an additional $150,000 in cash.</w:t>
      </w:r>
    </w:p>
    <w:p>
      <w:pPr>
        <w:spacing w:after="0" w:line="147"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Under the 2021 RPI Royalty Purchase Agreement, RPI is entitled to receive tiered, sales-based royalties on Direct Sales in an amount equal to: (i) 0.75% of aggregate annual net sales of ORLADEYO for annual net sales up to $350,000 and (ii) 1.75% of annual net sales of ORLADEYO for annual net sales between $350,000 and $550,000. No royalty payments are payable on Direct Sales over $550,000. RPI is also entitled to receive a tiered revenue share on ORLADEYO sublicense revenue or net sales by licensees in the Other Markets in an amount equal to 3.0% of proceeds received by the Company on annual net sales of up to $150,000 in the Other Markets, and (iii) 2.0% of proceeds received by the Company on annual net sales between $150,000 and $230,000 in the Other Markets. No royalty payments are payable on annual net sales above $230,000 in the Other Markets.</w:t>
      </w:r>
    </w:p>
    <w:p>
      <w:pPr>
        <w:spacing w:after="0" w:line="147"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Under the 2021 RPI Royalty Purchase Agreement, RPI is also entitled to receive tiered, sales-based royalties on net product sales of BCX9930 and another earlier stage Factor D inhibitor (BCX10013) in an amount equal to: (i) 3.0% of worldwide aggregate annual net sales up to $1,500,000 and (ii)</w:t>
      </w:r>
    </w:p>
    <w:p>
      <w:pPr>
        <w:spacing w:after="0"/>
        <w:rPr>
          <w:sz w:val="20"/>
          <w:szCs w:val="20"/>
          <w:color w:val="auto"/>
        </w:rPr>
      </w:pPr>
      <w:r>
        <w:rPr>
          <w:rFonts w:ascii="Times New Roman" w:cs="Times New Roman" w:eastAsia="Times New Roman" w:hAnsi="Times New Roman"/>
          <w:sz w:val="18"/>
          <w:szCs w:val="18"/>
          <w:color w:val="auto"/>
        </w:rPr>
        <w:t>2.0% of worldwide aggregate annual net sales between $1,500,000 and $3,000,000. No royalty payments are payable on annual net sales above $3,000,000.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RPI is also entitled to receive tiered profit share amounts of up to 3.0% from certain other permitted sales in certain other markets.</w:t>
      </w:r>
    </w:p>
    <w:p>
      <w:pPr>
        <w:spacing w:after="0" w:line="180"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royalties payable under the 2021 RPI Royalty Purchase Agreement are in addition to the royalties payable to RPI under the 2020 RPI Royalty Purchase Agreement.</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Under the OMERS Royalty Purchase Agreement, commencing with the calendar quarter beginning October 1, 2023, OMERS will be entitled to receive tiered, sales-based royalties on Direct Sales in an amount equal to: (i) 7.5% of aggregate annual net sales of ORLADEYO for annual net sales up to $350,000 and (ii) 6.0% of annual net sales of ORLADEYO for annual net sales between $350,000 and $550,000 (with no royalty payments payable on annual Direct Sales over $550,000) (the “Regime A Royalty Rate”). If annual Direct Sales for calendar year 2023 reach a specified amount set forth in the OMERS Royalty Purchase Agreement, then for each calendar quarter beginning on or after January 1, 2024, OMERS will be entitled to receive the Regime A Royalty Rate. If annual Direct Sales for calendar year 2023 are less than the specified amount, OMERS will be entitled to receive tiered, sales-based royalties on Direct Sales in an amount equal to: (i) 10.0% of aggregate annual net sales of ORLADEYO for annual net sales up to $350,000 and (ii) 3.0% of annual net sales of</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ORLADEYO for annual net sales between $350,000 and $550,000 (with no royalty payments payable on annual Direct Sales over $550,000) (the “Regime B Royalty Rate”).</w:t>
      </w:r>
    </w:p>
    <w:p>
      <w:pPr>
        <w:spacing w:after="0" w:line="135"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 to $150,000 in the Other Markets, and (iii) 10.0% of proceeds received by the Company on annual net sales between $150,000 and $230,000 in the Other Markets. No royalty payments are payable on annual net sales above $230,000 in the Other Markets. OMERS is also entitled to receive profit share amounts of up to 10% from certain other permitted sales in certain other markets.</w:t>
      </w:r>
    </w:p>
    <w:p>
      <w:pPr>
        <w:spacing w:after="0" w:line="147"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Under the 2020 RPI Royalty Purchase Agreement, the Company is required to make royalty payments of amounts owed to RPI each calendar quarter following the first commercial sale of ORLADEYO in any country. Under the 2021 RPI Royalty Purchase Agreement, the Company is required to make payments to RPI in respect of net sales or sublicense revenue in each calendar quarter from and after October 1, 2021. Under the OMERS Royalty Purchase Agreement, the Company will be required to make payments to OMERS is respect of net sales or sublicense revenue in each calendar quarter from and after October 1, 2023. OMERS will no longer be entitled to receive any payments on the date in which aggregate payments actually received by OMERS equals either 142.5% or 155.0% of the $150,000 purchase price, depending on sales levels in calendar year 2023.</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transactions contemplated by each of the Royalty Purchase Agreements are referred to herein as the “Royalty Sales”.</w:t>
      </w:r>
    </w:p>
    <w:p>
      <w:pPr>
        <w:spacing w:after="0" w:line="198"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Under the Royalty Purchase Agreements, the Company has agreed to specified affirmative and negative covenants, including covenants regarding periodic reporting of information by the Company to RPI and OMERS, third-party audits of royalties paid under the Royalty Purchase Agreements, and restrictions on the ability of the Company or any of its subsidiaries to incur indebtedness other than certain royalty sales and as is permitted to be incurred under the terms of the Company’s Credit Agreement with Athyrium Opportunities III Co-Invest 1 LP. Refer to Note 7 for further details on the Credit Agreement. The restrictions on the ability of the Company or any of its subsidiaries to incur indebtedness are eliminated after the achievement of certain specified milestones in the Royalty Purchase Agreements.</w:t>
      </w:r>
    </w:p>
    <w:p>
      <w:pPr>
        <w:spacing w:after="0" w:line="14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cash consideration obtained pursuant to the Royalty Purchase Agreements is recorded in “Royalty financing obligations” on the Company’s Consolidated Balance Sheets. The fair value for the royalty financing obligations at the time of the transactions was based on the Company’s estimates of future royalties expected to be paid to the counterparty over the life of the arrangement. The Company subsequently records the obligations at its carrying value using the effective interest method. In order to amortize the royalty financing obligations,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The Company periodically assesses the amount and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 timing of such payments is materially different than its original estimates, the Company will prospectively adjust the amortization of the royalty financing obligations and the effective interest rate.</w:t>
      </w:r>
    </w:p>
    <w:p>
      <w:pPr>
        <w:spacing w:after="0" w:line="14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2022, the Company adjusted its forecasts related to its R&amp;D programs and ORLADEYO sales. Accordingly, this impacted the amount and timing of expected royalties to be made under the RPI Royalty Purchase Agreements. As a result, the effective interest rate related to the 2020 RPI Royalty Purchase Agreement decreased from 25.5% to 23.1%, and the effective interest rate related to the 2021 RPI Royalty Purchase Agreement decreased from 12.1% to 11.0%. Additionally, the effective interest rate related to the OMERS Agreement increased from 8.5% to 10.6%.</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activity within the Royalty financing obligations account (in thousands) as well as the effective interest rate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2020 RPI</w:t>
            </w: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2021 RPI</w:t>
            </w:r>
          </w:p>
        </w:tc>
        <w:tc>
          <w:tcPr>
            <w:tcW w:w="2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OMERS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Royalty</w:t>
            </w: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Royalty</w:t>
            </w:r>
          </w:p>
        </w:tc>
        <w:tc>
          <w:tcPr>
            <w:tcW w:w="2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Royalty</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65"/>
        </w:trPr>
        <w:tc>
          <w:tcPr>
            <w:tcW w:w="4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240" w:type="dxa"/>
            <w:vAlign w:val="bottom"/>
          </w:tcPr>
          <w:p>
            <w:pPr>
              <w:spacing w:after="0"/>
              <w:rPr>
                <w:sz w:val="23"/>
                <w:szCs w:val="23"/>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240" w:type="dxa"/>
            <w:vAlign w:val="bottom"/>
          </w:tcPr>
          <w:p>
            <w:pPr>
              <w:spacing w:after="0"/>
              <w:rPr>
                <w:sz w:val="23"/>
                <w:szCs w:val="2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320" w:type="dxa"/>
            <w:vAlign w:val="bottom"/>
          </w:tcPr>
          <w:p>
            <w:pPr>
              <w:spacing w:after="0"/>
              <w:rPr>
                <w:sz w:val="23"/>
                <w:szCs w:val="23"/>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147,224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153,377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148,774</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449,375</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on Royalty financing obligations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19,649</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revenues paid and payable</w:t>
            </w:r>
          </w:p>
        </w:tc>
        <w:tc>
          <w:tcPr>
            <w:tcW w:w="24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153,004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159,290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151,931</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464,225</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 on Royalty financing obligations</w:t>
            </w:r>
          </w:p>
        </w:tc>
        <w:tc>
          <w:tcPr>
            <w:tcW w:w="2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19,706</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revenues paid and payable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157,702</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164,809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155,155</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477,666</w:t>
            </w: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on Royalty financing obligations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18,460</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revenues paid and payable</w:t>
            </w:r>
          </w:p>
        </w:tc>
        <w:tc>
          <w:tcPr>
            <w:tcW w:w="24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w:t>
            </w: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161,802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169,204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158,774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489,781</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bl>
    <w:p>
      <w:pPr>
        <w:spacing w:after="0" w:line="252" w:lineRule="exact"/>
        <w:rPr>
          <w:sz w:val="20"/>
          <w:szCs w:val="20"/>
          <w:color w:val="auto"/>
        </w:rPr>
      </w:pPr>
    </w:p>
    <w:p>
      <w:pPr>
        <w:jc w:val="both"/>
        <w:ind w:right="480" w:firstLine="486"/>
        <w:spacing w:after="0" w:line="266" w:lineRule="auto"/>
        <w:rPr>
          <w:sz w:val="20"/>
          <w:szCs w:val="20"/>
          <w:color w:val="auto"/>
        </w:rPr>
      </w:pPr>
      <w:r>
        <w:rPr>
          <w:rFonts w:ascii="Times New Roman" w:cs="Times New Roman" w:eastAsia="Times New Roman" w:hAnsi="Times New Roman"/>
          <w:sz w:val="18"/>
          <w:szCs w:val="18"/>
          <w:color w:val="auto"/>
        </w:rPr>
        <w:t>Deferred issuance costs pursuant to the Royalty financing obligations, which consist primarily of advisory and legal fees, totaled $8,531 as of September 30, 2022. The Royalty financing obligations liabilities and the associated deferred issuance costs are amortized using the effective interest method over the term of the arrangement, in accordance with the respective guidance.</w:t>
      </w:r>
    </w:p>
    <w:p>
      <w:pPr>
        <w:spacing w:after="0" w:line="13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Concurrent with entering into the 2021 RPI Royalty Purchase Agreement, the Company and RPI entered into a Common Stock Purchase Agreement (the “Common Stock Purchase Agreement”), pursuant to which the Company sold common stock to RPI for a premium of $4,269. This premium has been deferred and is being amortized through interest expense using the effective interest method over the term of the applicable arrangement. Refer to Note 9 for further details on the common stock sale premium.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Debt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8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On December 7, 2020, the Company entered into a $200,000 Credit Agreement (the “Credit Agreement”) with Athyrium Opportunities III Co-Invest 1 LP (“Athyrium”), as lender and as administrative agent for the lenders. Certain of the Company’s direct and indirect subsidiaries are guarantors to the Credit Agreement. The Credit Agreement provides for an initial term loan in the principal amount of $125,000 (the “Term A Loan”), which was received by the Company on December 7, 2020 and is recorded in “Secured term loan” on the Company’s balance sheet as of September 30, 2022. The Company used a portion of the proceeds from the Term A Loan to repay $43,298 of outstanding indebtedness, including accrued interest, under its prior credit facility with MidCap Financial Trust.</w:t>
      </w:r>
    </w:p>
    <w:p>
      <w:pPr>
        <w:spacing w:after="0" w:line="14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Credit Agreement also provided for two additional term loans, at the Company’s option, in the respective principal amounts of $25,000 (the “Term B Loan”) and $50,000 (the “Term C Loan” and, collectively with the Term A Loan and the Term B Loan, the “Term Loans”). Having achieved all required revenue-based milestones, the Company exercised its option to draw upon the additional funding available under the Credit Agreement, borrowing the principal amounts of $25,000 under the Term B Loan and $50,000 under the Term C Loan. Both the Term B Loan and the Term C Loan were funded on July 29, 2022 in the aggregate principal amount of $75,000. The Term B Loan and the Term C Loan are subject to all the provisions under the Credit Agreement.</w:t>
      </w:r>
    </w:p>
    <w:p>
      <w:pPr>
        <w:spacing w:after="0" w:line="160"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On November 19, 2021, the Company entered into an amendment to the Credit Agreement (i) to permit the Company to enter into the 2021 RPI Royalty Purchase Agreement, the OMERS Royalty Purchase Agreement, and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other definitive documentation related thereto and to perform its obligations thereunder; (ii) to require the Company to pay to Athyrium, for the account of the lenders, a make-whole premium plus certain fees set forth in the Credit Agreement in the event that the Company did not draw the Term B Loan or the Term C Loan, as applicable, by the end of the applicable period available to draw the Term B Loan or the Term C Loan, subject to certain exceptions set forth in the Credit Agreement; and (iii) to require the Company to pay to Athyrium, for the account of the lenders, a make-whole premium plus certain fees set forth in the Credit Agreement in the event that the Company either (x) terminated the commitments in respect of the Term B Loan or the Term C Loan, as applicable, on or prior to the end of the applicable period available to draw the Term B Loan or the Term C Loan, or (y) prepays or repays, or is required to prepay or repay, voluntarily or pursuant to mandatory prepayment obligations under the Credit Agreement (e.g., with the proceeds of certain asset sales, certain ORLADEYO out-licensing or royalty monetization transactions (excluding the Royalty Sales), extraordinary receipts, debt issuances, or upon a change of control of the Company and specified other events, subject to certain exceptions), all of the then-outstanding Term Loans, in each case, subject to certain exceptions set forth in the Credit Agreement.</w:t>
      </w:r>
    </w:p>
    <w:p>
      <w:pPr>
        <w:spacing w:after="0" w:line="167"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Credit Agreement provides for quarterly interest-only payments until the maturity date, with the unpaid principal amount of the outstanding Term Loans due and payable on the maturity date. For each of the first eight full fiscal quarters following December 7, 2020, the Company has the option to make the applicable interest payment in-kind (a “PIK Interest Payment”) by capitalizing the entire amount of interest accrued during the applicable interest period with the unpaid original principal amount outstanding on the last day of such period. The Term Loans will bear interest at a rate equal to the three-month LIBOR rate, which shall be no less than 1.75% and no more than 3.50% (“LIBOR”), plus 8.25%, or for each interest period in which a PIK Interest Payment is made, LIBOR plus 10.25%.</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three-month LIBOR was 2.31% as of June 28, 2022, the LIBOR measurement date for the three-month interest period beginning July 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this LIBOR rate plus 10.25% was used to record interest expense for the three months ended September 30, 2022.</w:t>
      </w:r>
    </w:p>
    <w:p>
      <w:pPr>
        <w:spacing w:after="0" w:line="166"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three-month LIBOR was 3.67% as of September 28, 2022, the LIBOR measurement date for the three-month interest period beginning October 1, 2022. As the LIBOR rate exceeds the LIBOR cap of 3.50%, the 3.50% cap plus 10.25% will be used to record interest expense for the three-month interest period beginning October 1, 2022.</w:t>
      </w:r>
    </w:p>
    <w:p>
      <w:pPr>
        <w:spacing w:after="0" w:line="14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Subject to certain exceptions, the Company is required to make mandatory prepayments of the Term Loans with the proceeds of certain asset sales, certain ORLADEYO out-licensing or royalty monetization transactions (excluding the Royalty Sales), extraordinary receipts, debt issuances, or upon a change of control of the Company and specified other events. The Company may make voluntary prepayments in whole or in part. Prepayments are subject to a premium equal to, (i) with respect to any voluntary prepayment and certain mandatory prepayments paid on or prior to the second anniversary of the applicable Term Loan borrowing date, the amount, if any, by which (a) the sum of (1) 102.00% of the principal amount of the Term Loan being prepaid plus (2) the present value of all interest that would have accrued on the principal amount of the Term Loan being prepaid through and including the second anniversary of the date of the borrowing of such Term Loan, plus 0.50%, exceeds (b) the principal amount of the Term Loan being prepaid; (ii) with respect to any prepayment made between the second and third anniversaries of the applicable Term Loan borrowing date, 2.00% of the principal amount of the Term Loan being prepaid; (iii) with respect to any prepayment made between the third and fourth anniversaries of the applicable Term Loan borrowing date, 1.00% of the principal amount of the Term Loan being prepaid; and (iv) with respect to any prepayment made after the fourth anniversary of the applicable Term Loan borrowing date, 0.00% of the principal amount of the Term Loan being prepaid. Upon the prepayment or repayment, including at maturity, of all or any of the Term Loans, the Company is obligated to pay an exit fee in an amount equal to 2.00% of the principal amount of the Term Loans prepaid or repaid. In addition, each Term Loan is subject to a 1.00% commitment fee at its respective borrowing date.</w:t>
      </w:r>
    </w:p>
    <w:p>
      <w:pPr>
        <w:spacing w:after="0" w:line="14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Credit Agreement also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grant liens, make investments, incur additional indebtedness, engage in mergers, acquisitions, and similar transactions, dispose of assets, license certain property, distribute dividends, make certain restricted payments, change the nature of the Company’s business, engage in transactions with affiliates and insiders, prepay other indebtedness, or engage in sale and leaseback transactions, subject to certain exceptions. Additionally, as of the last day of each fiscal quarter (a “Test Date”), beginning with the first Test Date occurring immediately after the Term C Loan is drawn, if applicable, the Company may not permit consolidated net revenues from ORLADEYO sales in the United States for the four-fiscal quarter period ending on such Test Date to be less than the specified amounts set forth in the Credit Agreement (collectively, the “Revenue Tests”). If the Company fails to satisfy the Revenue Tests as of any Test Date, it will have a one-time right (the “Cure Right”) to repay in full the entire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amount of the Term C Loan outstanding at such time together with all accrued and unpaid interest thereon plus the prepayment premium, exit fee, and any other fees or amounts payable under the Credit Agreement at such time. In addition, the Credit Agreement contains a minimum liquidity covenant requiring the Company to maintain at all times, as applicable, at least $15,000 of unrestricted cash and cash equivalents if only the Term A Loan has been drawn; at least $20,000 of unrestricted cash and cash equivalents if the Term B Loan has been drawn but the Term C Loan has not been drawn; and at least $15,000 (or, if the Cure Right has been exercised, $20,000) of unrestricted cash and cash equivalents if the Term C Loan has been drawn, subject to certain exceptions.</w:t>
      </w:r>
    </w:p>
    <w:p>
      <w:pPr>
        <w:spacing w:after="0" w:line="160"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A failure to comply with the covenants in the Credit Agreement could permit the lenders under the Credit Agreement to declare the outstanding principal as well as accrued interest and fees, to be immediately due and payable.</w:t>
      </w:r>
    </w:p>
    <w:p>
      <w:pPr>
        <w:spacing w:after="0" w:line="12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Credit Agreement are secured by a security interest in, subject to certain exceptions, substantially all of the Company's assets.</w:t>
      </w:r>
    </w:p>
    <w:p>
      <w:pPr>
        <w:spacing w:after="0" w:line="12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As of September 30, 2022, the Company had total borrowings of $200,000 under the Credit Agreement. Quarterly interest payments under the Credit Agreement for the nine months ended September 30, 2022 and 2021 totaled $15,311 and $11,815, respectively, and have been designated and accounted for as PIK Interest Payments and added to the outstanding principal balance of the borrowing. As of September 30, 2022, borrowings, including the PIK Interest Payments, totaled $232,376. The principal balance of the borrowings, including PIK amounts, is accruing interest at an effective rate of 12.68%. The fair value of the debt approximates its carrying value based on prevailing interest rates as of the balance sheet date and is considered as Level 2 in the fair value hierarchy.</w:t>
      </w:r>
    </w:p>
    <w:p>
      <w:pPr>
        <w:spacing w:after="0" w:line="160"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2022, the Company incurred deferred debt fees and issuance costs associated with the Term B and Term C Loans of $3,428. As of September 30, 2022, deferred debt fees and issuance costs associated with all Term Loans under the Credit Agreement totaled $12,509 and are being amortized as interest expense on an effective interest rate method over the remaining term of the Term Loans. When utilizing the effective interest method, in periods in which PIK interest is designated and those amounts are added to the outstanding principal balance of the borrowing, the amortization of the deferred debt fees and issuance costs is accretive. Deferred financing amortization of $(597) and $(369), was recognized for the nine months ended September 30, 2022 and 2021, respectively.</w:t>
      </w:r>
    </w:p>
    <w:p>
      <w:pPr>
        <w:spacing w:after="0" w:line="147"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Credit Agreement contains two provisions that, if deemed probable, would create the recognition of an embedded feature; however, at this time, the Company does not believe either provision is probable.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 Obligations</w:t>
      </w:r>
    </w:p>
    <w:p>
      <w:pPr>
        <w:spacing w:after="0" w:line="202"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The Company leases certain assets under operating leases, which primarily consisted of real estate leases, laboratory equipment leases and office equipment leases as of September 30, 2022. Renewal options for the Company's leases range from 1 to 5 years in length and begin from 2023 through 2026.</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Aggregate lease expense under operating leases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Pr>
          <w:p>
            <w:pPr>
              <w:spacing w:after="0"/>
              <w:rPr>
                <w:sz w:val="20"/>
                <w:szCs w:val="20"/>
                <w:color w:val="auto"/>
              </w:rPr>
            </w:pPr>
          </w:p>
        </w:tc>
        <w:tc>
          <w:tcPr>
            <w:tcW w:w="298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8"/>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lease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913"/>
        </w:trPr>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2"/>
        </w:trPr>
        <w:tc>
          <w:tcPr>
            <w:tcW w:w="4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supplemental information related to leases was as follows:</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45"/>
        </w:trPr>
        <w:tc>
          <w:tcPr>
            <w:tcW w:w="5940" w:type="dxa"/>
            <w:vAlign w:val="bottom"/>
          </w:tcPr>
          <w:p>
            <w:pPr>
              <w:spacing w:after="0"/>
              <w:rPr>
                <w:sz w:val="24"/>
                <w:szCs w:val="24"/>
                <w:color w:val="auto"/>
              </w:rPr>
            </w:pP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As of September 30, 2022</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 2021</w:t>
            </w: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8.4 years</w:t>
            </w: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 years</w:t>
            </w: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10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11.2%</w:t>
            </w:r>
          </w:p>
        </w:tc>
      </w:tr>
    </w:tbl>
    <w:p>
      <w:pPr>
        <w:spacing w:after="0" w:line="2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of the Company’s leases qualify as operating leases. The following table summarizes the presentation in the Consolidated Balance Sheets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operating leases: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20" w:type="dxa"/>
            <w:vAlign w:val="bottom"/>
          </w:tcPr>
          <w:p>
            <w:pPr>
              <w:spacing w:after="0"/>
              <w:rPr>
                <w:sz w:val="17"/>
                <w:szCs w:val="17"/>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43"/>
        </w:trPr>
        <w:tc>
          <w:tcPr>
            <w:tcW w:w="3240" w:type="dxa"/>
            <w:vAlign w:val="bottom"/>
          </w:tcPr>
          <w:p>
            <w:pPr>
              <w:spacing w:after="0"/>
              <w:rPr>
                <w:sz w:val="21"/>
                <w:szCs w:val="21"/>
                <w:color w:val="auto"/>
              </w:rPr>
            </w:pPr>
          </w:p>
        </w:tc>
        <w:tc>
          <w:tcPr>
            <w:tcW w:w="4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Balance Sheet Location</w:t>
            </w:r>
          </w:p>
        </w:tc>
        <w:tc>
          <w:tcPr>
            <w:tcW w:w="120" w:type="dxa"/>
            <w:vAlign w:val="bottom"/>
          </w:tcPr>
          <w:p>
            <w:pPr>
              <w:spacing w:after="0"/>
              <w:rPr>
                <w:sz w:val="21"/>
                <w:szCs w:val="21"/>
                <w:color w:val="auto"/>
              </w:rPr>
            </w:pPr>
          </w:p>
        </w:tc>
        <w:tc>
          <w:tcPr>
            <w:tcW w:w="17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4300" w:type="dxa"/>
            <w:vAlign w:val="bottom"/>
            <w:gridSpan w:val="2"/>
          </w:tcPr>
          <w:p>
            <w:pPr>
              <w:ind w:left="500"/>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300" w:type="dxa"/>
            <w:vAlign w:val="bottom"/>
            <w:gridSpan w:val="2"/>
          </w:tcPr>
          <w:p>
            <w:pPr>
              <w:ind w:left="500"/>
              <w:spacing w:after="0"/>
              <w:rPr>
                <w:sz w:val="20"/>
                <w:szCs w:val="20"/>
                <w:color w:val="auto"/>
              </w:rPr>
            </w:pPr>
            <w:r>
              <w:rPr>
                <w:rFonts w:ascii="Times New Roman" w:cs="Times New Roman" w:eastAsia="Times New Roman" w:hAnsi="Times New Roman"/>
                <w:sz w:val="18"/>
                <w:szCs w:val="18"/>
                <w:i w:val="1"/>
                <w:iCs w:val="1"/>
                <w:color w:val="auto"/>
              </w:rPr>
              <w:t>Lease financing obligation –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3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i w:val="1"/>
                <w:iCs w:val="1"/>
                <w:color w:val="auto"/>
              </w:rPr>
              <w:t>Lease financing obligation – long-term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Total operating lease liabilities</w:t>
            </w: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w:t>
            </w:r>
          </w:p>
        </w:tc>
      </w:tr>
      <w:tr>
        <w:trPr>
          <w:trHeight w:val="21"/>
        </w:trPr>
        <w:tc>
          <w:tcPr>
            <w:tcW w:w="3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Operating lease assets are recorded net of accumulated amortization of $3,874 and $2,626 as of September 30, 2022 and December 31, 2021, respectively.</w:t>
      </w:r>
    </w:p>
    <w:p>
      <w:pPr>
        <w:spacing w:after="0" w:line="121"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$615 and $1,796 for the three and nine months ended September 30, 2022, respectively, and $306 and $1,125 for the three and nine months ended September 30, 2021, respectively.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Maturities of operating lease liabilities as of September 30, 2022, are as follows (in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3"/>
        </w:trPr>
        <w:tc>
          <w:tcPr>
            <w:tcW w:w="9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6,734</w:t>
            </w:r>
          </w:p>
        </w:tc>
      </w:tr>
      <w:tr>
        <w:trPr>
          <w:trHeight w:val="223"/>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w:t>
            </w:r>
          </w:p>
        </w:tc>
      </w:tr>
      <w:tr>
        <w:trPr>
          <w:trHeight w:val="248"/>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Common Stock</w:t>
      </w:r>
    </w:p>
    <w:p>
      <w:pPr>
        <w:spacing w:after="0" w:line="20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On April 24, 2020, the Company filed a shelf registration statement on Form S-3 with the SEC. This shelf registration statement became effective on May 14, 2020 and allows the Company to sell up to $500,000 in securities, including common stock, preferred stock, depositary shares, purchase contracts, warrants, debt securities, and units, from time to time at prices and on terms to be determined at the time of sale.</w:t>
      </w:r>
    </w:p>
    <w:p>
      <w:pPr>
        <w:spacing w:after="0" w:line="135" w:lineRule="exact"/>
        <w:rPr>
          <w:sz w:val="20"/>
          <w:szCs w:val="20"/>
          <w:color w:val="auto"/>
        </w:rPr>
      </w:pPr>
    </w:p>
    <w:p>
      <w:pPr>
        <w:ind w:right="80" w:firstLine="486"/>
        <w:spacing w:after="0" w:line="289" w:lineRule="auto"/>
        <w:rPr>
          <w:sz w:val="20"/>
          <w:szCs w:val="20"/>
          <w:color w:val="auto"/>
        </w:rPr>
      </w:pPr>
      <w:r>
        <w:rPr>
          <w:rFonts w:ascii="Times New Roman" w:cs="Times New Roman" w:eastAsia="Times New Roman" w:hAnsi="Times New Roman"/>
          <w:sz w:val="17"/>
          <w:szCs w:val="17"/>
          <w:color w:val="auto"/>
        </w:rPr>
        <w:t>On March 1, 2021, the Company filed an automatic shelf registration statement on Form S-3 with the SEC. This shelf registration statement became effective automatically upon filing and allows the Company to sell an indeterminate number of securities, including common stock, preferred stock, depositary shares, purchase contracts, warrants, debt securities, and units, from time to time at prices and on terms to be determined at the time of sale.</w:t>
      </w:r>
    </w:p>
    <w:p>
      <w:pPr>
        <w:spacing w:after="0" w:line="117"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On November 19, 2021, concurrent with the Company entering into the 2021 RPI Royalty Purchase Agreement, the Company and RPI entered into the Common Stock Purchase Agreement, pursuant to which the Company issued 3,846,154</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shares of the Company’s common stock to RPI for an aggregate purchase price of $50,000, at a price of $13.00 per share, calculated based on the 20-day volume weighted average price. The $13.00 per share price represents a premium of $1.11 over the closing price of $11.89 of the Company’s common stock on November 17, 2021, the last trading day prior to the execution of the Common Stock Purchase Agreement. The premium of $4,269 paid by RPI on the purchase of the Company’s common stock has been deferred and is being amortized as a component of interest expense of the 2021 RPI royalty financing obligation.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w:t>
      </w:r>
    </w:p>
    <w:p>
      <w:pPr>
        <w:spacing w:after="0" w:line="189"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As of September 30, 2022,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most recently amended and restated on April 18, 2022 and approved by the Company’s stockholders on June 7, 2022. The Inducement Plan was most recently amended and restated by the Board of Directors on August 26, 2022. The ESPP was most recently amended and restated on April 1, 2021 and approved by the Company’s stockholders on May 25, 2021.</w:t>
      </w:r>
    </w:p>
    <w:p>
      <w:pPr>
        <w:spacing w:after="0" w:line="143" w:lineRule="exact"/>
        <w:rPr>
          <w:sz w:val="20"/>
          <w:szCs w:val="20"/>
          <w:color w:val="auto"/>
        </w:rPr>
      </w:pPr>
    </w:p>
    <w:p>
      <w:pPr>
        <w:jc w:val="both"/>
        <w:ind w:right="60" w:firstLine="486"/>
        <w:spacing w:after="0" w:line="261" w:lineRule="auto"/>
        <w:rPr>
          <w:sz w:val="20"/>
          <w:szCs w:val="20"/>
          <w:color w:val="auto"/>
        </w:rPr>
      </w:pPr>
      <w:r>
        <w:rPr>
          <w:rFonts w:ascii="Times New Roman" w:cs="Times New Roman" w:eastAsia="Times New Roman" w:hAnsi="Times New Roman"/>
          <w:sz w:val="18"/>
          <w:szCs w:val="18"/>
          <w:color w:val="auto"/>
        </w:rPr>
        <w:t>Stock-based compensation expense of $29,421 ($23,687 of expense related to the Incentive Plan, $4,604 of expense related to the Inducement Plan, and $1,130 of expense related to the ESPP) was recognized during the nine months ended September 30, 2022, while $26,140 ($19,973 of expense related to the Incentive Plan, $5,025 of expense related to the Inducement Plan and $1,142 of expense related to the ESPP) was recognized during the nine months ended September 30, 2021.</w:t>
      </w:r>
    </w:p>
    <w:p>
      <w:pPr>
        <w:spacing w:after="0" w:line="153"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There was approximately $100,171 of total unrecognized compensation expense related to non-vested stock option and restricted stock unit awards granted by the Company as of September 30, 2022. As of September 30, 2022, the Company expected to recognize that expense as follows: $10,707 during the remainder of 2022, $35,987 in 2023, $31,537 in 2024, $19,524 in 2025 and $2,416 in 2026. In addition, the Company has outstanding performance-based stock options and restricted stock unit awards for which no compensation expense is recognized until “performance” has occurred and the award vests.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w:t>
      </w:r>
    </w:p>
    <w:p>
      <w:pPr>
        <w:spacing w:after="0" w:line="18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Company grants stock option awards, restricted stock and restricted stock units to its employees, directors, and consultants under the Incentive Plan. Under the Incentive Plan, stock option awards are granted with an exercise price equal to the market price of the Company’s common stock at the date of grant. Commencing March 1, 2011, stock option awards and restricted stock units granted to employees generally vest 25% each year until fully vested after four years.</w:t>
      </w:r>
    </w:p>
    <w:p>
      <w:pPr>
        <w:spacing w:after="0" w:line="153" w:lineRule="exact"/>
        <w:rPr>
          <w:sz w:val="20"/>
          <w:szCs w:val="20"/>
          <w:color w:val="auto"/>
        </w:rPr>
      </w:pPr>
    </w:p>
    <w:p>
      <w:pPr>
        <w:ind w:right="740" w:firstLine="486"/>
        <w:spacing w:after="0" w:line="282" w:lineRule="auto"/>
        <w:rPr>
          <w:sz w:val="20"/>
          <w:szCs w:val="20"/>
          <w:color w:val="auto"/>
        </w:rPr>
      </w:pPr>
      <w:r>
        <w:rPr>
          <w:rFonts w:ascii="Times New Roman" w:cs="Times New Roman" w:eastAsia="Times New Roman" w:hAnsi="Times New Roman"/>
          <w:sz w:val="18"/>
          <w:szCs w:val="18"/>
          <w:color w:val="auto"/>
        </w:rPr>
        <w:t>In December 2014, the Company issued 1,250 performance-based stock options. These awards vest upon successful completion of specific development milestones. As of September 30, 2022, 85% of these grants have vested.</w:t>
      </w:r>
    </w:p>
    <w:p>
      <w:pPr>
        <w:spacing w:after="0" w:line="12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In January 2022, the Company issued 221 performance-based restricted stock unit awards. Contingent upon successful achievement of specific commercial or operational objectives in 2022, the awards become eligible for vesting at 50% on the first anniversary of the grant date and 25% on each of the second and third anniversaries of the grant date, until fully vested after three years.</w:t>
      </w:r>
    </w:p>
    <w:p>
      <w:pPr>
        <w:spacing w:after="0" w:line="13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Stock option awards and restricted stock unit awards granted to non-employee directors of the Company generally vest over one year. Stock option awards granted to new non-employee directors when they first join the Company’s Board of Directors generally vest, subject to the terms of the Incentive Plan, in 36 equal monthly installments over a three-year period measured from the grant date. All stock option awards have contractual terms of 10 years. Restricted stock unit awards granted to new non-employee directors when they first join the Company's Board of Directors generally vest, subject to the terms of the Incentive Plan, in three equal annual installments beginning on the first anniversary of the grant date. The vesting and exercise provisions of all awards granted under the Incentive Plan are subject to acceleration in the event of certain stockholder-approved transactions, or upon the occurrence of a change in control as defined in the Incentive Plan.</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Related activity under the Incentive Plan is as follows: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7"/>
        </w:trPr>
        <w:tc>
          <w:tcPr>
            <w:tcW w:w="6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66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66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7"/>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 amendment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 awards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 awards cancelled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 awards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 awards exercised</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 awards 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11,162</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27,377</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For stock option awards granted under the Incentive Plan during the first nine months of 2022 and 2021, the fair value was estimated on the date of grant using a Black-Scholes option pricing model and the assumptions noted in the table following the next subsection. The weighted average grant date fair value of these awards granted during the first nine months of 2022 and 2021 was $7.78 and $8.11, respectively. The fair value of the stock option awards is amortized to expense over the vesting periods using a straight-line expense attribution method. For restricted stock units granted under the Incentive Plan, the fair value of the awards was determined based on the market value of the Company’s shares on the grant date. The weighted average grant date fair value of these awards granted during the first nine months of 2022 and 2021 was $13.18 and $10.17, respectively. The fair value of the restricted stock unit awards is amortized to expense over the vesting periods using a straight-line expense attribution method.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Equity Incentive Plan</w:t>
      </w:r>
    </w:p>
    <w:p>
      <w:pPr>
        <w:spacing w:after="0" w:line="18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The Company has the ability to grant stock option and restricted stock unit awards to newly-hired employees as inducements material to each employee entering employment with the Company. Awards granted to newly hired employees generally vest 25% each year until fully vested after four years and are subject to the terms and conditions of the Inducement Plan. Each stock option has a term of 10 years. The vesting and exercise provisions of all awards granted under the Inducement Plan are subject to acceleration in the event of certain stockholder-approved transactions, or upon the occurrence of a change in control as defined in the Inducement Plan.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Related activity under the Inducement Plan is as follows: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23"/>
        </w:trPr>
        <w:tc>
          <w:tcPr>
            <w:tcW w:w="6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66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66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7"/>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 amendment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 awards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 awards cancelled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 awards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 awards exercised</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 awards 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For stock option awards granted under the Inducement Plan during the first nine months of 2022 and 2021, the fair value was estimated on the date of grant using a Black-Scholes option pricing model and the assumptions noted in the table below. The weighted average grant date fair value of these awards granted during the first nine months of 2022 and 2021 was $9.72 and $9.74, respectively. The fair value of the stock option awards is amortized to expense over the vesting periods using a straight-line expense attribution method. For restricted stock units granted under the Inducement Plan,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fair value of the awards was determined based on the market value of the Company’s shares on the grant date. The weighted average grant date fair value of these awards granted during the first nine months of 2022 was $13.38. The fair value of the restricted stock unit awards is amortized to expense over the vesting periods using a straight-line expense attribution method. No restricted stock unit awards were granted under the Inducement Plan during the first nine months of 2021.</w:t>
      </w:r>
    </w:p>
    <w:p>
      <w:pPr>
        <w:spacing w:after="0" w:line="153"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key assumptions used by the Company to value the stock option awards granted under all plans during the first nine months of 2022 and 2021, respectively. The expected life is based on the average of the assumption that all outstanding stock option awards will be exercised at full vesting and the assumption that all outstanding stock option awards will be exercised at the midpoint of the current date (if already vested) or at full vesting (if not yet vested) and the full contractual term. The expected volatility represents the historical volatility on the Company’s publicly traded common stock. The Company has assumed no expected dividend yield, as dividends have never been paid to stock or option holders and will not be paid for the foreseeable future. The weighted average risk-free interest rate is the implied yield currently available on zero-coupon government issues with a remaining term equal to the expected term.</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Weighted Average Assumptions for Stock Option Awards Granted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Employees and Directors under the Plans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40" w:type="dxa"/>
            <w:vAlign w:val="bottom"/>
            <w:gridSpan w:val="2"/>
          </w:tcPr>
          <w:p>
            <w:pPr>
              <w:ind w:left="85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0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84.1 %</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84.2 %</w:t>
            </w:r>
          </w:p>
        </w:tc>
      </w:tr>
      <w:tr>
        <w:trPr>
          <w:trHeight w:val="229"/>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4"/>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02"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Company has reserved a total of 7,975 shares of common stock to be purchased under the ESPP, of which 5,792 shares remain available for purchase as of September 30, 2022. Eligible employees may authorize up to 15% of their salary to purchase common stock at the lower of 85% of the beginning or 85% of the ending price during six-month purchase intervals. No more than 3 shares may be purchased by any one employee at the six-month purchase dates, and no employee may purchase stock having a fair market value at the commencement date of $25 or more in any one calendar year. During the nine months ended September 30, 2022, and 2021, the Company issued 260 and 316 shares under the ESPP, respectively. Compensation expense for shares purchased under the ESPP related to the purchase discount and the “look-back” option were determined using a Black-Scholes option pricing model.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Collaborative and Other Relationships</w:t>
      </w:r>
    </w:p>
    <w:p>
      <w:pPr>
        <w:spacing w:after="0" w:line="18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National Institute of Allergy and Infectious Diseases</w:t>
      </w:r>
      <w:r>
        <w:rPr>
          <w:rFonts w:ascii="Times New Roman" w:cs="Times New Roman" w:eastAsia="Times New Roman" w:hAnsi="Times New Roman"/>
          <w:sz w:val="18"/>
          <w:szCs w:val="18"/>
          <w:color w:val="auto"/>
        </w:rPr>
        <w:t>. In September 2013, NIAID/HHS contracted with the Company for the development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galidesivir as a treatment for Marburg virus disease and subsequently, Yellow Fever and Ebola virus disease. On September 15, 2021, the Company entered into an amendment to pay for certain additional costs, including additional manufacturing development costs and overhead, and to change the total value of the contract, as amended, to $47,315 from $45,931. This is the commencement of closing out the contract. All options under the contract have been awarded.</w:t>
      </w:r>
    </w:p>
    <w:p>
      <w:pPr>
        <w:spacing w:after="0" w:line="158"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In August 2020, NIAID/HHS awarded the Company a contract, with potential aggregate funding of up to $43,908 if all contract options are exercised, to manufacture and evaluate the safety, efficacy and tolerability of galidesivir. NIAID/HHS made an initial award of $6,326 to the Company under this contract.</w:t>
      </w:r>
    </w:p>
    <w:p>
      <w:pPr>
        <w:spacing w:after="0" w:line="133"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Biomedical Advanced Research and Development Authority</w:t>
      </w:r>
      <w:r>
        <w:rPr>
          <w:rFonts w:ascii="Times New Roman" w:cs="Times New Roman" w:eastAsia="Times New Roman" w:hAnsi="Times New Roman"/>
          <w:sz w:val="18"/>
          <w:szCs w:val="18"/>
          <w:color w:val="auto"/>
        </w:rPr>
        <w:t>. In March 2015, BARDA/HHS awarded the Company a contract for the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 galidesivir as a potential treatment for diseases caused by RNA pathogens, including filoviruses. This BARDA/HHS contract includes a base contract of $16,265 to support galidesivir drug manufacturing, as well as $22,855 in additional development options that can be exercised by the government, bringing the potential value of the contract to $39,120. As of September 30, 2022, a total of $20,574 has been awarded under exercised options within this contract. The most recent development option was completed as of September 30, 2022.</w:t>
      </w:r>
    </w:p>
    <w:p>
      <w:pPr>
        <w:spacing w:after="0" w:line="145"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contracts with NIAID/HHS and BARDA/HHS are cost-plus-fixed-fee contracts. The Company is entitled to receive reimbursement for all costs incurred in accordance with the contract provisions that are related to the development of galidesivir plus a fixed fee, or profit. BARDA/HHS and NIAID/HHS will make periodic assessments of progress,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40"/>
        <w:spacing w:after="0" w:line="312" w:lineRule="auto"/>
        <w:rPr>
          <w:sz w:val="20"/>
          <w:szCs w:val="20"/>
          <w:color w:val="auto"/>
        </w:rPr>
      </w:pPr>
      <w:r>
        <w:rPr>
          <w:rFonts w:ascii="Times New Roman" w:cs="Times New Roman" w:eastAsia="Times New Roman" w:hAnsi="Times New Roman"/>
          <w:sz w:val="17"/>
          <w:szCs w:val="17"/>
          <w:color w:val="auto"/>
        </w:rPr>
        <w:t>the continuation of the contracts is based on the Company’s performance, the timeliness and quality of deliverables, and other factors. The government has rights under certain contract clauses to terminate these contracts. These contracts are terminable by the government at any time for breach or without cause.</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expects all government funding for its galidesivir program to expire in 2022.</w:t>
      </w:r>
    </w:p>
    <w:p>
      <w:pPr>
        <w:spacing w:after="0" w:line="183"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U.S. Department of Health and Human Services</w:t>
      </w:r>
      <w:r>
        <w:rPr>
          <w:rFonts w:ascii="Times New Roman" w:cs="Times New Roman" w:eastAsia="Times New Roman" w:hAnsi="Times New Roman"/>
          <w:sz w:val="18"/>
          <w:szCs w:val="18"/>
          <w:color w:val="auto"/>
        </w:rPr>
        <w:t>. In September 2018, HHS awarded the Company a $34,660 contract for the procurement of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50,000 doses of RAPIVAB (peramivir injection) over a five-year period. On August 25, 2022, the Company announced that HHS had exercised its remaining option under the contract to purchase 10,000 doses of RAPIVAB for $6,932. As of September 30, 2022, the Company has delivered a total of 39,980 RAPIVAB doses of the 50,000 RAPIVAB doses available under the contract with HHS for a total of $27,714.</w:t>
      </w:r>
    </w:p>
    <w:p>
      <w:pPr>
        <w:spacing w:after="0" w:line="139" w:lineRule="exact"/>
        <w:rPr>
          <w:sz w:val="20"/>
          <w:szCs w:val="20"/>
          <w:color w:val="auto"/>
        </w:rPr>
      </w:pPr>
    </w:p>
    <w:p>
      <w:pPr>
        <w:ind w:right="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Torii Pharmaceutical Co., Ltd</w:t>
      </w:r>
      <w:r>
        <w:rPr>
          <w:rFonts w:ascii="Times New Roman" w:cs="Times New Roman" w:eastAsia="Times New Roman" w:hAnsi="Times New Roman"/>
          <w:sz w:val="18"/>
          <w:szCs w:val="18"/>
          <w:color w:val="auto"/>
        </w:rPr>
        <w:t>. On November 5, 2019, the Company entered into a Commercialization and License Agreement with Torii (the “Torii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granting Torii the exclusive right to commercialize ORLADEYO for the prevention of HAE attacks in Japan.</w:t>
      </w:r>
    </w:p>
    <w:p>
      <w:pPr>
        <w:spacing w:after="0" w:line="133"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Under the Torii Agreement, the Company received an upfront, non-refundable payment of $22,000. The Japanese National Health Insurance System’s (“NHI”) approval of the addition of ORLADEYO to the NHI drug price list in April 2021 triggered a $15,000 milestone payment from Torii to the Company, which was received in May 2021.</w:t>
      </w:r>
    </w:p>
    <w:p>
      <w:pPr>
        <w:spacing w:after="0" w:line="13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 addition, under the Torii Agreement, the Company is entitled to receive tiered royalty payments, ranging from 20% to 40% of annual net sales of ORLADEYO in Japan during each calendar year. Torii’s royalty payment obligations are subject to customary reductions in certain circumstances, but may not be reduced by more than 50% of the amount that otherwise would have been payable to the Company in the applicable calendar quarter. Torii’s royalty payment obligations commenced upon the first commercial sale of ORLADEYO in Japan and expire upon the later of (i) the tenth anniversary of the date of first commercial sale of ORLADEYO in Japan, (ii) the expiration of the Company’s patents covering ORLADEYO, and (iii) the expiration of regulatory exclusivity for ORLADEYO in Japan. The Company is responsible for supplying Torii with its required amounts of ORLADEYO. The activities of the parties pursuant to the Torii Agreement are overseen by a joint steering committee, composed of an equal number of representatives from each party to coordinate the development and commercialization of ORLADEYO in Japan. Torii launched ORLADEYO in Japan on April 23, 2021.</w:t>
      </w:r>
    </w:p>
    <w:p>
      <w:pPr>
        <w:spacing w:after="0" w:line="15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 identified performance obligations related to (i) the license to develop and commercialize ORLADEYO, (ii) regulatory approval support and (iii) reimbursement pricing approval support. These were each determined to be distinct from the other performance obligations. The Company allocated the $22,000 upfront consideration to the identified performance obligations using estimation approaches to determine the standalone selling prices under ASC Topic 606. Specifically, in determining the value related to the license, a valuation approach utilizing risk adjusted discounted cash flow projections was used, and an expected cost plus margin approach was utilized for the other performance obligations.</w:t>
      </w:r>
    </w:p>
    <w:p>
      <w:pPr>
        <w:spacing w:after="0" w:line="154" w:lineRule="exact"/>
        <w:rPr>
          <w:sz w:val="20"/>
          <w:szCs w:val="20"/>
          <w:color w:val="auto"/>
        </w:rPr>
      </w:pPr>
    </w:p>
    <w:p>
      <w:pPr>
        <w:ind w:right="8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Shionogi &amp; Co., Ltd</w:t>
      </w:r>
      <w:r>
        <w:rPr>
          <w:rFonts w:ascii="Times New Roman" w:cs="Times New Roman" w:eastAsia="Times New Roman" w:hAnsi="Times New Roman"/>
          <w:sz w:val="18"/>
          <w:szCs w:val="18"/>
          <w:color w:val="auto"/>
        </w:rPr>
        <w:t>. In February 2007, the Company entered into an exclusive license agreement with Shionogi to develop and commercialize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peramivir in Japan for the treatment of seasonal and potentially life-threatening human influenza. Under the terms of the agreement, Shionogi obtained rights to injectable formulations of peramivir in Japan. The Company developed peramivir under a license from UAB and will owe sublicense payments to UAB on any future milestone payments and/or royalties received by the Company from Shionogi. In October 2008, the Company and Shionogi amended the license agreement to expand the territory covered by the agreement to include Taiwan. Shionogi has commercially launched peramivir under the commercial name RAPIACTA in Japan and Taiwan.</w:t>
      </w:r>
    </w:p>
    <w:p>
      <w:pPr>
        <w:spacing w:after="0" w:line="142" w:lineRule="exact"/>
        <w:rPr>
          <w:sz w:val="20"/>
          <w:szCs w:val="20"/>
          <w:color w:val="auto"/>
        </w:rPr>
      </w:pPr>
    </w:p>
    <w:p>
      <w:pPr>
        <w:ind w:right="48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Green Cross Corporation</w:t>
      </w:r>
      <w:r>
        <w:rPr>
          <w:rFonts w:ascii="Times New Roman" w:cs="Times New Roman" w:eastAsia="Times New Roman" w:hAnsi="Times New Roman"/>
          <w:sz w:val="18"/>
          <w:szCs w:val="18"/>
          <w:color w:val="auto"/>
        </w:rPr>
        <w:t>. In June 2006, the Company entered into an agreement with Green Cross to develop and commercialize peramivir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Korea. Under the terms of the agreement, Green Cross is responsible for all development, regulatory, and commercialization costs in Korea and the Company is entitled to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spacing w:after="0" w:line="14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Albert Einstein College of Medicine of Yeshiva University and Industrial Research, Ltd</w:t>
      </w:r>
      <w:r>
        <w:rPr>
          <w:rFonts w:ascii="Times New Roman" w:cs="Times New Roman" w:eastAsia="Times New Roman" w:hAnsi="Times New Roman"/>
          <w:sz w:val="18"/>
          <w:szCs w:val="18"/>
          <w:color w:val="auto"/>
        </w:rPr>
        <w:t>. In June 2000, the Company licensed a series of potent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inhibitors of purine nucleoside phosphorylase from AECOM and IRL (together, the “Licensors”). The lead product candidate from this collaboration is forodesine. The Company has obtained worldwide exclusive rights to develop and ultimately distribute this, or any other, product candidate that might arise from research on these inhibitors. The Company has the option to expand the agreement to include other inventions in the field made by the investigators or employees of the Licensors. Under this agreement, as amended and restated, the Company has agreed to</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use commercially reasonable efforts to develop these drugs, to pay certain milestone payments for each licensed product (which range in the aggregate from $1,400 to almost $4,000 per indication) for future development and single digit royalties on net sales of any resulting product made by the Company, and to share a portion of future payments received from other third-party partners, if any. In addition, the Company has agreed to pay annual license fees, which can range from $150 to $500, that are creditable against actual royalties and other payments due to the Licensors. The Licensors have also granted the Company an exclusive worldwide license of galidesivir for any antiviral use.</w:t>
      </w:r>
    </w:p>
    <w:p>
      <w:pPr>
        <w:spacing w:after="0" w:line="1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The University of Alabama at Birmingham</w:t>
      </w:r>
      <w:r>
        <w:rPr>
          <w:rFonts w:ascii="Times New Roman" w:cs="Times New Roman" w:eastAsia="Times New Roman" w:hAnsi="Times New Roman"/>
          <w:sz w:val="18"/>
          <w:szCs w:val="18"/>
          <w:color w:val="auto"/>
        </w:rPr>
        <w:t>. The Company currently has agreements with UAB for influenza neuraminidase and complement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inhibitors. Under the terms of these agreements, UAB performed specific research for the Company in return for research payments and license fees. UAB has granted the Company certain rights to any discoveries in these areas resulting from research developed by UAB or jointly developed by UAB with the Company. The Company has agreed to pay single digit royalties on sales of any resulting product and to share in future payments received from other third-party partners. The Company has completed the research under the UAB agreements. These two agreements each have an initial 25-year term, are automatically renewable for five-year terms throughout the life of the last patent and are terminable by the Company upon three months’ notice and by UAB under certain circumstances. Upon termination, both parties shall cease using the other parties’ proprietary and confidential information and materials, the parties shall jointly own joint inventions and UAB shall resume full ownership of all UAB licensed products. There is currently no activity between the Company and UAB on these agreements, but when the Company licenses this technology, such as in the case of the Shionogi and Green Cross collaborations, or commercializes products related to these programs, the Company will owe sublicense fees or royalties on amounts received.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MD&amp;A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intended to help the reader understand our results of operations and financial condition. MD&amp;A is provided as a supplement to, and should be read in conjunction with, our unaudited consolidated financial statements and the accompanying notes to the financial statements and other disclosures included in this report (including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at the beginning of this report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in Part II, Item 1A of this report).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We are a commercial-stage biotechnology company that discovers novel, oral, small-molecule medicines. We focus on oral treatments for rare diseases in which significant unmet medical needs exist and an enzyme plays the key role in the biological pathway of the disease. We integrate the disciplines of biology, crystallography, medicinal chemistry, and computer modeling to discover and develop small molecule pharmaceuticals through the process known as structure-guided drug design. In addition to these discovery and development efforts, our business strategy includes the efficient commercialization of these drugs in the United States and certain other regions upon regulatory approval. By focusing on rare disease markets, we believe that we can more effectively control the costs of, and our strategic allocation of financial resources toward, post-approval commercialization.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Product Candidates</w:t>
      </w:r>
    </w:p>
    <w:p>
      <w:pPr>
        <w:spacing w:after="0" w:line="187" w:lineRule="exact"/>
        <w:rPr>
          <w:sz w:val="20"/>
          <w:szCs w:val="20"/>
          <w:color w:val="auto"/>
        </w:rPr>
      </w:pPr>
    </w:p>
    <w:p>
      <w:pPr>
        <w:ind w:right="2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ORLADEYO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(berotralstat)</w:t>
      </w:r>
      <w:r>
        <w:rPr>
          <w:rFonts w:ascii="Times New Roman" w:cs="Times New Roman" w:eastAsia="Times New Roman" w:hAnsi="Times New Roman"/>
          <w:sz w:val="18"/>
          <w:szCs w:val="18"/>
          <w:color w:val="auto"/>
        </w:rPr>
        <w:t>. ORLADEYO is an oral, once-daily therapy discovered and developed by us for the prevention of hereditary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angioedema (“HAE”) attacks. ORLADEYO is approved in the United States and multiple global markets for the prevention of HAE attacks in adults and pediatric patients 12 years and older.</w:t>
      </w:r>
    </w:p>
    <w:p>
      <w:pPr>
        <w:spacing w:after="0" w:line="13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built out our U.S. commercial infrastructure in 2020 to support the launch of ORLADEYO in the United States and are continuing to build our commercial infrastructure to support additional launches in Europe and elsewhere. Based on proprietary analyses of HAE prevalence and market research studies with HAE patients, physicians, and payors in the United States and Europe, and our first full year of experience with the ORLADEYO launch in 2021, we anticipate the commercial market for ORLADEYO has the potential to reach a global peak of $1 billion in annual net ORLADEYO revenues. We expect at least 70 to 80 percent of our revenue at peak to come from the United States.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“Risk Factors—Risks Relating to Our Business—Risks Relating to Drug Development and Commercialization—There can be no assurance that our or our partners’ commercialization efforts, methods, and strategies for our products or technologies will succeed, and our future revenue generation is uncertain” in Part II, Item 1A of this report for further discussion of these risks.</w:t>
      </w:r>
    </w:p>
    <w:p>
      <w:pPr>
        <w:spacing w:after="0" w:line="167"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Revenue from sales of ORLADEYO for the three and nine months ended September 30, 2022 is discussed under “Results of Operations” in this MD&amp;A, and expected ORLADEYO revenue for 2022 is discussed under “Financial Outlook for 2022” in this MD&amp;A. Revenue from sales of ORLADEYO in future periods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conversion of patients from our clinical trials and early access programs to commercial customers, our pricing strategy, and market trends. We are continuing to monitor and analyze this data as we continue to commercialize ORLADEYO.</w:t>
      </w:r>
    </w:p>
    <w:p>
      <w:pPr>
        <w:spacing w:after="0" w:line="133" w:lineRule="exact"/>
        <w:rPr>
          <w:sz w:val="20"/>
          <w:szCs w:val="20"/>
          <w:color w:val="auto"/>
        </w:rPr>
      </w:pPr>
    </w:p>
    <w:p>
      <w:pPr>
        <w:ind w:right="460" w:firstLine="486"/>
        <w:spacing w:after="0" w:line="246" w:lineRule="auto"/>
        <w:rPr>
          <w:sz w:val="20"/>
          <w:szCs w:val="20"/>
          <w:color w:val="auto"/>
        </w:rPr>
      </w:pPr>
      <w:r>
        <w:rPr>
          <w:rFonts w:ascii="Times New Roman" w:cs="Times New Roman" w:eastAsia="Times New Roman" w:hAnsi="Times New Roman"/>
          <w:sz w:val="18"/>
          <w:szCs w:val="18"/>
          <w:i w:val="1"/>
          <w:iCs w:val="1"/>
          <w:color w:val="auto"/>
        </w:rPr>
        <w:t>Complement Program</w:t>
      </w:r>
      <w:r>
        <w:rPr>
          <w:rFonts w:ascii="Times New Roman" w:cs="Times New Roman" w:eastAsia="Times New Roman" w:hAnsi="Times New Roman"/>
          <w:sz w:val="18"/>
          <w:szCs w:val="18"/>
          <w:color w:val="auto"/>
        </w:rPr>
        <w:t>. The goal of our overall complement program is to advance several oral compounds across multiple pathways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complement system to treat many complement-mediated diseases. These compounds include BCX9930 and BCX10013, which target the alternative pathway of complement. In addition, we are pursuing oral medicines directed at other targets across the classical, lectin, and terminal pathways of the complement system.</w:t>
      </w:r>
    </w:p>
    <w:p>
      <w:pPr>
        <w:spacing w:after="0" w:line="139" w:lineRule="exact"/>
        <w:rPr>
          <w:sz w:val="20"/>
          <w:szCs w:val="20"/>
          <w:color w:val="auto"/>
        </w:rPr>
      </w:pPr>
    </w:p>
    <w:p>
      <w:pPr>
        <w:ind w:firstLine="486"/>
        <w:spacing w:after="0" w:line="237" w:lineRule="auto"/>
        <w:rPr>
          <w:sz w:val="20"/>
          <w:szCs w:val="20"/>
          <w:color w:val="auto"/>
        </w:rPr>
      </w:pPr>
      <w:r>
        <w:rPr>
          <w:rFonts w:ascii="Times New Roman" w:cs="Times New Roman" w:eastAsia="Times New Roman" w:hAnsi="Times New Roman"/>
          <w:sz w:val="18"/>
          <w:szCs w:val="18"/>
          <w:color w:val="auto"/>
        </w:rPr>
        <w:t>BCX9930 is a novel, oral, potent, and selective small molecule inhibitor of Factor D discovered by us and in clinical development for the treatment of complement-mediated diseases. Based on the safety and proof-of-concept data generated in patients with paroxysmal nocturnal hemoglobinuria (“PNH”), the program has advanced to pivotal studies of oral BCX9930 in PNH and to a proof-of-concept trial of oral BCX9930 in three renal complement-mediated diseases, C3 glomerulopathy (“C3G”), IgA nephropathy (“IgAN”), and primary membranous nephropathy (“PMN”). The goal of the program is to develop oral BCX9930 as a monotherapy for complement-mediated diseases. Refer to the “Recent Developments” section below for updates on the BCX9930 program. Refer also to “Risk Factors—Risks Relating to Our Business—Risks Relating to Drug Development and Commercialization— Our success depends upon our ability to manage our product candidate pipeline, advance our product candidates through the various stages of development, especially</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through the clinical trial process, and to receive regulatory approval for the commercial sale of our product candidates” in Part II, Item 1A of this report for a discussion of certain risks and uncertainties associated with our BCX9930 program. There can be no assurance that our development plan for the program will succeed.</w:t>
      </w:r>
    </w:p>
    <w:p>
      <w:pPr>
        <w:spacing w:after="0" w:line="136" w:lineRule="exact"/>
        <w:rPr>
          <w:sz w:val="20"/>
          <w:szCs w:val="20"/>
          <w:color w:val="auto"/>
        </w:rPr>
      </w:pPr>
    </w:p>
    <w:p>
      <w:pPr>
        <w:ind w:right="120" w:firstLine="486"/>
        <w:spacing w:after="0" w:line="250" w:lineRule="auto"/>
        <w:rPr>
          <w:sz w:val="20"/>
          <w:szCs w:val="20"/>
          <w:color w:val="auto"/>
        </w:rPr>
      </w:pPr>
      <w:r>
        <w:rPr>
          <w:rFonts w:ascii="Times New Roman" w:cs="Times New Roman" w:eastAsia="Times New Roman" w:hAnsi="Times New Roman"/>
          <w:sz w:val="18"/>
          <w:szCs w:val="18"/>
          <w:color w:val="auto"/>
        </w:rPr>
        <w:t>BCX10013 is a novel, potent, and specific Factor D inhibitor. The preclinical and early clinical profile from approximately 90 healthy volunteers to date suggests BCX10013 could have the properties of a once-daily oral therapy, and we expect to report preliminary data from healthy volunteers in the first quarter of 2023. A goal of the ongoing clinical program is to confirm this once-daily profile with healthy volunteer and patient data.</w:t>
      </w:r>
    </w:p>
    <w:p>
      <w:pPr>
        <w:spacing w:after="0" w:line="16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Galidesivir</w:t>
      </w:r>
      <w:r>
        <w:rPr>
          <w:rFonts w:ascii="Times New Roman" w:cs="Times New Roman" w:eastAsia="Times New Roman" w:hAnsi="Times New Roman"/>
          <w:sz w:val="18"/>
          <w:szCs w:val="18"/>
          <w:color w:val="auto"/>
        </w:rPr>
        <w:t>. Galidesivir is a broad-spectrum antiviral (“BSAV”) that has been shown to be active against more than 20 RNA viruses in nine different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families. The objective of our BSAV program is to develop galidesivir as a broad-spectrum therapeutic for viruses that pose a threat to national health and security. The primary focus of the program is treatment of hemorrhagic fever viruses. The galidesivir program has been substantially funded with federal funds from the National Institute of Allergy and Infectious Diseases within the U.S. Department of Health and Human Services (“NIAID/HHS”) and by the Biomedical Advanced Research and Development Authority within the HHS (“BARDA/HHS”). Refer to the “Recent Developments” section below for updates on the galidesivir program, including the expected expiration of government funding for galidesivir in 2022. The Company has no plans to continue the galidesivir program without government funding.</w:t>
      </w:r>
    </w:p>
    <w:p>
      <w:pPr>
        <w:spacing w:after="0" w:line="142"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BCX9250</w:t>
      </w:r>
      <w:r>
        <w:rPr>
          <w:rFonts w:ascii="Times New Roman" w:cs="Times New Roman" w:eastAsia="Times New Roman" w:hAnsi="Times New Roman"/>
          <w:sz w:val="18"/>
          <w:szCs w:val="18"/>
          <w:color w:val="auto"/>
        </w:rPr>
        <w:t>. The goal of our activin receptor-like kinase-2 inhibitor program is to discover and develop orally administered kinase inhibitor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that are able to slow or prevent the irregular formation of bone outside the normal skeleton, also known as heterotopic ossification (“HO”), that affects patients with fibrodysplasia ossificans progressiva (“FOP”). In a phase 1 clinical trial in healthy volunteers, BCX9250 was safe and well tolerated at all doses studied, with linear and dose-proportional exposure supporting once-daily dosing. Refer to the “Recent Developments” section below for updates on the BCX9250 program, including our decision to stop the BCX9250 program and redirect the investment to the other opportunities we have to serve patients with complement-mediated diseases.</w:t>
      </w:r>
    </w:p>
    <w:p>
      <w:pPr>
        <w:spacing w:after="0" w:line="142"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RAPIVAB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/RAPIACTA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/PERAMIFLU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(peramivir injection). </w:t>
      </w:r>
      <w:r>
        <w:rPr>
          <w:rFonts w:ascii="Times New Roman" w:cs="Times New Roman" w:eastAsia="Times New Roman" w:hAnsi="Times New Roman"/>
          <w:sz w:val="18"/>
          <w:szCs w:val="18"/>
          <w:color w:val="auto"/>
        </w:rPr>
        <w:t>RAPIVAB (peramivir injection) is approved in the United States for the treatment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acute uncomplicated influenza for patients six months and older. Peramivir injection is also approved in Canada (RAPIVAB), Australia (RAPIVAB), Japan (RAPIACTA), Taiwan (RAPIACTA), and Korea (PERAMIFLU).</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Expenses</w:t>
      </w:r>
    </w:p>
    <w:p>
      <w:pPr>
        <w:spacing w:after="0" w:line="18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revenues are difficult to predict and depend on several factors, including those discussed in the “Risk Factors” section in Part II, Item 1A of this report. For example, our revenues depend, in part, on regulatory approval decisions for our products and product candidates, the effectiveness of our and our collaborative partners’ commercialization efforts, market acceptance of our products, particularly ORLADEYO, the resources dedicated to our products and product candidates by us and our collaborative partners, and ongoing discussions with government agencies regarding contract awards for development and procurement,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w:t>
      </w:r>
    </w:p>
    <w:p>
      <w:pPr>
        <w:spacing w:after="0" w:line="147"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Our operating expenses are also difficult to predict and depend on several factors, including research and development expenses (and whether these expenses are reimbursable under government contracts), drug manufacturing, clinical research activities, the ongoing requirements of our development programs, the costs of commercialization, the availability of capital and direction from regulatory agencies, which are difficult to predict, and the factors discussed in the “Risk Factors” section in Part II, Item 1A of this report. Management may be able to control the timing and level of research and development and selling, general and administrative expenses, but many of these expenditures will occur irrespective of our actions due to contractually committed activities and/or payments.</w:t>
      </w:r>
    </w:p>
    <w:p>
      <w:pPr>
        <w:spacing w:after="0" w:line="14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accompanying discussion and analysis of our financial condition and results of operations are based upon our consolidated financial statements and the related disclosures, which have been prepared in accordance with accounting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principles generally accepted in the United States (“U.S. GAAP”). The preparation of these consolidated financial statements requires us to make estimates and judgments that affect the reported amounts of assets, liabilities, revenues, expenses and related disclosure of contingent assets and liabilities. We evaluate our estimates, judgments and the policies underlying these estimates on a periodic basis, as situations change, and regularly discuss financial events, policies, and issues with members of our audit committee and our independent registered public accounting firm. In particular, we routinely evaluate our estimates and policies regarding revenue recognition, administration, inventory and manufacturing, taxes, stock-based compensation, research and development, consulting and other expenses and any associated liabilities. Our estimates are based on historical experience and on various other assumptions that are believed to be reasonable under the circumstances. The results of our estimates form the basis for making judgments about the carrying values of assets and liabilities that are not readily apparent from other sources. See “Critical Accounting Policies” at the end of this MD&amp;A for a description of accounting policies that we believe are the most critical to aid you in fully understanding and evaluating our reported financial results and that affect the more significant judgments and estimates that we use in the preparation of our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18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outbreak of COVID-19 has severely impacted global economic activity and caused significant volatility in financial markets. To date, our financial condition, results of operations, and liquidity have not been materially impacted by the direct effects of the COVID-19 pandemic. Please refer to “Risk Factors—Risks Relating to Our Business—Risks Relating to COVID-19” in Part II, Item 1A of this report for a discussion of COVID-19 risks as they relate to our business. We are continuing to monitor developments with respect to the COVID-19 pandemic and to make adjustments as needed to assist in protecting the safety of our employees and communities while continuing our business activities. Our remote working arrangements continue to be flexible where it is both practical and possible for the business. Business-related travel has resumed, and we will continue to monitor developments with respect to COVID-19 going forward. To date, implementation of specific COVID-19 measures has not required material expenditures or significantly impacted our ability to operate our business or our internal control over financial reporting and disclosure controls and procedures. We continue to monitor the potential impacts of COVID-19 on our operations and those of our partners, suppliers, customers, and regulators.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ORLADEYO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(berotralstat)</w:t>
      </w:r>
    </w:p>
    <w:p>
      <w:pPr>
        <w:spacing w:after="0" w:line="18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On July 1, 2022, we announced new long-term efficacy and safety data from the APeX-2 and APeX-S clinical trials evaluating ORLADEYO for the prophylactic treatment of HAE showing sustained reductions in attack rates and improvement in quality of life among patients living with HAE, as well as improved management of symptoms after switching to ORLADEYO from an injectable long-term prophylactic treatment.</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August 4, 2022, we announced that pricing for ORLADEYO was finalized in Germany, France, and Switzerland in the second quarter of 2022.</w:t>
      </w:r>
    </w:p>
    <w:p>
      <w:pPr>
        <w:spacing w:after="0" w:line="198"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On August 18, 2022, we announced that the Saudi Food and Drug Authority has approved ORLADEYO to prevent attacks of HAE in adults and pediatric patients 12 years of age and older in Saudi Arabia.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Complement-Mediated Diseases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BCX9930</w:t>
      </w:r>
    </w:p>
    <w:p>
      <w:pPr>
        <w:spacing w:after="0" w:line="20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On August 4, 2022, we announced that the FDA lifted its partial clinical hold on the BCX9930 program and that we will resume enrollment in global clinical trials under revised protocols at a reduced dose of 400 mg twice-daily of BCX9930. This includes the REDEEM-1 and REDEEM-2 pivotal trials in patients with PNH and the RENEW proof-of-concept trial in patients with C3G, IgAN, and PMN. Clinical evidence and recent laboratory and nonclinical studies have informed our hypothesis that crystals form in the kidneys of some patients. We believe that lowering the dose to 400 mg and ensuring adequate hydration will dilute the concentration of drug in the urine below the threshold where crystals can form. Our goal is to find a safe and effective dose for BCX9930. We expect this can be accomplished in a reasonable timeframe after resuming enrollment, in a relatively small number of patients given the rate and timing of the serum creatinine rises in patients prior to the enrollment pause. If successful, we plan to invest more significantly in BCX9930 to tap the full potential of reaching many patients suffering from a number of alternative pathway diseases, and, if not successful, we will stop investment in BCX9930 and move on to other molecules in the pipeline.</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On November 1, 2022, we announced that screening has begun for new patients to participate in the clinical trials with BCX9930, and we expect to have data from approximately 15 newly-enrolled patients by the middle of 2023 to inform our decision to either fully invest in the pivotal program, or to discontinue the BCX9930 program.</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BCX10013</w:t>
      </w:r>
    </w:p>
    <w:p>
      <w:pPr>
        <w:spacing w:after="0" w:line="18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On November 1, 2022, we announced that we have begun a clinical program with BCX10013, a novel, potent, and specific Factor D inhibitor, and we expect to report preliminary data from healthy volunteers in the first quarter of 2023. The preclinical and early clinical profile from approximately 90 healthy volunteers to date suggests BCX10013 could have the properties of a once-daily oral therapy. A goal of the ongoing clinical program is to confirm this once-daily profile with healthy volunteer and patient data.</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Additional Complement Targets</w:t>
      </w:r>
    </w:p>
    <w:p>
      <w:pPr>
        <w:spacing w:after="0" w:line="200"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On November 1, 2022, we announced that, in addition to BCX9930 and BCX10013, which target the alternative pathway of complement, we are pursuing oral medicines directed at other targets across the classical, lectin and terminal pathways of the complement system. The goal of our overall complement program is to advance several oral compounds across multiple pathways in the complement system to treat many complement-mediated diseases.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Galidesivir</w:t>
      </w:r>
    </w:p>
    <w:p>
      <w:pPr>
        <w:spacing w:after="0" w:line="18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previously disclosed that we are commencing the close out of our September 2013 galidesivir contract with NIAID/HHS. On August 25, 2022, we announced that our other government funding for galidesivir is expected to expire in 2022 and that we have no plans to continue the galidesivir program without government funding.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Fibrodysplasia Ossificans Progressiva</w:t>
      </w:r>
    </w:p>
    <w:p>
      <w:pPr>
        <w:spacing w:after="0" w:line="187"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On November 1, 2022, we announced that we believe that patients with FOP, an ultra-rare disease, are likely to benefit from other oral ALK-2 inhibitors that currently are substantially ahead of BCX9250 in development. Considering the expectation that patients will be well-served by these other products, and the approximately $100 million in additional investment that would be required to advance BCX9250 to approval, we are stopping the BCX9250 program and redirecting this investment to the other opportunities we have to serve patients with complement-mediated diseases.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RAPIVAB (peramivir injection)</w:t>
      </w:r>
    </w:p>
    <w:p>
      <w:pPr>
        <w:spacing w:after="0" w:line="254"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On August 25, 2022, we announced that the U.S. Department of Health and Human Services has exercised its option to purchase an additional 10,000 doses of RAPIVAB for $6.9 million. The order is the final of five purchase options from a $34.7 million contract the Centers for Disease Control and Prevention awarded in 2018 for the procurement of up to 50,000 doses of RAPIVAB over a five-year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(three months ended September 30, 2022 compared to the three months ended September 30, 2021)</w:t>
      </w:r>
    </w:p>
    <w:p>
      <w:pPr>
        <w:spacing w:after="0" w:line="20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2022, total revenues were $75.8 million as compared to $41.0 million for the three months ended September 30, 2021. The increase was primarily due to ORLADEYO net revenue, including royalties, of $66.0 million, an increase of $29.0 million. RAPIVAB revenue increased $4.5 million for the three months ended September 30, 2022 due to a stockpiling sale of 10,000 units to HHS for $6.9 million as compared to a partial delivery of 3,420 units of RAPIVAB for $2.4 million for the same period in the prior year. Additionally, there was an increase in peramivir revenue of $2.9 million on a sale to one of our partners for the three months ended September 30, 2022. Contract revenue for the three months ended September 30, 2022 decreased $1.5 million compared to the same period in the prior year as existing contracts continue to close out.</w:t>
      </w:r>
    </w:p>
    <w:p>
      <w:pPr>
        <w:spacing w:after="0" w:line="147"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Cost of product sales for the three months ended September 30, 2022 and 2021 was $3.5 million and $0.6 million, respectively. The cost of product sales in 2022 was primarily associated with the peramivir product sales to our partners and the RAPIVAB stockpiling sale to HHS whereas the cost of product sales in 2021 relates primarily to the partial RAPIVAB stockpiling sale to HHS.</w:t>
      </w:r>
    </w:p>
    <w:p>
      <w:pPr>
        <w:spacing w:after="0" w:line="135"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increased to $52.7 million for the three months ended September 30, 2022 from $50.0 million for the three months ended September 30, 2021, primarily due to additional investment in the berotralstat program and expenses for BCX9250 prior to its discontinuation, partially offset by a reduction in spend on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Factor D program, primarily BCX9930, as a result of the paused enrollment in clinical trials with BCX9930 that we announced on April 8, 2022. On August 4, 2022, it was announced that we would resume enrollment for the BCX9930 program.</w:t>
      </w:r>
    </w:p>
    <w:p>
      <w:pPr>
        <w:spacing w:after="0" w:line="135"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R&amp;D expenses for the periods indicated (amounts are in thousands). Certain prior period amounts have been reclassified for consistency with the current year presentation. These reclassifications had no effect on the total R&amp;D expenses.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38"/>
        </w:trPr>
        <w:tc>
          <w:tcPr>
            <w:tcW w:w="80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 by program:</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Factor D program</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33,089</w:t>
            </w:r>
          </w:p>
        </w:tc>
      </w:tr>
      <w:tr>
        <w:trPr>
          <w:trHeight w:val="229"/>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Berotralstat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w:t>
            </w:r>
          </w:p>
        </w:tc>
      </w:tr>
      <w:tr>
        <w:trPr>
          <w:trHeight w:val="230"/>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FOP</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Galidesivir</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9"/>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Peramivir</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research, preclinical and development costs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52,740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49,971</w:t>
            </w:r>
          </w:p>
        </w:tc>
      </w:tr>
      <w:tr>
        <w:trPr>
          <w:trHeight w:val="21"/>
        </w:trPr>
        <w:tc>
          <w:tcPr>
            <w:tcW w:w="8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for the three months ended September 30, 2022 were $36.9 million compared to $35.0 million in the three months ended September 30, 2021. The increase was primarily due to increased investment to support the U.S. commercial launch of ORLADEYO and the expansion of international operations. SG&amp;A expenses for the three months ended September 30, 2021 included a one-time non-cash stock compensation charge of $7.0 million in connection with the accelerated vesting of certain outstanding stock options.</w:t>
      </w:r>
    </w:p>
    <w:p>
      <w:pPr>
        <w:spacing w:after="0" w:line="13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2022 was $24.8 million compared to $14.1 million for the three months ended September 30, 2021. The increase in interest expense was primarily associated with the sale of certain royalty payments under the 2021 RPI Royalty Purchase Agreement and the OMERS Royalty Purchase Agreement, which were entered into in November 2021, as well as the additional borrowing of $75.0 million by way of the Term B and Term C Loans under the Credit Agreement, which were funded on July 29, 2022. The nature of the royalty sales requires that we recognize a liability (the “Royalty Financing Obligations”) for the future sale of royalties under these agreements. These liabilities are amortized using the effective interest rate method, resulting in the recognition of non-cash interest expense over the estimated term of the Royalty Purchase Agreements (as defined in “Note 6—Royalty Monetizations—ORLADEYO and Factor D Inhibitors” in the Notes to Consolidated Financial Statements in Part I, Item 1 of this report).</w:t>
      </w:r>
    </w:p>
    <w:p>
      <w:pPr>
        <w:spacing w:after="0" w:line="165"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2022 included $18.5 million of non-cash interest expense due to the amortization of interest associated with the Royalty Financing Obligations and $6.3 million of interest expense, net of deferred financing amortization, associated with the borrowings under the Credit Agreement. Interest expense for the three months ended September 30, 2021 included $8.5 million of non-cash interest expense due to the amortization of interest associated with the Royalty Financing Obligation under the 2020 RPI Royalty Purchase Agreement and $3.9 million of interest expense, net of deferred financing amortization, associated with the Term A Loan under the Credit Agreement. Additionally, we recognized $1.7 million in interest expense on the non-recourse PhaRMA Notes issued in March 2011, which were written-off in December 2021.</w:t>
      </w:r>
    </w:p>
    <w:p>
      <w:pPr>
        <w:spacing w:after="0" w:line="147"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other income, net of $1.2 million was comprised primarily of interest income of $1.8 million and net foreign currency losses of $0.5 million. Other expense for the three months ended September 30, 2021 was primarily related to net foreign currency losses of $0.1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(nine months ended September 30, 2022 compared to the nine months ended September 30, 2021)</w:t>
      </w:r>
    </w:p>
    <w:p>
      <w:pPr>
        <w:spacing w:after="0" w:line="202"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total revenues were $191.3 million as compared to $110.0 million for the nine months ended September 30, 2021. The increase was primarily due to ORLADEYO net revenue, including royalties, of $180.9 million, an increase of $104.5 million. Additionally, other royalties increased $0.9 million for the nine months ended September 30, 2022 as compared to the nine months ended September 30, 2021. These increases were partially offset by a decrease in peramivir revenue of $4.4 million on sales to our partners. Additionally, a $15.0 million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milestone payment related to the NHI approval of ORLADEYO in Japan was recognized in the prior year. Contract revenue for the nine months ended September 30, 2022 decreased $4.9 million compared to the same period in the prior year as existing contracts continue to close out.</w:t>
      </w:r>
    </w:p>
    <w:p>
      <w:pPr>
        <w:spacing w:after="0" w:line="135"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Cost of product sales for the nine months ended September 30, 2022 and 2021 was $4.0 million and $6.8 million, respectively. The cost of product sales in both 2022 and 2021 was primarily associated with the peramivir product sales to our partners and RAPIVAB stockpiling sales to HHS. For the nine months ended September 30, 2021, sales of peramivir were higher than for the nine months ended September 30, 2022.</w:t>
      </w:r>
    </w:p>
    <w:p>
      <w:pPr>
        <w:spacing w:after="0" w:line="135"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R&amp;D expenses increased to $180.1 million for the nine months ended September 30, 2022 from $145.3 million for the nine months ended September 30, 2021, primarily due to increased investment in the development of the Factor D program (including BCX9930 and BCX10013), the FOP program, as well as other research, preclinical and development costs.</w:t>
      </w:r>
    </w:p>
    <w:p>
      <w:pPr>
        <w:spacing w:after="0" w:line="135"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R&amp;D expenses for the periods indicated (amounts are in thousands). Certain prior period amounts have been reclassified for consistency with the current year presentation. These reclassifications had no effect on the total R&amp;D expenses.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8"/>
        </w:trPr>
        <w:tc>
          <w:tcPr>
            <w:tcW w:w="8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 by program:</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Factor D program</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90,420</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Berotralstat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24,472</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FOP</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Galidesivir</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Peramivir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research, preclinical and development costs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180,090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145,279</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SG&amp;A expenses for the nine months ended September 30, 2022 were $109.2 million compared to $83.4 million in the nine months ended September 30, 2021. The increase was primarily due to increased investment to support the U.S. commercial launch of ORLADEYO and the expansion of international operations. SG&amp;A expenses for the nine months ended September 30, 2021 included a one-time non-cash stock compensation charge of $7.0 million in connection with the accelerated vesting of certain outstanding stock options.</w:t>
      </w:r>
    </w:p>
    <w:p>
      <w:pPr>
        <w:spacing w:after="0" w:line="13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2022 was $72.6 million compared to $40.5 million for the nine months ended September 30, 2021. The increase in interest expense was primarily associated with the sale of certain royalty payments under the 2021 RPI Royalty Purchase Agreement and the OMERS Royalty Purchase Agreement, which were entered into in November 2021, as well as the additional borrowing of $75.0 million by way of the Term B and Term C Loans under the Credit Agreement, which were funded on July 29, 2022. The nature of the royalty sales requires that we recognize the Royalty Financing Obligations for the future sale of royalties under these agreements. These liabilities are amortized using the effective interest rate method, resulting in the recognition of non-cash interest expense over the estimated term of the Royalty Purchase Agreements.</w:t>
      </w:r>
    </w:p>
    <w:p>
      <w:pPr>
        <w:spacing w:after="0" w:line="14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2022 included $57.8 million of non-cash interest expense due to the amortization of interest associated with the Royalty Financing Obligations and $14.7 million of interest expense, net of deferred financing amortization, associated with the borrowings under the Credit Agreement. Interest expense for the nine months ended September 30, 2021 included $24.1 million of non-cash interest expense due to the amortization of interest associated with the Royalty Financing Obligation under the 2020 RPI Royalty Purchase Agreement and $11.4 million of interest expense, net of deferred financing amortization, associated with the Term A Loan under the Credit Agreement. Additionally, we recognized $4.9 million in interest expense on the non-recourse PhaRMA Notes issued in March 2011, which were written-off in December 2021.</w:t>
      </w:r>
    </w:p>
    <w:p>
      <w:pPr>
        <w:spacing w:after="0" w:line="160"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other income, net of $1.8 million was comprised of interest income of $2.4 million, partially offset by net foreign currency losses of $0.6 million. Other expense for the nine months ended September 30, 2021 was primarily related to net foreign currency losses of $0.3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Our operations have principally been funded through public offerings and private placements of equity securities; cash from collaborative and other research and development agreements, including U.S. Government contracts for RAPIVAB and galidesivir; to a lesser extent, the PhaRMA Notes financing; our credit facilities; and more recently, the Royalty Sales and revenues from ORLADEYO. To date, we have been awarded a BARDA/HHS RAPIVAB development contract totaling $234.8 million, which expired on June 30, 2014; a NIAID/HHS galidesivir development contract totaling $47.3 million, which is in the process of being closed out; a second NIAID/HHS galidesivir development contract with a potential value totaling $43.9 million; and a BARDA/HHS galidesivir development contract with a potential value totaling $39.1 million. The total amount of funding obligated under awarded options under the active NIAID/HHS and BARDA/HHS galidesivir contracts is $53.6 million and $20.6 million, respectively. All government funding for galidesivir is expected to expire in 2022. In addition to the above, we have previously received funding from other sources, including other collaborative and other research and development agreements, government grants, equipment lease financing, facility leases, research grants, and interest income on our investments.</w:t>
      </w:r>
    </w:p>
    <w:p>
      <w:pPr>
        <w:spacing w:after="0" w:line="154" w:lineRule="exact"/>
        <w:rPr>
          <w:sz w:val="20"/>
          <w:szCs w:val="20"/>
          <w:color w:val="auto"/>
        </w:rPr>
      </w:pPr>
    </w:p>
    <w:p>
      <w:pPr>
        <w:jc w:val="both"/>
        <w:ind w:right="200" w:firstLine="486"/>
        <w:spacing w:after="0" w:line="261" w:lineRule="auto"/>
        <w:rPr>
          <w:sz w:val="20"/>
          <w:szCs w:val="20"/>
          <w:color w:val="auto"/>
        </w:rPr>
      </w:pPr>
      <w:r>
        <w:rPr>
          <w:rFonts w:ascii="Times New Roman" w:cs="Times New Roman" w:eastAsia="Times New Roman" w:hAnsi="Times New Roman"/>
          <w:sz w:val="18"/>
          <w:szCs w:val="18"/>
          <w:color w:val="auto"/>
        </w:rPr>
        <w:t>Our Credit Agreement with Athyrium provides for three term loans. We received the proceeds from the $125.0 million Term A Loan in December 2020. The Term B Loan and the Term C Loan were both funded in the respective principal amounts of $25.0 million and $50.0 million on July 29, 2022. The maturity date of the Credit Agreement is December 7, 2025. See “Note 7—Debt—Credit Agreement” in the Notes to Consolidated Financial Statements in Part I, Item 1 of this report for additional information about the Credit Agreement.</w:t>
      </w:r>
    </w:p>
    <w:p>
      <w:pPr>
        <w:spacing w:after="0" w:line="139"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2022, we had net working capital of $427.4 million, a decrease of approximately $35.0 million from $462.4 million at December 31, 2021. The decrease in working capital was primarily due to normal operating expenses associated with the development of our product candidates and commercialization of ORLADEYO. Our principal sources of liquidity at September 30, 2022 were approximately $246.9 million in cash and cash equivalents and approximately $180.0 million in investments considered available-for-sale.</w:t>
      </w:r>
    </w:p>
    <w:p>
      <w:pPr>
        <w:spacing w:after="0" w:line="153"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We intend to contain costs and cash flow requirements by closely managing our third-party costs and headcount, leasing scientific equipment and facilities, contracting with other parties to conduct certain research and development projects, and using consultants. We expect to incur additional expenses, potentially resulting in significant losses, as we continue to pursue our research and development activities, commercialize ORLADEYO, and hire additional personnel. We may incur additional expenses related to the filing, prosecution, maintenance, defense, and enforcement of patent and other intellectual property claims and additional regulatory costs as our clinical programs advance through later stages of development. The objective of our investment policy is to ensure the safety and preservation of invested funds, as well as to maintain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plan to finance our needs in both the short-term and long-term principally from the following:</w:t>
      </w:r>
    </w:p>
    <w:p>
      <w:pPr>
        <w:spacing w:after="0" w:line="185" w:lineRule="exact"/>
        <w:rPr>
          <w:sz w:val="20"/>
          <w:szCs w:val="20"/>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royalty, or loan financing and future public or private equity and/or debt financing;</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capital resources and interest earned on that capital;</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product sales;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existing, and executing new, contracts with the U.S. Government;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current or future collaborative and licensing agreements with corporate partners.</w:t>
      </w:r>
    </w:p>
    <w:p>
      <w:pPr>
        <w:spacing w:after="0" w:line="18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As our commercialization activities and research and development programs continue to advance, our costs will increase. Our current and planned clinical trials, plus the related development, manufacturing, regulatory approval process requirements, and additional personnel resources and testing required for the continuing development of our product candidates and the commercialization of our products will consume significant capital resources and will increase our expenses. Our expenses, revenues and cash utilization rate could vary significantly depending on many factors, including our ability to raise additional capital, the development progress of our collaborative agreements for our product candidates, the amount of funding or assistance, if any, we receive from new U.S. Government contracts or other new partnerships with third parties for the development and/or commercialization of our products and product candidates, the progress and results of our current and proposed clinical trials for our most advanced product candidates, the progress made in the manufacturing of our lead product candidates, the success of our commercialization efforts for, and market acceptance of, our products, and the overall progression of our other programs. The impact of the ongoing COVID-19 pandemic on one or more of the foregoing factors could negatively affect our expenses, revenues, and cash utilization rate.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Based on our expectations for revenue and operating expenses, we believe our financial resources will be sufficient to fund our operations for at least the next 12 months. However, we have sustained operating losses for the majority of our corporate history and expect that our 2022 expenses will exceed our 2022 revenues. We expect to continue to incur operating losses and negative cash flows until revenues reach a level sufficient to support ongoing operations. Our liquidity needs will be largely determined by the success of operations in regard to the successful commercialization of our products and the future progression of our product candidates. We regularly evaluate other opportunities to fund future operations, including: (1) securing or increasing U.S. Government funding of our programs, including obtaining procurement contracts; (2) out-licensing rights to certain of our products or product candidates, pursuant to which we would receive cash milestone payments;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one or more research and development programs, including by discontinuing development; and/or (6) restructuring operations to change our overhead structure. We may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timing, scope, and magnitude of our research and development and commercial expenses; and key developments and regulatory events and our decisions in the future.</w:t>
      </w:r>
    </w:p>
    <w:p>
      <w:pPr>
        <w:spacing w:after="0" w:line="160"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Our long-term capital requirements and the adequacy of our available funds in both the short-term and long-term will depend upon many factors, including:</w:t>
      </w:r>
    </w:p>
    <w:p>
      <w:pPr>
        <w:spacing w:after="0" w:line="121" w:lineRule="exact"/>
        <w:rPr>
          <w:sz w:val="20"/>
          <w:szCs w:val="20"/>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approved products and successful commercialization of such products by either us or our partners;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perform under our government contracts and to receive reimbursement and stockpiling procurement contracts;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work under our government contracts;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magnitude of our research, drug discovery and development programs;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collaborative relationships or government contracts;</w:t>
      </w:r>
    </w:p>
    <w:p>
      <w:pPr>
        <w:spacing w:after="0" w:line="9" w:lineRule="exact"/>
        <w:rPr>
          <w:rFonts w:ascii="Times New Roman" w:cs="Times New Roman" w:eastAsia="Times New Roman" w:hAnsi="Times New Roman"/>
          <w:sz w:val="18"/>
          <w:szCs w:val="18"/>
          <w:color w:val="auto"/>
        </w:rPr>
      </w:pPr>
    </w:p>
    <w:p>
      <w:pPr>
        <w:ind w:left="1140" w:right="280" w:hanging="322"/>
        <w:spacing w:after="0" w:line="250"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collaborative relationships with academic institutions, biotechnology or pharmaceutical companies and governmental agencies or other third parties;</w:t>
      </w:r>
    </w:p>
    <w:p>
      <w:pPr>
        <w:ind w:left="1140" w:right="100" w:hanging="322"/>
        <w:spacing w:after="0" w:line="250"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partners, including governmental agencies, will share in the costs associated with the development of our programs or run the development programs themselves;</w:t>
      </w: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favorable development and marketing strategic alliances for certain products and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 to build or expand internal development and commercial capabilities;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results of preclinical studies and clinical trials to identify and develop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sites and enroll subjects in our clinical trials;</w:t>
      </w:r>
    </w:p>
    <w:p>
      <w:pPr>
        <w:spacing w:after="0" w:line="9" w:lineRule="exact"/>
        <w:rPr>
          <w:rFonts w:ascii="Times New Roman" w:cs="Times New Roman" w:eastAsia="Times New Roman" w:hAnsi="Times New Roman"/>
          <w:sz w:val="18"/>
          <w:szCs w:val="18"/>
          <w:color w:val="auto"/>
        </w:rPr>
      </w:pPr>
    </w:p>
    <w:p>
      <w:pPr>
        <w:ind w:left="1140" w:right="200" w:hanging="322"/>
        <w:spacing w:after="0" w:line="250"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manufacturing of our products to support our commercial operations and of our product candidates to support our preclinical research and clinical trials;</w:t>
      </w: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personnel and related costs to support the development and commercialization of our products and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manufacturing of our drug substance and product candidates required for future new drug application (“NDA”) filings;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and technological advances;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commitments for ORLADEYO, RAPIVAB, and other products that receive regulatory approval; and</w:t>
      </w:r>
    </w:p>
    <w:p>
      <w:pPr>
        <w:spacing w:after="0" w:line="9" w:lineRule="exact"/>
        <w:rPr>
          <w:rFonts w:ascii="Times New Roman" w:cs="Times New Roman" w:eastAsia="Times New Roman" w:hAnsi="Times New Roman"/>
          <w:sz w:val="18"/>
          <w:szCs w:val="18"/>
          <w:color w:val="auto"/>
        </w:rPr>
      </w:pPr>
    </w:p>
    <w:p>
      <w:pPr>
        <w:ind w:left="1140" w:right="880" w:hanging="322"/>
        <w:spacing w:after="0" w:line="260"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all aspects of intellectual property strategy and protection, including the costs involved in preparing, filing, prosecuting, maintaining, defending, and enforcing patent claims.</w:t>
      </w:r>
    </w:p>
    <w:p>
      <w:pPr>
        <w:spacing w:after="0" w:line="14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expect that we will be required to raise additional capital to complete the development and commercialization of our current products and product candidates, and we may seek to raise capital in the future, including to take advantage of favorable opportunities in the capital markets. Additional funding, whether through additional sales of equity or debt securities, collaborative or other arrangements with corporate partners or from other sources, including governmental agencies in general and existing government contracts specifically, may not be available when needed or on terms acceptable to us. The issuance of preferred or common stock or convertible securities, with terms and prices significantly more favorable than those of the currently outstanding common stock, could have the effect of diluting or adversely affecting the holdings or rights of our existing stockholders. In addition, collaborative arrangements may require us to transfer certain material rights to such corporate partners. Insufficient funds may require us to delay, scale back or</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eliminate certain of our research and development programs. Our future working capital requirements, including the need for additional working capital, will be largely determined by the advancement of our portfolio of product candidates and the commercialization of ORLADEYO, as well as any future decisions regarding the future of the RAPIVAB and galidesivir programs, including those relating to stockpiling procurement.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w:t>
      </w:r>
    </w:p>
    <w:p>
      <w:pPr>
        <w:spacing w:after="0" w:line="16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restrictive covenants contained in our Credit Agreement could cause us to be unable to pursue business opportunities that we or our stockholders may consider beneficial without the lenders’ permission or without repaying all obligations outstanding under the Credit Agreement. These covenants limit our ability to, among other things, grant certain types of liens on our assets; make certain investments; incur or assume certain debt; engage in certain mergers, acquisitions, and similar transactions; dispose of assets; license certain property; distribute dividends; make certain restricted payments; change the nature of our business; engage in transactions with affiliates and insiders; prepay other indebtedness; or engage in sale and leaseback transactions. A breach of any of these covenants could result in an event of default under the Credit Agreement. As of September 30, 2022, we were in compliance with the covenants under the Credit Agreement.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 for 2022</w:t>
      </w:r>
    </w:p>
    <w:p>
      <w:pPr>
        <w:spacing w:after="0" w:line="175"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18"/>
          <w:szCs w:val="18"/>
          <w:color w:val="auto"/>
        </w:rPr>
        <w:t>Based on the reduced spending on the BCX9930 program in the first three quarters of the year, and lower than projected spending on the program for the remainder of the year, we now expect operating expenses for full year 2022, not including non-cash stock compensation, to be between $365 million and $370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have established various accounting policies that govern the application of U.S. GAAP, which were utilized in the preparation of our consolidated financial statements. Certain accounting policies involve significant judgments and assumptions by management that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spacing w:after="0" w:line="14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1—Significant Accounting Policies and Concentrations of Risk” in the Notes to Consolidated Financial Statements in Part I, Item 1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Pursuant to Accounting Standards Codification (“ASC”)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43"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At contract inception, we identify the goods or services promised within each contract, assess whether each promised good or service is distinct, and determine those that are performance obligations. We recognize as revenue the amount of the transaction price that is allocated to the respective performance obligation when the performance obligation is satisfied.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0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principal sources of product sales are sales of ORLADEYO, which we began shipping to patients in December 2020, sales of peramivir to our licensing partners and sales of RAPIVAB to HHS under our procurement contract. In the United States, we ship ORLADEYO directly to patients through a single specialty pharmacy, which is considered our customer. In the European Union, United Kingdom and elsewhere, we sell ORLADEYO to specialty distributors as well as hospitals and pharmacies, which collectively are considered our customers.</w:t>
      </w:r>
    </w:p>
    <w:p>
      <w:pPr>
        <w:spacing w:after="0" w:line="13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We recognize revenue for sales when our customers obtain control of the product, which generally occurs upon delivery. For ORLADEYO, we classify payments to our specialty pharmacy customer for certain services provided by our customer as selling, general and administrative expenses to the extent such services provided are determined to be distinct from the sale of our product.</w:t>
      </w:r>
    </w:p>
    <w:p>
      <w:pPr>
        <w:spacing w:after="0" w:line="135"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 reflect our best estimates of the amount of consideration to which the Company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estimates, we adjust these estimates, which would affect net product revenue and earnings in the period such variances become known.</w:t>
      </w:r>
    </w:p>
    <w:p>
      <w:pPr>
        <w:spacing w:after="0" w:line="15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Government and Managed Care Rebates</w:t>
      </w:r>
      <w:r>
        <w:rPr>
          <w:rFonts w:ascii="Times New Roman" w:cs="Times New Roman" w:eastAsia="Times New Roman" w:hAnsi="Times New Roman"/>
          <w:sz w:val="18"/>
          <w:szCs w:val="18"/>
          <w:color w:val="auto"/>
        </w:rPr>
        <w:t>. We contract with government agencies and managed care organizations or, collectively, third-party payors,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These reserves are recorded in the same period in which the revenue is recognized, resulting in a reduction of product revenue and the establishment of a current liability. We estimate the rebates that we will provide to third-party payors based upon (i) our contracts with these third-party payors, (ii) the government mandated discounts applicable to government-funded programs, (iii) a range of possible outcomes that are probability-weighted for the estimated payor mix, and (iv) product distribution information obtained from our specialty pharmacy.</w:t>
      </w:r>
    </w:p>
    <w:p>
      <w:pPr>
        <w:spacing w:after="0" w:line="14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Chargebacks are discounts that occur when certain contracted customers, pharmacy benefit managers, insurance companies,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programs purchase directly from our specialty pharmacy. These customers purchase our products under contracts negotiated between them and our specialty pharmacy. The specialty pharmacy, in turn, charges back to us the difference between the price the specialty pharmacy paid and the negotiated price paid by the contracted customers, which may be higher or lower than the specialty pharmacy purchase price with us. We estimate chargebacks and adjust gross product revenues and accounts receivable based on the estimates at the time revenues are recognized.</w:t>
      </w:r>
    </w:p>
    <w:p>
      <w:pPr>
        <w:spacing w:after="0" w:line="143"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Co-payment assistance and patient assistance programs</w:t>
      </w:r>
      <w:r>
        <w:rPr>
          <w:rFonts w:ascii="Times New Roman" w:cs="Times New Roman" w:eastAsia="Times New Roman" w:hAnsi="Times New Roman"/>
          <w:sz w:val="18"/>
          <w:szCs w:val="18"/>
          <w:color w:val="auto"/>
        </w:rPr>
        <w:t>. 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Based upon the terms of the program and co-payment assistance utilization reports received from the specialty pharmacy, we are able to estimate the co-payment assistance amounts, which are recorded in the same period in which the related revenue is recognized, resulting in a reduction of product revenue. We also offer a patient assistance program that provides free drug product, for a limited period of time, to allow a patient’s insurance coverage to be established. Based on patient assistance program utilization reports provided by the specialty pharmacy, we record gross revenue of the product provided and a full reduction of the revenue amount for the free drug discount.</w:t>
      </w:r>
    </w:p>
    <w:p>
      <w:pPr>
        <w:spacing w:after="0" w:line="155"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 We do not provide contractual return rights to our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and Other Research and Development Arrangements and Royalties</w:t>
      </w:r>
    </w:p>
    <w:p>
      <w:pPr>
        <w:spacing w:after="0" w:line="200"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recognize revenue when we satisfy a performance obligation by transferring promised goods or services to a customer. Revenue is measured at the transaction price that is based on the amount of consideration that we expect to receive in exchange for transferring the promised goods or services to the customer. The transaction price includes estimates of variable consideration to the extent it is probable that a significant reversal of revenue recognized will not occur.</w:t>
      </w:r>
    </w:p>
    <w:p>
      <w:pPr>
        <w:spacing w:after="0" w:line="139" w:lineRule="exact"/>
        <w:rPr>
          <w:sz w:val="20"/>
          <w:szCs w:val="20"/>
          <w:color w:val="auto"/>
        </w:rPr>
      </w:pPr>
    </w:p>
    <w:p>
      <w:pPr>
        <w:ind w:right="800" w:firstLine="486"/>
        <w:spacing w:after="0" w:line="282" w:lineRule="auto"/>
        <w:rPr>
          <w:sz w:val="20"/>
          <w:szCs w:val="20"/>
          <w:color w:val="auto"/>
        </w:rPr>
      </w:pPr>
      <w:r>
        <w:rPr>
          <w:rFonts w:ascii="Times New Roman" w:cs="Times New Roman" w:eastAsia="Times New Roman" w:hAnsi="Times New Roman"/>
          <w:sz w:val="18"/>
          <w:szCs w:val="18"/>
          <w:color w:val="auto"/>
        </w:rPr>
        <w:t>We have collaboration and license agreements with a number of third parties as well as research and development agreements with certain government entities.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Our primary sources of revenue from these collaborative and other research and development arrangements are license, service and royalty revenues.</w:t>
      </w:r>
    </w:p>
    <w:p>
      <w:pPr>
        <w:spacing w:after="0" w:line="210"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w:t>
      </w:r>
    </w:p>
    <w:p>
      <w:pPr>
        <w:spacing w:after="0" w:line="135"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based on services performed, we measure progress using an input method based on the effort we expend or costs we incur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using either an adjusted market assessment approach or an expected cost plus margin approach, representing the amount that we believe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57"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Milestone payments are recognized as licensing revenue upon the achievement of specified milestones if (i) the milestone is substantive in nature and the achievement of the milestone was not probable at the inception of the agreement and (ii) we have a right to payment. Any milestone payments received prior to satisfying these revenue recognition criteria are recorded as deferred revenue.</w:t>
      </w:r>
    </w:p>
    <w:p>
      <w:pPr>
        <w:spacing w:after="0" w:line="14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Reimbursements received for direct out-of-pocket expenses related to research and development costs are recorded as revenue in the Consolidated Statements of Comprehensive Loss rather than as a reduction in expenses. Under our contracts with BARDA/HHS and NIAID/HHS, revenue is recognized as reimbursable direct and indirect costs are incurred.</w:t>
      </w:r>
    </w:p>
    <w:p>
      <w:pPr>
        <w:spacing w:after="0" w:line="135"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02"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deferred revenue and billings in excess of revenue recognized (contract liabilities) on the Consolidated Balance Sheets.</w:t>
      </w:r>
    </w:p>
    <w:p>
      <w:pPr>
        <w:spacing w:after="0" w:line="119" w:lineRule="exact"/>
        <w:rPr>
          <w:sz w:val="20"/>
          <w:szCs w:val="20"/>
          <w:color w:val="auto"/>
        </w:rPr>
      </w:pPr>
    </w:p>
    <w:p>
      <w:pPr>
        <w:ind w:right="5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Contract assets</w:t>
      </w:r>
      <w:r>
        <w:rPr>
          <w:rFonts w:ascii="Times New Roman" w:cs="Times New Roman" w:eastAsia="Times New Roman" w:hAnsi="Times New Roman"/>
          <w:sz w:val="18"/>
          <w:szCs w:val="18"/>
          <w:color w:val="auto"/>
        </w:rPr>
        <w:t>. Our long-term contracts are billed as work progresses in accordance with the contract terms and conditions, either at periodic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intervals or upon achievement of certain milestones. Often this results in billing occurring</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revenue recognition, resulting in contract assets. Contract assets are generally classified as current assets in the Consolidated Balance Sheets.</w:t>
      </w:r>
    </w:p>
    <w:p>
      <w:pPr>
        <w:spacing w:after="0" w:line="196" w:lineRule="exact"/>
        <w:rPr>
          <w:sz w:val="20"/>
          <w:szCs w:val="20"/>
          <w:color w:val="auto"/>
        </w:rPr>
      </w:pPr>
    </w:p>
    <w:p>
      <w:pPr>
        <w:jc w:val="both"/>
        <w:ind w:right="1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Contract liabilities</w:t>
      </w:r>
      <w:r>
        <w:rPr>
          <w:rFonts w:ascii="Times New Roman" w:cs="Times New Roman" w:eastAsia="Times New Roman" w:hAnsi="Times New Roman"/>
          <w:sz w:val="18"/>
          <w:szCs w:val="18"/>
          <w:color w:val="auto"/>
        </w:rPr>
        <w:t>. We often receive cash payments from customers in advance of our performance, resulting in contract liabilities. These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are classified as either current or long-term in the Consolidated Balance Sheets based on the timing of when we expect to recognize the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87"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We may incur direct and indirect costs associated with obtaining a contract. Incremental contract costs that we expect to recover are capitalized and amortized over the expected term of the contract. Non-incremental contract costs and costs that we expect to recover are expensed as incurred.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inventories primarily relate to ORLADEYO. Additionally, our inventory includes RAPIVAB and peramivir.</w:t>
      </w:r>
    </w:p>
    <w:p>
      <w:pPr>
        <w:spacing w:after="0" w:line="18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value our inventories at the lower of cost or estimated net realizable value. We determine the cost of our inventories, which includes amounts related to materials, labor, manufacturing overhead and shipping and handling costs on a first-in, first-out (FIFO) basis. Raw materials and work-in-process includes all inventory costs prior to packaging and labeling, including raw material, active product ingredient, and drug product. Finished goods include packaged and labeled products.</w:t>
      </w:r>
    </w:p>
    <w:p>
      <w:pPr>
        <w:spacing w:after="0" w:line="153"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Our inventories are subject to expiration dating. We regularly evaluate the carrying value of our inventories and provide valuation reserves for any estimated obsolete, short-dated or unmarketable inventories. In addition, we may experience spoilage of our raw materials and supplies. Our determination that a valuation reserve might be required, in addition to the quantification of such reserve, requires us to utilize significant judgment.</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expense costs related to the production of inventories as research and development expenses in the period incurred until such time it is believed that future economic benefit is expected to be recognized, which generally is upon receipt of regulatory approval. Upon regulatory approval, we capitalize subsequent costs related to the production of inventories.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02"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We enter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We record liabilities under these contractual commitments when we determine an obligation has been incurred. This accrual process involves reviewing open contracts and purchase orders, communicating with our applicable personnel to identify services that have been performed and estimating the level of service performed and the associated cost when we have not yet been invoiced or otherwise notified of actual cost. The majority of our service providers invoice us monthly in arrears for services performed. We make estimates of our accrued expenses as of each balance sheet date based on the facts and circumstances known to us. We periodically confirm the accuracy of our estimates with the service providers and make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our raw materials, drug substance, drug products, and product candidates; and (iv) professional fees.</w:t>
      </w:r>
    </w:p>
    <w:p>
      <w:pPr>
        <w:spacing w:after="0" w:line="154"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research and development costs are charged to expense when incurred.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our manufacturing and clinical and preclinical studies are performed by third-party CROs. Costs for studies performed by CROs are accrued by us over the service periods specified in the contracts and estimates are adjusted, if required, based upon our ongoing review of the level of services actually performed.</w:t>
      </w:r>
    </w:p>
    <w:p>
      <w:pPr>
        <w:spacing w:after="0" w:line="148"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Additionally, we have license agreements with third parties, such as Albert Einstein College of Medicine of Yeshiva University (“AECOM”), Industrial Research, Ltd. (“IRL”), and the University of Alabama (“UAB”), which require fees related to sublicense agreements or maintenance fees. We expense sublicense payments as incurred unless they are related to revenues that have been deferred, in which case the expenses are deferred and recognized over the related revenue recognition period. We expense maintenance payments as incurred.</w:t>
      </w:r>
    </w:p>
    <w:p>
      <w:pPr>
        <w:spacing w:after="0" w:line="13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Deferred collaboration expenses represent sublicense payments paid to our academic partners upon receipt of consideration from various commercial partners, and other consideration to our academic partners for modification to existing license agreements. These deferred expenses would not have been incurred without receipt of such payments or modifications from our commercial partners and are being expensed in proportion to the related revenue being recognized. We believe that this accounting treatment appropriately matches expenses with the associated revenue.</w:t>
      </w:r>
    </w:p>
    <w:p>
      <w:pPr>
        <w:spacing w:after="0" w:line="153"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group our R&amp;D expenses into two major categories: direct external expenses and indirect expenses. Direct expenses consist of compensation for R&amp;D personnel and costs of outside parties to conduct laboratory studies, develop manufacturing processes and manufacture the product candidate, conduct and manage clinical trials, as well as other costs related to our clinical and preclinical studies. These costs are accumulated and tracked by active program. Indirect expenses consist of lab supplies and services, facility expenses, depreciation of development equipment and other overhead of our research and development efforts. These costs apply to work on non-active product candidates and our discovery research efforts.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All share-based payments, including grants of stock option awards and restricted stock unit awards, are recognized in our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We utilize the Black-Scholes option-pricing model to value our stock option awards and recognize compensation expense on a straight-line basis over the vesting periods. The estimation of share-based payment awards that will ultimately vest requires judgment, and to the extent actual results or updated estimates differ from our current estimates, such amounts will be recorded as a cumulative adjustment in the period estimates are revised. In addition, we have outstanding performance-based stock options and restricted stock units for which no compensation expense is recognized until “performance” has occurred. Significant management judgment is also required in determining estimates of future stock price volatility and forfeitures to be used in the valuation of the options. Actual results, and future changes in estimates, may differ substantially from our current estimates.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Royalty Financing Obligations</w:t>
      </w:r>
    </w:p>
    <w:p>
      <w:pPr>
        <w:spacing w:after="0" w:line="18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The royalty financing obligations are eligible to be repaid based on royalties from net sales of ORLADEYO, BCX9930, and another earlier stage Factor D inhibitor (BCX10013). Interest expense is accrued using the effective interest rate method over the estimated period each of the related liabilities will be paid. This requires us to estimate the total amount of future royalty payments to be generated from product sales over the life of the agreement. We impute interest on the carrying value of each of the royalty financing obligations and record interest expense using an imputed effective interest rate. We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requires that we make estimates that could impact the carrying value of each of the liabilities, as well as the periods over which associated issuance costs will be amortized. A</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significant increase or decrease in forecasted net sales could materially impact each of the liability balances, interest expense and the time periods for repayment.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w:t>
      </w:r>
    </w:p>
    <w:p>
      <w:pPr>
        <w:spacing w:after="0" w:line="18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account for uncertain tax positions in accordance with U.S. GAAP. Significant management judgment is required in determining our provision for income taxes, deferred tax assets and liabilities and any valuation allowance recorded against net deferred tax assets. We have recorded a valuation allowance against substantially all potential tax assets, due to uncertainties in our ability to utilize deferred tax assets, primarily consisting of certain net operating losses carried forward, before they expire. The valuation allowance is based on estimates of taxable income in each of the jurisdictions in which we operate and the period over which our deferred tax assets will be recoverable.</w:t>
      </w:r>
    </w:p>
    <w:p>
      <w:pPr>
        <w:spacing w:after="0" w:line="143"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Beginning in fiscal year 2021, we began accruing foreign income taxes as a result of increased nexus in foreign jurisdictions where historically we had no presence.</w:t>
      </w:r>
    </w:p>
    <w:p>
      <w:pPr>
        <w:spacing w:after="0" w:line="13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addition, starting in 2022, amendments to Section 174 of the Internal Revenue Code of 1986, as amended (“IRC”), will no longer permit an immediate deduction for research and development expenditures in the tax year that such costs are incurred. Instead, these IRC Section 174 development costs must now be capitalized and amortized over either a five- or 15-year period, depending on the location of the activities performed. The new amortization period begins with the midpoint of any taxable year that IRC Section 174 costs are first incurred, regardless of whether the expenditures were made prior to or after July 1, and runs until the midpoint of year five for activities conducted in the United States or year 15 in the case of development conducted on foreign soil. As a result of this tax law change, we have recorded a U.S. state tax provision for the nine months ended September 30,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“Note 1—Significant Accounting Policies and Concentrations of Risk” in the Notes to Consolidated Financial Statements included in Part I, Item 1 of this report discusses accounting pronouncements recently issued or proposed but not yet required to be adopted.</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right="340" w:firstLine="486"/>
        <w:spacing w:after="0" w:line="258" w:lineRule="auto"/>
        <w:rPr>
          <w:sz w:val="20"/>
          <w:szCs w:val="20"/>
          <w:color w:val="auto"/>
        </w:rPr>
      </w:pPr>
      <w:r>
        <w:rPr>
          <w:rFonts w:ascii="Times New Roman" w:cs="Times New Roman" w:eastAsia="Times New Roman" w:hAnsi="Times New Roman"/>
          <w:sz w:val="18"/>
          <w:szCs w:val="18"/>
          <w:color w:val="auto"/>
        </w:rPr>
        <w:t>We are subject to interest rate risk on our investment portfolio and borrowings under our Credit Agreement. The Term Loans under the Credit Agreement bear interest each quarter at a rate equal to the three-month LIBOR rate, which is capped to be no less than 1.75% and no more than 3.50% (“LIBOR”), plus 8.25% or, for each quarterly interest period in which a PIK Interest Payment is made, LIBOR plus 10.25%. Accordingly, increases in interest rates could increase the associated interest payments that we are required to make on the Term Loans. As of September 30, 2022, interest was accrued at an effective rate of 12.68% on the $200.0 million borrowings under the Credit Agreement.</w:t>
      </w:r>
    </w:p>
    <w:p>
      <w:pPr>
        <w:spacing w:after="0" w:line="15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three-month LIBOR was 3.67% as of September 28, 2022, the LIBOR measurement date for the three-month interest period beginning October 1, 2022. As the LIBOR rate exceeds the LIBOR cap of 3.50%, the 3.50% cap plus 10.25% will be used to record interest expense for the three-month interest period beginning October 1, 2022.</w:t>
      </w:r>
    </w:p>
    <w:p>
      <w:pPr>
        <w:spacing w:after="0" w:line="13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invest in marketable securities in accordance with our investment policy. The primary objectives of our investment policy are to preserve capital, maintain proper liquidity to meet operating needs and maximize yields.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spacing w:after="0" w:line="143"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spacing w:after="0" w:line="160"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We do not use interest rate derivative instruments to manage exposure to interest rate changes. We ensure the safety and preservation of invested principal funds by limiting default risk, market risk and reinvestment risk. We reduce default risk by investing in investment grade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8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Most of our revenues and expenses are denominated in U.S. dollars, and as a result, we have not experienced significant foreign currency transaction gains and losses to date. Our commercial sales in Europe are primarily denominated in Euros and the British Pound. We also had other transactions denominated in foreign currencies during the nine months ended September 30, 2022, primarily related to operations in Europe, contract manufacturing and ex-U.S. clinical trial activities, and we expect to continue to do so. Our royalties from Torii are derived from Torii’s sales of ORLADEYO in Japan. Those sales are denominated in Japanese yen and converted into U.S. dollars for purposes of determining the royalty owed to us. Our limited foreign currency exposure relative to our European operations is to fluctuations in the Euro, British Pound, Swiss Franc, Danish Krone, and Swedish Krona.</w:t>
      </w:r>
    </w:p>
    <w:p>
      <w:pPr>
        <w:spacing w:after="0" w:line="160" w:lineRule="exact"/>
        <w:rPr>
          <w:sz w:val="20"/>
          <w:szCs w:val="20"/>
          <w:color w:val="auto"/>
        </w:rPr>
      </w:pPr>
    </w:p>
    <w:p>
      <w:pPr>
        <w:jc w:val="both"/>
        <w:ind w:right="420" w:firstLine="486"/>
        <w:spacing w:after="0" w:line="266" w:lineRule="auto"/>
        <w:rPr>
          <w:sz w:val="20"/>
          <w:szCs w:val="20"/>
          <w:color w:val="auto"/>
        </w:rPr>
      </w:pPr>
      <w:r>
        <w:rPr>
          <w:rFonts w:ascii="Times New Roman" w:cs="Times New Roman" w:eastAsia="Times New Roman" w:hAnsi="Times New Roman"/>
          <w:sz w:val="18"/>
          <w:szCs w:val="18"/>
          <w:color w:val="auto"/>
        </w:rPr>
        <w:t>We do not anticipate that foreign currency transaction gains or losses will be significant at our current level of operations. However, transaction gains or losses may become significant in the future as we continue to expand our operations internationally. We have not engaged in foreign currency hedging during the nine months ended September 30, 2022; however, we may do so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8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Inflation generally impacts us by potentially increasing our operating expenses, including clinical trial costs and selling activities. We do not believe that inflation has had a material impact on our business or results of operations during the periods for which the condensed consolidated financial statements are presented in this report. Significant adverse changes in inflation could negatively impact our future results of operations.</w:t>
      </w:r>
    </w:p>
    <w:p>
      <w:pPr>
        <w:spacing w:after="0" w:line="1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maintain a set of disclosure controls and procedures that are designed to ensure that information relating to the Company required to be disclosed in our periodic filings under the Exchange Act is recorded, processed, summarized and reported in a timely manner under the Exchange Act. We carried out an evaluation,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September 30, 2022, the Company’s disclosure controls and procedures are effective to ensure that information required to be disclosed by the Company in the reports filed or submitted by it under the Exchange Act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148"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quarter ended September 30,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87" w:lineRule="exact"/>
        <w:rPr>
          <w:sz w:val="20"/>
          <w:szCs w:val="20"/>
          <w:color w:val="auto"/>
        </w:rPr>
      </w:pPr>
    </w:p>
    <w:p>
      <w:pPr>
        <w:ind w:right="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COVID-19</w:t>
      </w:r>
    </w:p>
    <w:p>
      <w:pPr>
        <w:spacing w:after="0" w:line="18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clinical development or commercialization plans and timelines, and access to capital could be adversely affected by the effects of the ongoing COVID-19 pandemic on us or on third parties with whom we conduct business, including without limitation our development partners, manufacturers, CROs, and others, as well as on the regulatory and government agencies with whom we work.</w:t>
      </w:r>
    </w:p>
    <w:p>
      <w:pPr>
        <w:spacing w:after="0" w:line="13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global COVID-19 pandemic continues to affect the United States and global economies, and could cause disruptions to our business, operations, and clinical development or commercialization plans and timelines, as well as the business and operations of third parties with whom we conduct business. For example, government orders and evolving business policies and procedures have impacted and may continue to impact, among other things: (1) our personnel and those of third parties on whom we rely, including our development partners (such as Torii), manufacturers, CROs, and others; (2) the conduct of our current and future clinical trials and commercial interactions; and (3) the operations of the FDA, European Medicines Agency (“EMA”), Japanese Pharmaceuticals and Medical Devices Agency (“PMDA”), and other health and governmental authorities, which could result in delays of reviews and approvals.</w:t>
      </w:r>
    </w:p>
    <w:p>
      <w:pPr>
        <w:spacing w:after="0" w:line="162"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If our operations or those of third parties with whom we conduct business are impaired or curtailed as a result of these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as a result of the COVID-19 pandemic or other health epidemics.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 Although we carefully manage our relationships with our suppliers and vendors, there can be no assurance that we will not encounter challenges or delays in the future or that these delays or challenges will not have an adverse impact on our business, financial condition and prospects.</w:t>
      </w:r>
    </w:p>
    <w:p>
      <w:pPr>
        <w:spacing w:after="0" w:line="15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In addition, our clinical trials have been and may continue to be affected by the COVID-19 pandemic. For example, the acceleration of COVID-19 slowed startup of the inadequate C5 responder cohorts in our complement oral Factor D program and, as a result, delayed the reporting of related data in 2020. Clinical site initiation and patient enrollment may be delayed due to prioritization of hospital resources toward the COVID-19 pandemic or concerns among patients about participating in clinical trials during a pandemic. Some patients may have difficulty following certain aspects of clinical trial protocols if quarantines impede patient movement or interrupt healthcare services. Similarly, our inability to successfully recruit and retain patients and principal investigators and site staff who, as healthcare providers, may have heightened exposure to COVID-19 or experience additional restrictions by their institutions, city, or state could adversely impact our clinical trial operations.</w:t>
      </w:r>
    </w:p>
    <w:p>
      <w:pPr>
        <w:spacing w:after="0" w:line="148"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If global health concerns prevent the FDA, EMA, PMDA or other regulatory authorities from conducting their inspections, reviews, or other regulatory activities, it could significantly impact the ability of such authorities to timely review and process our regulatory submissions, which could have a material adverse effect on our business and clinical development and commercialization plans and timelines.</w:t>
      </w:r>
    </w:p>
    <w:p>
      <w:pPr>
        <w:spacing w:after="0" w:line="149"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Where possible and practical, we continue to provide work-from-home flexibility for our employees, which could negatively impact productivity, disrupt our business and delay our clinical programs and timelines. In addition, we are a government contractor, and as such, we are subject to the federal COVID-19 safety protocols. We cannot accurately predict the impact on operations of any return-to-the-office plan, nor of the federal COVID-19 safety protocols on our business or on third parties with whom we conduct business. Our business may be negatively impacted in the event that large numbers of employees or key employees do not comply with these protocols. These and similar, and perhaps more severe, disruptions in our operations could negatively impact our business, operating results and financial condition.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spread of COVID-19, which has caused a broad impact globally, could also materially affect our access to capital. While the future economic impact brought by, and the duration of, COVID-19 may be difficult to assess or predict, the pandemic could result in further significant disruption of global financial markets, reducing our ability to access the equity or debt capital markets or obtain other sources of capital, which could negatively affect our liquidity. In addition, a recession or market correction resulting from the continued spread of COVID-19 variants and related responses could materially affect our business and the value of our common stock.</w:t>
      </w:r>
    </w:p>
    <w:p>
      <w:pPr>
        <w:spacing w:after="0" w:line="15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global pandemic continues to evolve, with the ultimate impact of the COVID-19 pandemic or a similar health epidemic being uncertain and subject to change. These effects could be material, and we will continue to monitor the COVID-19 situation closely. We do not yet know the full extent and magnitude of the impacts that COVID-19 has had or will have on our business, on the healthcare system, or on the global economy. In addition, the COVID-19 pandemic could have the effect of heightening many of the other risks described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and Liquidity Risks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since our inception, expect to continue to incur such losses, and may never be profitable.</w:t>
      </w:r>
    </w:p>
    <w:p>
      <w:pPr>
        <w:spacing w:after="0" w:line="20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Since our inception, we have not achieved sustained profitability. We expect to incur additional losses for the foreseeable future, and our losses could increase as our research and development efforts and commercial activities progress. We expect that such losses will fluctuate from quarter to quarter and that losses and fluctuations may be substantial. To become profitable, we, or our collaborative partners, must successfully manufacture and develop products and product candidates, receive regulatory approval, and successfully commercialize our products and/or enter into profitable commercialization arrangements with other parties. It could take longer than expected before we receive, or we may never receive, significant revenue from any current or future license agreements or significant revenues directly from product sales. Even if we are able to successfully commercialize our existing products, or to develop or otherwise acquire new commercially viable products, certain obligations we have to third parties, including, without limitation, our obligation to pay RPI and OMERS, as applicable, royalties on certain revenues from ORLADEYO, BCX9930, and another earlier stage Factor D inhibitor (BCX10013) under the Royalty Purchase Agreements, may reduce the profitability of such products.</w:t>
      </w:r>
    </w:p>
    <w:p>
      <w:pPr>
        <w:spacing w:after="0" w:line="148"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developing our product candidates, launching new products, and their potential for commercialization, we are unable to predict the extent of any future losses. Even if we do achieve profitability, we may not be able to sustain or increase profitability on a quarterly or annual basis. If we are unable to achieve and sustain profitability, the market value of our common stock will likely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If we are unable to raise capital when needed, we may need to adjust our operations.</w:t>
      </w:r>
    </w:p>
    <w:p>
      <w:pPr>
        <w:spacing w:after="0" w:line="202"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We have sustained operating losses for the majority of our corporate history and expect that our 2022 expenses will exceed our 2022 revenues. We expect to continue to incur operating losses and negative cash flows unless and until revenues reach a level sufficient to support ongoing operations.</w:t>
      </w:r>
    </w:p>
    <w:p>
      <w:pPr>
        <w:spacing w:after="0" w:line="12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Our liquidity needs will be largely determined by the success of operations in regard to the commercialization of our products and the progression of our product candidates in the future. Our plans for managing our liquidity needs primarily include controlling the timing and spending on our research and development programs, raising additional funds through equity and/or debt financings, and commercializing our approved products. We regularly evaluate other opportunities to fund operations including: (1) securing or increasing U.S. Government funding of our programs, including obtaining additional and delivering on procurement contracts; (2) out-licensing rights to certain of our products or product candidates, pursuant to which we would receive cash milestone payments and/or royalties;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research and development programs, including by discontinuing and suspending development; and/or (6) restructuring operations to change our overhead structure.</w:t>
      </w:r>
    </w:p>
    <w:p>
      <w:pPr>
        <w:spacing w:after="0" w:line="148"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There can be no assurance that any of our plans will be successful or that additional capital will be available to us on reasonable terms, or at all, when needed. If we are unable to obtain sufficient additional capital, we may be forced to adjust or curtail our operations; delay, reduce, or stop ongoing clinical trials or commercialization efforts; cease operations altogether; or file for bankruptcy.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Drug Development and Commercialization</w:t>
      </w:r>
    </w:p>
    <w:p>
      <w:pPr>
        <w:spacing w:after="0" w:line="194" w:lineRule="exact"/>
        <w:rPr>
          <w:sz w:val="20"/>
          <w:szCs w:val="20"/>
          <w:color w:val="auto"/>
        </w:rPr>
      </w:pPr>
    </w:p>
    <w:p>
      <w:pPr>
        <w:jc w:val="both"/>
        <w:ind w:right="6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upon our ability to manage our product candidate pipeline, advance our product candidates through the various stages of development, especially through the clinical trial process, and to receive regulatory approval for the commercial sale of our product candidates.</w:t>
      </w:r>
    </w:p>
    <w:p>
      <w:pPr>
        <w:spacing w:after="0" w:line="95"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The success of our business depends upon our ability to manage our product candidate pipeline, including through expanding the pipeline, as appropriate, through our internal identification and discovery of product candidates or otherwise in-licensing or acquiring products or product candidates and integrating them into our business effectively and efficiently, advancing our product candidates through the various stages of development, and receiving regulatory approval for the commercial sale of our product candidates. Identifying, selecting, and in-licensing or acquiring products and product candidates requires substantial expense and technical and financial expertise, and if we are unable to effectively manage our pipeline and integrate viable products or product candidates into our business on acceptable terms, or at all, our business and drug development efforts would suffer.</w:t>
      </w:r>
    </w:p>
    <w:p>
      <w:pPr>
        <w:spacing w:after="0" w:line="147"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development, including failure to demonstrate efficacy and safety, failure to demonstrate adequate benefit-risk balance, failure to achieve a commercially attractive and competitive product label, failure to achieve approval in commercially attractive indications, the occurrence of adverse events that are severe or medically or commercially unacceptable, our or our partners’ failure to comply with trial protocols, applicable regulatory requirements, and industry standards, or a determination by the FDA or any comparable foreign regulatory authority that a product candidate may not continue development or be approved in accordance with our development plans or at all. We cannot guarantee that any preclinical studies and clinical trials will be conducted as planned or completed on schedule, if at all, or that the results of such trials will be sufficient to support regulatory approval for our product candidates.</w:t>
      </w:r>
    </w:p>
    <w:p>
      <w:pPr>
        <w:spacing w:after="0" w:line="161"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8"/>
          <w:szCs w:val="18"/>
          <w:color w:val="auto"/>
        </w:rPr>
        <w:t>Progression of our product candidates through the clinical development process is dependent upon our trials indicating that our product candidates have adequate safety and efficacy in the patients being treated by achieving pre-determined safety and efficacy endpoints according to the clinical trial protocols, and adequate benefit-risk profile. Failure to achieve any of these endpoints or to show adequate benefit-risk profile in any of our programs, including our Factor D program (inclusive of BCX9930 and BCX10013) and our other rare disease product candidates could result in delays in or modifications to our trials or require the performance of additional unplanned trials.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Product candidates that initially show promise in clinical or preclinical testing could later be found to be associated with or to cause undesirable or unexpected side effects that could result in substantial modifications and delays in the development plans for our product candidates, significant unexpected costs, or the termination of programs. For example, in April 2022, we voluntarily paused enrollment of our BCX9930 clinical trials due to observed elevations in serum creatinine seen in some patients, indicating drug-related kidney injury. The FDA subsequently placed the program on a partial clinical hold. On August 4, 2022, we announced that the FDA lifted its partial clinical hold with respect to BCX9930 and that we plan to resume enrollment under revised protocols which include a number of additional requirements and restrictions (e.g., a dose reduction, recommended hydration, and increased monitoring). The elevated serum creatinine signal and revisions to the BCX9930 development program create additional risk to the successful development of BCX9930, and the timelines for the BCX9930 program are uncertain. Specifically, the revised BCX9930 studies may not address the elevated serum creatinine issue, we may not be able to execute the BCX9930 clinical studies in a timely fashion or at all, we may not be able to recruit enough patients for the clinical studies, our hypothesis may not be correct or our data may be inconclusive, the lower dose of BCX9930 may not be effective, and the additional requirements and restrictions that have been imposed, or that may be imposed in the future, by regulatory authorities and others may impede development or commercialization. In addition, the development plans for our product candidates, including our clinical trials (including for BCX9930), may not be adequately designed or executed, which could negatively affect the outcome and analysis of study results. Because of the cost and duration of clinical trials, we have decided in the past, and may in the future decide, to discontinue development of product candidates for various reasons, including, but not limited to, they are unlikely to show favorable results in clinical trials, unlikely to help advance a product to the point of a meaningful collaboration, or unlikely to have reasonable commercial potential.</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Undesirable or inconclusive data in our preclinical studies and clinical trials or side effects in humans could result in the FDA or foreign regulatory authorities (including, e.g., the EMA, the Ministry of Health, Labor and Welfare (“MHLW”) in Japan or the United Kingdom’s Medicines and Healthcare Regulatory Agency (“MHRA”))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have previously, and may again in the future, pause enrollment in, suspend or terminate clinical trials at any time if we or they believe the trial participants face unacceptable health risks.</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ability to successfully complete the clinical development process is dependent upon many factors, including, but not limited to:</w:t>
      </w:r>
    </w:p>
    <w:p>
      <w:pPr>
        <w:spacing w:after="0" w:line="185" w:lineRule="exact"/>
        <w:rPr>
          <w:sz w:val="20"/>
          <w:szCs w:val="20"/>
          <w:color w:val="auto"/>
        </w:rPr>
      </w:pPr>
    </w:p>
    <w:p>
      <w:pPr>
        <w:ind w:left="1140" w:right="80" w:hanging="322"/>
        <w:spacing w:after="0" w:line="261"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ability to secure suitable clinical sites and investigators and to enroll and maintain an adequate number of patients on a timely basis or at all;</w:t>
      </w:r>
    </w:p>
    <w:p>
      <w:pPr>
        <w:ind w:left="1140" w:right="560" w:hanging="322"/>
        <w:spacing w:after="0" w:line="250"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a clinical trial may not comply with the clinical trial protocol or maintain contact with investigators to provide complete data during and after treatment;</w:t>
      </w:r>
    </w:p>
    <w:p>
      <w:pPr>
        <w:ind w:left="1140" w:hanging="32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prove to be either safe or effective or may produce unfavorable or inconclusive results;</w:t>
      </w:r>
    </w:p>
    <w:p>
      <w:pPr>
        <w:spacing w:after="0" w:line="9" w:lineRule="exact"/>
        <w:rPr>
          <w:rFonts w:ascii="Times New Roman" w:cs="Times New Roman" w:eastAsia="Times New Roman" w:hAnsi="Times New Roman"/>
          <w:sz w:val="18"/>
          <w:szCs w:val="18"/>
          <w:color w:val="auto"/>
        </w:rPr>
      </w:pPr>
    </w:p>
    <w:p>
      <w:pPr>
        <w:ind w:left="1140" w:right="80" w:hanging="322"/>
        <w:spacing w:after="0" w:line="250"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decide, or be required by regulatory authorities, to pause enrollment in,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findings of undesirable effects caused by a chemically or mechanistically similar product or product candidate;</w:t>
      </w:r>
    </w:p>
    <w:p>
      <w:pPr>
        <w:spacing w:after="0" w:line="1" w:lineRule="exact"/>
        <w:rPr>
          <w:rFonts w:ascii="Times New Roman" w:cs="Times New Roman" w:eastAsia="Times New Roman" w:hAnsi="Times New Roman"/>
          <w:sz w:val="18"/>
          <w:szCs w:val="18"/>
          <w:color w:val="auto"/>
        </w:rPr>
      </w:pPr>
    </w:p>
    <w:p>
      <w:pPr>
        <w:ind w:left="1140" w:right="280" w:hanging="322"/>
        <w:spacing w:after="0" w:line="250"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disagree with our or our partners’ clinical trial protocols or our or their interpretation of data from preclinical studies and clinical trials;</w:t>
      </w:r>
    </w:p>
    <w:p>
      <w:pPr>
        <w:ind w:left="1140" w:hanging="32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protocols or study procedures may not be adequately designed or followed by the investigators;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improvements may not work as expected, which could negatively impact commercial demand for our product candidates;</w:t>
      </w:r>
    </w:p>
    <w:p>
      <w:pPr>
        <w:spacing w:after="0" w:line="9" w:lineRule="exact"/>
        <w:rPr>
          <w:rFonts w:ascii="Times New Roman" w:cs="Times New Roman" w:eastAsia="Times New Roman" w:hAnsi="Times New Roman"/>
          <w:sz w:val="18"/>
          <w:szCs w:val="18"/>
          <w:color w:val="auto"/>
        </w:rPr>
      </w:pPr>
    </w:p>
    <w:p>
      <w:pPr>
        <w:ind w:left="1140" w:right="860" w:hanging="322"/>
        <w:spacing w:after="0" w:line="250"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fail to approve or subsequently find fault with the manufacturing processes or facilities of third-party manufacturers with which we or our partners enter into agreements for clinical and commercial supplies;</w:t>
      </w:r>
    </w:p>
    <w:p>
      <w:pPr>
        <w:ind w:left="1140" w:right="120" w:hanging="322"/>
        <w:spacing w:after="0" w:line="265" w:lineRule="auto"/>
        <w:tabs>
          <w:tab w:leader="none" w:pos="11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ind w:left="1140" w:right="320" w:hanging="322"/>
        <w:spacing w:after="0" w:line="250"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development plans may be delayed or changed as a result of changes in development strategy, the impact of new or different regulations, requirements, and guidelines, or other unexpected events or conditions;</w:t>
      </w:r>
    </w:p>
    <w:p>
      <w:pPr>
        <w:ind w:left="1140" w:hanging="32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preclinical studies and clinical trials may be greater than we anticipate;</w:t>
      </w:r>
    </w:p>
    <w:p>
      <w:pPr>
        <w:spacing w:after="0" w:line="9" w:lineRule="exact"/>
        <w:rPr>
          <w:rFonts w:ascii="Times New Roman" w:cs="Times New Roman" w:eastAsia="Times New Roman" w:hAnsi="Times New Roman"/>
          <w:sz w:val="18"/>
          <w:szCs w:val="18"/>
          <w:color w:val="auto"/>
        </w:rPr>
      </w:pPr>
    </w:p>
    <w:p>
      <w:pPr>
        <w:ind w:left="1140" w:right="80" w:hanging="322"/>
        <w:spacing w:after="0" w:line="250"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on one or more of the foregoing factors.</w:t>
      </w:r>
    </w:p>
    <w:p>
      <w:pPr>
        <w:spacing w:after="0" w:line="16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Clinical trials are lengthy and expensive. Many of the factors listed above could result in increased clinical development costs or longer clinical development times for any of our programs. We and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or may not receive regulatory approval for the product candidates, which in either case would adversely impact or preclude our ability to generate any revenues from product sales or licensing arrangements. In addition, any product candidate, if approved, may be subject to restrictions on labeling, marketing, distribution, prescribing, and use, which could adversely impact the sales of such product.</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development collaborations with third parties, such as our development partners, contractors and contract research organizations, fail, the development of our product candidates will be delayed or stopped.</w:t>
      </w:r>
    </w:p>
    <w:p>
      <w:pPr>
        <w:spacing w:after="0" w:line="1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rely heavily upon third parties for many important stages of our product candidate development, including, but not limited to:</w:t>
      </w:r>
    </w:p>
    <w:p>
      <w:pPr>
        <w:spacing w:after="0" w:line="185" w:lineRule="exact"/>
        <w:rPr>
          <w:sz w:val="20"/>
          <w:szCs w:val="20"/>
          <w:color w:val="auto"/>
        </w:rPr>
      </w:pPr>
    </w:p>
    <w:p>
      <w:pPr>
        <w:ind w:left="1140" w:right="580" w:hanging="322"/>
        <w:spacing w:after="0" w:line="261"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natural proteins that cause or enable biological reactions necessary for the progression of the disease or disorder, called enzyme targets;</w:t>
      </w: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certain pharmacology preclinical studies and late-stage development for our compounds and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our phase 1, 2 and 3 clinical trials, including medical monitoring, laboratory testing, and data management;</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toxicology studies that may be required to obtain approval for our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improvement strategies and methods;</w:t>
      </w:r>
    </w:p>
    <w:p>
      <w:pPr>
        <w:spacing w:after="0" w:line="9" w:lineRule="exact"/>
        <w:rPr>
          <w:rFonts w:ascii="Times New Roman" w:cs="Times New Roman" w:eastAsia="Times New Roman" w:hAnsi="Times New Roman"/>
          <w:sz w:val="18"/>
          <w:szCs w:val="18"/>
          <w:color w:val="auto"/>
        </w:rPr>
      </w:pPr>
    </w:p>
    <w:p>
      <w:pPr>
        <w:ind w:left="1140" w:right="320" w:hanging="322"/>
        <w:spacing w:after="0" w:line="250"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the starting materials and drug substance required to formulate our products and the product candidates to be used in our clinical trials, toxicology studies and any potential commercial product; and</w:t>
      </w: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certain regulatory interactions outside of the United States.</w:t>
      </w:r>
    </w:p>
    <w:p>
      <w:pPr>
        <w:spacing w:after="0" w:line="16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failure to engage in successful collaborations at any one of these stages would greatly impact our business. If we do not license enzyme targets or inhibitors from academic institutions or from other biotechnology companies on acceptable terms, our drug development efforts would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 connection with our clinical trials,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spacing w:after="0" w:line="162"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are realized, our business, financial condition and results of operations could be materially adversely affected.</w:t>
      </w:r>
    </w:p>
    <w:p>
      <w:pPr>
        <w:spacing w:after="0" w:line="14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additional financing or acceptable partnership arrangements as and when needed, we may be unable to complete the development and commercialization of our products and product candidates or continue operations.</w:t>
      </w:r>
    </w:p>
    <w:p>
      <w:pPr>
        <w:spacing w:after="0" w:line="118"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As our programs advance, our costs are likely to increase. Our current and planned discovery, development, approval, and commercialization efforts will require significant capital. Our expenses, revenues and cash utilization rate could vary significantly depending on many factors, including: our ability to effectively manage our product candidate pipeline; our ability to obtain regulatory approval for our product candidates, including BCX9930 and BCX10013; our ability to maintain regulatory approval for, successfully commercialize, and achieve market acceptance of our products, including ORLADEYO; our ability to raise additional capital; the amount of funding we receive from partnerships with third parties for the development and commercialization of our products and product candidates (including our collaborations with Torii, BARDA/HHS, and NIAID/HHS); the commercial success of our products achieved by our partners; the amount or profitability of any orders for peramivir by any government agency or other party; the progress and results of our current and proposed clinical trials for our product candidates; and the progress made in the manufacture of our lead products and the progression of our other programs.</w:t>
      </w:r>
    </w:p>
    <w:p>
      <w:pPr>
        <w:spacing w:after="0" w:line="16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 order to continue future operations, progress our drug discovery and development programs, and commercialize our current products and product candidates, we will be required to raise additional capital. In addition to seeking strategic partnerships, transactions and government funding, we may access the equity or debt markets, incur additional borrowings, or seek other sources of funding to meet liquidity needs at any time, including to take advantage of attractive opportunities in the capital markets. Additional funding, whether through additional sales of securities, additional borrowings, royalty or other monetization transactions, collaborative arrangements with partners, including corporate partners such as Torii and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governmental agencies such as BARDA/HHS or NIAID/HHS, or from other sources, may not be available when needed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our Credit Agreement. In addition, collaborative arrangements may require us to transfer certain material rights to such corporate partners. Insufficient funds or lack of an acceptable partnership may require us to delay, scale-back or eliminate certain of our research and development programs.</w:t>
      </w:r>
    </w:p>
    <w:p>
      <w:pPr>
        <w:spacing w:after="0" w:line="160"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Our ability to raise additional capital when needed or at all may be limited and may greatly depend upon our success in commercializing and achieving market acceptance of ORLADEYO and the success of our current drug development programs, including the progress, timeline and ultimate outcome of the development programs (including, but not limited to, formulation progress, long-term human safety studies, clinical trial investigations, and carcinogenicity, drug-drug interaction, toxicity, or other required studies) for our Factor D program (including BCX9930 and BCX10013) for diseases of the complement system and other rare disease product candidates, as well as any post-approval studies for our products. In addition, constriction and volatility in the equity and debt markets, including as a result of the impacts of COVID-19, rising inflation or increased interest rates, may restrict our future flexibility to raise capital when such needs arise. Furthermore, we have exposure to many different industries, financing partners and counterparties, including commercial banks, investment banks and partners (which include investors, licensing partners, and the U.S. Government), which may be unstable or may become unstable in the current economic and political environment, including as a result of the impacts of COVID-19, rising inflation, increased interest rates, or the conflict in Ukraine. Any such instability may impact these parties’ ability to fulfill contractual obligations to us, or it might limit or place burdensome conditions upon future transactions with us. Also, it is possible that suppliers may be negatively impacted. Any such unfavorable outcomes in our current programs or unfavorable economic conditions have in the past and could again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spacing w:after="0" w:line="151"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do not obtain governmental approval for our product candidates or maintain governmental approval for our products, we or our partners will not be able to commercialize and sell these products and potential products, which would significantly harm our business because we will receive no revenue.</w:t>
      </w:r>
    </w:p>
    <w:p>
      <w:pPr>
        <w:spacing w:after="0" w:line="13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or our partners must obtain regulatory approval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spacing w:after="0" w:line="153"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process of preparing for and obtaining regulatory approval in any jurisdiction may be lengthy and expensive, and approval is never certain. Because of the risks and uncertainties inherent to the development process, including risks and uncertainties related to the impact of COVID-19, our product candidates could take a significantly longer time to gain regulatory approval than we expect or may never gain approval. As discussed under “Risk Factors—Risks Relating to Our Business—Risks Relating to Drug Development and Commercialization—Our success depends upon our ability to manage our product candidate pipeline, advance our product candidates through the various stages of development, especially through the clinical trial process, and to receive regulatory approval for the commercial sale of our product candidates,” we or our partners have experienced, and may again in the future experience, any number of unfavorable outcomes during or as a result of preclinical studies and clinical trials that could delay or prevent regulatory approval of our product candidates, or negatively impact our management’s credibility, our value and our operating results.</w:t>
      </w:r>
    </w:p>
    <w:p>
      <w:pPr>
        <w:spacing w:after="0" w:line="151"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 These requirements are wide ranging and govern, among other things:</w:t>
      </w:r>
    </w:p>
    <w:p>
      <w:pPr>
        <w:spacing w:after="0" w:line="139" w:lineRule="exact"/>
        <w:rPr>
          <w:sz w:val="20"/>
          <w:szCs w:val="20"/>
          <w:color w:val="auto"/>
        </w:rPr>
      </w:pPr>
    </w:p>
    <w:p>
      <w:pPr>
        <w:ind w:left="1140" w:hanging="32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drug experience reporting regulations;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promotion;</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manufacturing, including good manufacturing practice requirements;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changes or modifications.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focus on rare diseases, which may create additional risks and challenges.</w:t>
      </w:r>
    </w:p>
    <w:p>
      <w:pPr>
        <w:spacing w:after="0" w:line="18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Because we focus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For instance, although BCX9930 for PNH has received Fast Track and Orphan Drug designations from the FDA, we may not experience a faster development, review or approval process compared to the conventional process. We may not be able to obtain or maintain these designations for BCX9930 or other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spacing w:after="0" w:line="1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viability of any approved product could be compromised if the product is less effective than expected, causes undesirable side effects that were not previously identified, or fails to achieve market acceptance within the medical community.</w:t>
      </w:r>
    </w:p>
    <w:p>
      <w:pPr>
        <w:spacing w:after="0" w:line="132"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If, after obtaining regulatory approval of a product, we or others discover that it is less effective than previously believed or causes undesirable side effects that were not previously identified, any of the following adverse events could occur:</w:t>
      </w:r>
    </w:p>
    <w:p>
      <w:pPr>
        <w:spacing w:after="0" w:line="121" w:lineRule="exact"/>
        <w:rPr>
          <w:sz w:val="20"/>
          <w:szCs w:val="20"/>
          <w:color w:val="auto"/>
        </w:rPr>
      </w:pPr>
    </w:p>
    <w:p>
      <w:pPr>
        <w:ind w:left="1140" w:right="200" w:hanging="322"/>
        <w:spacing w:after="0" w:line="261"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ind w:left="1140" w:right="20" w:hanging="322"/>
        <w:spacing w:after="0" w:line="250"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be required to recall the product, change the way the product is administered, conduct additional clinical trials, or be subject to civil or criminal penalties; and</w:t>
      </w:r>
    </w:p>
    <w:p>
      <w:pPr>
        <w:ind w:left="1140" w:hanging="32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16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Even after receiving regulatory approval, any product could fail to gain sufficient, or even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spacing w:after="0" w:line="15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commercialize or establish collaborative relationships to commercialize certain of our products and product candidates, or if any partner terminates or fails to perform its obligations under agreements with us, potential revenues from commercialization of our products and product candidates could be reduced, delayed or eliminated.</w:t>
      </w:r>
    </w:p>
    <w:p>
      <w:pPr>
        <w:spacing w:after="0" w:line="13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increasing the asset value of our product and product candidate portfolio. We believe this is best achieved by retaining full product rights or through collaborative arrangements with third parties as appropriate. As needed, potential third-party relationships could include preclinical development, clinical development, regulatory approval, marketing, sales, and distribution of our products and product candidates.</w:t>
      </w:r>
    </w:p>
    <w:p>
      <w:pPr>
        <w:spacing w:after="0" w:line="135"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Currently, we have established collaborative relationships, including with Torii for the commercialization of ORLADEYO in Japan and with each of Shionogi and Green Cross for the development and commercialization of</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peramivir. The process of establishing and implementing collaborative relationships is difficult, time-consuming and involves significant uncertainty, including:</w:t>
      </w:r>
    </w:p>
    <w:p>
      <w:pPr>
        <w:spacing w:after="0" w:line="135" w:lineRule="exact"/>
        <w:rPr>
          <w:sz w:val="20"/>
          <w:szCs w:val="20"/>
          <w:color w:val="auto"/>
        </w:rPr>
      </w:pPr>
    </w:p>
    <w:p>
      <w:pPr>
        <w:ind w:left="1140" w:right="280" w:hanging="322"/>
        <w:spacing w:after="0" w:line="261"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seek to renegotiate or terminate our relationships due to unsatisfactory commercial, regulatory or clinical results, including post-approval clinical commitments, a change in business strategy, a change of control or other reasons;</w:t>
      </w: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for collaborative arrangements may expire;</w:t>
      </w:r>
    </w:p>
    <w:p>
      <w:pPr>
        <w:spacing w:after="0" w:line="9" w:lineRule="exact"/>
        <w:rPr>
          <w:rFonts w:ascii="Times New Roman" w:cs="Times New Roman" w:eastAsia="Times New Roman" w:hAnsi="Times New Roman"/>
          <w:sz w:val="18"/>
          <w:szCs w:val="18"/>
          <w:color w:val="auto"/>
        </w:rPr>
      </w:pPr>
    </w:p>
    <w:p>
      <w:pPr>
        <w:ind w:left="1140" w:right="460" w:hanging="322"/>
        <w:spacing w:after="0" w:line="250"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expiration or termination of collaborative relationships, such as those with certain of our distribution partners, may trigger repurchase obligations of the Company for unsold product held by our partners;</w:t>
      </w: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 may choose to pursue alternative technologies, including those of our competitors;</w:t>
      </w:r>
    </w:p>
    <w:p>
      <w:pPr>
        <w:spacing w:after="0" w:line="9" w:lineRule="exact"/>
        <w:rPr>
          <w:rFonts w:ascii="Times New Roman" w:cs="Times New Roman" w:eastAsia="Times New Roman" w:hAnsi="Times New Roman"/>
          <w:sz w:val="18"/>
          <w:szCs w:val="18"/>
          <w:color w:val="auto"/>
        </w:rPr>
      </w:pPr>
    </w:p>
    <w:p>
      <w:pPr>
        <w:ind w:left="1140" w:right="100" w:hanging="322"/>
        <w:spacing w:after="0" w:line="250"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had in the past, and in the future may have, disputes with a partner that could lead to litigation or arbitration, which could result in substantial costs and divert the attention of our management;</w:t>
      </w: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day-to-day control over the activities of our partners and have limited control over their decisions;</w:t>
      </w:r>
    </w:p>
    <w:p>
      <w:pPr>
        <w:spacing w:after="0" w:line="9" w:lineRule="exact"/>
        <w:rPr>
          <w:rFonts w:ascii="Times New Roman" w:cs="Times New Roman" w:eastAsia="Times New Roman" w:hAnsi="Times New Roman"/>
          <w:sz w:val="18"/>
          <w:szCs w:val="18"/>
          <w:color w:val="auto"/>
        </w:rPr>
      </w:pPr>
    </w:p>
    <w:p>
      <w:pPr>
        <w:ind w:left="1140" w:right="40" w:hanging="322"/>
        <w:spacing w:after="0" w:line="250"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ind w:left="1140" w:right="20" w:hanging="322"/>
        <w:spacing w:after="0" w:line="250"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not devote sufficient capital or resources toward our products and product candidates;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not comply with applicable government regulatory requirements.</w:t>
      </w:r>
    </w:p>
    <w:p>
      <w:pPr>
        <w:spacing w:after="0" w:line="166"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partnership with Torii may not meet our current expectations.</w:t>
      </w:r>
    </w:p>
    <w:p>
      <w:pPr>
        <w:spacing w:after="0" w:line="20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have an agreement with Torii for the development and commercialization of ORLADEYO in Japan. Our ability to realize the expected benefits of this collaboration, including with respect to the receipt or amounts of royalty payments, is subject to a number of risks, including that the commercial potential of ORLADEYO may not meet our current expectations, we or Torii may fail to comply with our respective obligations under the Torii Agreement, and third parties may fail to perform their obligations to us on a timely basis or at all.</w:t>
      </w:r>
    </w:p>
    <w:p>
      <w:pPr>
        <w:spacing w:after="0" w:line="13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Torii Agreement provides that we are entitled to receive tiered royalty payments, the amounts of which will depend upon the amount of annual net sales of ORLADEYO in Japan during each calendar year and other factors. We currently remain responsible for regulatory activities with respect to ORLADEYO in Japan, and we continue to use third parties to satisfy many of our obligations under the Torii Agreement, including, but not limited to, our regulatory and other responsibilities in Japan. If our interactions, or those of our third-party agents, are unsuccessful, we could fail to meet our obligations under the Torii Agreement, which could negatively impact the commercial success and the partnership, impact the economic benefit expected or require additional development of ORLADEYO.</w:t>
      </w:r>
    </w:p>
    <w:p>
      <w:pPr>
        <w:spacing w:after="0" w:line="147"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Torii may terminate the Torii Agreement under certain limited circumstances, including upon one year’s written notice after the sixth anniversary of the first commercial sale of ORLADEYO in Japan. If the Torii Agreement is terminated in connection with these provisions, or at all, we will no longer be entitled to receive any milestone or royalty payments thereunder, which could have a material adverse impact on our business and results of operations.</w:t>
      </w:r>
    </w:p>
    <w:p>
      <w:pPr>
        <w:spacing w:after="0" w:line="14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Torii has sole control over, and decision-making authority with respect to, commercialization activities for ORLADEYO for the prevention of HAE attacks in Japan, subject to oversight from a joint steering committee. Therefore, our receipt, and the amounts, of any royalty payments under the Torii Agreement are dependent upon Torii’s successful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performance of such commercialization activities. In addition, competitive products and variations in patient demand, prescription levels, reimbursement determinations or other factors may limit the commercial potential of ORLADEYO in Japan, which could materially reduce the amount of any royalties we are entitled to receive under the Torii Agreement.</w:t>
      </w:r>
    </w:p>
    <w:p>
      <w:pPr>
        <w:spacing w:after="0" w:line="149"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Under the Torii Agreement, we are responsible for supplying Torii with its required amounts of ORLADEYO for commercial sale. If, due to the failure of our third-party contract manufacturers to produce sufficient drug product, we fail to supply to Torii the required amounts of ORLADEYO, then Torii’s ability to successfully commercialize ORLADEYO in Japan could be materially impaired, and we may receive less royalty income under the Torii Agreement, or none at all.</w:t>
      </w:r>
    </w:p>
    <w:p>
      <w:pPr>
        <w:spacing w:after="0" w:line="139"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Any of the foregoing risks could materially adversely impact our ability to perform our obligations under the Torii Agreement, which could materially reduce the economic benefits of the Torii Agreement to us and impair or result in the termination of our collaboration with Torii.</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or our partners’ commercialization efforts, methods, and strategies for our products or technologies will succeed, and our future revenue generation is uncertain.</w:t>
      </w:r>
    </w:p>
    <w:p>
      <w:pPr>
        <w:spacing w:after="0" w:line="13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There can be no assurance that our and our partners’ commercialization efforts, methods and strategies will succeed.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spacing w:after="0" w:line="135" w:lineRule="exact"/>
        <w:rPr>
          <w:sz w:val="20"/>
          <w:szCs w:val="20"/>
          <w:color w:val="auto"/>
        </w:rPr>
      </w:pPr>
    </w:p>
    <w:p>
      <w:pPr>
        <w:ind w:left="1140" w:right="300" w:hanging="322"/>
        <w:spacing w:after="0" w:line="261"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fail to successfully complete clinical trials, or satisfy post-marketing commitments, sufficient to obtain and keep regulatory agency marketing approval;</w:t>
      </w:r>
    </w:p>
    <w:p>
      <w:pPr>
        <w:ind w:left="1140" w:right="260" w:hanging="322"/>
        <w:spacing w:after="0" w:line="250"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competitors are more experienced and have significantly more resources, and their products could reach the market faster, be more cost effective or have a better efficacy or tolerability profile than our products and product candidates;</w:t>
      </w:r>
    </w:p>
    <w:p>
      <w:pPr>
        <w:ind w:left="1140" w:right="260" w:hanging="322"/>
        <w:spacing w:after="0" w:line="250"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p>
      <w:pPr>
        <w:spacing w:after="0" w:line="1" w:lineRule="exact"/>
        <w:rPr>
          <w:rFonts w:ascii="Times New Roman" w:cs="Times New Roman" w:eastAsia="Times New Roman" w:hAnsi="Times New Roman"/>
          <w:sz w:val="18"/>
          <w:szCs w:val="18"/>
          <w:color w:val="auto"/>
        </w:rPr>
      </w:pPr>
    </w:p>
    <w:p>
      <w:pPr>
        <w:ind w:left="1140" w:right="220" w:hanging="322"/>
        <w:spacing w:after="0" w:line="250"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employ a comprehensive and effective regulatory strategy, which could result in a delay or failure in commercialization of our products;</w:t>
      </w:r>
    </w:p>
    <w:p>
      <w:pPr>
        <w:ind w:left="1140" w:right="340" w:hanging="322"/>
        <w:spacing w:after="0" w:line="250"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ability to successfully commercialize our products is affected by the competitive landscape, which cannot be fully known at this time;</w:t>
      </w:r>
    </w:p>
    <w:p>
      <w:pPr>
        <w:ind w:left="1140" w:hanging="322"/>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product sales depends on our ability to obtain and maintain favorable pricing;</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is constantly changing, which could greatly affect usage of our products;</w:t>
      </w:r>
    </w:p>
    <w:p>
      <w:pPr>
        <w:spacing w:after="0" w:line="9" w:lineRule="exact"/>
        <w:rPr>
          <w:rFonts w:ascii="Times New Roman" w:cs="Times New Roman" w:eastAsia="Times New Roman" w:hAnsi="Times New Roman"/>
          <w:sz w:val="18"/>
          <w:szCs w:val="18"/>
          <w:color w:val="auto"/>
        </w:rPr>
      </w:pPr>
    </w:p>
    <w:p>
      <w:pPr>
        <w:ind w:left="1140" w:right="240" w:hanging="322"/>
        <w:spacing w:after="0" w:line="250"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from product sales would depend on our ability to successfully complete clinical studies, obtain regulatory approvals, and manufacture, market, distribute and commercialize our approved drugs; and</w:t>
      </w:r>
    </w:p>
    <w:p>
      <w:pPr>
        <w:ind w:left="1140" w:hanging="322"/>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us or our partners.</w:t>
      </w:r>
    </w:p>
    <w:p>
      <w:pPr>
        <w:spacing w:after="0" w:line="16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addition, future revenue from sales of ORLADEYO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conversion of patients from our clinical trials and early access programs to commercial customers, our pricing strategy, and market trends.</w:t>
      </w:r>
    </w:p>
    <w:p>
      <w:pPr>
        <w:spacing w:after="0" w:line="153"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Even if we are able to successfully commercialize our existing products, or to develop new commercially viable products, certain obligations we have to third parties, including, without limitation, our obligations to pay royalties on certain revenues from ORLADEYO, BCX9930, and another earlier stage Factor D inhibitor (BCX10013) under the Royalty Purchase Agreements, may reduce the profitability of such products.</w:t>
      </w:r>
    </w:p>
    <w:p>
      <w:pPr>
        <w:spacing w:after="0" w:line="13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expanding our development and regulatory capabilities and implementing sales, marketing and distribution capabilities, and as a result, we may encounter difficulties in managing our growth, which could disrupt our operations.</w:t>
      </w:r>
    </w:p>
    <w:p>
      <w:pPr>
        <w:spacing w:after="0" w:line="118"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We expect to continue experiencing significant growth in the number of our employees and the scope of our operations, particularly in the areas of drug development, regulatory affairs, sales, marketing, and distribution. To manage our anticipated future growth, we must continue to implement and improve our managerial, operational and financial systems, expand our facilities and continue to recruit and train additional qualified personnel. For example, we expanded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internal commercial team in 2020 in preparation for the commercial launch of ORLADEYO, and we have continued to add additional headcount throughout 2021 and 2022. Due to our limited financial resources and the limited experience of our management team in managing a company with such anticipated growth, we may not be able to effectively manage the expansion of our operations or recruit, train, and retain additional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spacing w:after="0" w:line="15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spacing w:after="0" w:line="134"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depend on third-party vendors, including third-party manufacturers, distributors, and specialty pharmacies, in the manufacture and distribution of our products, product candidates, and the materials for our products and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which may be the only vendor we have engaged for a particular product, product candidate, or service or in a particular region, may encounter difficulties with meeting our requirements, including, but not limited to, problems involving, as applicable:</w:t>
      </w:r>
    </w:p>
    <w:p>
      <w:pPr>
        <w:spacing w:after="0" w:line="148" w:lineRule="exact"/>
        <w:rPr>
          <w:sz w:val="20"/>
          <w:szCs w:val="20"/>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resources being devoted in the manner necessary to satisfy our requirements within expected timeframes;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production yields;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recalls of commercial product;</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scaling production to commercial and validation sizes;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the delivery of materials required for the manufacturing process;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distribute commercial supplies of our products to commercial vendors or end users in a timely manner;</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scheduling of plant time with other vendors or unexpected equipment failure;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catastrophes that could strike their facilities or have an effect on infrastructure;</w:t>
      </w:r>
    </w:p>
    <w:p>
      <w:pPr>
        <w:spacing w:after="0" w:line="9" w:lineRule="exact"/>
        <w:rPr>
          <w:rFonts w:ascii="Times New Roman" w:cs="Times New Roman" w:eastAsia="Times New Roman" w:hAnsi="Times New Roman"/>
          <w:sz w:val="18"/>
          <w:szCs w:val="18"/>
          <w:color w:val="auto"/>
        </w:rPr>
      </w:pPr>
    </w:p>
    <w:p>
      <w:pPr>
        <w:ind w:left="1140" w:right="1200" w:hanging="322"/>
        <w:spacing w:after="0" w:line="250"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impurities in our drug substance or products that could affect availability of product for our clinical trials or future commercialization;</w:t>
      </w: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quality control and assurance or inadequate process controls;</w:t>
      </w:r>
    </w:p>
    <w:p>
      <w:pPr>
        <w:spacing w:after="0" w:line="9" w:lineRule="exact"/>
        <w:rPr>
          <w:rFonts w:ascii="Times New Roman" w:cs="Times New Roman" w:eastAsia="Times New Roman" w:hAnsi="Times New Roman"/>
          <w:sz w:val="18"/>
          <w:szCs w:val="18"/>
          <w:color w:val="auto"/>
        </w:rPr>
      </w:pPr>
    </w:p>
    <w:p>
      <w:pPr>
        <w:ind w:left="1140" w:right="520" w:hanging="322"/>
        <w:spacing w:after="0" w:line="250"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provide us with accurate or timely information regarding inventories, the number of patients who are using our products, or serious adverse events and/or product complaints regarding our products;</w:t>
      </w: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third parties to satisfy their financial obligations to us or to others;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breach of the manufacturing or distribution agreement by the third party;</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termination or nonrenewal of a critical agreement by the third party at a time that is costly or inconvenient to us; and</w:t>
      </w:r>
    </w:p>
    <w:p>
      <w:pPr>
        <w:spacing w:after="0" w:line="9" w:lineRule="exact"/>
        <w:rPr>
          <w:rFonts w:ascii="Times New Roman" w:cs="Times New Roman" w:eastAsia="Times New Roman" w:hAnsi="Times New Roman"/>
          <w:sz w:val="18"/>
          <w:szCs w:val="18"/>
          <w:color w:val="auto"/>
        </w:rPr>
      </w:pPr>
    </w:p>
    <w:p>
      <w:pPr>
        <w:ind w:left="1140" w:right="100" w:hanging="322"/>
        <w:spacing w:after="0" w:line="260"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compliance or cooperation with regulations and specifications or requests set forth by the FDA or other foreign regulatory agencies or local customs, particularly associated with ORLADEYO, BCX9930, BCX10013, peramivir and our early-stage compounds.</w:t>
      </w:r>
    </w:p>
    <w:p>
      <w:pPr>
        <w:spacing w:after="0" w:line="15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Many additional factors could cause production or distribution interruptions with the manufacture and distribution of any of our products and product candidates, including human error, natural disasters, pandemics, labor disputes, acts of terrorism or war, equipment malfunctions, or raw material shortages. If our commercial distribution partners are not able to satisfy our requirements within the expected timeframe, or are unable to provide us with accurate or timely information and data, including inventories and sales, serious adverse events, and/or product complaints, our business, including our commercial launch and sales of ORLADEYO may be at risk. In addition, if specialty pharmacy services, including our third-party call center services, which provide patient support and financial services, prescription intake and distribution, reimbursement adjudication, and ongoing compliance support, are not effectively managed, the continuance of our commercial launch and sales of ORLADEYO may be delayed or compromised.</w:t>
      </w:r>
    </w:p>
    <w:p>
      <w:pPr>
        <w:spacing w:after="0" w:line="148"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In addition, our contract manufacturers may not be able to manufacture the materials required for our products or product candidates at a cost or in quantities necessary to make them commercially viable. Our raw materials, drug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Our third-party manufacturers also may not meet our manufacturing requirements. Furthermore, changes in the manufacturing process or procedure,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spacing w:after="0" w:line="165"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If we are unable to maintain current third-party relationships, or enter into new agreements with additional third parties on commercially reasonable terms,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spacing w:after="0" w:line="131"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Commercialization of our products by us and our partners is subject to the potential commercialization risks described herein and numerous additional risks. Any potential revenue benefits to us, including in the form of milestone payments, royalties or other consideration are highly speculative.</w:t>
      </w:r>
    </w:p>
    <w:p>
      <w:pPr>
        <w:spacing w:after="0" w:line="9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Commercial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spacing w:after="0" w:line="149" w:lineRule="exact"/>
        <w:rPr>
          <w:sz w:val="20"/>
          <w:szCs w:val="20"/>
          <w:color w:val="auto"/>
        </w:rPr>
      </w:pPr>
    </w:p>
    <w:p>
      <w:pPr>
        <w:ind w:left="1140" w:right="340" w:hanging="322"/>
        <w:spacing w:after="0" w:line="261"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not prove to be adequately safe and effective for market approval in markets other than the markets in which they are currently approved;</w:t>
      </w:r>
    </w:p>
    <w:p>
      <w:pPr>
        <w:ind w:left="1140" w:right="500" w:hanging="322"/>
        <w:spacing w:after="0" w:line="250"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funding for post-marketing commitments and further development of our products may not be available timely, at all, or in sufficient amounts;</w:t>
      </w: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competing products could substantially replace potential demand for our products;</w:t>
      </w:r>
    </w:p>
    <w:p>
      <w:pPr>
        <w:spacing w:after="0" w:line="9" w:lineRule="exact"/>
        <w:rPr>
          <w:rFonts w:ascii="Times New Roman" w:cs="Times New Roman" w:eastAsia="Times New Roman" w:hAnsi="Times New Roman"/>
          <w:sz w:val="18"/>
          <w:szCs w:val="18"/>
          <w:color w:val="auto"/>
        </w:rPr>
      </w:pPr>
    </w:p>
    <w:p>
      <w:pPr>
        <w:ind w:left="1140" w:right="140" w:hanging="322"/>
        <w:spacing w:after="0" w:line="250"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third-party payors may not provide sufficient coverage or reimbursement, which would negatively impact the demand for our products;</w:t>
      </w:r>
    </w:p>
    <w:p>
      <w:pPr>
        <w:ind w:left="1140" w:right="200" w:hanging="322"/>
        <w:spacing w:after="0" w:line="250"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supply commercial material to our partners and our partners may not be able to maintain or establish sufficient and acceptable commercial manufacturing, either directly or through third-party manufacturers;</w:t>
      </w:r>
    </w:p>
    <w:p>
      <w:pPr>
        <w:jc w:val="both"/>
        <w:ind w:left="1140" w:right="760" w:hanging="322"/>
        <w:spacing w:after="0" w:line="265" w:lineRule="auto"/>
        <w:tabs>
          <w:tab w:leader="none" w:pos="11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demand and acceptance for our products by healthcare providers and by patients may not be sufficient to result in substantial product revenues to us or to our partners and may result in little to no revenue, milestone payments, or royalties to us;</w:t>
      </w: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marketing and commercialization efforts for our products by us or our partners;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satisfaction with existing alternative therapies;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efficacy relative to other available therapies;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prevalence;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pricing strategy may not be effective;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availability of imports or alternative products;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sales activities of competitors;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the medical community to new treatment paradigms or standards of care;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Competing in Our Industry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and if we are unable to compete effectively, the demand for our products may be reduced.</w:t>
      </w:r>
    </w:p>
    <w:p>
      <w:pPr>
        <w:spacing w:after="0" w:line="20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obtaining FDA or other regulatory approvals of product candidates more rapidly than we do or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licensing of desirable product candidates, and development and marketing of our product candidates from academic institutions, government agencies, research institutions and biotechnology and pharmaceutical companies. Competition may also arise from, among other things:</w:t>
      </w:r>
    </w:p>
    <w:p>
      <w:pPr>
        <w:spacing w:after="0" w:line="160" w:lineRule="exact"/>
        <w:rPr>
          <w:sz w:val="20"/>
          <w:szCs w:val="20"/>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drug development technologies;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of preventing or reducing the incidence of disease, including vaccines;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small molecule or other classes of therapeutic agents.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others may render our products, product candidates, or technologies obsolete or noncompetitive.</w:t>
      </w:r>
    </w:p>
    <w:p>
      <w:pPr>
        <w:spacing w:after="0" w:line="18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received FDA approval of ORLADEYO, an oral, once-daily therapy for the prevention of HAE attacks in adults and pediatric patients 12 years and older, in December 2020. We subsequently received regulatory approvals for ORLADEYO in multiple global markets. In addition, we are performing research on or developing products for the treatment of several other rare diseases, including diseases of the complement system, as well as developing broad spectrum antivirals for use as medical countermeasures.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There are licensed therapies for HAE (including Berinert®, Haegarda®, Cinryze®, Kalbitor®, Takhzyro®, Firazyr® (icatibant), generic icatibant, and Ruconest®), therapies for certain complement-mediated diseases such as PNH, aHUS, myasthenia gravis, and neuromyelitis optica spectrum disorder (Soliris®, Ultomiris®, and Empaveli®), products for the prevention or treatment of influenza (seasonal flu vaccines, Tamiflu® (oseltamivir), generic oseltamivir, Relenza®, and Inavir®, favipiravir, and Xofluza®), and a number of additional products in clinical development in these therapeutic areas. In addition, various government entities throughout the world may offer incentives, grants and contracts to encourage additional investment into preventative and therapeutic agents against viruses such as influenza, coronavirus, Ebola, and others, which may have the effect of further increasing the number of our competitors and/or providing advantages to certain competitors. See “Business—Competition” in Part I, Item 1 of our most recent Annual Report on Form 10-K for further discussion of our competitors, competitive products or programs, and the competitive conditions in these and other therapeutic areas.</w:t>
      </w:r>
    </w:p>
    <w:p>
      <w:pPr>
        <w:spacing w:after="0" w:line="170"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If one or more of our competitors’ products or programs, including potential competitors not currently identified, are successful, the market for our products may be reduced or eliminated.</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Compared to us, many of our competitors and potential competitors have substantially greater:</w:t>
      </w:r>
    </w:p>
    <w:p>
      <w:pPr>
        <w:spacing w:after="0" w:line="185" w:lineRule="exact"/>
        <w:rPr>
          <w:sz w:val="20"/>
          <w:szCs w:val="20"/>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including personnel and technology;</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experience;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study and clinical testing experience;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marketing, and sales experience;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facilities.</w:t>
      </w:r>
    </w:p>
    <w:p>
      <w:pPr>
        <w:spacing w:after="0" w:line="180"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Any of these competitive factors could impede our funding efforts, render our products, product candidates, or technologies noncompetitive or eliminate or reduce demand for our products and product candidates.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and Regulatory Risks</w:t>
      </w:r>
    </w:p>
    <w:p>
      <w:pPr>
        <w:spacing w:after="0" w:line="18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laws and regulations related to our products and product candidates, and if we or our partners do not comply with these laws and regulations, we could face substantial penalties.</w:t>
      </w:r>
    </w:p>
    <w:p>
      <w:pPr>
        <w:spacing w:after="0" w:line="132"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Our and our partners’ activities related to approved products or, following their regulatory approval (if applicable), any of our product candidates under development, such as BCX9930 and BCX10013, are subject to regulatory and law enforcement authorities in the United States (including the FDA, the Federal Trade Commission, the Department of Justice (“DOJ”), and state and local governments) and their foreign equivalents (including the EMA, MHLW, MHRA, and others).</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are responsible for reporting adverse drug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spacing w:after="0" w:line="160" w:lineRule="exact"/>
        <w:rPr>
          <w:sz w:val="20"/>
          <w:szCs w:val="20"/>
          <w:color w:val="auto"/>
        </w:rPr>
      </w:pPr>
    </w:p>
    <w:p>
      <w:pPr>
        <w:ind w:right="60" w:firstLine="486"/>
        <w:spacing w:after="0" w:line="252" w:lineRule="auto"/>
        <w:rPr>
          <w:sz w:val="20"/>
          <w:szCs w:val="20"/>
          <w:color w:val="auto"/>
        </w:rPr>
      </w:pPr>
      <w:r>
        <w:rPr>
          <w:rFonts w:ascii="Times New Roman" w:cs="Times New Roman" w:eastAsia="Times New Roman" w:hAnsi="Times New Roman"/>
          <w:sz w:val="18"/>
          <w:szCs w:val="18"/>
          <w:color w:val="auto"/>
        </w:rPr>
        <w:t>In addition, we are subject to the federal physician sunshine act and certain similar physician payment and drug pricing transparency legislation in various states. We are also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and our partners’ operations, sales and marketing practices, price reporting, and relationships with physicians and other customers and third-party payors. Anti-kickback laws generally prohibit a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False claims laws prohibit anyone from knowingly and willingly presenting, or causing to be presented, for payment to third-party payors (including Medicare and Medicaid) claims for reimbursement or services that are false or fraudulent, claims for items or services not provided as claimed, or claims for medically unnecessary items or services. The sunshine provisions apply to manufacturers with products reimbursed under certain government programs and require those manufacturers to disclose annually to the federal government certain payments made to physicians (defined to include doctors, dentists, optometrists, podiatrists and chiropractors) and teaching hospitals, as well as, ownership and investment interests held by physicians (as defined above) and their immediate family members. State laws may also require disclosure of pharmaceutical pricing information and marketing expenditures. Although we seek to comply with these statutes, it is possible that our practices, or those of our partners, might be challenged under healthcare fraud and abuse, anti-kickback, false claims or similar laws. Violations of the physician sunshine act and similar legislation or the fraud and abuse laws may be punishable by civil or criminal sanctions, including fines and civil monetary penalties, and future exclusion from participation in government healthcare programs.</w:t>
      </w:r>
    </w:p>
    <w:p>
      <w:pPr>
        <w:spacing w:after="0" w:line="15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14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If we fail to comply with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the other restrictive conditions of approval that limit our ability to promote, sell or distribute a product. Furthermore, the approval of our products and any other future product candidates may be subject to requirements for costly post-approval testing and surveillance to monitor their safety or efficacy.</w:t>
      </w:r>
    </w:p>
    <w:p>
      <w:pPr>
        <w:spacing w:after="0" w:line="16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Advertising and promotion are subject to stringent FDA rules and oversight, and as an NDA holder, we may be held responsible for any advertising and promotion that is not in compliance with the rules and regulations. In particular, the claims in all promotional materials and activities must be consistent with the FDA approvals for approved products and must be appropriately substantiated and fairly balanced with information on the safety risks and limitations of the products. We are also required to engage in appropriate truthful, non-misleading, and non-promotional scientific exchange concerning our products, and applicable regulatory authorities, competitors, and other third parties may take the position that we are not in compliance with such regulations. In addition to medical education efforts, we may offer patient support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services to assist patients receiving treatment with our commercially approved products which have increasingly become the focus of government investigation.</w:t>
      </w:r>
    </w:p>
    <w:p>
      <w:pPr>
        <w:spacing w:after="0" w:line="13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Adverse event information concerning approved products must be reviewed, and as an NDA holder,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other divisions of the HHS, the DOJ and individual U.S. Attorney offices within the DOJ, state and local governments, and foreign equivalents of the foregoing. All of these activities are also potentially subject to healthcare false claims and fraud and abuse laws, as well as consumer protection and unfair competition laws.</w:t>
      </w:r>
    </w:p>
    <w:p>
      <w:pPr>
        <w:spacing w:after="0" w:line="147"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If our operations with respect to our products that are subject to healthcare laws and regulations are found to be in violation of any of the healthcare fraud and abuse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spacing w:after="0" w:line="14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consultants may engage in misconduct or other improper activities, including non-compliance with regulatory standards and requirements, which could cause significant liability for us and harm our reputation.</w:t>
      </w:r>
    </w:p>
    <w:p>
      <w:pPr>
        <w:spacing w:after="0" w:line="132"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the risk of fraud or other misconduct by our employees and consultants, including intentional failures to comply with FDA regulations or similar regulations of comparable foreign regulatory authorities, provide accurate information to the FDA or comparable foreign regulatory authorities, comply with manufacturing standards we have established,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47"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and our partners may be subject to new legislation, regulatory proposals and healthcare payor initiatives that may increase our costs of compliance and adversely affect our or our partners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ability to market and develop our products and product candidates, obtain collaborators and raise capital.</w:t>
      </w:r>
    </w:p>
    <w:p>
      <w:pPr>
        <w:spacing w:after="0" w:line="9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(“PPACA”) made extensive changes to the delivery of healthcare in the United States. The PPACA included numerous provisions that affect pharmaceutical companies, some of which became effective immediately and others of which have taken effect over the past several years. For example, the PPACA expanded healthcare coverage to the uninsured through private health insurance reforms and an expansion of Medicaid. The PPACA also imposed substantial costs on pharmaceutical manufacturers, such as an increase in liability for rebates paid to Medicaid, new drug discounts that must be offered to certain enrollees in the Medicare prescription drug benefit, an annual fee imposed on all manufacturers of brand prescription drugs in the United States, and an expansion of an existing program requiring pharmaceutical discounts to certain types of hospitals and federally subsidized clinics. The PPACA also contains cost containment measures that could reduce reimbursement levels for healthcare items and services generally, including pharmaceuticals. It also required reporting and public disclosure of payments and other transfers of value provided by pharmaceutical companies to physicians and teaching hospitals.</w:t>
      </w:r>
    </w:p>
    <w:p>
      <w:pPr>
        <w:spacing w:after="0" w:line="161"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payors of healthcare services to contain or reduce costs of healthcare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 Because of the breadth of these laws and the narrowness of the safe harbors, it is possible that some of our business activities could be subject to challenge under one or more of such laws. Such a challenge could have a material adverse effect on our business, financial condition, results of operations and growth prospects.</w:t>
      </w:r>
    </w:p>
    <w:p>
      <w:pPr>
        <w:spacing w:after="0" w:line="15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48"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Adequate coverage and reimbursement in the United States and other markets is critical to the commercial success of our approved products. Recently in the United States, there has been heightened governmental scrutiny over the manner in which manufacturers set prices for their marketed products, which has resulted in several Congressional inquiries and proposed bills designed to, among other things, reform government program reimbursement methodologies and establish certain government negotiated drug prices. Individual states in the United States have been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spacing w:after="0" w:line="15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data security and privacy risks, and our actual or perceived failure to comply with regulations and other legal obligations related to privacy and data protection could harm our business.</w:t>
      </w:r>
    </w:p>
    <w:p>
      <w:pPr>
        <w:spacing w:after="0" w:line="132"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legal obligations related to privacy and data protection. Compliance with U.S. and international data protection laws and regulations could require us to take on more onerous obligations in our contracts, restrict our ability to collect, use, and disclose data, or in some cases, impact our ability to operate in certain jurisdictions. For example, we may be subject to the California Consumer Privacy Act, which gives California residents expanded rights to access and require deletion of their personal information, opt out of certain personal information sharing, and receive detailed information about how their personal information is used. We also may be subject to the General Data Protection Regulation (“GDPR”) in the European Economic Area (“EEA”) and similar legislation in the United Kingdom and Switzerland. See “Risks Relating to Our Business—Risks Relating to International Operations—Our actual or perceived failure to comply with European governmental laws and regulations and other legal obligations related to privacy, data protection and information security could harm our business” in this section for additional discussion of international privacy laws and regulations. Failure to comply with these laws and regulations could result in government enforcement actions, private litigation, or harm to our reputation and our business.</w:t>
      </w:r>
    </w:p>
    <w:p>
      <w:pPr>
        <w:spacing w:after="0" w:line="150"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because of our use of hazardous materials, we violate any environmental controls or regulations that apply to such materials, we may incur substantial costs and expenses in our remediation efforts.</w:t>
      </w:r>
    </w:p>
    <w:p>
      <w:pPr>
        <w:spacing w:after="0" w:line="118"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Our research and development involves the controlled use of hazardous materials, chemicals and various radioactive compounds. We are subject to federal, state and local laws and regulations governing the use, storage, handling and</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Intellectual Property Risks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or enforce our intellectual property rights or secure rights to patents of others, the value of those rights would diminish.</w:t>
      </w:r>
    </w:p>
    <w:p>
      <w:pPr>
        <w:spacing w:after="0" w:line="18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spacing w:after="0" w:line="170" w:lineRule="exact"/>
        <w:rPr>
          <w:sz w:val="20"/>
          <w:szCs w:val="20"/>
          <w:color w:val="auto"/>
        </w:rPr>
      </w:pPr>
    </w:p>
    <w:p>
      <w:pPr>
        <w:jc w:val="both"/>
        <w:ind w:right="500" w:firstLine="486"/>
        <w:spacing w:after="0" w:line="266" w:lineRule="auto"/>
        <w:rPr>
          <w:sz w:val="20"/>
          <w:szCs w:val="20"/>
          <w:color w:val="auto"/>
        </w:rPr>
      </w:pPr>
      <w:r>
        <w:rPr>
          <w:rFonts w:ascii="Times New Roman" w:cs="Times New Roman" w:eastAsia="Times New Roman" w:hAnsi="Times New Roman"/>
          <w:sz w:val="18"/>
          <w:szCs w:val="18"/>
          <w:color w:val="auto"/>
        </w:rPr>
        <w:t>We also rely on trade secrets to protect technology in cases when we believe patent protection is not appropriate or obtainable. However, trade secrets are difficult to protect. If we cannot maintain the confidentiality of our technology and other confidential information in connection with our collaborators and advisors, our ability to receive patent protection or protect our proprietary information may be imperiled.</w:t>
      </w:r>
    </w:p>
    <w:p>
      <w:pPr>
        <w:spacing w:after="0" w:line="13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legal proceedings to protect or enforce our patents, the patents of our partners or our other intellectual property rights, which could be expensive, time consuming and unsuccessful.</w:t>
      </w:r>
    </w:p>
    <w:p>
      <w:pPr>
        <w:spacing w:after="0" w:line="118"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the patents of our licensors or our other intellectual property rights. To counter infringement or unauthorized use, we may be required to file legal claims, which can be expensive,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spacing w:after="0" w:line="163"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spacing w:after="0" w:line="153" w:lineRule="exact"/>
        <w:rPr>
          <w:sz w:val="20"/>
          <w:szCs w:val="20"/>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range of protection any patents will afford against competitors with similar products;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will issue;</w:t>
      </w:r>
    </w:p>
    <w:p>
      <w:pPr>
        <w:spacing w:after="0" w:line="9" w:lineRule="exact"/>
        <w:rPr>
          <w:rFonts w:ascii="Times New Roman" w:cs="Times New Roman" w:eastAsia="Times New Roman" w:hAnsi="Times New Roman"/>
          <w:sz w:val="18"/>
          <w:szCs w:val="18"/>
          <w:color w:val="auto"/>
        </w:rPr>
      </w:pPr>
    </w:p>
    <w:p>
      <w:pPr>
        <w:ind w:left="1140" w:right="780" w:hanging="322"/>
        <w:spacing w:after="0" w:line="250"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patents do issue, we cannot be sure that we will be able to adequately defend such patents and whether or not we will be able to adequately enforce such patents; or</w:t>
      </w: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 applications.</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the USPTO or other foreign patent office upholds patents issued to others or if the USPTO grants patent applications filed by others, we may have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166" w:lineRule="exact"/>
        <w:rPr>
          <w:sz w:val="20"/>
          <w:szCs w:val="20"/>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licenses or redesign our products or processes to avoid infringement;</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using the subject matter claimed in those patents; or</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damages.</w:t>
      </w:r>
    </w:p>
    <w:p>
      <w:pPr>
        <w:spacing w:after="0" w:line="180"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spacing w:after="0" w:line="13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Liability Risks</w:t>
      </w:r>
    </w:p>
    <w:p>
      <w:pPr>
        <w:spacing w:after="0" w:line="1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an inherent risk of liability in the event that the use or misuse of our products or product candidates results in personal injury or death and our product liability insurance coverage may be insufficient.</w:t>
      </w:r>
    </w:p>
    <w:p>
      <w:pPr>
        <w:spacing w:after="0" w:line="118"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spacing w:after="0" w:line="148"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face even greater risks upon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injury or is found to be unsuitable for consumer use. Any product liability claim brought against us, with or without merit, could result in:</w:t>
      </w:r>
    </w:p>
    <w:p>
      <w:pPr>
        <w:spacing w:after="0" w:line="198" w:lineRule="exact"/>
        <w:rPr>
          <w:sz w:val="20"/>
          <w:szCs w:val="20"/>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substantially exceed our product liability insurance, which we would then be required to pay from other sources, if available;</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our product liability insurance rates or the inability to maintain insurance coverage in the future on acceptable terms, or at all;</w:t>
      </w:r>
    </w:p>
    <w:p>
      <w:pPr>
        <w:spacing w:after="0" w:line="20" w:lineRule="exact"/>
        <w:rPr>
          <w:rFonts w:ascii="Times New Roman" w:cs="Times New Roman" w:eastAsia="Times New Roman" w:hAnsi="Times New Roman"/>
          <w:sz w:val="17"/>
          <w:szCs w:val="17"/>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volunteers or patients;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the reputation of our products, resulting in lower sales;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that could require costly recalls or product modifications;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managing our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Contractual Arrangements</w:t>
      </w:r>
    </w:p>
    <w:p>
      <w:pPr>
        <w:spacing w:after="0" w:line="18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our government-funded programs and are subject to various U.S. Government contract requirements, which may create a disadvantage and additional risks to us.</w:t>
      </w:r>
    </w:p>
    <w:p>
      <w:pPr>
        <w:spacing w:after="0" w:line="132"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We have contracts with BARDA/HHS and NIAID/HHS for the development of galidesivir as a treatment for diseases caused by RNA pathogens, including Marburg virus disease, Yellow Fever and Ebola virus disease. In contracting with these government agencies, we are subject to various U.S. Government contract requirements, including general clauses for a cost-reimbursement research and development contract, which may limit our reimbursement or, if we are found to be in violation, could result in contract termination. We expect the funding under our government contracts to expire in 2022.</w:t>
      </w:r>
    </w:p>
    <w:p>
      <w:pPr>
        <w:spacing w:after="0" w:line="143"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U.S. Government contracts typically contain a number of extraordinary provisions that would not typically be found in commercial contracts and which may create a disadvantage and additional risks to us as compared to competitors that do not rely on U.S. Government contracts. These risks include the ability of the U.S. Government to unilaterally:</w:t>
      </w:r>
    </w:p>
    <w:p>
      <w:pPr>
        <w:spacing w:after="0" w:line="135" w:lineRule="exact"/>
        <w:rPr>
          <w:sz w:val="20"/>
          <w:szCs w:val="20"/>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reduce the scope of our contract with or without cause;</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relevant regulations (federal acquisition regulation clauses);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performance under circumstances which may not be favorable to us;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 in-process review where the U.S. Government will review the project and its options under the contract;</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the timing and amount of funding, which impacts the development progress of our programs;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and object to our contract-related costs and fees, including allocated indirect costs.</w:t>
      </w:r>
    </w:p>
    <w:p>
      <w:pPr>
        <w:spacing w:after="0" w:line="180"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U.S. Government may terminate its contracts with us either for its convenience or if we default by failing to perform in accordance with the contract schedule and terms. Termination for convenience provisions generally enable us to recover only our costs incurred or committed, and settlement expenses and profit on the work completed prior to termination. Termination does not permit these recoveries under default provisions. In the event of termination or upon expiration of a contract, the U.S. Government may dispute wind-down and termination costs and may question prior expenses under the contract and deny payment of those expenses. Should we choose to challenge the U.S. Government for denying certain payments under a contract, such a challenge could subject us to substantial additional expenses which we may or may not recover.</w:t>
      </w:r>
    </w:p>
    <w:p>
      <w:pPr>
        <w:spacing w:after="0" w:line="147"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As a U.S. Government contractor, we are required to comply with applicable laws, regulations and standards relating to our accounting practices and are subject to periodic audits and reviews. As part of any such audit or review, the U.S. Government may review the adequacy of, and our compliance with, our internal control systems and policies, including those relating to our purchasing, property, estimating, compensation and management information systems. Audits under the active BARDA/HHS and NIAID/HHS galidesivir contracts may occur at the election of the U.S. Government and have been concluded through fiscal 2019; all subsequent fiscal years are still open and auditable. Based on the results of its audits, the U.S. Government may adjust our contract-related costs and fees, including allocated indirect costs. This adjustment could impact the amount of revenues reported on a historic basis. In addition, in the event BARDA/HHS or NIAID/HHS determines that certain costs and fees were unallowable or determines that the allocated indirect cost rate was higher than the actual indirect cost rate, BARDA/HHS or NIAID/HHS would be entitled to recoup any overpayment from us as a result. In addition, if an audit or review uncovers any improper or illegal activity, we may be subject to civil and criminal penalties and administrative sanctions, including termination of our contracts, forfeiture of profits, suspension of payments, fines and suspension or prohibition from doing business with the U.S. Government. We could also suffer serious harm to our reputation if allegations of impropriety were made against us. In addition, under U.S. Government purchasing</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regulations, some of our costs may not be reimbursable or allowed under our contracts. Further, as a U.S. Government contractor, we are subject to an increased risk of investigations, criminal prosecution, civil fraud, whistleblower lawsuits and other legal actions and liabilities as compared to private sector commercial companies.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related to the potential government use or sale of our antivirals.</w:t>
      </w:r>
    </w:p>
    <w:p>
      <w:pPr>
        <w:spacing w:after="0" w:line="18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Government use or sale, in emergency situations or otherwise, of our antivirals (including peramivir for the treatment of influenza) may result in risks to us or our collaborative partners. There can be no assurance that government use of our antivirals (whether as indicated or outside of their current indications) will prove to be generally safe, well-tolerated and effective. Any government sale or use (on an emergency basis or otherwise) of our antivirals in any country may create liabilities for us or our partners.</w:t>
      </w:r>
    </w:p>
    <w:p>
      <w:pPr>
        <w:spacing w:after="0" w:line="139"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In September 2018, we entered into a contract with the U.S. Government for the procurement of up to 50,000 doses of RAPIVAB (peramivir injection) over a five-year period. There can be no assurance that we or our manufacturers will be able to fully meet the demand for our antivirals with respect to this or any future arrangements. Further, we may not receive a favorable purchase price for future orders, if any, of our antivirals by governmental entities. Our competitors may develop products that could compete with or replace any antivirals selected for government sale or use. We may face competition in markets where we have no existing intellectual property protection or are unable to successfully enforce our intellectual property rights.</w:t>
      </w:r>
    </w:p>
    <w:p>
      <w:pPr>
        <w:spacing w:after="0" w:line="160"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non-U.S. partnerships that we have entered into for peramivir will result in any order for peramivir in those countries or that peramivir will be approved for any use or will achieve market approval in additional countries. In the event that any emergency use or market approval is granted in any country, there can be no assurance that any government order or commercialization of the applicable product or product candidate in such countries will be substantial or will be profitable to us.</w:t>
      </w:r>
    </w:p>
    <w:p>
      <w:pPr>
        <w:spacing w:after="0" w:line="13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reach milestones or to make annual minimum payments or otherwise breach our obligations under our license agreements, our licensors may terminate our agreements with them and seek additional remedies.</w:t>
      </w:r>
    </w:p>
    <w:p>
      <w:pPr>
        <w:spacing w:after="0" w:line="118"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or seek other available remedies. As a result, our development of the respective product candidate or commercialization of the product would cease.</w:t>
      </w:r>
    </w:p>
    <w:p>
      <w:pPr>
        <w:spacing w:after="0" w:line="15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Royalties and milestone payments, if any, from Shionogi under the Shionogi Agreement are required to be used by Royalty Sub to satisfy its obligations under its PhaRMA Notes, and generally will not be available to us for other purposes unless and until Royalty Sub has repaid in full its obligations under the PhaRMA Notes.</w:t>
      </w:r>
    </w:p>
    <w:p>
      <w:pPr>
        <w:spacing w:after="0" w:line="134"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In March 2011, our wholly-owned subsidiary, Royalty Sub, issued $30.0 million in aggregate principal amount of PhaRMA Notes. The PhaRMA Notes are secured principally by (i) certain royalty and milestone payments under the Shionogi Agreement, pursuant to which Shionogi licensed from us the rights to market peramivir in Japan and Taiwan and (ii) the pledge by us of our equity interest in Royalty Sub. Payments, if any, from Shionogi to us on non-governmental sales under the Shionogi Agreement will generally not be available to us for other purposes unless and until Royalty Sub has repaid in full its obligations under the PhaRMA Notes. Accordingly, these funds have been and will continue to be required to be dedicated to Royalty Sub’s debt service and not available to us for product development or other purposes. Since September 1, 2014, payments from Shionogi have been insufficient for Royalty Sub to service its obligations under the PhaRMA Notes, resulting in a continuing event of default with respect to the PhaRMA Notes since that time. As a result of the continuing event of default,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w:t>
      </w:r>
    </w:p>
    <w:p>
      <w:pPr>
        <w:spacing w:after="0" w:line="15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PhaRMA Notes had a final legal maturity date of December 1, 2020, at which time the outstanding principal amount of the PhaRMA Notes of $30.0 million, together with accrued and unpaid interest of $20.6 million, was due in full. The failure by Royalty Sub to repay in full the outstanding principal amount of the PhaRMA Notes, together with any accrued and unpaid interest, at the December 1, 2020 final maturity date constituted an additional event of default under the PhaRMA Notes. We cannot predict whether holders of PhaRMA Notes will seek to pursue any remedies as a result of the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continuing events of default with respect to the PhaRMA Notes. The PhaRMA Notes are the obligation of Royalty Sub.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of the continuing events of default under the PhaRMA Notes or the failure by Royalty Sub to repay the PhaRMA Notes at maturity.</w:t>
      </w:r>
    </w:p>
    <w:p>
      <w:pPr>
        <w:spacing w:after="0" w:line="153"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We wrote off the balance due under the PhaRMA Notes to other income as a debt extinguishment as of December 31, 2021. See “Note 6—Royalty Monetizations—RAPIACTA—Non-Recourse Notes Payable−Debt Extinguishment” in the Notes to Consolidated Financial Statements in Part I, Item 1 of this report for additional information about the write-off.</w:t>
      </w:r>
    </w:p>
    <w:p>
      <w:pPr>
        <w:spacing w:after="0" w:line="13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w:t>
      </w:r>
    </w:p>
    <w:p>
      <w:pPr>
        <w:spacing w:after="0" w:line="13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 In addition, the PhaRMA Notes had a final legal maturity date of December 1, 2020, at which time the outstanding principal amount of the PhaRMA Notes of $30.0 million, together with accrued and unpaid interest of $20.6 million, was due in full. The failure by Royalty Sub to repay in full the outstanding principal amount of the PhaRMA Notes, together with any accrued and unpaid interest, at the December 1, 2020 final maturity date constituted an additional event of default under the PhaRMA Notes. We cannot predict whether holders of PhaRMA Notes will seek to pursue any remedies as a result of the continuing events of default with respect to the PhaRMA Notes. The PhaRMA Notes are the obligation of Royalty Sub.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of the continuing events of default under the PhaRMA Notes or the failure by Royalty Sub to repay the PhaRMA Notes at maturity.</w:t>
      </w:r>
    </w:p>
    <w:p>
      <w:pPr>
        <w:spacing w:after="0" w:line="163"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We wrote off the balance due under the PhaRMA Notes to other income as a debt extinguishment as of December 31, 2021. See “Note 6—Royalty Monetizations—RAPIACTA—Non-Recourse Notes Payable−Debt Extinguishment” in the Notes to Consolidated Financial Statements in Part I, Item 1 of this report for additional information about the write-off.</w:t>
      </w:r>
    </w:p>
    <w:p>
      <w:pPr>
        <w:spacing w:after="0" w:line="13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indebtedness, which could adversely affect our business. Additionally, our Credit Agreement contains conditions and restrictions that limit our flexibility in operating our business.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spacing w:after="0" w:line="140"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As of September 30, 2022, we had an outstanding principal balance under our Credit Agreement of $232.4 million, inclusive of the quarterly PIK Interest Payments. We will be required to pay to Athyrium, for the account of the lenders, a make-whole premium plus certain fees set forth in the Credit Agreement in the event that we prepay or repay, or are required to prepay or repay, voluntarily or pursuant to a mandatory prepayment obligation under the Credit Agreement (e.g., with the proceeds of certain asset sales, certain ORLADEYO out-licensing or royalty monetization transactions (excluding the Royalty Sales), extraordinary receipts, debt issuances, or upon a change of control of the Company and specified other events, subject to certain exceptions), all of the then-outstanding Term Loans under the Credit Agreement, in each case, subject to certain exceptions set forth in the Credit Agreement.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indebtedness could have important consequences to our stockholders. For example, it:</w:t>
      </w:r>
    </w:p>
    <w:p>
      <w:pPr>
        <w:spacing w:after="0" w:line="185" w:lineRule="exact"/>
        <w:rPr>
          <w:sz w:val="20"/>
          <w:szCs w:val="20"/>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our vulnerability to adverse general economic or industry conditions;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our flexibility in planning for, or reacting to, changes in our business or the industry in which we operate;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us more vulnerable to increases in interest rates, as borrowings under our Credit Agreement are at variable rates;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us to dedicate a portion of our cash flow from operations to interest payments, limiting the availability of cash for other purposes;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our ability to obtain additional financing or refinancing in the future for working capital or other purposes;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us at a competitive disadvantage compared to our competitors that have less indebtedness.</w:t>
      </w:r>
    </w:p>
    <w:p>
      <w:pPr>
        <w:spacing w:after="0" w:line="166"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Furthermore, our Credit Agreement contains various covenants that limit our ability to engage in specified types of transactions. Subject to certain exceptions, these covenants limit our ability to, among other things, grant certain types of liens on our assets; make certain investments; incur or assume certain debt; engage in certain mergers, acquisitions, and similar transactions; dispose of assets; license certain property; distribute dividends; make certain restricted payments; change the nature of our business; engage in transactions with affiliates and insiders; prepay other indebtedness; or engage in sale and leaseback transactions.</w:t>
      </w:r>
    </w:p>
    <w:p>
      <w:pPr>
        <w:spacing w:after="0" w:line="156"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certain financial covenants, including a minimum liquidity covenant that requires us to maintain at all times at least $15.0 million (or, in certain circumstances, $20.0 million) of unrestricted cash and cash equivalents, subject to certain exceptions. In addition, as a result of drawing upon the Term C Loan, we are required to achieve certain minimum targets for consolidated net revenues from ORLADEYO sales in the United States.</w:t>
      </w:r>
    </w:p>
    <w:p>
      <w:pPr>
        <w:spacing w:after="0" w:line="13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covenants contained in the Credit Agreement could cause us to be unable to pursue business opportunities that we or our stockholders may consider beneficial without the lenders’ permission or without repaying all outstanding obligations under the Credit Agreement.</w:t>
      </w:r>
    </w:p>
    <w:p>
      <w:pPr>
        <w:spacing w:after="0" w:line="12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the Credit Agreement. An event of default will also occur if, among other things, we fail to pay amounts due under the Credit Agreement, we fail to repay certain other indebtedness having an aggregate principal amount in excess of one percent of our borrowings under the Credit Agreement, a material adverse change in our business, assets, properties, liabilities, or condition occurs, or a material impairment of our ability to perform our obligations under the Credit Agreement occurs, we experience a change of control, certain negative regulatory events occur, including without limitation the loss of a required permit or a recall of a product, or we fail to make required payments under our Royalty Purchase Agreements. In the case of a continuing event of default under the Credit Agreement, the lenders under the Credit Agreement could elect to declare all amounts outstanding to be immediately due and payable, proceed against the collateral in which we granted to the lenders a security interest, or otherwise exercise the rights of a secured creditor. Amounts outstanding under the Credit Agreement are secured by a security interest in, subject to certain exceptions, substantially all of our assets. Because substantially all of our assets are pledged to secure the Credit Agreement obligations, our ability to incur additional secured indebtedness or to sell or dispose of assets to raise capital may be impaired, which could have an adverse effect on our financial flexibility.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International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legal, regulatory, political, operational, financial, and economic risks.</w:t>
      </w:r>
    </w:p>
    <w:p>
      <w:pPr>
        <w:spacing w:after="0" w:line="189"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international expansion, including the commercialization of products outside of the United States. In addition, we currently conduct clinical studies and regulatory activities and have hired, and expect to continue hiring, employees outside of the United States. Doing business internationally involves a number of risks, including, but not limited to:</w:t>
      </w:r>
    </w:p>
    <w:p>
      <w:pPr>
        <w:spacing w:after="0" w:line="149" w:lineRule="exact"/>
        <w:rPr>
          <w:sz w:val="20"/>
          <w:szCs w:val="20"/>
          <w:color w:val="auto"/>
        </w:rPr>
      </w:pPr>
    </w:p>
    <w:p>
      <w:pPr>
        <w:ind w:left="1140" w:hanging="322"/>
        <w:spacing w:after="0" w:line="261"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health authority requirements and/or changes in health authority expectations;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partners to obtain and maintain regulatory approvals for the use of our products in various countries;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and maintaining protection for, and enforcing, our intellectual property;</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right="20" w:hanging="322"/>
        <w:spacing w:after="0" w:line="257" w:lineRule="auto"/>
        <w:tabs>
          <w:tab w:leader="none" w:pos="1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 which have been increasingly prevalent alongside a strengthening U.S. dollar;</w:t>
      </w:r>
    </w:p>
    <w:p>
      <w:pPr>
        <w:spacing w:after="0" w:line="1" w:lineRule="exact"/>
        <w:rPr>
          <w:rFonts w:ascii="Times New Roman" w:cs="Times New Roman" w:eastAsia="Times New Roman" w:hAnsi="Times New Roman"/>
          <w:sz w:val="18"/>
          <w:szCs w:val="18"/>
          <w:color w:val="auto"/>
        </w:rPr>
      </w:pPr>
    </w:p>
    <w:p>
      <w:pPr>
        <w:ind w:left="1140" w:right="20" w:hanging="322"/>
        <w:spacing w:after="0" w:line="250" w:lineRule="auto"/>
        <w:tabs>
          <w:tab w:leader="none" w:pos="1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political and economic instability, including wars (e.g., the conflict in Ukraine), terrorism, political unrest, results of certain elections and votes, actual or threatened public health emergencies and outbreak of disease (e.g., the ongoing COVID-19 pandemic), boycotts, adoption or expansion of government trade restrictions, and other business restrictions;</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w:t>
      </w:r>
    </w:p>
    <w:p>
      <w:pPr>
        <w:spacing w:after="0" w:line="9" w:lineRule="exact"/>
        <w:rPr>
          <w:rFonts w:ascii="Times New Roman" w:cs="Times New Roman" w:eastAsia="Times New Roman" w:hAnsi="Times New Roman"/>
          <w:sz w:val="18"/>
          <w:szCs w:val="18"/>
          <w:color w:val="auto"/>
        </w:rPr>
      </w:pPr>
    </w:p>
    <w:p>
      <w:pPr>
        <w:ind w:left="1140" w:hanging="322"/>
        <w:spacing w:after="0" w:line="250" w:lineRule="auto"/>
        <w:tabs>
          <w:tab w:leader="none" w:pos="1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commercial operations and activities that may fall within the purview of the U.S. Foreign Corrupt Practices Act, including its books and records provisions or anti-bribery provisions, or the U.K. Bribery Act and similar foreign laws and regulations; and</w:t>
      </w:r>
    </w:p>
    <w:p>
      <w:pPr>
        <w:spacing w:after="0" w:line="1" w:lineRule="exact"/>
        <w:rPr>
          <w:rFonts w:ascii="Times New Roman" w:cs="Times New Roman" w:eastAsia="Times New Roman" w:hAnsi="Times New Roman"/>
          <w:sz w:val="18"/>
          <w:szCs w:val="18"/>
          <w:color w:val="auto"/>
        </w:rPr>
      </w:pPr>
    </w:p>
    <w:p>
      <w:pPr>
        <w:ind w:left="1140" w:right="80" w:hanging="322"/>
        <w:spacing w:after="0" w:line="260" w:lineRule="auto"/>
        <w:tabs>
          <w:tab w:leader="none" w:pos="1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relating to doing business with any entity that is subject to sanctions administered by the Office of Foreign Assets Control of the U.S. Department of the Treasury.</w:t>
      </w:r>
    </w:p>
    <w:p>
      <w:pPr>
        <w:spacing w:after="0" w:line="141"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of operations and adversely affect our business and results of operations.</w:t>
      </w:r>
    </w:p>
    <w:p>
      <w:pPr>
        <w:spacing w:after="0" w:line="135"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Additionally, in some countries, such as Japan and the countries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3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European governmental laws and regulations and other legal obligations related to privacy, data protection and information security could harm our business.</w:t>
      </w:r>
    </w:p>
    <w:p>
      <w:pPr>
        <w:spacing w:after="0" w:line="118"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EU member states, the United Kingdom, Switzerland and other countries have adopted data protection laws and regulations, which impose significant compliance obligations. For example, the GDPR imposes strict requirements on controllers and processors of personal data, including special protections for “special category data,” which includes health, biometric and genetic information of data subjects located in the EEA and, through incorporation in national legislation, the United Kingdom. Further, the GDPR provides a broad right for EU member states to create supplemental national laws, for example relating to the processing of health, genetic and biometric data, which could further limit our ability to use and share such data or could cause our costs to increase and harm our business and financial condition. The GDPR and similar national legislation grant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and similar national legislation impose strict rules on the transfer of personal data out of the EEA, the United Kingdom, Switzerland, and other countries to the United States or other regions that have not been deemed to offer “adequate” privacy protections.</w:t>
      </w:r>
    </w:p>
    <w:p>
      <w:pPr>
        <w:spacing w:after="0" w:line="16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Failure to comply with the requirements of the GDPR or related national data protection laws, which may deviate from the GDPR, may result in significant fines of up to 4% of global revenues, or €20.0 million, whichever is greater, and in addition to such fines, our failure to comply with the requirements of GDPR or similar national legislation may subject us to litigation and/or adverse publicity, which could have material adverse effects on our reputation and business. As a result of the implementation of the GDPR, we are required to put in place additional mechanisms to ensure compliance with the data protection rules. For example, the GDPR requires us to make more detailed disclosures to data subjects, requires disclosure of the legal basis on which we can process personal data, makes it harder for us to obtain valid consent for processing, requires the appointment of a data protection officer where sensitive personal data (i.e., health data) is processed on a large scale, introduces mandatory data breach notification throughout the European Union, imposes additional obligations on us when we are contracting with service providers and requires us to adopt appropriate privacy governance including policies, procedures, training and data audit.</w:t>
      </w:r>
    </w:p>
    <w:p>
      <w:pPr>
        <w:spacing w:after="0" w:line="14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to the supervision of local data protection authorities in those jurisdictions where we undertake clinical trials.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Additionally, the European Union adopted the EU Clinical Trials Regulation, which came into effect on January 31, 2022. This regulation imposes new obligations to make publicly available certain information generated from clinical trials. Only very limited information is exempted from disclosure, i.e. commercially confidential information (which is construed increasingly narrowly) and protected personal data. It may be possible for others to use this data (for example, competitors who may use this data in their own research and development programs anywhere in the world) once this data is in the public domain.</w:t>
      </w:r>
    </w:p>
    <w:p>
      <w:pPr>
        <w:spacing w:after="0" w:line="143"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We are also subject to evolving European privacy laws on electronic marketing and cookies. The European Union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spacing w:after="0" w:line="149"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United Kingdom</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decision to withdraw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95" w:lineRule="exact"/>
        <w:rPr>
          <w:sz w:val="20"/>
          <w:szCs w:val="20"/>
          <w:color w:val="auto"/>
        </w:rPr>
      </w:pPr>
    </w:p>
    <w:p>
      <w:pPr>
        <w:ind w:firstLine="486"/>
        <w:spacing w:after="0" w:line="273" w:lineRule="auto"/>
        <w:rPr>
          <w:sz w:val="20"/>
          <w:szCs w:val="20"/>
          <w:color w:val="auto"/>
        </w:rPr>
      </w:pPr>
      <w:r>
        <w:rPr>
          <w:rFonts w:ascii="Times New Roman" w:cs="Times New Roman" w:eastAsia="Times New Roman" w:hAnsi="Times New Roman"/>
          <w:sz w:val="17"/>
          <w:szCs w:val="17"/>
          <w:color w:val="auto"/>
        </w:rPr>
        <w:t>The United Kingdom’s exit from the European Union, or Brexit, has caused political and economic uncertainty, including in the regulatory framework applicable to our operations and product candidates, and this uncertainty may persist for years. Brexit could, among other outcomes, disrupt the free movement of goods, services and people between the United Kingdom and the European Union, and result in increased legal and regulatory complexities, as well as potential higher costs of conducting business in Europe. The long-term effects of Brexit will depend in part on how the current and future trade agreements between the United Kingdom and the European Union take effect in practice. Changes in United Kingdom or EU regulations may cause disruption or delays in granting clinical trial authorization or opinions for marketing authorization, disruption of importation and export of active substance and other components of new drug formulations, and disruption of the supply chain for clinical trial product and final authorized formulations.</w:t>
      </w:r>
    </w:p>
    <w:p>
      <w:pPr>
        <w:spacing w:after="0" w:line="13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cumulative effects of the disruption to the regulatory framework may add considerably to the development lead time to marketing authorization and commercialization of products in the European Union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 Any delay in obtaining, or an inability to obtain, any marketing approvals, as a result of Brexit or otherwise, would prevent us from commercializing our product candidates in the United Kingdom and/or the European Union and restrict our ability to generate revenues and achieve and sustain profitability.</w:t>
      </w:r>
    </w:p>
    <w:p>
      <w:pPr>
        <w:spacing w:after="0" w:line="160"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In addition, as a result of Brexit, other European countries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will have and how such withdrawal will affect us, and the full extent to which our business could be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Technology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facilities, or the facilities of our third-party vendors, incur damage or power is lost for a significant length of time, our business will suffer.</w:t>
      </w:r>
    </w:p>
    <w:p>
      <w:pPr>
        <w:spacing w:after="0" w:line="20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and our third-party vendors store commercial product, clinical and stability samples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spacing w:after="0" w:line="135"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In addition, we store most of our preclinical and clinical data at our facilities. Duplicate copies of most critical data are secured off-site.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disruption in our information technology systems or a cybersecurity breach could adversely affect our business.</w:t>
      </w:r>
    </w:p>
    <w:p>
      <w:pPr>
        <w:spacing w:after="0" w:line="20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to operate our business. In addition, the FDA and comparable foreign regulatory authorities regulate, among other things, the record keeping and storage of data pertaining to potential pharmaceutical products. We currently store most of our preclinical research data, our clinical data and our manufacturing data at our facilities. While we do store duplicate copies of most of our clinical data offsite and a significant portion of our data is included in regular backups of our systems, we could lose important data if our facilities incur damage, or if our vendor data systems fail, suffer damage or are destroyed.</w:t>
      </w:r>
    </w:p>
    <w:p>
      <w:pPr>
        <w:spacing w:after="0" w:line="14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Like other companies in our industry, our networks and infrastructure may be vulnerable to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Any compromise of our data security could also result in a violation of applicable privacy and other laws, significant legal and financial exposure, damage to our reputation, loss or misuse of the information and a loss of confidence in our data security measures, which could harm our business. There can be no assurance that our efforts to protect our data and information technology systems will prevent breakdowns or breaches in our systems, or those of third parties with which we do business, and any such events could adversely affect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Investing in Our Common Stock</w:t>
      </w:r>
    </w:p>
    <w:p>
      <w:pPr>
        <w:spacing w:after="0" w:line="19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principal stockholders hold a substantial amount of our common stock and may be able to influence significant corporate decisions, which may conflict with the interest of other stockholders.</w:t>
      </w:r>
    </w:p>
    <w:p>
      <w:pPr>
        <w:spacing w:after="0" w:line="118"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Some of our stockholders own greater than 5% of our outstanding common stock. Our top ten stockholders own close to 50% 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spacing w:after="0" w:line="13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continue to be, highly volatile, which could cause the value of an investment in our common stock to decline significantly.</w:t>
      </w:r>
    </w:p>
    <w:p>
      <w:pPr>
        <w:spacing w:after="0" w:line="13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September 30, 2022, the 52-week range of the market price of our stock was from $7.61 to $19.99 per share. The following factors, in addition to other risk factors described in this section, may have, and in some cases have had, a significant impact on the market price of our common stock:</w:t>
      </w:r>
    </w:p>
    <w:p>
      <w:pPr>
        <w:spacing w:after="0" w:line="139" w:lineRule="exact"/>
        <w:rPr>
          <w:sz w:val="20"/>
          <w:szCs w:val="20"/>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products by us or our competitors;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proprietary rights;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dilution through sales of our common stock or other derivative securities;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new or existing licensing or collaborative agreements and government contracts;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the status of our programs;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announcements regarding new and virulent strains of influenza;</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achieving or failing to achieve development milestones;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medical results relating to products under development by us or our competitors;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certain public health concerns for which we are or may be developing treatments;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both the United States and foreign countries;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pharmaceutical products;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 and the comparison of such estimates to our actual results;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public guidance;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including developments in price control legislation;</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or members of our board of directors;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substantial amounts of our stock by existing stockholders, including officers or directors;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 or other disasters or crises;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66"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This volatility could cause the value of an investment in our common stock to decline significantly. In addition, companies that have experienced volatility in the market price of their stock in the past have been subject to securities class action litigation. Securities litigation, and any other type of litigation, brought against us could result in substantial costs and divert our management’s attention from other business concerns, which could seriously harm our business and adversely affect our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securities may dilute the ownership interests of our current stockholders and cause our stock price to decline.</w:t>
      </w:r>
    </w:p>
    <w:p>
      <w:pPr>
        <w:spacing w:after="0" w:line="18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Future sales of our common stock by us or our current stockholders into the public market could cause the market price of our stock to fall. As of October 31, 2022, there were 186,423,835 shares of our common stock outstanding. We may from time to time issue securities in relation to a license arrangement, collaboration, merger or acquisition. We may also sell, for our own account, shares of common stock or other equity securities, from time to time at prices and on terms to be determined at the time of sale.</w:t>
      </w:r>
    </w:p>
    <w:p>
      <w:pPr>
        <w:spacing w:after="0" w:line="13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of October 31, 2022, there were 29,514,511 stock options and restricted stock units outstanding and 11,346,721 shares available for issuance under our Amended and Restated Stock Incentive Plan, 5,769,450 stock options and restricted stock units outstanding and 1,269,508 shares available for issuance under our Amended and Restated Inducement Equity Incentive Plan, and 5,792,461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and stock awards have been registered pursuant to registration statements on Form S-8.</w:t>
      </w:r>
    </w:p>
    <w:p>
      <w:pPr>
        <w:spacing w:after="0" w:line="160"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spacing w:after="0" w:line="13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 March 2017, we entered into a Registration Rights Agreement with entities affiliated with Baker Bros. Advisors LP (the “Baker Entities”) to provide that, if requested, we will register the shares of our common stock beneficially owned by the Baker Entities for resale under the Securities Act of 1993, as amended (the “Securities Act”). Our registration obligations pursuant to the Registration Rights Agreement cover all shares then held or thereafter acquired by the Baker Entities, for up to ten years, and include our obligation to facilitate certain underwritten public offerings of our common stock by the Baker Entities in the future. On May 10, 2017, we filed a registration statement on Form S-3 with respect to 11,710,951 shares of common stock held by the Baker Entities. Subsequently, on November 21, 2019, certain of the Baker Entities acquired pre-funded warrants to purchase 11,764,706 shares of our common stock at a price of $1.69 per warrant, of which warrants to purchase 11,511,472 shares of our common stock remain outstanding. In addition, on June 1, 2020, we issued to certain of the Baker Entities pre-funded warrants to purchase 3,511,111 shares of our common stock at a price of $4.49 per warrant. Each warrant has an exercise price of $0.01 per share. If the Baker Entities, by exercising their underwriting rights or otherwise, sell a large number of our shares, or the market perceives that the Baker Entities intend to sell a large number of our shares, this could adversely affect the market price of our common stock.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anti-takeover provisions in our corporate charter documents that may result in outcomes with which you do not agree.</w:t>
      </w:r>
    </w:p>
    <w:p>
      <w:pPr>
        <w:spacing w:after="0" w:line="202"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Amended and Restated Bylaws and of Delaware law applicable to us could delay or make more difficult a merger, tender offer or proxy contest involving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common stock and do not anticipate doing so in the foreseeable future.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never paid cash dividends on our stock. We currently intend to retain all future earnings, if any, for use in the operation of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do not anticipate paying cash dividends on our common stock in the foreseeable future.</w:t>
      </w:r>
    </w:p>
    <w:p>
      <w:pPr>
        <w:spacing w:after="0" w:line="16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sole and exclusive forum for certain litigation that may be initiated by our stockholders, which may limit a stockholder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obtain a favorable judicial forum for such disputes with us or our directors, officers or employees.</w:t>
      </w:r>
    </w:p>
    <w:p>
      <w:pPr>
        <w:spacing w:after="0" w:line="148"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or the Exchange Act, or any other claim for which the federal courts have exclusive jurisdiction.</w:t>
      </w:r>
    </w:p>
    <w:p>
      <w:pPr>
        <w:spacing w:after="0" w:line="15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9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epidemic or pandemic disease outbreaks, trade wars, armed conflicts, political unrest or other events could disrupt our business or operations or those of our development partners, manufacturers, regulators or other third parties with whom we conduct business now or in the future.</w:t>
      </w:r>
    </w:p>
    <w:p>
      <w:pPr>
        <w:spacing w:after="0" w:line="118"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A wide variety of events beyond our control, including natural disasters, epidemic or pandemic disease outbreaks (such as the ongoing COVID-19 pandemic), trade wars, armed conflicts, political unrest or other events could disrupt our business or operations or those of our development partners (such as Torii), manufacturers, regulatory authorities, or other third parties with whom we conduct business. These events may cause businesses and government agencies to be shut down, supply chains to be interrupted, slowed, or rendered inoperable, and individuals to become ill, quarantined, or otherwise unable to work and/or travel due to health reasons or governmental restrictions. If our operations or those of third parties with whom we conduct business are impaired or curtailed as a result of these events, the development and commercialization of our products and product candidates could be impaired or halted, which could have a material adverse impact on our business. See “Risk Factors—Risks Relating to Our Business—Risks Relating to COVID-19.” In addition, other events, such as the armed conflict between Russia and Ukraine, could adversely impact our business. Furthermore, the conflict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which could harm our reputation or result in other losses or unexpected expenditure of time and resources.</w:t>
      </w:r>
    </w:p>
    <w:p>
      <w:pPr>
        <w:spacing w:after="0" w:line="202"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respect thereto, and our business. In addition, if our stock price is volatile, we may become involved in securities class action lawsuits in the future. Due to the inherent uncertainties in legal proceedings, we cannot accurately predict the ultimate outcome of any such proceedings. An unfavorable outcome in any such proceedings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coverage is increasingly more costly and difficult to obtain or maintain.</w:t>
      </w:r>
    </w:p>
    <w:p>
      <w:pPr>
        <w:spacing w:after="0" w:line="18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spacing w:after="0" w:line="14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13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are highly dependent upon our senior management and scientific team, the unexpected loss of whose services might impede the achievement of our development and commercial objectives. This risk has been heightened in the current environment as a result of the ongoing COVID-19 pandemic. Competition for key personnel with the experience that we require is intense and is expected to continue to increase. Our inability to attract and retain the required number of skilled and experienced management, commercial, operational and scientific personnel would harm our business because we rely upon these personnel for many critical functions of our business.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hanging="17"/>
        <w:spacing w:after="0" w:line="286" w:lineRule="auto"/>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 xml:space="preserve"> </w:t>
      </w:r>
      <w:r>
        <w:rPr>
          <w:rFonts w:ascii="Times New Roman" w:cs="Times New Roman" w:eastAsia="Times New Roman" w:hAnsi="Times New Roman"/>
          <w:sz w:val="18"/>
          <w:szCs w:val="18"/>
          <w:b w:val="1"/>
          <w:bCs w:val="1"/>
          <w:color w:val="auto"/>
        </w:rPr>
        <w:t>Exhibits Number</w:t>
      </w:r>
    </w:p>
    <w:p>
      <w:pPr>
        <w:spacing w:after="0" w:line="24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3.1</w:t>
        </w:r>
      </w:hyperlink>
    </w:p>
    <w:p>
      <w:pPr>
        <w:spacing w:after="0" w:line="200" w:lineRule="exact"/>
        <w:rPr>
          <w:sz w:val="20"/>
          <w:szCs w:val="20"/>
          <w:color w:val="auto"/>
        </w:rPr>
      </w:pPr>
    </w:p>
    <w:p>
      <w:pPr>
        <w:spacing w:after="0" w:line="344"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3.2</w:t>
        </w:r>
      </w:hyperlink>
    </w:p>
    <w:p>
      <w:pPr>
        <w:spacing w:after="0" w:line="200" w:lineRule="exact"/>
        <w:rPr>
          <w:sz w:val="20"/>
          <w:szCs w:val="20"/>
          <w:color w:val="auto"/>
        </w:rPr>
      </w:pPr>
    </w:p>
    <w:p>
      <w:pPr>
        <w:spacing w:after="0" w:line="34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3.3</w:t>
        </w:r>
      </w:hyperlink>
    </w:p>
    <w:p>
      <w:pPr>
        <w:spacing w:after="0" w:line="200" w:lineRule="exact"/>
        <w:rPr>
          <w:sz w:val="20"/>
          <w:szCs w:val="20"/>
          <w:color w:val="auto"/>
        </w:rPr>
      </w:pPr>
    </w:p>
    <w:p>
      <w:pPr>
        <w:spacing w:after="0" w:line="34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3.4</w:t>
        </w:r>
      </w:hyperlink>
    </w:p>
    <w:p>
      <w:pPr>
        <w:spacing w:after="0" w:line="200" w:lineRule="exact"/>
        <w:rPr>
          <w:sz w:val="20"/>
          <w:szCs w:val="20"/>
          <w:color w:val="auto"/>
        </w:rPr>
      </w:pPr>
    </w:p>
    <w:p>
      <w:pPr>
        <w:spacing w:after="0" w:line="34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3.5</w:t>
        </w:r>
      </w:hyperlink>
    </w:p>
    <w:p>
      <w:pPr>
        <w:spacing w:after="0" w:line="200" w:lineRule="exact"/>
        <w:rPr>
          <w:sz w:val="20"/>
          <w:szCs w:val="20"/>
          <w:color w:val="auto"/>
        </w:rPr>
      </w:pPr>
    </w:p>
    <w:p>
      <w:pPr>
        <w:spacing w:after="0" w:line="34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3.6</w:t>
        </w:r>
      </w:hyperlink>
    </w:p>
    <w:p>
      <w:pPr>
        <w:spacing w:after="0" w:line="200" w:lineRule="exact"/>
        <w:rPr>
          <w:sz w:val="20"/>
          <w:szCs w:val="20"/>
          <w:color w:val="auto"/>
        </w:rPr>
      </w:pPr>
    </w:p>
    <w:p>
      <w:pPr>
        <w:spacing w:after="0" w:line="34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3.7</w:t>
        </w:r>
      </w:hyperlink>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40" w:lineRule="exact"/>
        <w:rPr>
          <w:sz w:val="20"/>
          <w:szCs w:val="20"/>
          <w:color w:val="auto"/>
        </w:rPr>
      </w:pPr>
    </w:p>
    <w:p>
      <w:pPr>
        <w:ind w:right="340"/>
        <w:spacing w:after="0" w:line="282" w:lineRule="auto"/>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Third Restated Certificate of Incorporation of Registrant. Incorporated by reference to Exhibit 3.1 to the Company’s Form 8-K filed</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December 22, 2006.</w:t>
        </w:r>
      </w:hyperlink>
    </w:p>
    <w:p>
      <w:pPr>
        <w:spacing w:after="0" w:line="270" w:lineRule="exact"/>
        <w:rPr>
          <w:sz w:val="20"/>
          <w:szCs w:val="20"/>
          <w:color w:val="auto"/>
        </w:rPr>
      </w:pPr>
    </w:p>
    <w:p>
      <w:pPr>
        <w:ind w:right="220"/>
        <w:spacing w:after="0" w:line="282"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Certificate of Amendment to the Third Restated Certificate of Incorporation of Registrant. Incorporated by reference to Exhibit 3.1 to</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the Company’s Form 8-K filed July 24, 2007.</w:t>
        </w:r>
      </w:hyperlink>
    </w:p>
    <w:p>
      <w:pPr>
        <w:spacing w:after="0" w:line="270" w:lineRule="exact"/>
        <w:rPr>
          <w:sz w:val="20"/>
          <w:szCs w:val="20"/>
          <w:color w:val="auto"/>
        </w:rPr>
      </w:pPr>
    </w:p>
    <w:p>
      <w:pPr>
        <w:ind w:right="220"/>
        <w:spacing w:after="0" w:line="282" w:lineRule="auto"/>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Certificate of Amendment to the Third Restated Certificate of Incorporation of Registrant. Incorporated by reference to Exhibit 3.1 to</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the Company’s Form 8-K filed May 7, 2014.</w:t>
        </w:r>
      </w:hyperlink>
    </w:p>
    <w:p>
      <w:pPr>
        <w:spacing w:after="0" w:line="270" w:lineRule="exact"/>
        <w:rPr>
          <w:sz w:val="20"/>
          <w:szCs w:val="20"/>
          <w:color w:val="auto"/>
        </w:rPr>
      </w:pPr>
    </w:p>
    <w:p>
      <w:pPr>
        <w:ind w:right="820"/>
        <w:spacing w:after="0" w:line="282"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Certificate of Elimination of the Series B Junior Participating Preferred Stock.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 xml:space="preserve">Company’s Form 8-K filed May 13, </w:t>
        </w:r>
      </w:hyperlink>
      <w:hyperlink r:id="rId95">
        <w:r>
          <w:rPr>
            <w:rFonts w:ascii="Times New Roman" w:cs="Times New Roman" w:eastAsia="Times New Roman" w:hAnsi="Times New Roman"/>
            <w:sz w:val="18"/>
            <w:szCs w:val="18"/>
            <w:u w:val="single" w:color="auto"/>
            <w:color w:val="0000FF"/>
          </w:rPr>
          <w:t>2020.</w:t>
        </w:r>
      </w:hyperlink>
    </w:p>
    <w:p>
      <w:pPr>
        <w:spacing w:after="0" w:line="270" w:lineRule="exact"/>
        <w:rPr>
          <w:rFonts w:ascii="Times New Roman" w:cs="Times New Roman" w:eastAsia="Times New Roman" w:hAnsi="Times New Roman"/>
          <w:sz w:val="18"/>
          <w:szCs w:val="18"/>
          <w:u w:val="single" w:color="auto"/>
          <w:color w:val="0000FF"/>
        </w:rPr>
      </w:pPr>
    </w:p>
    <w:p>
      <w:pPr>
        <w:ind w:right="60"/>
        <w:spacing w:after="0" w:line="282" w:lineRule="auto"/>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Certificate of Amendment to the Third Restated Certificate of Incorporation. Incorporated by reference to Exhibit 3.2 to the Company’s</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Form 8-K filed May 13, 2020.</w:t>
        </w:r>
      </w:hyperlink>
    </w:p>
    <w:p>
      <w:pPr>
        <w:spacing w:after="0" w:line="270" w:lineRule="exact"/>
        <w:rPr>
          <w:sz w:val="20"/>
          <w:szCs w:val="20"/>
          <w:color w:val="auto"/>
        </w:rPr>
      </w:pPr>
    </w:p>
    <w:p>
      <w:pPr>
        <w:ind w:right="320"/>
        <w:spacing w:after="0" w:line="282" w:lineRule="auto"/>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Amended and Restated Bylaws of Registrant effective October 29, 2008. Incorporated by reference to Exhibit 3.2 to the Company’s</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Form 8-K filed November 4, 2008.</w:t>
        </w:r>
      </w:hyperlink>
    </w:p>
    <w:p>
      <w:pPr>
        <w:spacing w:after="0" w:line="270" w:lineRule="exact"/>
        <w:rPr>
          <w:sz w:val="20"/>
          <w:szCs w:val="20"/>
          <w:color w:val="auto"/>
        </w:rPr>
      </w:pPr>
    </w:p>
    <w:p>
      <w:pPr>
        <w:ind w:right="140"/>
        <w:spacing w:after="0" w:line="282" w:lineRule="auto"/>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Amendment to Amended and Restated By-Laws of BioCryst Pharmaceuticals, Inc., dated January 21, 2018. Incorporated by reference</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to Exhibit 3.1 to the Company’s Form 8-K filed January 22, 2018.</w:t>
        </w:r>
      </w:hyperlink>
    </w:p>
    <w:p>
      <w:pPr>
        <w:spacing w:after="0" w:line="27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0000FF"/>
        </w:rPr>
        <w:t>Waiver to Credit Agreement, dated as of July 14, 2022, by and among BioCryst Pharmaceuticals, Inc., as borrower, the guarantors listed on the signature pages thereto, the lenders listed on the signature pages thereto, and Athyrium Opportunities III Co-Invest 1 LP, as administrative agent for the lenders.</w:t>
      </w:r>
    </w:p>
    <w:p>
      <w:pPr>
        <w:spacing w:after="0" w:line="200" w:lineRule="exact"/>
        <w:rPr>
          <w:sz w:val="20"/>
          <w:szCs w:val="20"/>
          <w:color w:val="auto"/>
        </w:rPr>
      </w:pPr>
    </w:p>
    <w:p>
      <w:pPr>
        <w:sectPr>
          <w:pgSz w:w="11900" w:h="16838" w:orient="portrait"/>
          <w:cols w:equalWidth="0" w:num="2">
            <w:col w:w="1360" w:space="20"/>
            <w:col w:w="9820"/>
          </w:cols>
          <w:pgMar w:left="320" w:top="121" w:right="379" w:bottom="1440" w:gutter="0" w:footer="0" w:header="0"/>
          <w:type w:val="continuous"/>
        </w:sectPr>
      </w:pP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w:t>
            </w:r>
          </w:p>
        </w:tc>
        <w:tc>
          <w:tcPr>
            <w:tcW w:w="820" w:type="dxa"/>
            <w:vAlign w:val="bottom"/>
          </w:tcPr>
          <w:p>
            <w:pPr>
              <w:spacing w:after="0"/>
              <w:rPr>
                <w:sz w:val="20"/>
                <w:szCs w:val="20"/>
                <w:color w:val="auto"/>
              </w:rPr>
            </w:pPr>
          </w:p>
        </w:tc>
        <w:tc>
          <w:tcPr>
            <w:tcW w:w="9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Amendment Number Two to Credit Agreement, dated as of August 3, 2022, by and among BioCryst Pharmaceuticals, Inc., as borrower,</w:t>
            </w:r>
          </w:p>
        </w:tc>
        <w:tc>
          <w:tcPr>
            <w:tcW w:w="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40" w:type="dxa"/>
            <w:vAlign w:val="bottom"/>
            <w:tcBorders>
              <w:bottom w:val="single" w:sz="8" w:color="0000FF"/>
            </w:tcBorders>
            <w:gridSpan w:val="11"/>
          </w:tcPr>
          <w:p>
            <w:pPr>
              <w:spacing w:after="0" w:line="202" w:lineRule="exact"/>
              <w:rPr>
                <w:sz w:val="20"/>
                <w:szCs w:val="20"/>
                <w:color w:val="auto"/>
              </w:rPr>
            </w:pPr>
            <w:r>
              <w:rPr>
                <w:rFonts w:ascii="Times New Roman" w:cs="Times New Roman" w:eastAsia="Times New Roman" w:hAnsi="Times New Roman"/>
                <w:sz w:val="18"/>
                <w:szCs w:val="18"/>
                <w:color w:val="0000FF"/>
                <w:w w:val="99"/>
              </w:rPr>
              <w:t>the guarantors listed on the signature pages thereto, the lenders listed on the signature pages thereto, and Athyrium Opportunities III Co-</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Invest 1 LP, as administrative agent for the lenders.</w:t>
            </w:r>
          </w:p>
        </w:tc>
        <w:tc>
          <w:tcPr>
            <w:tcW w:w="0" w:type="dxa"/>
            <w:vAlign w:val="bottom"/>
          </w:tcPr>
          <w:p>
            <w:pPr>
              <w:spacing w:after="0"/>
              <w:rPr>
                <w:sz w:val="1"/>
                <w:szCs w:val="1"/>
                <w:color w:val="auto"/>
              </w:rPr>
            </w:pPr>
          </w:p>
        </w:tc>
      </w:tr>
      <w:tr>
        <w:trPr>
          <w:trHeight w:val="20"/>
        </w:trPr>
        <w:tc>
          <w:tcPr>
            <w:tcW w:w="440" w:type="dxa"/>
            <w:vAlign w:val="bottom"/>
            <w:gridSpan w:val="2"/>
            <w:vMerge w:val="restart"/>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4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40" w:type="dxa"/>
            <w:vAlign w:val="bottom"/>
            <w:gridSpan w:val="11"/>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Amendment #5, dated August 10, 2022, to the Contract dated September 1, 2018 between BioCryst Pharmaceuticals, Inc. and the U.S.</w:t>
              </w:r>
            </w:hyperlink>
          </w:p>
        </w:tc>
        <w:tc>
          <w:tcPr>
            <w:tcW w:w="0" w:type="dxa"/>
            <w:vAlign w:val="bottom"/>
          </w:tcPr>
          <w:p>
            <w:pPr>
              <w:spacing w:after="0"/>
              <w:rPr>
                <w:sz w:val="1"/>
                <w:szCs w:val="1"/>
                <w:color w:val="auto"/>
              </w:rPr>
            </w:pPr>
          </w:p>
        </w:tc>
      </w:tr>
      <w:tr>
        <w:trPr>
          <w:trHeight w:val="202"/>
        </w:trPr>
        <w:tc>
          <w:tcPr>
            <w:tcW w:w="3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80" w:type="dxa"/>
            <w:vAlign w:val="bottom"/>
            <w:tcBorders>
              <w:top w:val="single" w:sz="8" w:color="0000FF"/>
            </w:tcBorders>
            <w:gridSpan w:val="8"/>
          </w:tcPr>
          <w:p>
            <w:pPr>
              <w:spacing w:after="0" w:line="202"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Department of Health and Human Services. Incorporated by reference to Exhibit 10.1 to the Company’s Form 8-K filed August 25,</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98">
              <w:r>
                <w:rPr>
                  <w:rFonts w:ascii="Times New Roman" w:cs="Times New Roman" w:eastAsia="Times New Roman" w:hAnsi="Times New Roman"/>
                  <w:sz w:val="18"/>
                  <w:szCs w:val="18"/>
                  <w:color w:val="0000FF"/>
                  <w:w w:val="93"/>
                </w:rPr>
                <w:t>2022.</w:t>
              </w:r>
            </w:hyperlink>
          </w:p>
        </w:tc>
        <w:tc>
          <w:tcPr>
            <w:tcW w:w="224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37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p>
        </w:tc>
        <w:tc>
          <w:tcPr>
            <w:tcW w:w="98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Amendment No. 1 to the Amended and Restated Employment Letter Agreement between BioCryst Pharmaceuticals, Inc. and William P.</w:t>
            </w:r>
          </w:p>
        </w:tc>
        <w:tc>
          <w:tcPr>
            <w:tcW w:w="0" w:type="dxa"/>
            <w:vAlign w:val="bottom"/>
          </w:tcPr>
          <w:p>
            <w:pPr>
              <w:spacing w:after="0"/>
              <w:rPr>
                <w:sz w:val="1"/>
                <w:szCs w:val="1"/>
                <w:color w:val="auto"/>
              </w:rPr>
            </w:pPr>
          </w:p>
        </w:tc>
      </w:tr>
      <w:tr>
        <w:trPr>
          <w:trHeight w:val="169"/>
        </w:trPr>
        <w:tc>
          <w:tcPr>
            <w:tcW w:w="3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20" w:type="dxa"/>
            <w:vAlign w:val="bottom"/>
          </w:tcPr>
          <w:p>
            <w:pPr>
              <w:spacing w:after="0"/>
              <w:rPr>
                <w:sz w:val="14"/>
                <w:szCs w:val="14"/>
                <w:color w:val="auto"/>
              </w:rPr>
            </w:pPr>
          </w:p>
        </w:tc>
        <w:tc>
          <w:tcPr>
            <w:tcW w:w="982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Sheridan, dated September 15, 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(31.</w:t>
            </w:r>
            <w:r>
              <w:rPr>
                <w:rFonts w:ascii="Times New Roman" w:cs="Times New Roman" w:eastAsia="Times New Roman" w:hAnsi="Times New Roman"/>
                <w:sz w:val="18"/>
                <w:szCs w:val="18"/>
                <w:u w:val="single" w:color="auto"/>
                <w:color w:val="0000FF"/>
                <w:w w:val="96"/>
              </w:rPr>
              <w:t>1)</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5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Section 302 of the Sarbanes-Oxley Act of 2002.</w:t>
            </w:r>
          </w:p>
        </w:tc>
        <w:tc>
          <w:tcPr>
            <w:tcW w:w="23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(31.</w:t>
            </w:r>
            <w:r>
              <w:rPr>
                <w:rFonts w:ascii="Times New Roman" w:cs="Times New Roman" w:eastAsia="Times New Roman" w:hAnsi="Times New Roman"/>
                <w:sz w:val="18"/>
                <w:szCs w:val="18"/>
                <w:u w:val="single" w:color="auto"/>
                <w:color w:val="0000FF"/>
                <w:w w:val="96"/>
              </w:rPr>
              <w:t>2)</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Sarbanes-Oxley Act of 2002.</w:t>
            </w:r>
          </w:p>
        </w:tc>
        <w:tc>
          <w:tcPr>
            <w:tcW w:w="0" w:type="dxa"/>
            <w:vAlign w:val="bottom"/>
          </w:tcPr>
          <w:p>
            <w:pPr>
              <w:spacing w:after="0"/>
              <w:rPr>
                <w:sz w:val="1"/>
                <w:szCs w:val="1"/>
                <w:color w:val="auto"/>
              </w:rPr>
            </w:pPr>
          </w:p>
        </w:tc>
      </w:tr>
      <w:tr>
        <w:trPr>
          <w:trHeight w:val="27"/>
        </w:trPr>
        <w:tc>
          <w:tcPr>
            <w:tcW w:w="440" w:type="dxa"/>
            <w:vAlign w:val="bottom"/>
            <w:gridSpan w:val="2"/>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40" w:type="dxa"/>
            <w:vAlign w:val="bottom"/>
            <w:gridSpan w:val="4"/>
            <w:shd w:val="clear" w:color="auto" w:fill="0000FF"/>
          </w:tcPr>
          <w:p>
            <w:pPr>
              <w:spacing w:after="0"/>
              <w:rPr>
                <w:sz w:val="2"/>
                <w:szCs w:val="2"/>
                <w:color w:val="auto"/>
              </w:rPr>
            </w:pPr>
          </w:p>
        </w:tc>
        <w:tc>
          <w:tcPr>
            <w:tcW w:w="1260" w:type="dxa"/>
            <w:vAlign w:val="bottom"/>
            <w:gridSpan w:val="2"/>
          </w:tcPr>
          <w:p>
            <w:pPr>
              <w:spacing w:after="0"/>
              <w:rPr>
                <w:sz w:val="2"/>
                <w:szCs w:val="2"/>
                <w:color w:val="auto"/>
              </w:rPr>
            </w:pPr>
          </w:p>
        </w:tc>
        <w:tc>
          <w:tcPr>
            <w:tcW w:w="1140" w:type="dxa"/>
            <w:vAlign w:val="bottom"/>
            <w:gridSpan w:val="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9"/>
        </w:trPr>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(32.</w:t>
            </w:r>
            <w:r>
              <w:rPr>
                <w:rFonts w:ascii="Times New Roman" w:cs="Times New Roman" w:eastAsia="Times New Roman" w:hAnsi="Times New Roman"/>
                <w:sz w:val="18"/>
                <w:szCs w:val="18"/>
                <w:u w:val="single" w:color="auto"/>
                <w:color w:val="0000FF"/>
                <w:w w:val="96"/>
              </w:rPr>
              <w:t>1)</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700" w:type="dxa"/>
            <w:vAlign w:val="bottom"/>
            <w:gridSpan w:val="6"/>
            <w:shd w:val="clear" w:color="auto" w:fill="0000FF"/>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(32.</w:t>
            </w:r>
            <w:r>
              <w:rPr>
                <w:rFonts w:ascii="Times New Roman" w:cs="Times New Roman" w:eastAsia="Times New Roman" w:hAnsi="Times New Roman"/>
                <w:sz w:val="18"/>
                <w:szCs w:val="18"/>
                <w:u w:val="single" w:color="auto"/>
                <w:color w:val="0000FF"/>
                <w:w w:val="96"/>
              </w:rPr>
              <w:t>2)</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380" w:right="80" w:hanging="1354"/>
        <w:spacing w:after="0" w:line="261"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from the Quarterly Report on Form 10-Q of BioCryst Pharmaceuticals, Inc. for the three and nine months ended September 30, 2022, formatted in Inline XBRL: (i) Consolidated Balance Sheets, (ii) Consolidated Statements of Comprehensive Loss, (iii) Consolidated Statements of Cash Flows, and (iv) Notes to Consolidated Financial Statements, tagged as blocks of text and including detailed tags.</w:t>
      </w:r>
    </w:p>
    <w:p>
      <w:pPr>
        <w:spacing w:after="0" w:line="288" w:lineRule="exact"/>
        <w:rPr>
          <w:sz w:val="20"/>
          <w:szCs w:val="20"/>
          <w:color w:val="auto"/>
        </w:rPr>
      </w:pPr>
    </w:p>
    <w:p>
      <w:pPr>
        <w:ind w:left="1380" w:right="100" w:hanging="1354"/>
        <w:spacing w:after="0" w:line="282" w:lineRule="auto"/>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from this Quarterly Report on Form 10-Q for the quarter ended September 30, 2022 is formatted in Inline XBRL (contained in Exhibit 101).</w:t>
      </w:r>
    </w:p>
    <w:p>
      <w:pPr>
        <w:sectPr>
          <w:pgSz w:w="11900" w:h="16838" w:orient="portrait"/>
          <w:cols w:equalWidth="0" w:num="1">
            <w:col w:w="11200"/>
          </w:cols>
          <w:pgMar w:left="320" w:top="121" w:right="379" w:bottom="1440" w:gutter="0" w:footer="0" w:header="0"/>
        </w:sectPr>
      </w:pPr>
    </w:p>
    <w:p>
      <w:pPr>
        <w:spacing w:after="0" w:line="256" w:lineRule="exact"/>
        <w:rPr>
          <w:sz w:val="20"/>
          <w:szCs w:val="20"/>
          <w:color w:val="auto"/>
        </w:rPr>
      </w:pPr>
    </w:p>
    <w:p>
      <w:pPr>
        <w:ind w:left="140" w:hanging="114"/>
        <w:spacing w:after="0"/>
        <w:tabs>
          <w:tab w:leader="none" w:pos="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or furnished herewith.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w:t>
      </w:r>
    </w:p>
    <w:p>
      <w:pPr>
        <w:spacing w:after="0" w:line="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identified information has been omitted pursuant to Item 601(b)(10) of Regulation S-K because it is both not material and would likely cause competitive harm to the Company if publicly disclosed.</w:t>
      </w:r>
    </w:p>
    <w:p>
      <w:pPr>
        <w:spacing w:after="0" w:line="200" w:lineRule="exact"/>
        <w:rPr>
          <w:sz w:val="20"/>
          <w:szCs w:val="20"/>
          <w:color w:val="auto"/>
        </w:rPr>
      </w:pPr>
    </w:p>
    <w:p>
      <w:pPr>
        <w:sectPr>
          <w:pgSz w:w="11900" w:h="16838" w:orient="portrait"/>
          <w:cols w:equalWidth="0" w:num="2">
            <w:col w:w="660" w:space="720"/>
            <w:col w:w="9820"/>
          </w:cols>
          <w:pgMar w:left="320" w:top="121" w:right="37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this 4th day of November, 2022.</w:t>
      </w:r>
    </w:p>
    <w:p>
      <w:pPr>
        <w:spacing w:after="0" w:line="1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BIOCRYST PHARMACEUTICALS, INC.</w:t>
      </w:r>
    </w:p>
    <w:p>
      <w:pPr>
        <w:spacing w:after="0" w:line="32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36861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Jon P. Stonehouse</w:t>
      </w:r>
    </w:p>
    <w:p>
      <w:pPr>
        <w:spacing w:after="0" w:line="4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5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2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36861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Anthony Doyle</w:t>
      </w:r>
    </w:p>
    <w:p>
      <w:pPr>
        <w:spacing w:after="0" w:line="4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2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Michael L.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36861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Michael L. Jones</w:t>
      </w:r>
    </w:p>
    <w:p>
      <w:pPr>
        <w:spacing w:after="0" w:line="4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Executive Director, Finance and Principal Accounting Officer</w:t>
      </w:r>
    </w:p>
    <w:p>
      <w:pPr>
        <w:spacing w:after="0" w:line="5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340"/>
          </w:cols>
          <w:pgMar w:left="320" w:top="121" w:right="1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WAIVER</w:t>
      </w:r>
    </w:p>
    <w:p>
      <w:pPr>
        <w:spacing w:after="0" w:line="20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THIS WAIVER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dated as of July 14, 2022, is entered into by and among BIOCRYST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PHARMACEUTICALS,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listed on the signature pages hereto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the lenders listed on the signature pages hereto (such lenders, and the other lenders party to the Credit Agreement (as defined below), together with their respective successors and permitted assigns, each individually,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ATHYRIUM OPPORTUNITIES III CO-INVEST 1 LP, a Delaware limited partnership, as administrative agent for the Lenders (in such capacity, together with its successors and assigns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in light of the following: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 I T N E S S E T H</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Borrower, the Guarantors, the Lenders and the Administrative Agent are parties to that certain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dated as of December 7, 2020 (as supplemented by that certain (i) Joinder Agreement, dated as of December 31, 2020, by and between BioCryst US Sales Co., LLC, a Delaware limited liability company, and the Administrative Agent, (ii) Joinder Agreement, dated as of February 8, 2021, by and between BioCryst UK Limited, a private limited company incorporated in England and Wales (“</w:t>
      </w:r>
      <w:r>
        <w:rPr>
          <w:rFonts w:ascii="Times New Roman" w:cs="Times New Roman" w:eastAsia="Times New Roman" w:hAnsi="Times New Roman"/>
          <w:sz w:val="20"/>
          <w:szCs w:val="20"/>
          <w:u w:val="single" w:color="auto"/>
          <w:color w:val="auto"/>
        </w:rPr>
        <w:t>BioCryst UK</w:t>
      </w:r>
      <w:r>
        <w:rPr>
          <w:rFonts w:ascii="Times New Roman" w:cs="Times New Roman" w:eastAsia="Times New Roman" w:hAnsi="Times New Roman"/>
          <w:sz w:val="20"/>
          <w:szCs w:val="20"/>
          <w:color w:val="auto"/>
        </w:rPr>
        <w:t>”), and the Administrative Agent, (iii) Joinder Agreement, dated as of May 5, 2022, by and among BioCryst España, S.L., a Spanish private limited liability company (“</w:t>
      </w:r>
      <w:r>
        <w:rPr>
          <w:rFonts w:ascii="Times New Roman" w:cs="Times New Roman" w:eastAsia="Times New Roman" w:hAnsi="Times New Roman"/>
          <w:sz w:val="20"/>
          <w:szCs w:val="20"/>
          <w:i w:val="1"/>
          <w:iCs w:val="1"/>
          <w:color w:val="auto"/>
        </w:rPr>
        <w:t>Sociedad de Responsabilidad Limitada</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BioCryst Spain</w:t>
      </w:r>
      <w:r>
        <w:rPr>
          <w:rFonts w:ascii="Times New Roman" w:cs="Times New Roman" w:eastAsia="Times New Roman" w:hAnsi="Times New Roman"/>
          <w:sz w:val="20"/>
          <w:szCs w:val="20"/>
          <w:color w:val="auto"/>
        </w:rPr>
        <w:t>”), BioCryst Italia, S.r.l., an Italian limited liability company (società a responsabilità limitata) (“</w:t>
      </w:r>
      <w:r>
        <w:rPr>
          <w:rFonts w:ascii="Times New Roman" w:cs="Times New Roman" w:eastAsia="Times New Roman" w:hAnsi="Times New Roman"/>
          <w:sz w:val="20"/>
          <w:szCs w:val="20"/>
          <w:u w:val="single" w:color="auto"/>
          <w:color w:val="auto"/>
        </w:rPr>
        <w:t>BioCryst Italy</w:t>
      </w:r>
      <w:r>
        <w:rPr>
          <w:rFonts w:ascii="Times New Roman" w:cs="Times New Roman" w:eastAsia="Times New Roman" w:hAnsi="Times New Roman"/>
          <w:sz w:val="20"/>
          <w:szCs w:val="20"/>
          <w:color w:val="auto"/>
        </w:rPr>
        <w:t>”) and as amended by that certain (i) Amendment Number One to Credit Agreement, dated as of November 19, 2021 by and among the Borrower, the Guarantors, the Lenders and the Administrative Agent and (ii) this Waiver, and as further amended,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Borrower has (i) voluntarily paused enrollment in clinical trials with BCX9930 (the “</w:t>
      </w:r>
      <w:r>
        <w:rPr>
          <w:rFonts w:ascii="Times New Roman" w:cs="Times New Roman" w:eastAsia="Times New Roman" w:hAnsi="Times New Roman"/>
          <w:sz w:val="20"/>
          <w:szCs w:val="20"/>
          <w:u w:val="single" w:color="auto"/>
          <w:color w:val="auto"/>
        </w:rPr>
        <w:t>Voluntary Pause</w:t>
      </w:r>
      <w:r>
        <w:rPr>
          <w:rFonts w:ascii="Times New Roman" w:cs="Times New Roman" w:eastAsia="Times New Roman" w:hAnsi="Times New Roman"/>
          <w:sz w:val="20"/>
          <w:szCs w:val="20"/>
          <w:color w:val="auto"/>
        </w:rPr>
        <w:t>”) while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 investigates elevated serum creatinine levels seen in some patients, as disclosed by Borrower on April 8, 2022 pursuant to an 8-K filing (the “</w:t>
      </w:r>
      <w:r>
        <w:rPr>
          <w:rFonts w:ascii="Times New Roman" w:cs="Times New Roman" w:eastAsia="Times New Roman" w:hAnsi="Times New Roman"/>
          <w:sz w:val="20"/>
          <w:szCs w:val="20"/>
          <w:u w:val="single" w:color="auto"/>
          <w:color w:val="auto"/>
        </w:rPr>
        <w:t>April 2022 Elevated Serum Creatinine Levels</w:t>
      </w:r>
      <w:r>
        <w:rPr>
          <w:rFonts w:ascii="Times New Roman" w:cs="Times New Roman" w:eastAsia="Times New Roman" w:hAnsi="Times New Roman"/>
          <w:sz w:val="20"/>
          <w:szCs w:val="20"/>
          <w:color w:val="auto"/>
        </w:rPr>
        <w:t>”) and (ii) subsequently received written notice by the FDA informing Borrower that the FDA has placed the clinical program for BCX9930 on a partial clinical hold, as disclosed by Borrower on May 5, 2022 pursuant to an 8-K filing (the “</w:t>
      </w:r>
      <w:r>
        <w:rPr>
          <w:rFonts w:ascii="Times New Roman" w:cs="Times New Roman" w:eastAsia="Times New Roman" w:hAnsi="Times New Roman"/>
          <w:sz w:val="20"/>
          <w:szCs w:val="20"/>
          <w:u w:val="single" w:color="auto"/>
          <w:color w:val="auto"/>
        </w:rPr>
        <w:t>FDA Partial Clinical Hold</w:t>
      </w:r>
      <w:r>
        <w:rPr>
          <w:rFonts w:ascii="Times New Roman" w:cs="Times New Roman" w:eastAsia="Times New Roman" w:hAnsi="Times New Roman"/>
          <w:sz w:val="20"/>
          <w:szCs w:val="20"/>
          <w:color w:val="auto"/>
        </w:rPr>
        <w:t>” and together with the Voluntary Pause, the “</w:t>
      </w:r>
      <w:r>
        <w:rPr>
          <w:rFonts w:ascii="Times New Roman" w:cs="Times New Roman" w:eastAsia="Times New Roman" w:hAnsi="Times New Roman"/>
          <w:sz w:val="20"/>
          <w:szCs w:val="20"/>
          <w:u w:val="single" w:color="auto"/>
          <w:color w:val="auto"/>
        </w:rPr>
        <w:t>Partial Clinical Hold</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Borrower has informed the Administrative Agent of the Partial Clinical Hold and discussed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whether, prior to the date of this Waiver, the Partial Clinical Hold gave rise to one or more Events of Default under the Credit Agreement including, but not limited to, with respect to any related notices required to be delivered by Borrower (the “</w:t>
      </w:r>
      <w:r>
        <w:rPr>
          <w:rFonts w:ascii="Times New Roman" w:cs="Times New Roman" w:eastAsia="Times New Roman" w:hAnsi="Times New Roman"/>
          <w:sz w:val="20"/>
          <w:szCs w:val="20"/>
          <w:u w:val="single" w:color="auto"/>
          <w:color w:val="auto"/>
        </w:rPr>
        <w:t>Prior Potential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BCX9930 Events of Default</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right="20"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Borrower cannot predict the likelihood of any potential outcomes, including, but not limited to, the potential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modification and subsequent re-initiation of the BCX9930 clinical trial program, or a potential decision not to continue the program;</w:t>
      </w:r>
    </w:p>
    <w:p>
      <w:pPr>
        <w:spacing w:after="0" w:line="16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Borrower has requested that the Administrative Agent and the Lenders waive the Prior Potential BCX9930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Events of Default and future and potential Events of Default that may arise as a direct result of the Loan Parties’ ongoing non-compliance with certain provisions of the Loan Documents as they solely relate to BCX9930, and solely to the extent such Events of Default arise directly from the April 2022 Elevated Serum Creatinine Levels, as described in Section 2(a) below (such</w:t>
      </w:r>
    </w:p>
    <w:p>
      <w:pPr>
        <w:sectPr>
          <w:pgSz w:w="11900" w:h="16838" w:orient="portrait"/>
          <w:cols w:equalWidth="0" w:num="1">
            <w:col w:w="11240"/>
          </w:cols>
          <w:pgMar w:left="320" w:top="104" w:right="339" w:bottom="1440" w:gutter="0" w:footer="0" w:header="0"/>
        </w:sectPr>
      </w:pPr>
    </w:p>
    <w:bookmarkStart w:id="80" w:name="page81"/>
    <w:bookmarkEnd w:id="80"/>
    <w:p>
      <w:pPr>
        <w:spacing w:after="0" w:line="283" w:lineRule="auto"/>
        <w:rPr>
          <w:sz w:val="20"/>
          <w:szCs w:val="20"/>
          <w:color w:val="auto"/>
        </w:rPr>
      </w:pPr>
      <w:r>
        <w:rPr>
          <w:rFonts w:ascii="Times New Roman" w:cs="Times New Roman" w:eastAsia="Times New Roman" w:hAnsi="Times New Roman"/>
          <w:sz w:val="20"/>
          <w:szCs w:val="20"/>
          <w:color w:val="auto"/>
        </w:rPr>
        <w:t>future and potential Events of Default, the “</w:t>
      </w:r>
      <w:r>
        <w:rPr>
          <w:rFonts w:ascii="Times New Roman" w:cs="Times New Roman" w:eastAsia="Times New Roman" w:hAnsi="Times New Roman"/>
          <w:sz w:val="20"/>
          <w:szCs w:val="20"/>
          <w:u w:val="single" w:color="auto"/>
          <w:color w:val="auto"/>
        </w:rPr>
        <w:t>Future Potential BCX9930 Events of Default</w:t>
      </w:r>
      <w:r>
        <w:rPr>
          <w:rFonts w:ascii="Times New Roman" w:cs="Times New Roman" w:eastAsia="Times New Roman" w:hAnsi="Times New Roman"/>
          <w:sz w:val="20"/>
          <w:szCs w:val="20"/>
          <w:color w:val="auto"/>
        </w:rPr>
        <w:t>” and together with the Prior Potential BCX9930 Events of Default, the “</w:t>
      </w:r>
      <w:r>
        <w:rPr>
          <w:rFonts w:ascii="Times New Roman" w:cs="Times New Roman" w:eastAsia="Times New Roman" w:hAnsi="Times New Roman"/>
          <w:sz w:val="20"/>
          <w:szCs w:val="20"/>
          <w:u w:val="single" w:color="auto"/>
          <w:color w:val="auto"/>
        </w:rPr>
        <w:t>Potential BCX9930 Events of Default</w:t>
      </w:r>
      <w:r>
        <w:rPr>
          <w:rFonts w:ascii="Times New Roman" w:cs="Times New Roman" w:eastAsia="Times New Roman" w:hAnsi="Times New Roman"/>
          <w:sz w:val="20"/>
          <w:szCs w:val="20"/>
          <w:color w:val="auto"/>
        </w:rPr>
        <w:t>”); and</w:t>
      </w:r>
    </w:p>
    <w:p>
      <w:pPr>
        <w:spacing w:after="0" w:line="142" w:lineRule="exact"/>
        <w:rPr>
          <w:sz w:val="20"/>
          <w:szCs w:val="20"/>
          <w:color w:val="auto"/>
        </w:rPr>
      </w:pPr>
    </w:p>
    <w:p>
      <w:pPr>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upon the terms and conditions set forth herein, the Administrative Agent and the undersigned Lenders,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 Required Lenders, are willing to waive the Potential BCX9930 Events of Default.</w:t>
      </w:r>
    </w:p>
    <w:p>
      <w:pPr>
        <w:spacing w:after="0" w:line="138" w:lineRule="exact"/>
        <w:rPr>
          <w:sz w:val="20"/>
          <w:szCs w:val="20"/>
          <w:color w:val="auto"/>
        </w:rPr>
      </w:pPr>
    </w:p>
    <w:p>
      <w:pPr>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and the mutual covenants herein contained, and for other good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valuable consideration, the receipt and sufficiency of which are hereby acknowledged, the parties hereby agree as follows:</w:t>
      </w:r>
    </w:p>
    <w:p>
      <w:pPr>
        <w:spacing w:after="0" w:line="156" w:lineRule="exact"/>
        <w:rPr>
          <w:sz w:val="20"/>
          <w:szCs w:val="20"/>
          <w:color w:val="auto"/>
        </w:rPr>
      </w:pPr>
    </w:p>
    <w:p>
      <w:pPr>
        <w:ind w:firstLine="656"/>
        <w:spacing w:after="0" w:line="269" w:lineRule="auto"/>
        <w:tabs>
          <w:tab w:leader="none" w:pos="129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All initially capitalized terms used herein (including the preamble and recitals hereof) without definition shall have the meanings ascribed thereto in the Credit Agreement.</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of Potential BCX9930 Events of Default</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left="1300" w:hanging="320"/>
        <w:spacing w:after="0" w:line="262" w:lineRule="auto"/>
        <w:tabs>
          <w:tab w:leader="none" w:pos="1297"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Notwithstanding anything to the contrary in any Loan Document, the placement of a voluntary pause or hold or FDA-imposed clinical hold (whether partial or full), the issuance of a Safety Notice, the voluntary or involuntary limitation, modification or withdrawal of any Material Required Permit, or the suspension or discontinuation of research, design or development, in each case, in respect solely of BCX9930, and solely to the extent such events or actions are the direct results of the April 2022 Elevated Serum Creatinine Levels, either prior to, on, or after the date hereof, shall not be deemed to violate or cause a Default or Event of Default under, cause a material inaccuracy of any representation or warranty under, or to cause any non-compliance with any term or condition under, any Loan Document, so long as (i) BCX9930 is not being marketed, sold or commercialized at the time of such clinical hold, issuance of a Safety Notice, limitation, modification or withdrawal, or suspension or discontinuation, as applicable and (ii) such clinical hold, issuance of a Safety Notice, limitation, modification or withdrawal, or suspension or discontinuation, as applicable, does not result directly or indirectly from the fraud, gross negligence or willful misconduct of any of the Loan Parties and their respective Related Parties.</w:t>
      </w:r>
    </w:p>
    <w:p>
      <w:pPr>
        <w:spacing w:after="0" w:line="213" w:lineRule="exact"/>
        <w:rPr>
          <w:rFonts w:ascii="Times New Roman" w:cs="Times New Roman" w:eastAsia="Times New Roman" w:hAnsi="Times New Roman"/>
          <w:sz w:val="21"/>
          <w:szCs w:val="21"/>
          <w:color w:val="auto"/>
        </w:rPr>
      </w:pPr>
    </w:p>
    <w:p>
      <w:pPr>
        <w:jc w:val="both"/>
        <w:ind w:left="1300" w:hanging="320"/>
        <w:spacing w:after="0" w:line="250" w:lineRule="auto"/>
        <w:tabs>
          <w:tab w:leader="none" w:pos="1295"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provisions of the Credit Agreement and the other Loan Documents to the contrary notwithstanding, the Administrative Agent and Required Lenders hereby waive the Potential BCX9930 Events of Default so long as such Potential BCX9930 Events of Default do not arise directly or indirectly from the fraud, gross negligence, or willful misconduct of any of the Loan Parties and their respective Related Parties. The foregoing waiver is limited in nature and nothing contained herein is intended, or shall be deemed or construed (i) to constitute a waiver of any existing or future Defaults or Events of Default or compliance with any term or provision of the Loan Documents or applicable Law (other than Potential BCX9930 Events of Default as expressly provided herein) or (ii) to establish a custom or course of dealing between the Loan Parties, on the one hand, and the Administrative Agent and/or any Lender, on the other hand or to otherwise obligate, in any respect, the Agent or any Lender to grant any waivers under the same or similar or other circumstances in the future. The Loan Parties acknowledge and agree that, except as expressly set forth in this Waiver, the Administrative Agent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81" w:name="page82"/>
    <w:bookmarkEnd w:id="81"/>
    <w:p>
      <w:pPr>
        <w:jc w:val="both"/>
        <w:ind w:left="1300"/>
        <w:spacing w:after="0" w:line="261" w:lineRule="auto"/>
        <w:rPr>
          <w:sz w:val="20"/>
          <w:szCs w:val="20"/>
          <w:color w:val="auto"/>
        </w:rPr>
      </w:pPr>
      <w:r>
        <w:rPr>
          <w:rFonts w:ascii="Times New Roman" w:cs="Times New Roman" w:eastAsia="Times New Roman" w:hAnsi="Times New Roman"/>
          <w:sz w:val="20"/>
          <w:szCs w:val="20"/>
          <w:color w:val="auto"/>
        </w:rPr>
        <w:t>Lenders expressly reserve all rights and remedies that they now or may in the future have under any or all of the Loan Documents and applicable Law in connection with all Defaults or Events of Default (other than the Potential BCX9930 Events of Default, only as and to the extent provided herein).</w:t>
      </w:r>
    </w:p>
    <w:p>
      <w:pPr>
        <w:spacing w:after="0" w:line="181" w:lineRule="exact"/>
        <w:rPr>
          <w:sz w:val="20"/>
          <w:szCs w:val="20"/>
          <w:color w:val="auto"/>
        </w:rPr>
      </w:pPr>
    </w:p>
    <w:p>
      <w:pPr>
        <w:ind w:firstLine="656"/>
        <w:spacing w:after="0" w:line="269" w:lineRule="auto"/>
        <w:tabs>
          <w:tab w:leader="none" w:pos="12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 Precedent to Waiver</w:t>
      </w:r>
      <w:r>
        <w:rPr>
          <w:rFonts w:ascii="Times New Roman" w:cs="Times New Roman" w:eastAsia="Times New Roman" w:hAnsi="Times New Roman"/>
          <w:sz w:val="20"/>
          <w:szCs w:val="20"/>
          <w:color w:val="auto"/>
        </w:rPr>
        <w:t>. The effectiveness of this Waiver is conditioned on the satisfaction in full, in a manner satisfactory to the Administrative Agent and the Required Lenders, or waiver, of the following conditions precedent:</w:t>
      </w:r>
    </w:p>
    <w:p>
      <w:pPr>
        <w:spacing w:after="0" w:line="172" w:lineRule="exact"/>
        <w:rPr>
          <w:rFonts w:ascii="Times New Roman" w:cs="Times New Roman" w:eastAsia="Times New Roman" w:hAnsi="Times New Roman"/>
          <w:sz w:val="20"/>
          <w:szCs w:val="20"/>
          <w:color w:val="auto"/>
        </w:rPr>
      </w:pPr>
    </w:p>
    <w:p>
      <w:pPr>
        <w:ind w:firstLine="1304"/>
        <w:spacing w:after="0" w:line="283" w:lineRule="auto"/>
        <w:tabs>
          <w:tab w:leader="none" w:pos="193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Executed Waiver</w:t>
      </w:r>
      <w:r>
        <w:rPr>
          <w:rFonts w:ascii="Times New Roman" w:cs="Times New Roman" w:eastAsia="Times New Roman" w:hAnsi="Times New Roman"/>
          <w:sz w:val="20"/>
          <w:szCs w:val="20"/>
          <w:color w:val="auto"/>
        </w:rPr>
        <w:t>. The Administrative Agent shall have received this Waiver, duly executed and delivered by the parties hereto, and the same shall be in full force and effect.</w:t>
      </w:r>
    </w:p>
    <w:p>
      <w:pPr>
        <w:spacing w:after="0" w:line="146"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Effect</w:t>
      </w:r>
      <w:r>
        <w:rPr>
          <w:rFonts w:ascii="Times New Roman" w:cs="Times New Roman" w:eastAsia="Times New Roman" w:hAnsi="Times New Roman"/>
          <w:sz w:val="20"/>
          <w:szCs w:val="20"/>
          <w:color w:val="auto"/>
        </w:rPr>
        <w:t>. Since December 31, 2021, except as otherwise specified herein, there shall not have occurred any event or condition that has had or could reasonably be expected to have, either individually or in the aggregate, a Material Adverse Effect.</w:t>
      </w:r>
    </w:p>
    <w:p>
      <w:pPr>
        <w:spacing w:after="0" w:line="18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There shall not exist any action, suit, investigation or proceeding pending or threatened in any court or before an arbitrator or Governmental Authority that could reasonably be expected, either individually or in the aggregate, to have a Material Adverse Effect.</w:t>
      </w:r>
    </w:p>
    <w:p>
      <w:pPr>
        <w:spacing w:after="0" w:line="18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Governmental and Third Party Approvals</w:t>
      </w:r>
      <w:r>
        <w:rPr>
          <w:rFonts w:ascii="Times New Roman" w:cs="Times New Roman" w:eastAsia="Times New Roman" w:hAnsi="Times New Roman"/>
          <w:sz w:val="20"/>
          <w:szCs w:val="20"/>
          <w:color w:val="auto"/>
        </w:rPr>
        <w:t>. Borrower and its Subsidiaries shall have received all material governmental, shareholder and third-party consents and approvals necessary in connection with the transactions contemplated by this Waiver and the other transactions contemplated hereby and all applicable waiting periods shall have expired without any action being taken by any Person that could reasonably be expected to restrain, prevent or impose any material adverse conditions on Borrower or any of its Subsidiaries or such other transactions or that could seek to threaten any of the foregoing, and no law or regulation shall be applicable which could reasonably be expected to have such effect.</w:t>
      </w:r>
    </w:p>
    <w:p>
      <w:pPr>
        <w:spacing w:after="0" w:line="178" w:lineRule="exact"/>
        <w:rPr>
          <w:rFonts w:ascii="Times New Roman" w:cs="Times New Roman" w:eastAsia="Times New Roman" w:hAnsi="Times New Roman"/>
          <w:sz w:val="20"/>
          <w:szCs w:val="20"/>
          <w:color w:val="auto"/>
        </w:rPr>
      </w:pPr>
    </w:p>
    <w:p>
      <w:pPr>
        <w:ind w:firstLine="656"/>
        <w:spacing w:after="0" w:line="283" w:lineRule="auto"/>
        <w:tabs>
          <w:tab w:leader="none" w:pos="12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of Borrower and each Guarantor hereby represents and warrants to the Administrative Agent and the Lenders as follows:</w:t>
      </w:r>
    </w:p>
    <w:p>
      <w:pPr>
        <w:spacing w:after="0" w:line="146" w:lineRule="exact"/>
        <w:rPr>
          <w:rFonts w:ascii="Times New Roman" w:cs="Times New Roman" w:eastAsia="Times New Roman" w:hAnsi="Times New Roman"/>
          <w:sz w:val="20"/>
          <w:szCs w:val="20"/>
          <w:color w:val="auto"/>
        </w:rPr>
      </w:pPr>
    </w:p>
    <w:p>
      <w:pPr>
        <w:jc w:val="both"/>
        <w:ind w:firstLine="1304"/>
        <w:spacing w:after="0" w:line="257" w:lineRule="auto"/>
        <w:tabs>
          <w:tab w:leader="none" w:pos="193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Waiver and such Loan Party’s obligations hereunder have been duly authorized by all necessary corporate or other similar action. This Waiver has been duly executed and delivered by each Loan Party that is party thereto. Each of this Waiver and the Credit Agreement (for the avoidance of doubt, as amended by this Waiver) constitutes a legal, valid and binding obligation of each Loan Party that is party thereto, enforceable against each such Loan Party, subject to applicable Debtor Relief Laws or other Laws affecting creditors’ rights generally and subject to general principles of equity.</w:t>
      </w:r>
    </w:p>
    <w:p>
      <w:pPr>
        <w:spacing w:after="0" w:line="172" w:lineRule="exact"/>
        <w:rPr>
          <w:rFonts w:ascii="Times New Roman" w:cs="Times New Roman" w:eastAsia="Times New Roman" w:hAnsi="Times New Roman"/>
          <w:sz w:val="20"/>
          <w:szCs w:val="20"/>
          <w:color w:val="auto"/>
        </w:rPr>
      </w:pPr>
    </w:p>
    <w:p>
      <w:pPr>
        <w:ind w:right="20" w:firstLine="1304"/>
        <w:spacing w:after="0" w:line="283" w:lineRule="auto"/>
        <w:tabs>
          <w:tab w:leader="none" w:pos="1932"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this Waiver, no Default or Event of Default has occurred and is continuing as of the date of the effectiveness of this Waiver, and no condition exists which constitutes a Default or an Event of Default.</w:t>
      </w:r>
    </w:p>
    <w:p>
      <w:pPr>
        <w:spacing w:after="0" w:line="15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3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this Waiver, the representations and warranties of the Borrower and each other Loan Party contained in Article VI of the Credit Agreement or any other Loan Document, or which are contained in any document furnished at any time under or in connection herewith or therewith, shall be true and correct in all material respects (and in all respects if any such representation or warranty is already qualified by materiality or reference to Material Adverse Effect) on and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82" w:name="page83"/>
    <w:bookmarkEnd w:id="82"/>
    <w:p>
      <w:pPr>
        <w:jc w:val="both"/>
        <w:spacing w:after="0" w:line="253" w:lineRule="auto"/>
        <w:rPr>
          <w:sz w:val="20"/>
          <w:szCs w:val="20"/>
          <w:color w:val="auto"/>
        </w:rPr>
      </w:pPr>
      <w:r>
        <w:rPr>
          <w:rFonts w:ascii="Times New Roman" w:cs="Times New Roman" w:eastAsia="Times New Roman" w:hAnsi="Times New Roman"/>
          <w:sz w:val="20"/>
          <w:szCs w:val="20"/>
          <w:color w:val="auto"/>
        </w:rPr>
        <w:t>date hereof, except to the extent that such representations and warranties specifically refer to an earlier date, in which case they shall be true and correct in all material respects (and in all respects if any such representation or warranty is already qualified by materiality or reference to Material Adverse Effect) as of such earlier date, and except that for purposes of this Section 4(c), the representations and warranties contained in subsections (a) and (b) of Section 6.05 of the Credit Agreement shall be deemed to refer to the most recent statements furnished pursuant to clauses (a) and (b), respectively, of Section 7.01 of the Credit Agreement.</w:t>
      </w:r>
    </w:p>
    <w:p>
      <w:pPr>
        <w:spacing w:after="0" w:line="188" w:lineRule="exact"/>
        <w:rPr>
          <w:sz w:val="20"/>
          <w:szCs w:val="20"/>
          <w:color w:val="auto"/>
        </w:rPr>
      </w:pPr>
    </w:p>
    <w:p>
      <w:pPr>
        <w:jc w:val="both"/>
        <w:ind w:firstLine="656"/>
        <w:spacing w:after="0" w:line="254" w:lineRule="auto"/>
        <w:tabs>
          <w:tab w:leader="none" w:pos="1296"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 JURISDICTION; ETC.; WAIVER OF RIGHT TO JURY TRIAL; AND JUDGMENT CURRENCY</w:t>
      </w:r>
      <w:r>
        <w:rPr>
          <w:rFonts w:ascii="Times New Roman" w:cs="Times New Roman" w:eastAsia="Times New Roman" w:hAnsi="Times New Roman"/>
          <w:sz w:val="20"/>
          <w:szCs w:val="20"/>
          <w:b w:val="1"/>
          <w:bCs w:val="1"/>
          <w:color w:val="auto"/>
        </w:rPr>
        <w:t xml:space="preserve">. THIS WAIVER SHALL BE SUBJECT TO THE PROVISIONS REGARDING GOVERNING LAW; SUBMISSION TO JURISDICTION, WAIVER OF VENUE, SERVICE OF PROCESS; WAIVER OF RIGHT TO TRIAL BY JURY; AND JUDGMENT CURRENCY SET FORTH IN SECTIONS 12.14, 12.15 AND 12.16 OF THE CREDIT AGREEMENT, AND SUCH PROVISIONS ARE INCORPORATED HEREIN BY THIS REFERENCE, </w:t>
      </w:r>
      <w:r>
        <w:rPr>
          <w:rFonts w:ascii="Times New Roman" w:cs="Times New Roman" w:eastAsia="Times New Roman" w:hAnsi="Times New Roman"/>
          <w:sz w:val="20"/>
          <w:szCs w:val="20"/>
          <w:b w:val="1"/>
          <w:bCs w:val="1"/>
          <w:i w:val="1"/>
          <w:iCs w:val="1"/>
          <w:color w:val="auto"/>
        </w:rPr>
        <w:t>MUTATIS MUTANDIS</w:t>
      </w:r>
      <w:r>
        <w:rPr>
          <w:rFonts w:ascii="Times New Roman" w:cs="Times New Roman" w:eastAsia="Times New Roman" w:hAnsi="Times New Roman"/>
          <w:sz w:val="20"/>
          <w:szCs w:val="20"/>
          <w:b w:val="1"/>
          <w:bCs w:val="1"/>
          <w:color w:val="auto"/>
        </w:rPr>
        <w:t>.</w:t>
      </w:r>
    </w:p>
    <w:p>
      <w:pPr>
        <w:spacing w:after="0" w:line="191" w:lineRule="exact"/>
        <w:rPr>
          <w:rFonts w:ascii="Times New Roman" w:cs="Times New Roman" w:eastAsia="Times New Roman" w:hAnsi="Times New Roman"/>
          <w:sz w:val="20"/>
          <w:szCs w:val="20"/>
          <w:b w:val="1"/>
          <w:bCs w:val="1"/>
          <w:color w:val="auto"/>
        </w:rPr>
      </w:pPr>
    </w:p>
    <w:p>
      <w:pPr>
        <w:jc w:val="both"/>
        <w:ind w:firstLine="656"/>
        <w:spacing w:after="0" w:line="253" w:lineRule="auto"/>
        <w:tabs>
          <w:tab w:leader="none" w:pos="129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 Execution</w:t>
      </w:r>
      <w:r>
        <w:rPr>
          <w:rFonts w:ascii="Times New Roman" w:cs="Times New Roman" w:eastAsia="Times New Roman" w:hAnsi="Times New Roman"/>
          <w:sz w:val="20"/>
          <w:szCs w:val="20"/>
          <w:color w:val="auto"/>
        </w:rPr>
        <w:t>. This Waiver may be executed in any number of counterparts and by different parties on separate counterparts, each of which, when executed and delivered, shall be deemed to be an original, and all of which, when taken together, shall constitute but one and the same Waiver. Delivery of an executed counterpart of this Waiver by telefacsimile or other electronic method of transmission shall be equally as effective as delivery of an original executed counterpart of this Waiver. Any party delivering an executed counterpart of this Waiver by telefacsimile or other electronic method of transmission also shall deliver an original executed counterpart of this Waiver, but the failure to deliver an original executed counterpart shall not affect the validity, enforceability, and binding effect of this Waiver.</w:t>
      </w:r>
    </w:p>
    <w:p>
      <w:pPr>
        <w:spacing w:after="0" w:line="179" w:lineRule="exact"/>
        <w:rPr>
          <w:rFonts w:ascii="Times New Roman" w:cs="Times New Roman" w:eastAsia="Times New Roman" w:hAnsi="Times New Roman"/>
          <w:sz w:val="20"/>
          <w:szCs w:val="20"/>
          <w:color w:val="auto"/>
        </w:rPr>
      </w:pPr>
    </w:p>
    <w:p>
      <w:pPr>
        <w:jc w:val="both"/>
        <w:ind w:firstLine="656"/>
        <w:spacing w:after="0" w:line="251" w:lineRule="auto"/>
        <w:tabs>
          <w:tab w:leader="none" w:pos="129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Each of the Loan Parties hereby releases and forever discharges the Administrative Agent, the Lenders and their respective predecessors, successors, assigns, officers, managers, directors, employees, agents, attorneys, representatives, and affiliates (hereinafter all of the above collectively referred to as, the “</w:t>
      </w:r>
      <w:r>
        <w:rPr>
          <w:rFonts w:ascii="Times New Roman" w:cs="Times New Roman" w:eastAsia="Times New Roman" w:hAnsi="Times New Roman"/>
          <w:sz w:val="20"/>
          <w:szCs w:val="20"/>
          <w:u w:val="single" w:color="auto"/>
          <w:color w:val="auto"/>
        </w:rPr>
        <w:t>Lender Group</w:t>
      </w:r>
      <w:r>
        <w:rPr>
          <w:rFonts w:ascii="Times New Roman" w:cs="Times New Roman" w:eastAsia="Times New Roman" w:hAnsi="Times New Roman"/>
          <w:sz w:val="20"/>
          <w:szCs w:val="20"/>
          <w:color w:val="auto"/>
        </w:rPr>
        <w:t>”), from any and all claims, counterclaims, demands, damages, debts, suits, liabilities, actions and causes of action of any nature whatsoever, in each case to the extent arising in connection with the Loan Documents or any of the negotiations, activities, events or circumstances arising out of or related to the Loan Documents through the date of this Waiver, whether arising at law or in equity, whether known or unknown, whether liability be direct or indirect, liquidated or unliquidated, whether absolute or contingent, foreseen or unforeseen, and whether or not heretofore asserted, which any of the Loan Parties may have or claim to have against any entity within the Lender Group.</w:t>
      </w:r>
    </w:p>
    <w:p>
      <w:pPr>
        <w:spacing w:after="0" w:line="19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and Reaffirmation</w:t>
      </w:r>
      <w:r>
        <w:rPr>
          <w:rFonts w:ascii="Times New Roman" w:cs="Times New Roman" w:eastAsia="Times New Roman" w:hAnsi="Times New Roman"/>
          <w:sz w:val="20"/>
          <w:szCs w:val="20"/>
          <w:color w:val="auto"/>
        </w:rPr>
        <w:t>. By its execution hereof, each of the Loan Parties hereby expressly (a) acknowledges and agrees to the terms and conditions of this Waiver, (b) except as otherwise amended hereby, reaffirms all of its respective covenants and other obligations set forth in the Credit Agreement and the other Loan Documents to which it is a party, (c) ratifies and confirms all security interests previously granted by it to the Administrative Agent for the benefit of the Secured Parties under the Loan Documents, as amended hereby, and (d) acknowledges that its respective covenants and other obligations set forth in the Credit Agreement and the other Loan Documents to which it is a party remain in full force and effect as amended hereby.</w:t>
      </w:r>
    </w:p>
    <w:p>
      <w:pPr>
        <w:spacing w:after="0" w:line="178" w:lineRule="exact"/>
        <w:rPr>
          <w:rFonts w:ascii="Times New Roman" w:cs="Times New Roman" w:eastAsia="Times New Roman" w:hAnsi="Times New Roman"/>
          <w:sz w:val="20"/>
          <w:szCs w:val="20"/>
          <w:color w:val="auto"/>
        </w:rPr>
      </w:pPr>
    </w:p>
    <w:p>
      <w:pPr>
        <w:ind w:firstLine="656"/>
        <w:spacing w:after="0" w:line="283" w:lineRule="auto"/>
        <w:tabs>
          <w:tab w:leader="none" w:pos="129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Waiver, and the terms and provisions hereof, the Credit Agreement and the other Loan Documents constitute the entire understanding and agreement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83" w:name="page84"/>
    <w:bookmarkEnd w:id="83"/>
    <w:p>
      <w:pPr>
        <w:spacing w:after="0" w:line="283" w:lineRule="auto"/>
        <w:rPr>
          <w:sz w:val="20"/>
          <w:szCs w:val="20"/>
          <w:color w:val="auto"/>
        </w:rPr>
      </w:pPr>
      <w:r>
        <w:rPr>
          <w:rFonts w:ascii="Times New Roman" w:cs="Times New Roman" w:eastAsia="Times New Roman" w:hAnsi="Times New Roman"/>
          <w:sz w:val="20"/>
          <w:szCs w:val="20"/>
          <w:color w:val="auto"/>
        </w:rPr>
        <w:t>parties hereto with respect to the subject matter hereof and supersede any and all prior or contemporaneous Waivers or understandings with respect to the subject matter hereof, whether express or implied, oral or written.</w:t>
      </w:r>
    </w:p>
    <w:p>
      <w:pPr>
        <w:spacing w:after="0" w:line="146" w:lineRule="exact"/>
        <w:rPr>
          <w:sz w:val="20"/>
          <w:szCs w:val="20"/>
          <w:color w:val="auto"/>
        </w:rPr>
      </w:pPr>
    </w:p>
    <w:p>
      <w:pPr>
        <w:ind w:right="20" w:firstLine="656"/>
        <w:spacing w:after="0" w:line="283" w:lineRule="auto"/>
        <w:tabs>
          <w:tab w:leader="none" w:pos="128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This Waiver, together with the other Loan Documents, incorporates all negotiations of the parties hereto with respect to the subject matter hereof and is the final expression and agreement of the parties hereto with respect to the subject matter hereof.</w:t>
      </w:r>
    </w:p>
    <w:p>
      <w:pPr>
        <w:spacing w:after="0" w:line="146" w:lineRule="exact"/>
        <w:rPr>
          <w:rFonts w:ascii="Times New Roman" w:cs="Times New Roman" w:eastAsia="Times New Roman" w:hAnsi="Times New Roman"/>
          <w:sz w:val="20"/>
          <w:szCs w:val="20"/>
          <w:color w:val="auto"/>
        </w:rPr>
      </w:pPr>
    </w:p>
    <w:p>
      <w:pPr>
        <w:jc w:val="both"/>
        <w:ind w:firstLine="656"/>
        <w:spacing w:after="0" w:line="268" w:lineRule="auto"/>
        <w:tabs>
          <w:tab w:leader="none" w:pos="1279"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in this Waiver shall be invalid, illegal or unenforceable, such provision shall be severable from the remainder of this Waiver and the validity, legality and enforceability of the remaining provisions shall not in any way be affected or impaired thereby.</w:t>
      </w:r>
    </w:p>
    <w:p>
      <w:pPr>
        <w:spacing w:after="0" w:line="16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As an inducement to the Administrative Agent and the Lenders entering into this Waiver and as otherwise required under the Loan Documents, the Borrower hereby agrees to pay pursuant to Section 12.04 of the Credit Agreement, following execution and delivery of this Waiver, all reasonable out-of-pocket cost and expenses of the Administrative Agent and the Lenders incurred in connection with this Waiver and the matters contemplated herein, including all reasonable attorney’s fees.</w:t>
      </w:r>
    </w:p>
    <w:p>
      <w:pPr>
        <w:spacing w:after="0" w:line="18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w:t>
      </w:r>
      <w:r>
        <w:rPr>
          <w:rFonts w:ascii="Times New Roman" w:cs="Times New Roman" w:eastAsia="Times New Roman" w:hAnsi="Times New Roman"/>
          <w:sz w:val="20"/>
          <w:szCs w:val="20"/>
          <w:color w:val="auto"/>
        </w:rPr>
        <w:t>. This Waiver shall constitute a Loan Document for all purposes of the Credit Agreement and the other Loan Documents. The occurrence and continuation of any Event of Default under this Waiver shall entitle the Administrative Agent and the Lenders to exercise all rights and remedies available to them under Section 9.02 of the Credit Agreement. Each reference in the Credit Agreement to “this Agreement”, “hereunder”, “hereof”, “herein”, or words of like import, and each reference to the Credit Agreement in any other Loan Document shall be deemed a reference to the Credit Agreement as amended hereby.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84" w:name="page85"/>
    <w:bookmarkEnd w:id="84"/>
    <w:p>
      <w:pPr>
        <w:jc w:val="right"/>
        <w:ind w:right="799"/>
        <w:spacing w:after="0"/>
        <w:rPr>
          <w:sz w:val="20"/>
          <w:szCs w:val="20"/>
          <w:color w:val="auto"/>
        </w:rPr>
      </w:pPr>
      <w:r>
        <w:rPr>
          <w:rFonts w:ascii="Times New Roman" w:cs="Times New Roman" w:eastAsia="Times New Roman" w:hAnsi="Times New Roman"/>
          <w:sz w:val="20"/>
          <w:szCs w:val="20"/>
          <w:color w:val="auto"/>
        </w:rPr>
        <w:t>IN WITNESS WHEREOF, the parties have entered into this Waiver as of the date first above written.</w:t>
      </w:r>
    </w:p>
    <w:p>
      <w:pPr>
        <w:spacing w:after="0" w:line="200" w:lineRule="exact"/>
        <w:rPr>
          <w:sz w:val="20"/>
          <w:szCs w:val="20"/>
          <w:color w:val="auto"/>
        </w:rPr>
      </w:pPr>
    </w:p>
    <w:p>
      <w:pPr>
        <w:spacing w:after="0" w:line="254"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color w:val="auto"/>
        </w:rPr>
        <w:t>BORROWER:</w:t>
      </w:r>
      <w:r>
        <w:rPr>
          <w:sz w:val="20"/>
          <w:szCs w:val="20"/>
          <w:color w:val="auto"/>
        </w:rPr>
        <w:tab/>
      </w:r>
      <w:r>
        <w:rPr>
          <w:rFonts w:ascii="Times New Roman" w:cs="Times New Roman" w:eastAsia="Times New Roman" w:hAnsi="Times New Roman"/>
          <w:sz w:val="22"/>
          <w:szCs w:val="22"/>
          <w:color w:val="auto"/>
        </w:rPr>
        <w:t>BIOCRYST PHARMACEUTICALS,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By: /s/ Alane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-5715</wp:posOffset>
            </wp:positionV>
            <wp:extent cx="10439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ind w:left="3200"/>
        <w:spacing w:after="0" w:line="204" w:lineRule="auto"/>
        <w:rPr>
          <w:sz w:val="20"/>
          <w:szCs w:val="20"/>
          <w:color w:val="auto"/>
        </w:rPr>
      </w:pPr>
      <w:r>
        <w:rPr>
          <w:rFonts w:ascii="Times New Roman" w:cs="Times New Roman" w:eastAsia="Times New Roman" w:hAnsi="Times New Roman"/>
          <w:sz w:val="22"/>
          <w:szCs w:val="22"/>
          <w:color w:val="auto"/>
        </w:rPr>
        <w:t>Name: Alane Barnes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Title: Chief Legal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22"/>
          <w:szCs w:val="22"/>
          <w:color w:val="auto"/>
        </w:rPr>
        <w:t>GUARANTORS:</w:t>
      </w:r>
      <w:r>
        <w:rPr>
          <w:sz w:val="20"/>
          <w:szCs w:val="20"/>
          <w:color w:val="auto"/>
        </w:rPr>
        <w:tab/>
      </w:r>
      <w:r>
        <w:rPr>
          <w:rFonts w:ascii="Times New Roman" w:cs="Times New Roman" w:eastAsia="Times New Roman" w:hAnsi="Times New Roman"/>
          <w:sz w:val="22"/>
          <w:szCs w:val="22"/>
          <w:color w:val="auto"/>
        </w:rPr>
        <w:t>BIOCRYST IRELAND LIMITED</w:t>
      </w:r>
    </w:p>
    <w:p>
      <w:pPr>
        <w:ind w:left="3200"/>
        <w:spacing w:after="0"/>
        <w:rPr>
          <w:sz w:val="20"/>
          <w:szCs w:val="20"/>
          <w:color w:val="auto"/>
        </w:rPr>
      </w:pPr>
      <w:r>
        <w:rPr>
          <w:rFonts w:ascii="Times New Roman" w:cs="Times New Roman" w:eastAsia="Times New Roman" w:hAnsi="Times New Roman"/>
          <w:sz w:val="22"/>
          <w:szCs w:val="22"/>
          <w:color w:val="auto"/>
        </w:rPr>
        <w:t>incorporated under the laws of Ireland</w:t>
      </w:r>
    </w:p>
    <w:p>
      <w:pPr>
        <w:spacing w:after="0" w:line="200" w:lineRule="exact"/>
        <w:rPr>
          <w:sz w:val="20"/>
          <w:szCs w:val="20"/>
          <w:color w:val="auto"/>
        </w:rPr>
      </w:pPr>
    </w:p>
    <w:p>
      <w:pPr>
        <w:spacing w:after="0" w:line="37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By: /s/ Kevin Greaney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-5715</wp:posOffset>
            </wp:positionV>
            <wp:extent cx="11347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ind w:left="3200"/>
        <w:spacing w:after="0" w:line="204" w:lineRule="auto"/>
        <w:rPr>
          <w:sz w:val="20"/>
          <w:szCs w:val="20"/>
          <w:color w:val="auto"/>
        </w:rPr>
      </w:pPr>
      <w:r>
        <w:rPr>
          <w:rFonts w:ascii="Times New Roman" w:cs="Times New Roman" w:eastAsia="Times New Roman" w:hAnsi="Times New Roman"/>
          <w:sz w:val="22"/>
          <w:szCs w:val="22"/>
          <w:color w:val="auto"/>
        </w:rPr>
        <w:t>Name: Kevin Greaney</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37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BIOCRYST UK LIMITED</w:t>
      </w:r>
    </w:p>
    <w:p>
      <w:pPr>
        <w:ind w:left="3200"/>
        <w:spacing w:after="0"/>
        <w:rPr>
          <w:sz w:val="20"/>
          <w:szCs w:val="20"/>
          <w:color w:val="auto"/>
        </w:rPr>
      </w:pPr>
      <w:r>
        <w:rPr>
          <w:rFonts w:ascii="Times New Roman" w:cs="Times New Roman" w:eastAsia="Times New Roman" w:hAnsi="Times New Roman"/>
          <w:sz w:val="22"/>
          <w:szCs w:val="22"/>
          <w:color w:val="auto"/>
        </w:rPr>
        <w:t>incorporated under the laws of England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By: /s/ Luke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-5715</wp:posOffset>
            </wp:positionV>
            <wp:extent cx="11430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ind w:left="3200"/>
        <w:spacing w:after="0" w:line="204" w:lineRule="auto"/>
        <w:rPr>
          <w:sz w:val="20"/>
          <w:szCs w:val="20"/>
          <w:color w:val="auto"/>
        </w:rPr>
      </w:pPr>
      <w:r>
        <w:rPr>
          <w:rFonts w:ascii="Times New Roman" w:cs="Times New Roman" w:eastAsia="Times New Roman" w:hAnsi="Times New Roman"/>
          <w:sz w:val="22"/>
          <w:szCs w:val="22"/>
          <w:color w:val="auto"/>
        </w:rPr>
        <w:t>Name: Luke Robinson</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BIOCRYST US Sales Co., LLC</w:t>
      </w:r>
    </w:p>
    <w:p>
      <w:pPr>
        <w:spacing w:after="0" w:line="200" w:lineRule="exact"/>
        <w:rPr>
          <w:sz w:val="20"/>
          <w:szCs w:val="20"/>
          <w:color w:val="auto"/>
        </w:rPr>
      </w:pPr>
    </w:p>
    <w:p>
      <w:pPr>
        <w:spacing w:after="0" w:line="20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By: /s/ Alane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-5715</wp:posOffset>
            </wp:positionV>
            <wp:extent cx="10439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ind w:left="3200"/>
        <w:spacing w:after="0" w:line="204" w:lineRule="auto"/>
        <w:rPr>
          <w:sz w:val="20"/>
          <w:szCs w:val="20"/>
          <w:color w:val="auto"/>
        </w:rPr>
      </w:pPr>
      <w:r>
        <w:rPr>
          <w:rFonts w:ascii="Times New Roman" w:cs="Times New Roman" w:eastAsia="Times New Roman" w:hAnsi="Times New Roman"/>
          <w:sz w:val="22"/>
          <w:szCs w:val="22"/>
          <w:color w:val="auto"/>
        </w:rPr>
        <w:t>Name: Alane Barnes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Title: Chief Legal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BioCryst España, S.L.</w:t>
      </w:r>
    </w:p>
    <w:p>
      <w:pPr>
        <w:ind w:left="3200"/>
        <w:spacing w:after="0"/>
        <w:rPr>
          <w:sz w:val="20"/>
          <w:szCs w:val="20"/>
          <w:color w:val="auto"/>
        </w:rPr>
      </w:pPr>
      <w:r>
        <w:rPr>
          <w:rFonts w:ascii="Times New Roman" w:cs="Times New Roman" w:eastAsia="Times New Roman" w:hAnsi="Times New Roman"/>
          <w:sz w:val="22"/>
          <w:szCs w:val="22"/>
          <w:color w:val="auto"/>
        </w:rPr>
        <w:t>by: SG Corporate Support, S.L., its sole director</w:t>
      </w:r>
    </w:p>
    <w:p>
      <w:pPr>
        <w:spacing w:after="0" w:line="38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By: /s/ Leonardo Jose Britto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-5715</wp:posOffset>
            </wp:positionV>
            <wp:extent cx="17678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1767840" cy="8890"/>
                    </a:xfrm>
                    <a:prstGeom prst="rect">
                      <a:avLst/>
                    </a:prstGeom>
                    <a:noFill/>
                  </pic:spPr>
                </pic:pic>
              </a:graphicData>
            </a:graphic>
          </wp:anchor>
        </w:drawing>
      </w:r>
    </w:p>
    <w:p>
      <w:pPr>
        <w:ind w:left="3200"/>
        <w:spacing w:after="0" w:line="204" w:lineRule="auto"/>
        <w:rPr>
          <w:sz w:val="20"/>
          <w:szCs w:val="20"/>
          <w:color w:val="auto"/>
        </w:rPr>
      </w:pPr>
      <w:r>
        <w:rPr>
          <w:rFonts w:ascii="Times New Roman" w:cs="Times New Roman" w:eastAsia="Times New Roman" w:hAnsi="Times New Roman"/>
          <w:sz w:val="22"/>
          <w:szCs w:val="22"/>
          <w:color w:val="auto"/>
        </w:rPr>
        <w:t>Name: Leonardo Jose Britto Leon</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Title: Individual Representative</w:t>
      </w:r>
    </w:p>
    <w:p>
      <w:pPr>
        <w:sectPr>
          <w:pgSz w:w="11900" w:h="16838" w:orient="portrait"/>
          <w:cols w:equalWidth="0" w:num="1">
            <w:col w:w="10099"/>
          </w:cols>
          <w:pgMar w:left="360" w:top="1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i w:val="1"/>
          <w:iCs w:val="1"/>
          <w:color w:val="auto"/>
        </w:rPr>
        <w:t>[Signature Page to Waiver to Credit Agreement]</w:t>
      </w:r>
    </w:p>
    <w:p>
      <w:pPr>
        <w:sectPr>
          <w:pgSz w:w="11900" w:h="16838" w:orient="portrait"/>
          <w:cols w:equalWidth="0" w:num="1">
            <w:col w:w="10099"/>
          </w:cols>
          <w:pgMar w:left="360" w:top="1399" w:right="1440" w:bottom="1440" w:gutter="0" w:footer="0" w:header="0"/>
          <w:type w:val="continuous"/>
        </w:sectPr>
      </w:pPr>
    </w:p>
    <w:bookmarkStart w:id="85" w:name="page86"/>
    <w:bookmarkEnd w:id="85"/>
    <w:p>
      <w:pPr>
        <w:ind w:left="2120"/>
        <w:spacing w:after="0"/>
        <w:rPr>
          <w:sz w:val="20"/>
          <w:szCs w:val="20"/>
          <w:color w:val="auto"/>
        </w:rPr>
      </w:pPr>
      <w:r>
        <w:rPr>
          <w:rFonts w:ascii="Times New Roman" w:cs="Times New Roman" w:eastAsia="Times New Roman" w:hAnsi="Times New Roman"/>
          <w:sz w:val="22"/>
          <w:szCs w:val="22"/>
          <w:color w:val="auto"/>
        </w:rPr>
        <w:t>BioCryst Italia, S.r.l.</w:t>
      </w:r>
    </w:p>
    <w:p>
      <w:pPr>
        <w:spacing w:after="0" w:line="200" w:lineRule="exact"/>
        <w:rPr>
          <w:sz w:val="20"/>
          <w:szCs w:val="20"/>
          <w:color w:val="auto"/>
        </w:rPr>
      </w:pPr>
    </w:p>
    <w:p>
      <w:pPr>
        <w:spacing w:after="0" w:line="20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 /s/ Michele Bignami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-5715</wp:posOffset>
            </wp:positionV>
            <wp:extent cx="12573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ind w:left="2120"/>
        <w:spacing w:after="0" w:line="204" w:lineRule="auto"/>
        <w:rPr>
          <w:sz w:val="20"/>
          <w:szCs w:val="20"/>
          <w:color w:val="auto"/>
        </w:rPr>
      </w:pPr>
      <w:r>
        <w:rPr>
          <w:rFonts w:ascii="Times New Roman" w:cs="Times New Roman" w:eastAsia="Times New Roman" w:hAnsi="Times New Roman"/>
          <w:sz w:val="22"/>
          <w:szCs w:val="22"/>
          <w:color w:val="auto"/>
        </w:rPr>
        <w:t>Name: Michele Bignami</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Waiver to Credit Agreement]</w:t>
      </w:r>
    </w:p>
    <w:p>
      <w:pPr>
        <w:sectPr>
          <w:pgSz w:w="11900" w:h="16838" w:orient="portrait"/>
          <w:cols w:equalWidth="0" w:num="1">
            <w:col w:w="9019"/>
          </w:cols>
          <w:pgMar w:left="1440" w:top="1395" w:right="1440" w:bottom="1440" w:gutter="0" w:footer="0" w:header="0"/>
        </w:sectPr>
      </w:pPr>
    </w:p>
    <w:bookmarkStart w:id="86" w:name="page87"/>
    <w:bookmarkEnd w:id="86"/>
    <w:p>
      <w:pPr>
        <w:ind w:left="2860" w:right="2840" w:hanging="3239"/>
        <w:spacing w:after="0" w:line="236" w:lineRule="auto"/>
        <w:tabs>
          <w:tab w:leader="none" w:pos="2840" w:val="left"/>
        </w:tabs>
        <w:rPr>
          <w:sz w:val="20"/>
          <w:szCs w:val="20"/>
          <w:color w:val="auto"/>
        </w:rPr>
      </w:pPr>
      <w:r>
        <w:rPr>
          <w:rFonts w:ascii="Times New Roman" w:cs="Times New Roman" w:eastAsia="Times New Roman" w:hAnsi="Times New Roman"/>
          <w:sz w:val="22"/>
          <w:szCs w:val="22"/>
          <w:color w:val="auto"/>
        </w:rPr>
        <w:t>ADMINISTRATIVE AGENT:</w:t>
        <w:tab/>
        <w:t>ATHYRIUM OPPORTUNITIES III CO-INVEST 1 LP, as Administrative Agent</w:t>
      </w:r>
    </w:p>
    <w:p>
      <w:pPr>
        <w:spacing w:after="0" w:line="39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By: ATHYRIUM OPPORTUNITIES ASSOCIATES CO-INVEST LLC, its General Partner</w:t>
      </w:r>
    </w:p>
    <w:p>
      <w:pPr>
        <w:spacing w:after="0" w:line="20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By: /s/ Rashida Adams</w:t>
      </w:r>
    </w:p>
    <w:p>
      <w:pPr>
        <w:ind w:left="3220"/>
        <w:spacing w:after="0" w:line="211" w:lineRule="auto"/>
        <w:rPr>
          <w:sz w:val="20"/>
          <w:szCs w:val="20"/>
          <w:color w:val="auto"/>
        </w:rPr>
      </w:pPr>
      <w:r>
        <w:rPr>
          <w:rFonts w:ascii="Times New Roman" w:cs="Times New Roman" w:eastAsia="Times New Roman" w:hAnsi="Times New Roman"/>
          <w:sz w:val="20"/>
          <w:szCs w:val="20"/>
          <w:color w:val="auto"/>
        </w:rPr>
        <w:t>Name: Rashida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2262505</wp:posOffset>
            </wp:positionH>
            <wp:positionV relativeFrom="paragraph">
              <wp:posOffset>-127000</wp:posOffset>
            </wp:positionV>
            <wp:extent cx="14446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ind w:left="322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LENDER:</w:t>
      </w:r>
      <w:r>
        <w:rPr>
          <w:sz w:val="20"/>
          <w:szCs w:val="20"/>
          <w:color w:val="auto"/>
        </w:rPr>
        <w:tab/>
      </w:r>
      <w:r>
        <w:rPr>
          <w:rFonts w:ascii="Times New Roman" w:cs="Times New Roman" w:eastAsia="Times New Roman" w:hAnsi="Times New Roman"/>
          <w:sz w:val="22"/>
          <w:szCs w:val="22"/>
          <w:color w:val="auto"/>
        </w:rPr>
        <w:t>ATHYRIUM OPPORTUNITIES III CO-INVEST 1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By: ATHYRIUM OPPORTUNITIES ASSOCIATES CO-INVEST LLC, its General Partner</w:t>
      </w:r>
    </w:p>
    <w:p>
      <w:pPr>
        <w:spacing w:after="0" w:line="20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By: /s/ Rashida Adams</w:t>
      </w:r>
    </w:p>
    <w:p>
      <w:pPr>
        <w:ind w:left="3220"/>
        <w:spacing w:after="0" w:line="211" w:lineRule="auto"/>
        <w:rPr>
          <w:sz w:val="20"/>
          <w:szCs w:val="20"/>
          <w:color w:val="auto"/>
        </w:rPr>
      </w:pPr>
      <w:r>
        <w:rPr>
          <w:rFonts w:ascii="Times New Roman" w:cs="Times New Roman" w:eastAsia="Times New Roman" w:hAnsi="Times New Roman"/>
          <w:sz w:val="20"/>
          <w:szCs w:val="20"/>
          <w:color w:val="auto"/>
        </w:rPr>
        <w:t>Name: Rashida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2262505</wp:posOffset>
            </wp:positionH>
            <wp:positionV relativeFrom="paragraph">
              <wp:posOffset>-127000</wp:posOffset>
            </wp:positionV>
            <wp:extent cx="14446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1444625" cy="8890"/>
                    </a:xfrm>
                    <a:prstGeom prst="rect">
                      <a:avLst/>
                    </a:prstGeom>
                    <a:noFill/>
                  </pic:spPr>
                </pic:pic>
              </a:graphicData>
            </a:graphic>
          </wp:anchor>
        </w:drawing>
      </w:r>
    </w:p>
    <w:p>
      <w:pPr>
        <w:ind w:left="322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Waiver to Credit Agreement]</w:t>
      </w:r>
    </w:p>
    <w:p>
      <w:pPr>
        <w:sectPr>
          <w:pgSz w:w="11900" w:h="16838" w:orient="portrait"/>
          <w:cols w:equalWidth="0" w:num="1">
            <w:col w:w="10500"/>
          </w:cols>
          <w:pgMar w:left="340" w:top="1395" w:right="1059" w:bottom="1440" w:gutter="0" w:footer="0" w:header="0"/>
        </w:sectPr>
      </w:pPr>
    </w:p>
    <w:bookmarkStart w:id="87" w:name="page88"/>
    <w:bookmarkEnd w:id="87"/>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54"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2"/>
          <w:szCs w:val="22"/>
          <w:b w:val="1"/>
          <w:bCs w:val="1"/>
          <w:color w:val="auto"/>
        </w:rPr>
        <w:t>Certain information has been omitted from this exhibit in places marked “[***]” because it is both not material and would likely cause competitive harm to the registrant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b w:val="1"/>
          <w:bCs w:val="1"/>
          <w:color w:val="auto"/>
        </w:rPr>
        <w:t>AMENDMENT NUMBER TWO TO CREDIT AGREEMENT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 xml:space="preserve">THIS AMENDMENT NUMBER TWO TO CREDIT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August 3, 2022,</w:t>
      </w:r>
    </w:p>
    <w:p>
      <w:pPr>
        <w:spacing w:after="0" w:line="215" w:lineRule="auto"/>
        <w:rPr>
          <w:sz w:val="20"/>
          <w:szCs w:val="20"/>
          <w:color w:val="auto"/>
        </w:rPr>
      </w:pPr>
      <w:r>
        <w:rPr>
          <w:rFonts w:ascii="Times New Roman" w:cs="Times New Roman" w:eastAsia="Times New Roman" w:hAnsi="Times New Roman"/>
          <w:sz w:val="19"/>
          <w:szCs w:val="19"/>
          <w:color w:val="auto"/>
        </w:rPr>
        <w:t>is entered into by and among BIOCRYST PHARMACEUTICALS, INC., a Delaware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the guarantors listed on the signature pages hereto (the “</w:t>
      </w:r>
      <w:r>
        <w:rPr>
          <w:rFonts w:ascii="Times New Roman" w:cs="Times New Roman" w:eastAsia="Times New Roman" w:hAnsi="Times New Roman"/>
          <w:sz w:val="19"/>
          <w:szCs w:val="19"/>
          <w:u w:val="single" w:color="auto"/>
          <w:color w:val="auto"/>
        </w:rPr>
        <w:t>Guarantors</w:t>
      </w:r>
      <w:r>
        <w:rPr>
          <w:rFonts w:ascii="Times New Roman" w:cs="Times New Roman" w:eastAsia="Times New Roman" w:hAnsi="Times New Roman"/>
          <w:sz w:val="19"/>
          <w:szCs w:val="19"/>
          <w:color w:val="auto"/>
        </w:rPr>
        <w:t>”), the lenders listed on the signature pages hereto (such lenders, and the other lenders party to the</w:t>
      </w:r>
    </w:p>
    <w:p>
      <w:pPr>
        <w:spacing w:after="0" w:line="211" w:lineRule="auto"/>
        <w:rPr>
          <w:sz w:val="20"/>
          <w:szCs w:val="20"/>
          <w:color w:val="auto"/>
        </w:rPr>
      </w:pPr>
      <w:r>
        <w:rPr>
          <w:rFonts w:ascii="Times New Roman" w:cs="Times New Roman" w:eastAsia="Times New Roman" w:hAnsi="Times New Roman"/>
          <w:sz w:val="20"/>
          <w:szCs w:val="20"/>
          <w:color w:val="auto"/>
        </w:rPr>
        <w:t>Credit Agreement (as defined below), together with their respective successors and permitted assigns, each individually,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w:t>
      </w:r>
    </w:p>
    <w:p>
      <w:pPr>
        <w:ind w:right="20"/>
        <w:spacing w:after="0" w:line="215" w:lineRule="auto"/>
        <w:rPr>
          <w:sz w:val="20"/>
          <w:szCs w:val="20"/>
          <w:color w:val="auto"/>
        </w:rPr>
      </w:pPr>
      <w:r>
        <w:rPr>
          <w:rFonts w:ascii="Times New Roman" w:cs="Times New Roman" w:eastAsia="Times New Roman" w:hAnsi="Times New Roman"/>
          <w:sz w:val="19"/>
          <w:szCs w:val="19"/>
          <w:color w:val="auto"/>
        </w:rPr>
        <w:t>collectively,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and ATHYRIUM OPPORTUNITIES III CO-INVEST 1 LP, a Delaware limited partnership, as administrative agent for the Lenders (in such capacity, together with its successors and assigns in such capacity, the “</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and in light of</w:t>
      </w:r>
    </w:p>
    <w:p>
      <w:pPr>
        <w:spacing w:after="0"/>
        <w:rPr>
          <w:sz w:val="20"/>
          <w:szCs w:val="20"/>
          <w:color w:val="auto"/>
        </w:rPr>
      </w:pPr>
      <w:r>
        <w:rPr>
          <w:rFonts w:ascii="Times New Roman" w:cs="Times New Roman" w:eastAsia="Times New Roman" w:hAnsi="Times New Roman"/>
          <w:sz w:val="20"/>
          <w:szCs w:val="20"/>
          <w:color w:val="auto"/>
        </w:rPr>
        <w:t>the following:</w:t>
      </w:r>
    </w:p>
    <w:p>
      <w:pPr>
        <w:spacing w:after="0" w:line="16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u w:val="single" w:color="auto"/>
          <w:color w:val="auto"/>
        </w:rPr>
        <w:t>W I T N E S S E T H</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the Guarantors, the Lenders and the Administrative Agent are parties to that certain Credit</w:t>
      </w:r>
    </w:p>
    <w:p>
      <w:pPr>
        <w:spacing w:after="0" w:line="215" w:lineRule="auto"/>
        <w:rPr>
          <w:sz w:val="20"/>
          <w:szCs w:val="20"/>
          <w:color w:val="auto"/>
        </w:rPr>
      </w:pPr>
      <w:r>
        <w:rPr>
          <w:rFonts w:ascii="Times New Roman" w:cs="Times New Roman" w:eastAsia="Times New Roman" w:hAnsi="Times New Roman"/>
          <w:sz w:val="19"/>
          <w:szCs w:val="19"/>
          <w:color w:val="auto"/>
        </w:rPr>
        <w:t>Agreement, dated as of December 7, 2020 (as supplemented by that certain (i) Joinder Agreement, dated as of December 31, 2020, by and between BioCryst US Sales Co., LLC, a Delaware limited liability company, and the Administrative Agent, (ii) Joinder Agreement, dated as</w:t>
      </w:r>
    </w:p>
    <w:p>
      <w:pPr>
        <w:spacing w:after="0" w:line="211" w:lineRule="auto"/>
        <w:rPr>
          <w:sz w:val="20"/>
          <w:szCs w:val="20"/>
          <w:color w:val="auto"/>
        </w:rPr>
      </w:pPr>
      <w:r>
        <w:rPr>
          <w:rFonts w:ascii="Times New Roman" w:cs="Times New Roman" w:eastAsia="Times New Roman" w:hAnsi="Times New Roman"/>
          <w:sz w:val="20"/>
          <w:szCs w:val="20"/>
          <w:color w:val="auto"/>
        </w:rPr>
        <w:t>of February 8, 2021, by and between BioCryst UK Limited, a private limited company incorporated in England and Wales, and the</w:t>
      </w: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and (iii) Joinder Agreement, dated as of May 5, 2022, by and among BioCryst España, S.L., a Spanish private limited liability company (“</w:t>
      </w:r>
      <w:r>
        <w:rPr>
          <w:rFonts w:ascii="Times New Roman" w:cs="Times New Roman" w:eastAsia="Times New Roman" w:hAnsi="Times New Roman"/>
          <w:sz w:val="20"/>
          <w:szCs w:val="20"/>
          <w:i w:val="1"/>
          <w:iCs w:val="1"/>
          <w:color w:val="auto"/>
        </w:rPr>
        <w:t>Sociedad de Responsabilidad Limitada</w:t>
      </w:r>
      <w:r>
        <w:rPr>
          <w:rFonts w:ascii="Times New Roman" w:cs="Times New Roman" w:eastAsia="Times New Roman" w:hAnsi="Times New Roman"/>
          <w:sz w:val="20"/>
          <w:szCs w:val="20"/>
          <w:color w:val="auto"/>
        </w:rPr>
        <w:t>”), BioCryst Italia, S.r.l., an Italian limited liability company (società a</w:t>
      </w:r>
    </w:p>
    <w:p>
      <w:pPr>
        <w:spacing w:after="0" w:line="211" w:lineRule="auto"/>
        <w:rPr>
          <w:sz w:val="20"/>
          <w:szCs w:val="20"/>
          <w:color w:val="auto"/>
        </w:rPr>
      </w:pPr>
      <w:r>
        <w:rPr>
          <w:rFonts w:ascii="Times New Roman" w:cs="Times New Roman" w:eastAsia="Times New Roman" w:hAnsi="Times New Roman"/>
          <w:sz w:val="20"/>
          <w:szCs w:val="20"/>
          <w:color w:val="auto"/>
        </w:rPr>
        <w:t>responsabilità limitata), and the Administrative Agent, and as amended or modified by that certain (i) Amendment Number One to Credit</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Agreement, dated as of November 19, 2021 by and among the Borrower, the Guarantors party thereto, the Lenders and the Administrative Agent, (ii) the Waiver, dated as of July 14, 2022 by and among the Borrower, the Guarantors, the Lenders and the Administrative Agent (the</w:t>
      </w:r>
    </w:p>
    <w:p>
      <w:pPr>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and (iii) this Amendment, and as further amended, restated, supplemented, or otherwise modified from time to time,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has requested that the Administrative Agent and the Lenders amend the Credit Agreement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allow for the entering into by the Loan Parties of certain corporate credit programs; and</w:t>
      </w:r>
    </w:p>
    <w:p>
      <w:pPr>
        <w:spacing w:after="0" w:line="151" w:lineRule="exact"/>
        <w:rPr>
          <w:sz w:val="20"/>
          <w:szCs w:val="20"/>
          <w:color w:val="auto"/>
        </w:rPr>
      </w:pPr>
    </w:p>
    <w:p>
      <w:pPr>
        <w:ind w:firstLine="1296"/>
        <w:spacing w:after="0" w:line="23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upon the terms and conditions set forth herein, the Administrative Agent and the undersigned Lenders,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 Required Lenders, are willing to amend the Credit Agreement.</w:t>
      </w:r>
    </w:p>
    <w:p>
      <w:pPr>
        <w:spacing w:after="0" w:line="157"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and the mutual covenants herein contained, and for other good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valuable consideration, the receipt and sufficiency of which are hereby acknowledged, the parties hereby agree as follows:</w:t>
      </w:r>
    </w:p>
    <w:p>
      <w:pPr>
        <w:spacing w:after="0" w:line="142" w:lineRule="exact"/>
        <w:rPr>
          <w:sz w:val="20"/>
          <w:szCs w:val="20"/>
          <w:color w:val="auto"/>
        </w:rPr>
      </w:pPr>
    </w:p>
    <w:p>
      <w:pPr>
        <w:ind w:firstLine="656"/>
        <w:spacing w:after="0"/>
        <w:tabs>
          <w:tab w:leader="none" w:pos="129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All initially capitalized terms used herein (including the preamble and recitals hereof) without definition shall have the meanings ascribed thereto in the Credit Agreement.</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9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Credit Agreement</w:t>
      </w:r>
      <w:r>
        <w:rPr>
          <w:rFonts w:ascii="Times New Roman" w:cs="Times New Roman" w:eastAsia="Times New Roman" w:hAnsi="Times New Roman"/>
          <w:sz w:val="20"/>
          <w:szCs w:val="20"/>
          <w:color w:val="auto"/>
        </w:rPr>
        <w:t xml:space="preserve">. Subject to the satisfaction (or waiver in writing by the Required Lenders) of the conditions precedent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hereof, the Credit Agreement is hereby amended as follows:</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8.03(i) of the Credit Agreement is hereby amended by deleting the word “and” at the end thereof.</w:t>
      </w:r>
    </w:p>
    <w:p>
      <w:pPr>
        <w:spacing w:after="0" w:line="18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8.03(j) of the Credit Agreement is hereby amended by deleting the period at the end thereof and substituting</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and” in lieu thereof.</w:t>
      </w:r>
    </w:p>
    <w:p>
      <w:pPr>
        <w:sectPr>
          <w:pgSz w:w="11900" w:h="16838" w:orient="portrait"/>
          <w:cols w:equalWidth="0" w:num="1">
            <w:col w:w="11240"/>
          </w:cols>
          <w:pgMar w:left="320" w:top="117" w:right="33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4" w:hanging="636"/>
        <w:spacing w:after="0"/>
        <w:tabs>
          <w:tab w:leader="none" w:pos="128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8.03 of the Credit Agreement is hereby amended to add the following new clause (k) at the end thereof:</w:t>
      </w:r>
    </w:p>
    <w:p>
      <w:pPr>
        <w:spacing w:after="0" w:line="183" w:lineRule="exact"/>
        <w:rPr>
          <w:sz w:val="20"/>
          <w:szCs w:val="20"/>
          <w:color w:val="auto"/>
        </w:rPr>
      </w:pPr>
    </w:p>
    <w:p>
      <w:pPr>
        <w:ind w:left="644"/>
        <w:spacing w:after="0"/>
        <w:tabs>
          <w:tab w:leader="none" w:pos="1264" w:val="left"/>
        </w:tabs>
        <w:rPr>
          <w:sz w:val="20"/>
          <w:szCs w:val="20"/>
          <w:color w:val="auto"/>
        </w:rPr>
      </w:pPr>
      <w:r>
        <w:rPr>
          <w:rFonts w:ascii="Times New Roman" w:cs="Times New Roman" w:eastAsia="Times New Roman" w:hAnsi="Times New Roman"/>
          <w:sz w:val="20"/>
          <w:szCs w:val="20"/>
          <w:color w:val="auto"/>
        </w:rPr>
        <w:t>“(k)</w:t>
      </w:r>
      <w:r>
        <w:rPr>
          <w:sz w:val="20"/>
          <w:szCs w:val="20"/>
          <w:color w:val="auto"/>
        </w:rPr>
        <w:tab/>
      </w:r>
      <w:r>
        <w:rPr>
          <w:rFonts w:ascii="Times New Roman" w:cs="Times New Roman" w:eastAsia="Times New Roman" w:hAnsi="Times New Roman"/>
          <w:sz w:val="20"/>
          <w:szCs w:val="20"/>
          <w:color w:val="auto"/>
        </w:rPr>
        <w:t>unsecured (other than Liens described in Section 8.01(l), excluding, for the avoidance of doubt, cash collateral)</w:t>
      </w:r>
    </w:p>
    <w:p>
      <w:pPr>
        <w:ind w:left="644"/>
        <w:spacing w:after="0" w:line="221" w:lineRule="auto"/>
        <w:rPr>
          <w:sz w:val="20"/>
          <w:szCs w:val="20"/>
          <w:color w:val="auto"/>
        </w:rPr>
      </w:pPr>
      <w:r>
        <w:rPr>
          <w:rFonts w:ascii="Times New Roman" w:cs="Times New Roman" w:eastAsia="Times New Roman" w:hAnsi="Times New Roman"/>
          <w:sz w:val="20"/>
          <w:szCs w:val="20"/>
          <w:color w:val="auto"/>
        </w:rPr>
        <w:t>Indebtedness incurred in the ordinary course of business under a commercial credit card program in an aggregate amount not to exceed $[***] at any one time outstanding.”</w:t>
      </w:r>
    </w:p>
    <w:p>
      <w:pPr>
        <w:spacing w:after="0" w:line="162" w:lineRule="exact"/>
        <w:rPr>
          <w:sz w:val="20"/>
          <w:szCs w:val="20"/>
          <w:color w:val="auto"/>
        </w:rPr>
      </w:pPr>
    </w:p>
    <w:p>
      <w:pPr>
        <w:ind w:left="644" w:right="1800" w:firstLine="4"/>
        <w:spacing w:after="0" w:line="429" w:lineRule="auto"/>
        <w:tabs>
          <w:tab w:leader="none" w:pos="12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8.11 of the Credit Agreement is hereby amended and restated in its entirety as follows: “8.11 Prepayment of Other Indebtedness.</w:t>
      </w:r>
    </w:p>
    <w:p>
      <w:pPr>
        <w:spacing w:after="0" w:line="1" w:lineRule="exact"/>
        <w:rPr>
          <w:sz w:val="20"/>
          <w:szCs w:val="20"/>
          <w:color w:val="auto"/>
        </w:rPr>
      </w:pPr>
    </w:p>
    <w:p>
      <w:pPr>
        <w:ind w:left="644"/>
        <w:spacing w:after="0" w:line="222" w:lineRule="auto"/>
        <w:rPr>
          <w:sz w:val="20"/>
          <w:szCs w:val="20"/>
          <w:color w:val="auto"/>
        </w:rPr>
      </w:pPr>
      <w:r>
        <w:rPr>
          <w:rFonts w:ascii="Times New Roman" w:cs="Times New Roman" w:eastAsia="Times New Roman" w:hAnsi="Times New Roman"/>
          <w:sz w:val="20"/>
          <w:szCs w:val="20"/>
          <w:color w:val="auto"/>
        </w:rPr>
        <w:t>Make (or give any notice with respect thereto) any voluntary or optional payment or prepayment or voluntary or optional redemption or acquisition for value of (including without limitation, by way of depositing money or securities with the</w:t>
      </w:r>
    </w:p>
    <w:p>
      <w:pPr>
        <w:spacing w:after="0" w:line="2" w:lineRule="exact"/>
        <w:rPr>
          <w:sz w:val="20"/>
          <w:szCs w:val="20"/>
          <w:color w:val="auto"/>
        </w:rPr>
      </w:pPr>
    </w:p>
    <w:p>
      <w:pPr>
        <w:ind w:left="644" w:right="20"/>
        <w:spacing w:after="0" w:line="204" w:lineRule="auto"/>
        <w:rPr>
          <w:sz w:val="20"/>
          <w:szCs w:val="20"/>
          <w:color w:val="auto"/>
        </w:rPr>
      </w:pPr>
      <w:r>
        <w:rPr>
          <w:rFonts w:ascii="Times New Roman" w:cs="Times New Roman" w:eastAsia="Times New Roman" w:hAnsi="Times New Roman"/>
          <w:sz w:val="20"/>
          <w:szCs w:val="20"/>
          <w:color w:val="auto"/>
        </w:rPr>
        <w:t>trustee with respect thereto before due for the purpose of paying when due), refund, refinance or exchange of any Indebtedness of any Loan Party or any Subsidiary that is (or is required to be) (a) subordinated in right of payment to the</w:t>
      </w:r>
    </w:p>
    <w:p>
      <w:pPr>
        <w:spacing w:after="0" w:line="1" w:lineRule="exact"/>
        <w:rPr>
          <w:sz w:val="20"/>
          <w:szCs w:val="20"/>
          <w:color w:val="auto"/>
        </w:rPr>
      </w:pPr>
    </w:p>
    <w:p>
      <w:pPr>
        <w:ind w:left="644"/>
        <w:spacing w:after="0" w:line="204" w:lineRule="auto"/>
        <w:rPr>
          <w:sz w:val="20"/>
          <w:szCs w:val="20"/>
          <w:color w:val="auto"/>
        </w:rPr>
      </w:pPr>
      <w:r>
        <w:rPr>
          <w:rFonts w:ascii="Times New Roman" w:cs="Times New Roman" w:eastAsia="Times New Roman" w:hAnsi="Times New Roman"/>
          <w:sz w:val="20"/>
          <w:szCs w:val="20"/>
          <w:color w:val="auto"/>
        </w:rPr>
        <w:t xml:space="preserve">Obligations, (b) unsecured Indebtedness or (c) Indebtedness secured by Liens which are junior to the Liens securing the Obligations, in the case of each of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except for (i) any settlement or conversion of</w:t>
      </w:r>
    </w:p>
    <w:p>
      <w:pPr>
        <w:ind w:left="644"/>
        <w:spacing w:after="0" w:line="211" w:lineRule="auto"/>
        <w:rPr>
          <w:sz w:val="20"/>
          <w:szCs w:val="20"/>
          <w:color w:val="auto"/>
        </w:rPr>
      </w:pPr>
      <w:r>
        <w:rPr>
          <w:rFonts w:ascii="Times New Roman" w:cs="Times New Roman" w:eastAsia="Times New Roman" w:hAnsi="Times New Roman"/>
          <w:sz w:val="20"/>
          <w:szCs w:val="20"/>
          <w:color w:val="auto"/>
        </w:rPr>
        <w:t>Convertible Bond Indebtedness solely with or into common stock of the Borrower, (ii) any payment of cash in lieu of a</w:t>
      </w:r>
    </w:p>
    <w:p>
      <w:pPr>
        <w:spacing w:after="0" w:line="1" w:lineRule="exact"/>
        <w:rPr>
          <w:sz w:val="20"/>
          <w:szCs w:val="20"/>
          <w:color w:val="auto"/>
        </w:rPr>
      </w:pPr>
    </w:p>
    <w:p>
      <w:pPr>
        <w:jc w:val="both"/>
        <w:ind w:left="644"/>
        <w:spacing w:after="0" w:line="204" w:lineRule="auto"/>
        <w:rPr>
          <w:sz w:val="20"/>
          <w:szCs w:val="20"/>
          <w:color w:val="auto"/>
        </w:rPr>
      </w:pPr>
      <w:r>
        <w:rPr>
          <w:rFonts w:ascii="Times New Roman" w:cs="Times New Roman" w:eastAsia="Times New Roman" w:hAnsi="Times New Roman"/>
          <w:sz w:val="20"/>
          <w:szCs w:val="20"/>
          <w:color w:val="auto"/>
        </w:rPr>
        <w:t>fractional share in accordance with the terms of any indenture governing Convertible Bond Indebtedness in connection with the settlement or conversion of Convertible Bond Indebtedness permitted by clause (i) above of this Section 8.11 and (iii)</w:t>
      </w:r>
    </w:p>
    <w:p>
      <w:pPr>
        <w:spacing w:after="0" w:line="1" w:lineRule="exact"/>
        <w:rPr>
          <w:sz w:val="20"/>
          <w:szCs w:val="20"/>
          <w:color w:val="auto"/>
        </w:rPr>
      </w:pPr>
    </w:p>
    <w:p>
      <w:pPr>
        <w:ind w:left="644"/>
        <w:spacing w:after="0" w:line="228" w:lineRule="auto"/>
        <w:rPr>
          <w:sz w:val="20"/>
          <w:szCs w:val="20"/>
          <w:color w:val="auto"/>
        </w:rPr>
      </w:pPr>
      <w:r>
        <w:rPr>
          <w:rFonts w:ascii="Times New Roman" w:cs="Times New Roman" w:eastAsia="Times New Roman" w:hAnsi="Times New Roman"/>
          <w:sz w:val="20"/>
          <w:szCs w:val="20"/>
          <w:color w:val="auto"/>
        </w:rPr>
        <w:t>any payment in the ordinary course of business in respect of unsecured Indebtedness under a commercial credit card program permitted by clause (k) above of Section 8.03.”</w:t>
      </w:r>
    </w:p>
    <w:p>
      <w:pPr>
        <w:spacing w:after="0" w:line="149" w:lineRule="exact"/>
        <w:rPr>
          <w:sz w:val="20"/>
          <w:szCs w:val="20"/>
          <w:color w:val="auto"/>
        </w:rPr>
      </w:pPr>
    </w:p>
    <w:p>
      <w:pPr>
        <w:ind w:left="-656" w:firstLine="656"/>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 Precedent to Amendment</w:t>
      </w:r>
      <w:r>
        <w:rPr>
          <w:rFonts w:ascii="Times New Roman" w:cs="Times New Roman" w:eastAsia="Times New Roman" w:hAnsi="Times New Roman"/>
          <w:sz w:val="20"/>
          <w:szCs w:val="20"/>
          <w:color w:val="auto"/>
        </w:rPr>
        <w:t>. The effectiveness of this Amendment is conditioned on the satisfaction in full, in a manner satisfactory to the Administrative Agent and the Required Lenders, or waiver, of the following conditions precedent:</w:t>
      </w:r>
    </w:p>
    <w:p>
      <w:pPr>
        <w:spacing w:after="0" w:line="161" w:lineRule="exact"/>
        <w:rPr>
          <w:rFonts w:ascii="Times New Roman" w:cs="Times New Roman" w:eastAsia="Times New Roman" w:hAnsi="Times New Roman"/>
          <w:sz w:val="20"/>
          <w:szCs w:val="20"/>
          <w:color w:val="auto"/>
        </w:rPr>
      </w:pPr>
    </w:p>
    <w:p>
      <w:pPr>
        <w:ind w:left="-656" w:right="20" w:firstLine="1304"/>
        <w:spacing w:after="0" w:line="233" w:lineRule="auto"/>
        <w:tabs>
          <w:tab w:leader="none" w:pos="127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Executed Amendment</w:t>
      </w:r>
      <w:r>
        <w:rPr>
          <w:rFonts w:ascii="Times New Roman" w:cs="Times New Roman" w:eastAsia="Times New Roman" w:hAnsi="Times New Roman"/>
          <w:sz w:val="20"/>
          <w:szCs w:val="20"/>
          <w:color w:val="auto"/>
        </w:rPr>
        <w:t>. The Administrative Agent shall have received this Amendment, duly executed and delivered by the parties hereto, and the same shall be in full force and effect.</w:t>
      </w:r>
    </w:p>
    <w:p>
      <w:pPr>
        <w:spacing w:after="0" w:line="160" w:lineRule="exact"/>
        <w:rPr>
          <w:rFonts w:ascii="Times New Roman" w:cs="Times New Roman" w:eastAsia="Times New Roman" w:hAnsi="Times New Roman"/>
          <w:sz w:val="20"/>
          <w:szCs w:val="20"/>
          <w:color w:val="auto"/>
        </w:rPr>
      </w:pPr>
    </w:p>
    <w:p>
      <w:pPr>
        <w:jc w:val="both"/>
        <w:ind w:left="-656" w:firstLine="1304"/>
        <w:spacing w:after="0" w:line="226" w:lineRule="auto"/>
        <w:tabs>
          <w:tab w:leader="none" w:pos="1276"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Effect</w:t>
      </w:r>
      <w:r>
        <w:rPr>
          <w:rFonts w:ascii="Times New Roman" w:cs="Times New Roman" w:eastAsia="Times New Roman" w:hAnsi="Times New Roman"/>
          <w:sz w:val="20"/>
          <w:szCs w:val="20"/>
          <w:color w:val="auto"/>
        </w:rPr>
        <w:t>. Since December 31, 2021, except as otherwise specified in the Waiver, there shall not have occurred any event or condition that has had or could reasonably be expected to have, either individually or in the aggregate, a Material Adverse Effect.</w:t>
      </w:r>
    </w:p>
    <w:p>
      <w:pPr>
        <w:spacing w:after="0" w:line="160" w:lineRule="exact"/>
        <w:rPr>
          <w:rFonts w:ascii="Times New Roman" w:cs="Times New Roman" w:eastAsia="Times New Roman" w:hAnsi="Times New Roman"/>
          <w:sz w:val="20"/>
          <w:szCs w:val="20"/>
          <w:color w:val="auto"/>
        </w:rPr>
      </w:pPr>
    </w:p>
    <w:p>
      <w:pPr>
        <w:jc w:val="both"/>
        <w:ind w:left="-656" w:firstLine="1304"/>
        <w:spacing w:after="0" w:line="226" w:lineRule="auto"/>
        <w:tabs>
          <w:tab w:leader="none" w:pos="127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There shall not exist any action, suit, investigation or proceeding pending or threatened in any court or before an arbitrator or Governmental Authority that could reasonably be expected, either individually or in the aggregate, to have a Material Adverse Effect.</w:t>
      </w:r>
    </w:p>
    <w:p>
      <w:pPr>
        <w:spacing w:after="0" w:line="173" w:lineRule="exact"/>
        <w:rPr>
          <w:rFonts w:ascii="Times New Roman" w:cs="Times New Roman" w:eastAsia="Times New Roman" w:hAnsi="Times New Roman"/>
          <w:sz w:val="20"/>
          <w:szCs w:val="20"/>
          <w:color w:val="auto"/>
        </w:rPr>
      </w:pPr>
    </w:p>
    <w:p>
      <w:pPr>
        <w:jc w:val="both"/>
        <w:ind w:left="-656" w:firstLine="1304"/>
        <w:spacing w:after="0" w:line="215" w:lineRule="auto"/>
        <w:tabs>
          <w:tab w:leader="none" w:pos="128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Governmental and Third Party Approvals</w:t>
      </w:r>
      <w:r>
        <w:rPr>
          <w:rFonts w:ascii="Times New Roman" w:cs="Times New Roman" w:eastAsia="Times New Roman" w:hAnsi="Times New Roman"/>
          <w:sz w:val="20"/>
          <w:szCs w:val="20"/>
          <w:color w:val="auto"/>
        </w:rPr>
        <w:t>. The Borrower and its Subsidiaries shall have received all material governmental, shareholder and third-party consents and approvals necessary in connection with the transactions contemplated by this Amendment, the other Loan Documents, and the other transactions contemplated hereby and all applicable waiting periods shall have expired without any action being taken by any Person that could reasonably be expected to restrain, prevent or impose any material adverse conditions on the Borrower or any of its Subsidiaries or such other transactions or that could seek to threaten any of the foregoing, and no law or regulation shall be applicable which could reasonably be expected to have such effect.</w:t>
      </w:r>
    </w:p>
    <w:p>
      <w:pPr>
        <w:sectPr>
          <w:pgSz w:w="11900" w:h="16838" w:orient="portrait"/>
          <w:cols w:equalWidth="0" w:num="1">
            <w:col w:w="10584"/>
          </w:cols>
          <w:pgMar w:left="976" w:top="1440" w:right="33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6" w:firstLine="656"/>
        <w:spacing w:after="0"/>
        <w:tabs>
          <w:tab w:leader="none" w:pos="6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of the Borrower and each Guarantor hereby represents and warrants to the Administrative Agent and the Lenders as follows:</w:t>
      </w:r>
    </w:p>
    <w:p>
      <w:pPr>
        <w:spacing w:after="0" w:line="161" w:lineRule="exact"/>
        <w:rPr>
          <w:rFonts w:ascii="Times New Roman" w:cs="Times New Roman" w:eastAsia="Times New Roman" w:hAnsi="Times New Roman"/>
          <w:sz w:val="20"/>
          <w:szCs w:val="20"/>
          <w:color w:val="auto"/>
        </w:rPr>
      </w:pPr>
    </w:p>
    <w:p>
      <w:pPr>
        <w:jc w:val="both"/>
        <w:ind w:left="-656" w:firstLine="1304"/>
        <w:spacing w:after="0" w:line="228" w:lineRule="auto"/>
        <w:tabs>
          <w:tab w:leader="none" w:pos="1278"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delivery and performance of this Amendment and such Loan Party’s obligations hereunder have been duly authorized by all necessary corporate or other similar action. This Amendment has been duly executed and delivered by each Loan Party that is party thereto. Each of this Amendment and the Credit Agreement (for the avoidance of doubt, as amended by this Amendment) constitutes a legal, valid and binding obligation of each Loan Party that is party thereto, enforceable against each such Loan Party, subject to applicable Debtor Relief Laws or other Laws affecting creditors’ rights generally and subject to general principles of equity.</w:t>
      </w:r>
    </w:p>
    <w:p>
      <w:pPr>
        <w:spacing w:after="0" w:line="163" w:lineRule="exact"/>
        <w:rPr>
          <w:rFonts w:ascii="Times New Roman" w:cs="Times New Roman" w:eastAsia="Times New Roman" w:hAnsi="Times New Roman"/>
          <w:sz w:val="19"/>
          <w:szCs w:val="19"/>
          <w:color w:val="auto"/>
        </w:rPr>
      </w:pPr>
    </w:p>
    <w:p>
      <w:pPr>
        <w:ind w:left="-656" w:firstLine="1304"/>
        <w:spacing w:after="0"/>
        <w:tabs>
          <w:tab w:leader="none" w:pos="1276"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as of the date of the effectiveness of this Amendment, and no condition exists which constitutes a Default or an Event of Default.</w:t>
      </w:r>
    </w:p>
    <w:p>
      <w:pPr>
        <w:spacing w:after="0" w:line="147" w:lineRule="exact"/>
        <w:rPr>
          <w:rFonts w:ascii="Times New Roman" w:cs="Times New Roman" w:eastAsia="Times New Roman" w:hAnsi="Times New Roman"/>
          <w:sz w:val="20"/>
          <w:szCs w:val="20"/>
          <w:color w:val="auto"/>
        </w:rPr>
      </w:pPr>
    </w:p>
    <w:p>
      <w:pPr>
        <w:jc w:val="both"/>
        <w:ind w:left="-656" w:firstLine="1304"/>
        <w:spacing w:after="0" w:line="213" w:lineRule="auto"/>
        <w:tabs>
          <w:tab w:leader="none" w:pos="1278"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this Amendment, the representations and warranties of the Borrower and each other Loan Party contained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of the Credit Agreement or any other Loan Document, or which are contained in any document furnished at any time under or in connection herewith or therewith, shall be true and correct in all material respects (and in all respects if any such representation or warranty is already qualified by materiality or reference to Material Adverse Effect) on and as of the date hereof, except to the extent that such representations and warranties specifically refer to an earlier date, in which case they shall be true and correct in all material respects (and in all respects if any such representation or warranty is already qualified by materiality or reference to Material Adverse Effect) as of such earlier date, and except that for purposes of this </w:t>
      </w:r>
      <w:r>
        <w:rPr>
          <w:rFonts w:ascii="Times New Roman" w:cs="Times New Roman" w:eastAsia="Times New Roman" w:hAnsi="Times New Roman"/>
          <w:sz w:val="20"/>
          <w:szCs w:val="20"/>
          <w:u w:val="single" w:color="auto"/>
          <w:color w:val="auto"/>
        </w:rPr>
        <w:t>Section 4(c)</w:t>
      </w:r>
      <w:r>
        <w:rPr>
          <w:rFonts w:ascii="Times New Roman" w:cs="Times New Roman" w:eastAsia="Times New Roman" w:hAnsi="Times New Roman"/>
          <w:sz w:val="20"/>
          <w:szCs w:val="20"/>
          <w:color w:val="auto"/>
        </w:rPr>
        <w:t xml:space="preserve">, the representations and warranties contained in subsections (a) and (b) of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of the Credit Agreement shall be deemed to refer to the most recent statements furnished pursuant to clauses (a) and (b), respectively,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of the Credit Agreement.</w:t>
      </w:r>
    </w:p>
    <w:p>
      <w:pPr>
        <w:spacing w:after="0" w:line="157" w:lineRule="exact"/>
        <w:rPr>
          <w:rFonts w:ascii="Times New Roman" w:cs="Times New Roman" w:eastAsia="Times New Roman" w:hAnsi="Times New Roman"/>
          <w:sz w:val="20"/>
          <w:szCs w:val="20"/>
          <w:color w:val="auto"/>
        </w:rPr>
      </w:pPr>
    </w:p>
    <w:p>
      <w:pPr>
        <w:jc w:val="both"/>
        <w:ind w:left="-656" w:firstLine="656"/>
        <w:spacing w:after="0" w:line="220" w:lineRule="auto"/>
        <w:tabs>
          <w:tab w:leader="none" w:pos="64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 JURISDICTION; ETC.; WAIVER OF RIGHT TO JURY TRIAL; AND JUDGMENT CURRENCY</w:t>
      </w:r>
      <w:r>
        <w:rPr>
          <w:rFonts w:ascii="Times New Roman" w:cs="Times New Roman" w:eastAsia="Times New Roman" w:hAnsi="Times New Roman"/>
          <w:sz w:val="20"/>
          <w:szCs w:val="20"/>
          <w:b w:val="1"/>
          <w:bCs w:val="1"/>
          <w:color w:val="auto"/>
        </w:rPr>
        <w:t xml:space="preserve">. THIS AMENDMENT SHALL BE SUBJECT TO THE PROVISIONS REGARDING GOVERNING LAW; SUBMISSION TO JURISDICTION, WAIVER OF VENUE, SERVICE OF PROCESS; WAIVER OF RIGHT TO TRIAL BY JURY; AND JUDGMENT CURRENCY SET FORTH IN SECTIONS 12.14, 12.15 AND 12.16 OF THE CREDIT AGREEMENT, AND SUCH PROVISIONS ARE INCORPORATED HEREIN BY THIS REFERENCE, </w:t>
      </w:r>
      <w:r>
        <w:rPr>
          <w:rFonts w:ascii="Times New Roman" w:cs="Times New Roman" w:eastAsia="Times New Roman" w:hAnsi="Times New Roman"/>
          <w:sz w:val="20"/>
          <w:szCs w:val="20"/>
          <w:b w:val="1"/>
          <w:bCs w:val="1"/>
          <w:i w:val="1"/>
          <w:iCs w:val="1"/>
          <w:color w:val="auto"/>
        </w:rPr>
        <w:t>MUTATIS MUTANDIS</w:t>
      </w:r>
      <w:r>
        <w:rPr>
          <w:rFonts w:ascii="Times New Roman" w:cs="Times New Roman" w:eastAsia="Times New Roman" w:hAnsi="Times New Roman"/>
          <w:sz w:val="20"/>
          <w:szCs w:val="20"/>
          <w:b w:val="1"/>
          <w:bCs w:val="1"/>
          <w:color w:val="auto"/>
        </w:rPr>
        <w:t>.</w:t>
      </w:r>
    </w:p>
    <w:p>
      <w:pPr>
        <w:spacing w:after="0" w:line="151" w:lineRule="exact"/>
        <w:rPr>
          <w:rFonts w:ascii="Times New Roman" w:cs="Times New Roman" w:eastAsia="Times New Roman" w:hAnsi="Times New Roman"/>
          <w:sz w:val="20"/>
          <w:szCs w:val="20"/>
          <w:b w:val="1"/>
          <w:bCs w:val="1"/>
          <w:color w:val="auto"/>
        </w:rPr>
      </w:pPr>
    </w:p>
    <w:p>
      <w:pPr>
        <w:jc w:val="both"/>
        <w:ind w:left="-656" w:firstLine="656"/>
        <w:spacing w:after="0" w:line="215" w:lineRule="auto"/>
        <w:tabs>
          <w:tab w:leader="none" w:pos="6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 Execution</w:t>
      </w:r>
      <w:r>
        <w:rPr>
          <w:rFonts w:ascii="Times New Roman" w:cs="Times New Roman" w:eastAsia="Times New Roman" w:hAnsi="Times New Roman"/>
          <w:sz w:val="20"/>
          <w:szCs w:val="20"/>
          <w:color w:val="auto"/>
        </w:rPr>
        <w:t>. This Amendment may be executed in any number of counterparts and by different parties on separate counterparts, each of which, when executed and delivered, shall be deemed to be an original, and all of which, when taken together, shall constitute but one and the same Amendment. Delivery of an executed counterpart of this Amendment by telefacsimile or other electronic method of transmission shall be equally as effective as delivery of an original executed counterpart of this Amendment. Any party delivering an executed counterpart of this Amendment by telefacsimile or other electronic method of transmission also shall deliver an original executed counterpart of this Amendment, but the failure to deliver an original executed counterpart shall not affect the validity, enforceability, and binding effect of this Amendment.</w:t>
      </w:r>
    </w:p>
    <w:p>
      <w:pPr>
        <w:spacing w:after="0" w:line="164" w:lineRule="exact"/>
        <w:rPr>
          <w:rFonts w:ascii="Times New Roman" w:cs="Times New Roman" w:eastAsia="Times New Roman" w:hAnsi="Times New Roman"/>
          <w:sz w:val="20"/>
          <w:szCs w:val="20"/>
          <w:color w:val="auto"/>
        </w:rPr>
      </w:pPr>
    </w:p>
    <w:p>
      <w:pPr>
        <w:jc w:val="both"/>
        <w:ind w:left="-656" w:firstLine="656"/>
        <w:spacing w:after="0" w:line="216" w:lineRule="auto"/>
        <w:tabs>
          <w:tab w:leader="none" w:pos="6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Each of the Loan Parties hereby releases and forever discharges the Administrative Agent, the Lenders and their respective predecessors, successors, assigns, officers, managers, directors, employees, agents, attorneys, representatives, and affiliates (hereinafter all of the above collectively referred to as, the “</w:t>
      </w:r>
      <w:r>
        <w:rPr>
          <w:rFonts w:ascii="Times New Roman" w:cs="Times New Roman" w:eastAsia="Times New Roman" w:hAnsi="Times New Roman"/>
          <w:sz w:val="20"/>
          <w:szCs w:val="20"/>
          <w:u w:val="single" w:color="auto"/>
          <w:color w:val="auto"/>
        </w:rPr>
        <w:t>Lender Group</w:t>
      </w:r>
      <w:r>
        <w:rPr>
          <w:rFonts w:ascii="Times New Roman" w:cs="Times New Roman" w:eastAsia="Times New Roman" w:hAnsi="Times New Roman"/>
          <w:sz w:val="20"/>
          <w:szCs w:val="20"/>
          <w:color w:val="auto"/>
        </w:rPr>
        <w:t>”), from any and all claims, counterclaims, demands, damages, debts, suits, liabilities, actions and causes of action of any nature whatsoever, in each case to the extent arising in connection with the Loan Documents or any of the negotiations, activities, events or circumstances arising out of or related to the Loan Documents through the date of this Amendment, whether arising at law or in equity, whether known or unknown, whether liability be direct or indirect,</w:t>
      </w:r>
    </w:p>
    <w:p>
      <w:pPr>
        <w:sectPr>
          <w:pgSz w:w="11900" w:h="16838" w:orient="portrait"/>
          <w:cols w:equalWidth="0" w:num="1">
            <w:col w:w="10584"/>
          </w:cols>
          <w:pgMar w:left="976" w:top="1440" w:right="3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liquidated or unliquidated, whether absolute or contingent, foreseen or unforeseen, and whether or not heretofore asserted, which any of the Loan Parties may have or claim to have against any entity within the Lender Group.</w:t>
      </w:r>
    </w:p>
    <w:p>
      <w:pPr>
        <w:spacing w:after="0" w:line="161" w:lineRule="exact"/>
        <w:rPr>
          <w:sz w:val="20"/>
          <w:szCs w:val="20"/>
          <w:color w:val="auto"/>
        </w:rPr>
      </w:pPr>
    </w:p>
    <w:p>
      <w:pPr>
        <w:jc w:val="both"/>
        <w:ind w:firstLine="656"/>
        <w:spacing w:after="0" w:line="216" w:lineRule="auto"/>
        <w:tabs>
          <w:tab w:leader="none" w:pos="12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and Reaffirmation</w:t>
      </w:r>
      <w:r>
        <w:rPr>
          <w:rFonts w:ascii="Times New Roman" w:cs="Times New Roman" w:eastAsia="Times New Roman" w:hAnsi="Times New Roman"/>
          <w:sz w:val="20"/>
          <w:szCs w:val="20"/>
          <w:color w:val="auto"/>
        </w:rPr>
        <w:t>. By its execution hereof, each of the Loan Parties hereby expressly (a) acknowledges and agrees to the terms and conditions of this Amendment, (b) except as otherwise amended hereby, reaffirms all of its respective covenants and other obligations set forth in the Credit Agreement and the other Loan Documents to which it is a party, (c) ratifies and confirms all security interests previously granted by it to the Administrative Agent for the benefit of the Secured Parties under the Loan Documents, as amended hereby, and (d) acknowledges that its respective covenants and other obligations set forth in the Credit Agreement and the other Loan Documents to which it is a party remain in full force and effect as amended hereby.</w:t>
      </w:r>
    </w:p>
    <w:p>
      <w:pPr>
        <w:spacing w:after="0" w:line="162" w:lineRule="exact"/>
        <w:rPr>
          <w:rFonts w:ascii="Times New Roman" w:cs="Times New Roman" w:eastAsia="Times New Roman" w:hAnsi="Times New Roman"/>
          <w:sz w:val="20"/>
          <w:szCs w:val="20"/>
          <w:color w:val="auto"/>
        </w:rPr>
      </w:pPr>
    </w:p>
    <w:p>
      <w:pPr>
        <w:jc w:val="both"/>
        <w:ind w:firstLine="656"/>
        <w:spacing w:after="0" w:line="218" w:lineRule="auto"/>
        <w:tabs>
          <w:tab w:leader="none" w:pos="12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Amendment, and the terms and provisions hereof, the Credit Agreement and the other Loan Documents constitute the entire understanding and agreement between the parties hereto with respect to the subject matter hereof and supersede any and all prior or contemporaneous amendments or understandings with respect to the subject matter hereof, whether express or implied, oral or written.</w:t>
      </w:r>
    </w:p>
    <w:p>
      <w:pPr>
        <w:spacing w:after="0" w:line="163"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This Amendment, together with the other Loan Documents, incorporates all negotiations of the parties hereto with respect to the subject matter hereof and is the final expression and agreement of the parties hereto with respect to the subject matter hereof.</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7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16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As an inducement to the Administrative Agent and the Lenders entering into this Amendment and as otherwise required under the Loan Documents, the Borrower hereby agrees to pay pursuant to Section 12.04 of the Credit Agreement, following execution and delivery of this Amendment, all reasonable out-of-pocket cost and expenses of the Administrative Agent and the Lenders incurred in connection with this Amendment and the matters contemplated herein, including all reasonable attorney’s fees.</w:t>
      </w:r>
    </w:p>
    <w:p>
      <w:pPr>
        <w:spacing w:after="0" w:line="161"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w:t>
      </w:r>
      <w:r>
        <w:rPr>
          <w:rFonts w:ascii="Times New Roman" w:cs="Times New Roman" w:eastAsia="Times New Roman" w:hAnsi="Times New Roman"/>
          <w:sz w:val="20"/>
          <w:szCs w:val="20"/>
          <w:color w:val="auto"/>
        </w:rPr>
        <w:t>. This Amendment shall constitute a Loan Document for all purposes of the Credit Agreement and the other Loan Documents. The occurrence and continuation of any Event of Default under this Amendment shall entitle the Administrative Agent and the Lenders to exercise all rights and remedies available to them under Section 9.02 of the Credit Agreement. Each reference in the Credit Agreement to “this Agreement”, “hereunder”, “hereof”, “herein”, or words of like import, and each reference to the Credit Agreement in any other Loan Document shall be deemed a reference to the Credit Agreement as amended hereby.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ectPr>
          <w:pgSz w:w="11900" w:h="16838" w:orient="portrait"/>
          <w:cols w:equalWidth="0" w:num="1">
            <w:col w:w="11240"/>
          </w:cols>
          <w:pgMar w:left="320" w:top="1440" w:right="339" w:bottom="1440" w:gutter="0" w:footer="0" w:header="0"/>
        </w:sectPr>
      </w:pPr>
    </w:p>
    <w:bookmarkStart w:id="91" w:name="page92"/>
    <w:bookmarkEnd w:id="91"/>
    <w:p>
      <w:pPr>
        <w:ind w:left="1300"/>
        <w:spacing w:after="0"/>
        <w:rPr>
          <w:sz w:val="20"/>
          <w:szCs w:val="20"/>
          <w:color w:val="auto"/>
        </w:rPr>
      </w:pPr>
      <w:r>
        <w:rPr>
          <w:rFonts w:ascii="Times New Roman" w:cs="Times New Roman" w:eastAsia="Times New Roman" w:hAnsi="Times New Roman"/>
          <w:sz w:val="19"/>
          <w:szCs w:val="19"/>
          <w:color w:val="auto"/>
        </w:rPr>
        <w:t>IN WITNESS WHEREOF, the parties have entered into this Amendment as of the date first above written.</w:t>
      </w:r>
    </w:p>
    <w:p>
      <w:pPr>
        <w:spacing w:after="0" w:line="22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color w:val="auto"/>
        </w:rPr>
        <w:t>BORROWER:</w:t>
      </w:r>
      <w:r>
        <w:rPr>
          <w:sz w:val="20"/>
          <w:szCs w:val="20"/>
          <w:color w:val="auto"/>
        </w:rPr>
        <w:tab/>
      </w:r>
      <w:r>
        <w:rPr>
          <w:rFonts w:ascii="Times New Roman" w:cs="Times New Roman" w:eastAsia="Times New Roman" w:hAnsi="Times New Roman"/>
          <w:sz w:val="21"/>
          <w:szCs w:val="21"/>
          <w:color w:val="auto"/>
        </w:rPr>
        <w:t>BIOCRYST PHARMACEUTICALS,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/s/ Alane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-5715</wp:posOffset>
            </wp:positionV>
            <wp:extent cx="10439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1043940" cy="8890"/>
                    </a:xfrm>
                    <a:prstGeom prst="rect">
                      <a:avLst/>
                    </a:prstGeom>
                    <a:noFill/>
                  </pic:spPr>
                </pic:pic>
              </a:graphicData>
            </a:graphic>
          </wp:anchor>
        </w:drawing>
      </w:r>
    </w:p>
    <w:p>
      <w:pPr>
        <w:ind w:left="3240"/>
        <w:spacing w:after="0" w:line="204" w:lineRule="auto"/>
        <w:rPr>
          <w:sz w:val="20"/>
          <w:szCs w:val="20"/>
          <w:color w:val="auto"/>
        </w:rPr>
      </w:pPr>
      <w:r>
        <w:rPr>
          <w:rFonts w:ascii="Times New Roman" w:cs="Times New Roman" w:eastAsia="Times New Roman" w:hAnsi="Times New Roman"/>
          <w:sz w:val="22"/>
          <w:szCs w:val="22"/>
          <w:color w:val="auto"/>
        </w:rPr>
        <w:t>Name: Alane Barnes</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Chief Legal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GUARANTORS:</w:t>
      </w:r>
      <w:r>
        <w:rPr>
          <w:sz w:val="20"/>
          <w:szCs w:val="20"/>
          <w:color w:val="auto"/>
        </w:rPr>
        <w:tab/>
      </w:r>
      <w:r>
        <w:rPr>
          <w:rFonts w:ascii="Times New Roman" w:cs="Times New Roman" w:eastAsia="Times New Roman" w:hAnsi="Times New Roman"/>
          <w:sz w:val="21"/>
          <w:szCs w:val="21"/>
          <w:color w:val="auto"/>
        </w:rPr>
        <w:t>BIOCRYST IRELAND LIMITED</w:t>
      </w:r>
    </w:p>
    <w:p>
      <w:pPr>
        <w:ind w:left="3240"/>
        <w:spacing w:after="0"/>
        <w:rPr>
          <w:sz w:val="20"/>
          <w:szCs w:val="20"/>
          <w:color w:val="auto"/>
        </w:rPr>
      </w:pPr>
      <w:r>
        <w:rPr>
          <w:rFonts w:ascii="Times New Roman" w:cs="Times New Roman" w:eastAsia="Times New Roman" w:hAnsi="Times New Roman"/>
          <w:sz w:val="22"/>
          <w:szCs w:val="22"/>
          <w:color w:val="auto"/>
        </w:rPr>
        <w:t>incorporated under the laws of Ireland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/s/ Brian McInerney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-5715</wp:posOffset>
            </wp:positionV>
            <wp:extent cx="12414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3240"/>
        <w:spacing w:after="0" w:line="204" w:lineRule="auto"/>
        <w:rPr>
          <w:sz w:val="20"/>
          <w:szCs w:val="20"/>
          <w:color w:val="auto"/>
        </w:rPr>
      </w:pPr>
      <w:r>
        <w:rPr>
          <w:rFonts w:ascii="Times New Roman" w:cs="Times New Roman" w:eastAsia="Times New Roman" w:hAnsi="Times New Roman"/>
          <w:sz w:val="22"/>
          <w:szCs w:val="22"/>
          <w:color w:val="auto"/>
        </w:rPr>
        <w:t>Name: Brian McInerney</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BIOCRYST UK LIMITED</w:t>
      </w:r>
    </w:p>
    <w:p>
      <w:pPr>
        <w:ind w:left="3240"/>
        <w:spacing w:after="0"/>
        <w:rPr>
          <w:sz w:val="20"/>
          <w:szCs w:val="20"/>
          <w:color w:val="auto"/>
        </w:rPr>
      </w:pPr>
      <w:r>
        <w:rPr>
          <w:rFonts w:ascii="Times New Roman" w:cs="Times New Roman" w:eastAsia="Times New Roman" w:hAnsi="Times New Roman"/>
          <w:sz w:val="22"/>
          <w:szCs w:val="22"/>
          <w:color w:val="auto"/>
        </w:rPr>
        <w:t>incorporated under the laws of England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/s/ Luke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-5715</wp:posOffset>
            </wp:positionV>
            <wp:extent cx="11430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ind w:left="3240"/>
        <w:spacing w:after="0" w:line="204" w:lineRule="auto"/>
        <w:rPr>
          <w:sz w:val="20"/>
          <w:szCs w:val="20"/>
          <w:color w:val="auto"/>
        </w:rPr>
      </w:pPr>
      <w:r>
        <w:rPr>
          <w:rFonts w:ascii="Times New Roman" w:cs="Times New Roman" w:eastAsia="Times New Roman" w:hAnsi="Times New Roman"/>
          <w:sz w:val="22"/>
          <w:szCs w:val="22"/>
          <w:color w:val="auto"/>
        </w:rPr>
        <w:t>Name: Luke Robinson</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BIOCRYST US Sales Co., LLC</w:t>
      </w:r>
    </w:p>
    <w:p>
      <w:pPr>
        <w:spacing w:after="0" w:line="200" w:lineRule="exact"/>
        <w:rPr>
          <w:sz w:val="20"/>
          <w:szCs w:val="20"/>
          <w:color w:val="auto"/>
        </w:rPr>
      </w:pPr>
    </w:p>
    <w:p>
      <w:pPr>
        <w:spacing w:after="0" w:line="2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/s/ Alane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-5715</wp:posOffset>
            </wp:positionV>
            <wp:extent cx="10439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ind w:left="3240"/>
        <w:spacing w:after="0" w:line="204" w:lineRule="auto"/>
        <w:rPr>
          <w:sz w:val="20"/>
          <w:szCs w:val="20"/>
          <w:color w:val="auto"/>
        </w:rPr>
      </w:pPr>
      <w:r>
        <w:rPr>
          <w:rFonts w:ascii="Times New Roman" w:cs="Times New Roman" w:eastAsia="Times New Roman" w:hAnsi="Times New Roman"/>
          <w:sz w:val="22"/>
          <w:szCs w:val="22"/>
          <w:color w:val="auto"/>
        </w:rPr>
        <w:t>Name: Alane Barnes</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Chief Legal Officer</w:t>
      </w:r>
    </w:p>
    <w:p>
      <w:pPr>
        <w:sectPr>
          <w:pgSz w:w="11900" w:h="16838" w:orient="portrait"/>
          <w:cols w:equalWidth="0" w:num="1">
            <w:col w:w="10139"/>
          </w:cols>
          <w:pgMar w:left="320" w:top="1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i w:val="1"/>
          <w:iCs w:val="1"/>
          <w:color w:val="auto"/>
        </w:rPr>
        <w:t>[Signature Page to Amendment Number Two to Credit Agreement]</w:t>
      </w:r>
    </w:p>
    <w:p>
      <w:pPr>
        <w:sectPr>
          <w:pgSz w:w="11900" w:h="16838" w:orient="portrait"/>
          <w:cols w:equalWidth="0" w:num="1">
            <w:col w:w="10139"/>
          </w:cols>
          <w:pgMar w:left="320" w:top="1399" w:right="1440" w:bottom="1440" w:gutter="0" w:footer="0" w:header="0"/>
          <w:type w:val="continuous"/>
        </w:sectPr>
      </w:pPr>
    </w:p>
    <w:bookmarkStart w:id="92" w:name="page93"/>
    <w:bookmarkEnd w:id="92"/>
    <w:p>
      <w:pPr>
        <w:ind w:left="2120"/>
        <w:spacing w:after="0"/>
        <w:rPr>
          <w:sz w:val="20"/>
          <w:szCs w:val="20"/>
          <w:color w:val="auto"/>
        </w:rPr>
      </w:pPr>
      <w:r>
        <w:rPr>
          <w:rFonts w:ascii="Times New Roman" w:cs="Times New Roman" w:eastAsia="Times New Roman" w:hAnsi="Times New Roman"/>
          <w:sz w:val="22"/>
          <w:szCs w:val="22"/>
          <w:color w:val="auto"/>
        </w:rPr>
        <w:t>BioCryst España, S.L.</w:t>
      </w:r>
    </w:p>
    <w:p>
      <w:pPr>
        <w:ind w:left="2120"/>
        <w:spacing w:after="0"/>
        <w:rPr>
          <w:sz w:val="20"/>
          <w:szCs w:val="20"/>
          <w:color w:val="auto"/>
        </w:rPr>
      </w:pPr>
      <w:r>
        <w:rPr>
          <w:rFonts w:ascii="Times New Roman" w:cs="Times New Roman" w:eastAsia="Times New Roman" w:hAnsi="Times New Roman"/>
          <w:sz w:val="22"/>
          <w:szCs w:val="22"/>
          <w:color w:val="auto"/>
        </w:rPr>
        <w:t>by: SG Corporate Support, S.L., its sole director</w:t>
      </w:r>
    </w:p>
    <w:p>
      <w:pPr>
        <w:spacing w:after="0" w:line="35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 /s/ Leonardo Jose Britto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-5715</wp:posOffset>
            </wp:positionV>
            <wp:extent cx="14516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ind w:left="2120"/>
        <w:spacing w:after="0" w:line="204" w:lineRule="auto"/>
        <w:rPr>
          <w:sz w:val="20"/>
          <w:szCs w:val="20"/>
          <w:color w:val="auto"/>
        </w:rPr>
      </w:pPr>
      <w:r>
        <w:rPr>
          <w:rFonts w:ascii="Times New Roman" w:cs="Times New Roman" w:eastAsia="Times New Roman" w:hAnsi="Times New Roman"/>
          <w:sz w:val="22"/>
          <w:szCs w:val="22"/>
          <w:color w:val="auto"/>
        </w:rPr>
        <w:t>Name: Leonardo Jose Britto</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 Individual Representative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BioCryst Italia, S.r.l.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 /s/ Michele Bignami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-5715</wp:posOffset>
            </wp:positionV>
            <wp:extent cx="12573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ind w:left="2120"/>
        <w:spacing w:after="0" w:line="204" w:lineRule="auto"/>
        <w:rPr>
          <w:sz w:val="20"/>
          <w:szCs w:val="20"/>
          <w:color w:val="auto"/>
        </w:rPr>
      </w:pPr>
      <w:r>
        <w:rPr>
          <w:rFonts w:ascii="Times New Roman" w:cs="Times New Roman" w:eastAsia="Times New Roman" w:hAnsi="Times New Roman"/>
          <w:sz w:val="22"/>
          <w:szCs w:val="22"/>
          <w:color w:val="auto"/>
        </w:rPr>
        <w:t>Name: Michele Bignami</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Amendment Number Two to Credit Agreement]</w:t>
      </w:r>
    </w:p>
    <w:p>
      <w:pPr>
        <w:sectPr>
          <w:pgSz w:w="11900" w:h="16838" w:orient="portrait"/>
          <w:cols w:equalWidth="0" w:num="1">
            <w:col w:w="9019"/>
          </w:cols>
          <w:pgMar w:left="1440" w:top="1382" w:right="1440" w:bottom="1440" w:gutter="0" w:footer="0" w:header="0"/>
        </w:sectPr>
      </w:pPr>
    </w:p>
    <w:bookmarkStart w:id="93" w:name="page94"/>
    <w:bookmarkEnd w:id="93"/>
    <w:p>
      <w:pPr>
        <w:spacing w:after="0"/>
        <w:tabs>
          <w:tab w:leader="none" w:pos="2860" w:val="left"/>
        </w:tabs>
        <w:rPr>
          <w:sz w:val="20"/>
          <w:szCs w:val="20"/>
          <w:color w:val="auto"/>
        </w:rPr>
      </w:pPr>
      <w:r>
        <w:rPr>
          <w:rFonts w:ascii="Times New Roman" w:cs="Times New Roman" w:eastAsia="Times New Roman" w:hAnsi="Times New Roman"/>
          <w:sz w:val="22"/>
          <w:szCs w:val="22"/>
          <w:color w:val="auto"/>
        </w:rPr>
        <w:t>ADMINISTRATIVE AGENT:</w:t>
      </w:r>
      <w:r>
        <w:rPr>
          <w:sz w:val="20"/>
          <w:szCs w:val="20"/>
          <w:color w:val="auto"/>
        </w:rPr>
        <w:tab/>
      </w:r>
      <w:r>
        <w:rPr>
          <w:rFonts w:ascii="Times New Roman" w:cs="Times New Roman" w:eastAsia="Times New Roman" w:hAnsi="Times New Roman"/>
          <w:sz w:val="21"/>
          <w:szCs w:val="21"/>
          <w:color w:val="auto"/>
        </w:rPr>
        <w:t>ATHYRIUM OPPORTUNITIES III CO-INVEST 1 LP, as Administrative Agent</w:t>
      </w:r>
    </w:p>
    <w:p>
      <w:pPr>
        <w:spacing w:after="0" w:line="200" w:lineRule="exact"/>
        <w:rPr>
          <w:sz w:val="20"/>
          <w:szCs w:val="20"/>
          <w:color w:val="auto"/>
        </w:rPr>
      </w:pP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auto"/>
        </w:rPr>
        <w:t>By: ATHYRIUM OPPORTUNITIES ASSOCIATES CO-INVEST LLC, its General Partner</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 /s/ Rashida Adams</w:t>
      </w:r>
    </w:p>
    <w:p>
      <w:pPr>
        <w:ind w:left="3240"/>
        <w:spacing w:after="0" w:line="211" w:lineRule="auto"/>
        <w:rPr>
          <w:sz w:val="20"/>
          <w:szCs w:val="20"/>
          <w:color w:val="auto"/>
        </w:rPr>
      </w:pPr>
      <w:r>
        <w:rPr>
          <w:rFonts w:ascii="Times New Roman" w:cs="Times New Roman" w:eastAsia="Times New Roman" w:hAnsi="Times New Roman"/>
          <w:sz w:val="20"/>
          <w:szCs w:val="20"/>
          <w:color w:val="auto"/>
        </w:rPr>
        <w:t>Name: Rashida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-127000</wp:posOffset>
            </wp:positionV>
            <wp:extent cx="14446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ind w:left="32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LENDER:</w:t>
      </w:r>
      <w:r>
        <w:rPr>
          <w:sz w:val="20"/>
          <w:szCs w:val="20"/>
          <w:color w:val="auto"/>
        </w:rPr>
        <w:tab/>
      </w:r>
      <w:r>
        <w:rPr>
          <w:rFonts w:ascii="Times New Roman" w:cs="Times New Roman" w:eastAsia="Times New Roman" w:hAnsi="Times New Roman"/>
          <w:sz w:val="22"/>
          <w:szCs w:val="22"/>
          <w:color w:val="auto"/>
        </w:rPr>
        <w:t>ATHYRIUM OPPORTUNITIES III CO-INVEST 1 LP</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By: ATHYRIUM OPPORTUNITIES ASSOCIATES CO-INVEST LLC, its General Partner</w:t>
      </w:r>
    </w:p>
    <w:p>
      <w:pPr>
        <w:spacing w:after="0" w:line="19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 /s/ Rashida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-7620</wp:posOffset>
            </wp:positionV>
            <wp:extent cx="14446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ind w:left="3240"/>
        <w:spacing w:after="0" w:line="211" w:lineRule="auto"/>
        <w:rPr>
          <w:sz w:val="20"/>
          <w:szCs w:val="20"/>
          <w:color w:val="auto"/>
        </w:rPr>
      </w:pPr>
      <w:r>
        <w:rPr>
          <w:rFonts w:ascii="Times New Roman" w:cs="Times New Roman" w:eastAsia="Times New Roman" w:hAnsi="Times New Roman"/>
          <w:sz w:val="20"/>
          <w:szCs w:val="20"/>
          <w:color w:val="auto"/>
        </w:rPr>
        <w:t>Name: Rashida Adams</w:t>
      </w:r>
    </w:p>
    <w:p>
      <w:pPr>
        <w:ind w:left="32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i w:val="1"/>
          <w:iCs w:val="1"/>
          <w:color w:val="auto"/>
        </w:rPr>
        <w:t>[Signature Page to Amendment Number Two to Credit Agreement]</w:t>
      </w:r>
    </w:p>
    <w:p>
      <w:pPr>
        <w:sectPr>
          <w:pgSz w:w="11900" w:h="16838" w:orient="portrait"/>
          <w:cols w:equalWidth="0" w:num="1">
            <w:col w:w="10520"/>
          </w:cols>
          <w:pgMar w:left="320" w:top="1395" w:right="105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 AMENDED AND RESTATED EMPLOYMENT AGREEMENT</w:t>
      </w:r>
    </w:p>
    <w:p>
      <w:pPr>
        <w:spacing w:after="0" w:line="210" w:lineRule="exact"/>
        <w:rPr>
          <w:sz w:val="20"/>
          <w:szCs w:val="20"/>
          <w:color w:val="auto"/>
        </w:rPr>
      </w:pPr>
    </w:p>
    <w:p>
      <w:pPr>
        <w:jc w:val="both"/>
        <w:ind w:right="20" w:firstLine="648"/>
        <w:spacing w:after="0" w:line="289" w:lineRule="auto"/>
        <w:rPr>
          <w:sz w:val="20"/>
          <w:szCs w:val="20"/>
          <w:color w:val="auto"/>
        </w:rPr>
      </w:pPr>
      <w:r>
        <w:rPr>
          <w:rFonts w:ascii="Times New Roman" w:cs="Times New Roman" w:eastAsia="Times New Roman" w:hAnsi="Times New Roman"/>
          <w:sz w:val="22"/>
          <w:szCs w:val="22"/>
          <w:color w:val="auto"/>
        </w:rPr>
        <w:t>This First Amendment to Amended and Restated Employment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this 15th day of September 2022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entered into by and between BioCryst Pharmaceuticals,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Dr. William Sheridan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0" w:lineRule="exact"/>
        <w:rPr>
          <w:sz w:val="20"/>
          <w:szCs w:val="20"/>
          <w:color w:val="auto"/>
        </w:rPr>
      </w:pPr>
    </w:p>
    <w:p>
      <w:pPr>
        <w:jc w:val="both"/>
        <w:ind w:firstLine="310"/>
        <w:spacing w:after="0" w:line="300"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Employee are parties to that Amended and Restated Employment Agreement, dated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August 4, 2021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and</w:t>
      </w:r>
    </w:p>
    <w:p>
      <w:pPr>
        <w:spacing w:after="0" w:line="110" w:lineRule="exact"/>
        <w:rPr>
          <w:sz w:val="20"/>
          <w:szCs w:val="20"/>
          <w:color w:val="auto"/>
        </w:rPr>
      </w:pPr>
    </w:p>
    <w:p>
      <w:pPr>
        <w:jc w:val="both"/>
        <w:ind w:firstLine="256"/>
        <w:spacing w:after="0" w:line="313"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parties wish to amend the terms of the Employment Agreement, as set forth herein, effective as of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w:t>
      </w:r>
    </w:p>
    <w:p>
      <w:pPr>
        <w:spacing w:after="0" w:line="96" w:lineRule="exact"/>
        <w:rPr>
          <w:sz w:val="20"/>
          <w:szCs w:val="20"/>
          <w:color w:val="auto"/>
        </w:rPr>
      </w:pPr>
    </w:p>
    <w:p>
      <w:pPr>
        <w:jc w:val="both"/>
        <w:ind w:firstLine="1296"/>
        <w:spacing w:after="0" w:line="300"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the parties agree as follows:</w:t>
      </w:r>
    </w:p>
    <w:p>
      <w:pPr>
        <w:spacing w:after="0" w:line="195" w:lineRule="exact"/>
        <w:rPr>
          <w:sz w:val="20"/>
          <w:szCs w:val="20"/>
          <w:color w:val="auto"/>
        </w:rPr>
      </w:pPr>
    </w:p>
    <w:p>
      <w:pPr>
        <w:ind w:firstLine="8"/>
        <w:spacing w:after="0" w:line="296" w:lineRule="auto"/>
        <w:tabs>
          <w:tab w:leader="none" w:pos="37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1(a)</w:t>
      </w:r>
      <w:r>
        <w:rPr>
          <w:rFonts w:ascii="Times New Roman" w:cs="Times New Roman" w:eastAsia="Times New Roman" w:hAnsi="Times New Roman"/>
          <w:sz w:val="22"/>
          <w:szCs w:val="22"/>
          <w:color w:val="auto"/>
        </w:rPr>
        <w:t>. Section 1(a) is hereby amended by replacing the reference to “Chief Medical Officer” with “Chief Development Officer”.</w:t>
      </w:r>
    </w:p>
    <w:p>
      <w:pPr>
        <w:spacing w:after="0" w:line="185" w:lineRule="exact"/>
        <w:rPr>
          <w:rFonts w:ascii="Times New Roman" w:cs="Times New Roman" w:eastAsia="Times New Roman" w:hAnsi="Times New Roman"/>
          <w:sz w:val="22"/>
          <w:szCs w:val="22"/>
          <w:color w:val="auto"/>
        </w:rPr>
      </w:pPr>
    </w:p>
    <w:p>
      <w:pPr>
        <w:jc w:val="both"/>
        <w:ind w:firstLine="8"/>
        <w:spacing w:after="0" w:line="289" w:lineRule="auto"/>
        <w:tabs>
          <w:tab w:leader="none" w:pos="41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Continuation of Employment Agreement</w:t>
      </w:r>
      <w:r>
        <w:rPr>
          <w:rFonts w:ascii="Times New Roman" w:cs="Times New Roman" w:eastAsia="Times New Roman" w:hAnsi="Times New Roman"/>
          <w:sz w:val="22"/>
          <w:szCs w:val="22"/>
          <w:color w:val="auto"/>
        </w:rPr>
        <w:t>. Except as otherwise expressly provided herein, all of the terms and provisions of the Employment Agreement shall remain in full force and effect and this Employment Amendment shall not amend or modify any other rights, powers, duties, or obligations of any party to the Employment Agreement.</w:t>
      </w:r>
    </w:p>
    <w:p>
      <w:pPr>
        <w:spacing w:after="0" w:line="166" w:lineRule="exact"/>
        <w:rPr>
          <w:rFonts w:ascii="Times New Roman" w:cs="Times New Roman" w:eastAsia="Times New Roman" w:hAnsi="Times New Roman"/>
          <w:sz w:val="22"/>
          <w:szCs w:val="22"/>
          <w:color w:val="auto"/>
        </w:rPr>
      </w:pPr>
    </w:p>
    <w:p>
      <w:pPr>
        <w:jc w:val="both"/>
        <w:ind w:firstLine="8"/>
        <w:spacing w:after="0" w:line="282" w:lineRule="auto"/>
        <w:tabs>
          <w:tab w:leader="none" w:pos="43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Complete Agreement</w:t>
      </w:r>
      <w:r>
        <w:rPr>
          <w:rFonts w:ascii="Times New Roman" w:cs="Times New Roman" w:eastAsia="Times New Roman" w:hAnsi="Times New Roman"/>
          <w:sz w:val="22"/>
          <w:szCs w:val="22"/>
          <w:color w:val="auto"/>
        </w:rPr>
        <w:t>. This Amendment and the Employment Agreement contain the entire agreement between the parties hereto with respect to the matters contained herein and supersedes and replaces any prior agreement between the parties with respect to the matters set forth in this Amendment.</w:t>
      </w:r>
    </w:p>
    <w:p>
      <w:pPr>
        <w:spacing w:after="0" w:line="188" w:lineRule="exact"/>
        <w:rPr>
          <w:rFonts w:ascii="Times New Roman" w:cs="Times New Roman" w:eastAsia="Times New Roman" w:hAnsi="Times New Roman"/>
          <w:sz w:val="22"/>
          <w:szCs w:val="22"/>
          <w:color w:val="auto"/>
        </w:rPr>
      </w:pPr>
    </w:p>
    <w:p>
      <w:pPr>
        <w:jc w:val="both"/>
        <w:ind w:firstLine="8"/>
        <w:spacing w:after="0" w:line="282" w:lineRule="auto"/>
        <w:tabs>
          <w:tab w:leader="none" w:pos="55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and any such counterparts may be transmitted by electronic transmission, and each of such counterparts, whether an original or an electronic or ".pdf" of an original, shall be deemed to be an original and all of such counterparts together shall constitute a single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executed this Amendment, on the date first set forth above.</w:t>
      </w:r>
    </w:p>
    <w:p>
      <w:pPr>
        <w:sectPr>
          <w:pgSz w:w="11900" w:h="16838" w:orient="portrait"/>
          <w:cols w:equalWidth="0" w:num="1">
            <w:col w:w="11240"/>
          </w:cols>
          <w:pgMar w:left="320" w:top="104" w:right="339" w:bottom="1440" w:gutter="0" w:footer="0" w:header="0"/>
        </w:sectPr>
      </w:pPr>
    </w:p>
    <w:bookmarkStart w:id="95" w:name="page96"/>
    <w:bookmarkEnd w:id="95"/>
    <w:p>
      <w:pPr>
        <w:spacing w:after="0" w:line="5"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21"/>
          <w:szCs w:val="21"/>
          <w:b w:val="1"/>
          <w:bCs w:val="1"/>
          <w:color w:val="auto"/>
        </w:rPr>
        <w:t>EMPLOYEE</w:t>
      </w:r>
      <w:r>
        <w:rPr>
          <w:sz w:val="20"/>
          <w:szCs w:val="20"/>
          <w:color w:val="auto"/>
        </w:rPr>
        <w:tab/>
      </w:r>
      <w:r>
        <w:rPr>
          <w:rFonts w:ascii="Times New Roman" w:cs="Times New Roman" w:eastAsia="Times New Roman" w:hAnsi="Times New Roman"/>
          <w:sz w:val="21"/>
          <w:szCs w:val="21"/>
          <w:b w:val="1"/>
          <w:bCs w:val="1"/>
          <w:color w:val="auto"/>
        </w:rPr>
        <w:t>BIOCRYST PHARMACEUTICALS, INC.</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4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William Sheridan</w:t>
            </w:r>
            <w:r>
              <w:rPr>
                <w:rFonts w:ascii="Times New Roman" w:cs="Times New Roman" w:eastAsia="Times New Roman" w:hAnsi="Times New Roman"/>
                <w:sz w:val="22"/>
                <w:szCs w:val="22"/>
                <w:b w:val="1"/>
                <w:bCs w:val="1"/>
                <w:color w:val="auto"/>
              </w:rPr>
              <w:t>____________</w:t>
            </w:r>
          </w:p>
        </w:tc>
        <w:tc>
          <w:tcPr>
            <w:tcW w:w="3740" w:type="dxa"/>
            <w:vAlign w:val="bottom"/>
            <w:gridSpan w:val="3"/>
          </w:tcPr>
          <w:p>
            <w:pPr>
              <w:ind w:left="1000"/>
              <w:spacing w:after="0"/>
              <w:rPr>
                <w:sz w:val="20"/>
                <w:szCs w:val="20"/>
                <w:color w:val="auto"/>
              </w:rPr>
            </w:pPr>
            <w:r>
              <w:rPr>
                <w:rFonts w:ascii="Times New Roman" w:cs="Times New Roman" w:eastAsia="Times New Roman" w:hAnsi="Times New Roman"/>
                <w:sz w:val="22"/>
                <w:szCs w:val="22"/>
                <w:color w:val="auto"/>
              </w:rPr>
              <w:t>By:  /s/ Jon Stonehouse</w:t>
            </w:r>
          </w:p>
        </w:tc>
      </w:tr>
      <w:tr>
        <w:trPr>
          <w:trHeight w:val="20"/>
        </w:trPr>
        <w:tc>
          <w:tcPr>
            <w:tcW w:w="17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83"/>
        </w:trPr>
        <w:tc>
          <w:tcPr>
            <w:tcW w:w="4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William Sheridan, MB BS</w:t>
            </w:r>
          </w:p>
        </w:tc>
        <w:tc>
          <w:tcPr>
            <w:tcW w:w="1520" w:type="dxa"/>
            <w:vAlign w:val="bottom"/>
          </w:tcPr>
          <w:p>
            <w:pPr>
              <w:spacing w:after="0"/>
              <w:rPr>
                <w:sz w:val="24"/>
                <w:szCs w:val="24"/>
                <w:color w:val="auto"/>
              </w:rPr>
            </w:pP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Jon Stonehouse</w:t>
            </w:r>
          </w:p>
        </w:tc>
      </w:tr>
      <w:tr>
        <w:trPr>
          <w:trHeight w:val="338"/>
        </w:trPr>
        <w:tc>
          <w:tcPr>
            <w:tcW w:w="17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Chief Executive Officer</w:t>
            </w:r>
          </w:p>
        </w:tc>
      </w:tr>
    </w:tbl>
    <w:p>
      <w:pPr>
        <w:sectPr>
          <w:pgSz w:w="11900" w:h="16838" w:orient="portrait"/>
          <w:cols w:equalWidth="0" w:num="1">
            <w:col w:w="10119"/>
          </w:cols>
          <w:pgMar w:left="340" w:top="1440" w:right="1440" w:bottom="1440" w:gutter="0" w:footer="0" w:header="0"/>
          <w:type w:val="continuous"/>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P. Stonehouse, certify that:</w:t>
      </w:r>
    </w:p>
    <w:p>
      <w:pPr>
        <w:spacing w:after="0" w:line="185" w:lineRule="exact"/>
        <w:rPr>
          <w:sz w:val="20"/>
          <w:szCs w:val="20"/>
          <w:color w:val="auto"/>
        </w:rPr>
      </w:pPr>
    </w:p>
    <w:p>
      <w:pPr>
        <w:ind w:left="1460" w:hanging="318"/>
        <w:spacing w:after="0"/>
        <w:tabs>
          <w:tab w:leader="none" w:pos="1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BioCryst Pharmaceuticals, Inc.;</w:t>
      </w:r>
    </w:p>
    <w:p>
      <w:pPr>
        <w:spacing w:after="0" w:line="198" w:lineRule="exact"/>
        <w:rPr>
          <w:rFonts w:ascii="Times New Roman" w:cs="Times New Roman" w:eastAsia="Times New Roman" w:hAnsi="Times New Roman"/>
          <w:sz w:val="18"/>
          <w:szCs w:val="18"/>
          <w:color w:val="auto"/>
        </w:rPr>
      </w:pPr>
    </w:p>
    <w:p>
      <w:pPr>
        <w:ind w:left="1460" w:hanging="318"/>
        <w:spacing w:after="0" w:line="266" w:lineRule="auto"/>
        <w:tabs>
          <w:tab w:leader="none" w:pos="1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460" w:right="60" w:hanging="318"/>
        <w:spacing w:after="0" w:line="312" w:lineRule="auto"/>
        <w:tabs>
          <w:tab w:leader="none" w:pos="14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460" w:right="80" w:hanging="318"/>
        <w:spacing w:after="0" w:line="266" w:lineRule="auto"/>
        <w:tabs>
          <w:tab w:leader="none" w:pos="1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800" w:right="60" w:hanging="334"/>
        <w:spacing w:after="0" w:line="266" w:lineRule="auto"/>
        <w:tabs>
          <w:tab w:leader="none" w:pos="179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800" w:right="420" w:hanging="334"/>
        <w:spacing w:after="0" w:line="266" w:lineRule="auto"/>
        <w:tabs>
          <w:tab w:leader="none" w:pos="18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800" w:right="60" w:hanging="334"/>
        <w:spacing w:after="0" w:line="266" w:lineRule="auto"/>
        <w:tabs>
          <w:tab w:leader="none" w:pos="179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800" w:right="160" w:hanging="334"/>
        <w:spacing w:after="0" w:line="266" w:lineRule="auto"/>
        <w:tabs>
          <w:tab w:leader="none" w:pos="18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460" w:right="200" w:hanging="318"/>
        <w:spacing w:after="0" w:line="266" w:lineRule="auto"/>
        <w:tabs>
          <w:tab w:leader="none" w:pos="1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800" w:right="20" w:hanging="334"/>
        <w:spacing w:after="0" w:line="282" w:lineRule="auto"/>
        <w:tabs>
          <w:tab w:leader="none" w:pos="179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800" w:right="300" w:hanging="334"/>
        <w:spacing w:after="0" w:line="282" w:lineRule="auto"/>
        <w:tabs>
          <w:tab w:leader="none" w:pos="18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 P. Stonehouse</w:t>
            </w:r>
          </w:p>
        </w:tc>
      </w:tr>
      <w:tr>
        <w:trPr>
          <w:trHeight w:val="218"/>
        </w:trPr>
        <w:tc>
          <w:tcPr>
            <w:tcW w:w="600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 P. Stonehouse</w:t>
            </w:r>
          </w:p>
        </w:tc>
      </w:tr>
      <w:tr>
        <w:trPr>
          <w:trHeight w:val="234"/>
        </w:trPr>
        <w:tc>
          <w:tcPr>
            <w:tcW w:w="60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03"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Doyle, certify that:</w:t>
      </w:r>
    </w:p>
    <w:p>
      <w:pPr>
        <w:spacing w:after="0" w:line="185" w:lineRule="exact"/>
        <w:rPr>
          <w:sz w:val="20"/>
          <w:szCs w:val="20"/>
          <w:color w:val="auto"/>
        </w:rPr>
      </w:pPr>
    </w:p>
    <w:p>
      <w:pPr>
        <w:ind w:left="1460" w:hanging="318"/>
        <w:spacing w:after="0"/>
        <w:tabs>
          <w:tab w:leader="none" w:pos="1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BioCryst Pharmaceuticals, Inc.;</w:t>
      </w:r>
    </w:p>
    <w:p>
      <w:pPr>
        <w:spacing w:after="0" w:line="198" w:lineRule="exact"/>
        <w:rPr>
          <w:rFonts w:ascii="Times New Roman" w:cs="Times New Roman" w:eastAsia="Times New Roman" w:hAnsi="Times New Roman"/>
          <w:sz w:val="18"/>
          <w:szCs w:val="18"/>
          <w:color w:val="auto"/>
        </w:rPr>
      </w:pPr>
    </w:p>
    <w:p>
      <w:pPr>
        <w:ind w:left="1460" w:hanging="318"/>
        <w:spacing w:after="0" w:line="266" w:lineRule="auto"/>
        <w:tabs>
          <w:tab w:leader="none" w:pos="1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460" w:right="60" w:hanging="318"/>
        <w:spacing w:after="0" w:line="312" w:lineRule="auto"/>
        <w:tabs>
          <w:tab w:leader="none" w:pos="14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460" w:right="80" w:hanging="318"/>
        <w:spacing w:after="0" w:line="266" w:lineRule="auto"/>
        <w:tabs>
          <w:tab w:leader="none" w:pos="1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800" w:right="60" w:hanging="334"/>
        <w:spacing w:after="0" w:line="266" w:lineRule="auto"/>
        <w:tabs>
          <w:tab w:leader="none" w:pos="17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800" w:right="420" w:hanging="334"/>
        <w:spacing w:after="0" w:line="266" w:lineRule="auto"/>
        <w:tabs>
          <w:tab w:leader="none" w:pos="18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800" w:right="60" w:hanging="334"/>
        <w:spacing w:after="0" w:line="266" w:lineRule="auto"/>
        <w:tabs>
          <w:tab w:leader="none" w:pos="17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800" w:right="160" w:hanging="334"/>
        <w:spacing w:after="0" w:line="266" w:lineRule="auto"/>
        <w:tabs>
          <w:tab w:leader="none" w:pos="18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460" w:right="200" w:hanging="318"/>
        <w:spacing w:after="0" w:line="266" w:lineRule="auto"/>
        <w:tabs>
          <w:tab w:leader="none" w:pos="1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800" w:right="20" w:hanging="334"/>
        <w:spacing w:after="0" w:line="282" w:lineRule="auto"/>
        <w:tabs>
          <w:tab w:leader="none" w:pos="17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800" w:right="300" w:hanging="334"/>
        <w:spacing w:after="0" w:line="282" w:lineRule="auto"/>
        <w:tabs>
          <w:tab w:leader="none" w:pos="18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Anthony Doyle</w:t>
            </w:r>
          </w:p>
        </w:tc>
      </w:tr>
      <w:tr>
        <w:trPr>
          <w:trHeight w:val="218"/>
        </w:trPr>
        <w:tc>
          <w:tcPr>
            <w:tcW w:w="600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Doyle</w:t>
            </w:r>
          </w:p>
        </w:tc>
      </w:tr>
      <w:tr>
        <w:trPr>
          <w:trHeight w:val="234"/>
        </w:trPr>
        <w:tc>
          <w:tcPr>
            <w:tcW w:w="60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03"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BioCryst Pharmaceuticals, Inc. (the “Company”) on Form 10-Q for the period ended September 30, 2022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spacing w:after="0" w:line="135"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Jon P. Stonehouse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4, 2022</w:t>
      </w:r>
    </w:p>
    <w:p>
      <w:pPr>
        <w:sectPr>
          <w:pgSz w:w="11900" w:h="16838" w:orient="portrait"/>
          <w:cols w:equalWidth="0" w:num="1">
            <w:col w:w="11240"/>
          </w:cols>
          <w:pgMar w:left="320" w:top="1103"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BioCryst Pharmaceuticals, Inc. (the “Company”) on Form 10-Q for the period ended September 30, 2022 as filed with the Securities and Exchange Commission on the date hereof (the “Report”), I, Anthony Doyle, Chief Financial Officer of the Company, certify, pursuant to 18 U.S.C. § 1350, as adopted pursuant to § 906 of the Sarbanes-Oxley Act of 2002, that, to the best of my knowledge:</w:t>
      </w:r>
    </w:p>
    <w:p>
      <w:pPr>
        <w:spacing w:after="0" w:line="135" w:lineRule="exact"/>
        <w:rPr>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Anthony Doyle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4, 2022</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101"/>
    </w:lvl>
  </w:abstractNum>
  <w:abstractNum w:abstractNumId="28">
    <w:nsid w:val="77465F01"/>
    <w:multiLevelType w:val="hybridMultilevel"/>
    <w:lvl w:ilvl="0">
      <w:lvlJc w:val="left"/>
      <w:lvlText w:val="(%1)"/>
      <w:numFmt w:val="decimal"/>
      <w:start w:val="104"/>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1"/>
    </w:lvl>
    <w:lvl w:ilvl="1">
      <w:lvlJc w:val="left"/>
      <w:lvlText w:val="(%2)"/>
      <w:numFmt w:val="lowerLetter"/>
      <w:start w:val="1"/>
    </w:lvl>
  </w:abstractNum>
  <w:abstractNum w:abstractNumId="31">
    <w:nsid w:val="2463B9EA"/>
    <w:multiLevelType w:val="hybridMultilevel"/>
    <w:lvl w:ilvl="0">
      <w:lvlJc w:val="left"/>
      <w:lvlText w:val="%1."/>
      <w:numFmt w:val="decimal"/>
      <w:start w:val="3"/>
    </w:lvl>
    <w:lvl w:ilvl="1">
      <w:lvlJc w:val="left"/>
      <w:lvlText w:val="(%2)"/>
      <w:numFmt w:val="lowerLetter"/>
      <w:start w:val="1"/>
    </w:lvl>
  </w:abstractNum>
  <w:abstractNum w:abstractNumId="32">
    <w:nsid w:val="5E884ADC"/>
    <w:multiLevelType w:val="hybridMultilevel"/>
    <w:lvl w:ilvl="0">
      <w:lvlJc w:val="left"/>
      <w:lvlText w:val="%1."/>
      <w:numFmt w:val="decimal"/>
      <w:start w:val="5"/>
    </w:lvl>
  </w:abstractNum>
  <w:abstractNum w:abstractNumId="33">
    <w:nsid w:val="51EAD36B"/>
    <w:multiLevelType w:val="hybridMultilevel"/>
    <w:lvl w:ilvl="0">
      <w:lvlJc w:val="left"/>
      <w:lvlText w:val="%1."/>
      <w:numFmt w:val="decimal"/>
      <w:start w:val="10"/>
    </w:lvl>
  </w:abstractNum>
  <w:abstractNum w:abstractNumId="34">
    <w:nsid w:val="2D517796"/>
    <w:multiLevelType w:val="hybridMultilevel"/>
    <w:lvl w:ilvl="0">
      <w:lvlJc w:val="left"/>
      <w:lvlText w:val="%1."/>
      <w:numFmt w:val="decimal"/>
      <w:start w:val="1"/>
    </w:lvl>
    <w:lvl w:ilvl="1">
      <w:lvlJc w:val="left"/>
      <w:lvlText w:val="(%2)"/>
      <w:numFmt w:val="lowerLetter"/>
      <w:start w:val="1"/>
    </w:lvl>
  </w:abstractNum>
  <w:abstractNum w:abstractNumId="35">
    <w:nsid w:val="580BD78F"/>
    <w:multiLevelType w:val="hybridMultilevel"/>
    <w:lvl w:ilvl="0">
      <w:lvlJc w:val="left"/>
      <w:lvlText w:val="(%1)"/>
      <w:numFmt w:val="lowerLetter"/>
      <w:start w:val="3"/>
    </w:lvl>
  </w:abstractNum>
  <w:abstractNum w:abstractNumId="36">
    <w:nsid w:val="153EA438"/>
    <w:multiLevelType w:val="hybridMultilevel"/>
    <w:lvl w:ilvl="0">
      <w:lvlJc w:val="left"/>
      <w:lvlText w:val="(%1)"/>
      <w:numFmt w:val="lowerLetter"/>
      <w:start w:val="4"/>
    </w:lvl>
  </w:abstractNum>
  <w:abstractNum w:abstractNumId="37">
    <w:nsid w:val="3855585C"/>
    <w:multiLevelType w:val="hybridMultilevel"/>
    <w:lvl w:ilvl="0">
      <w:lvlJc w:val="left"/>
      <w:lvlText w:val="%1."/>
      <w:numFmt w:val="decimal"/>
      <w:start w:val="3"/>
    </w:lvl>
    <w:lvl w:ilvl="1">
      <w:lvlJc w:val="left"/>
      <w:lvlText w:val="(%2)"/>
      <w:numFmt w:val="lowerLetter"/>
      <w:start w:val="1"/>
    </w:lvl>
  </w:abstractNum>
  <w:abstractNum w:abstractNumId="38">
    <w:nsid w:val="70A64E2A"/>
    <w:multiLevelType w:val="hybridMultilevel"/>
    <w:lvl w:ilvl="0">
      <w:lvlJc w:val="left"/>
      <w:lvlText w:val="%1."/>
      <w:numFmt w:val="decimal"/>
      <w:start w:val="4"/>
    </w:lvl>
    <w:lvl w:ilvl="1">
      <w:lvlJc w:val="left"/>
      <w:lvlText w:val="(%2)"/>
      <w:numFmt w:val="lowerLetter"/>
      <w:start w:val="1"/>
    </w:lvl>
  </w:abstractNum>
  <w:abstractNum w:abstractNumId="39">
    <w:nsid w:val="6A2342EC"/>
    <w:multiLevelType w:val="hybridMultilevel"/>
    <w:lvl w:ilvl="0">
      <w:lvlJc w:val="left"/>
      <w:lvlText w:val="%1."/>
      <w:numFmt w:val="decimal"/>
      <w:start w:val="8"/>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91" Type="http://schemas.openxmlformats.org/officeDocument/2006/relationships/hyperlink" Target="http://www.sec.gov/Archives/edgar/data/882796/000103570406000836/d42297exv3w1.htm" TargetMode="External"/><Relationship Id="rId92" Type="http://schemas.openxmlformats.org/officeDocument/2006/relationships/hyperlink" Target="http://www.sec.gov/Archives/edgar/data/882796/000136231007001386/c70813exv3w1.htm" TargetMode="External"/><Relationship Id="rId93" Type="http://schemas.openxmlformats.org/officeDocument/2006/relationships/hyperlink" Target="http://www.sec.gov/Archives/edgar/data/882796/000119312514186707/d722313dex31.htm" TargetMode="External"/><Relationship Id="rId94" Type="http://schemas.openxmlformats.org/officeDocument/2006/relationships/hyperlink" Target="http://www.sec.gov/Archives/edgar/data/882796/000117184320003680/exh_31.htm" TargetMode="External"/><Relationship Id="rId95" Type="http://schemas.openxmlformats.org/officeDocument/2006/relationships/hyperlink" Target="http://www.sec.gov/Archives/edgar/data/882796/000117184320003680/exh_32.htm" TargetMode="External"/><Relationship Id="rId96" Type="http://schemas.openxmlformats.org/officeDocument/2006/relationships/hyperlink" Target="http://www.sec.gov/Archives/edgar/data/882796/000136231008006580/c76716exv3w2.htm" TargetMode="External"/><Relationship Id="rId97" Type="http://schemas.openxmlformats.org/officeDocument/2006/relationships/hyperlink" Target="http://www.sec.gov/Archives/edgar/data/882796/000110465918003194/a18-3548_1ex3d1.htm#Exhibit3_1_084143" TargetMode="External"/><Relationship Id="rId98" Type="http://schemas.openxmlformats.org/officeDocument/2006/relationships/hyperlink" Target="https://www.sec.gov/Archives/edgar/data/882796/000117184322005818/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2022-11-04T15:56:12Z</dcterms:created>
  <dcterms:modified xsi:type="dcterms:W3CDTF">2022-11-04T15:56:12Z</dcterms:modified>
</cp:coreProperties>
</file>