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Alane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463,203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400,703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Emp.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5.04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12/20/2018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12/20/2027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August 13, 2025 in accordance with Rule 10b5-1 of the Securities Exchange Act of 1934, as amended. The transaction occurred automatically and does not represent a discretionary transaction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grant became exercisable at the rate of 25% on each of the first, second, third, and fourth anniversaries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4348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3551</Characters>
  <CharactersWithSpaces>4137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