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bcrx20211231_10k.htm"/>
      <w:bookmarkStart w:id="1" w:name="ksbcrx20211231_10k"/>
      <w:bookmarkEnd w:id="0"/>
      <w:bookmarkEnd w:id="1"/>
      <w:r>
        <w:rPr/>
        <w:t xml:space="preserve">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 w:hAnsi="Times New Roman"/>
          <w:b/>
          <w:caps w:val="false"/>
          <w:smallCaps w:val="false"/>
          <w:sz w:val="20"/>
        </w:rPr>
        <w:t>ANNUAL REPORT 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fiscal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r>
        <w:rPr>
          <w:rFonts w:ascii="Times New Roman" w:hAnsi="Times New Roman"/>
          <w:b/>
          <w:caps w:val="false"/>
          <w:smallCaps w:val="false"/>
          <w:sz w:val="20"/>
        </w:rPr>
        <w:t>TRANSITION REPORT 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transition period from _____ to _____</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000-23186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BIOCRYST PHARMACEUTICALS,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4210" w:type="dxa"/>
        <w:jc w:val="left"/>
        <w:tblInd w:w="0" w:type="dxa"/>
        <w:tblCellMar>
          <w:top w:w="0" w:type="dxa"/>
          <w:left w:w="0" w:type="dxa"/>
          <w:bottom w:w="0" w:type="dxa"/>
          <w:right w:w="0" w:type="dxa"/>
        </w:tblCellMar>
      </w:tblPr>
      <w:tblGrid>
        <w:gridCol w:w="2690"/>
        <w:gridCol w:w="1520"/>
      </w:tblGrid>
      <w:tr>
        <w:trPr/>
        <w:tc>
          <w:tcPr>
            <w:tcW w:w="269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 or organization)</w:t>
            </w:r>
          </w:p>
        </w:tc>
        <w:tc>
          <w:tcPr>
            <w:tcW w:w="152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62-1413174</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4505 Emperor Blvd., Suite 200, Durham, North Carolina 27703</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(919) 859-1302</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950" w:type="dxa"/>
        <w:jc w:val="left"/>
        <w:tblInd w:w="0" w:type="dxa"/>
        <w:tblCellMar>
          <w:top w:w="0" w:type="dxa"/>
          <w:left w:w="0" w:type="dxa"/>
          <w:bottom w:w="28" w:type="dxa"/>
          <w:right w:w="0" w:type="dxa"/>
        </w:tblCellMar>
      </w:tblPr>
      <w:tblGrid>
        <w:gridCol w:w="2720"/>
        <w:gridCol w:w="60"/>
        <w:gridCol w:w="1535"/>
        <w:gridCol w:w="60"/>
        <w:gridCol w:w="3575"/>
      </w:tblGrid>
      <w:tr>
        <w:trPr/>
        <w:tc>
          <w:tcPr>
            <w:tcW w:w="272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15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60" w:type="dxa"/>
            <w:tcBorders/>
            <w:shd w:fill="auto" w:val="clear"/>
            <w:tcMar>
              <w:bottom w:w="0" w:type="dxa"/>
            </w:tcMar>
            <w:vAlign w:val="center"/>
          </w:tcPr>
          <w:p>
            <w:pPr>
              <w:pStyle w:val="TableContents"/>
              <w:spacing w:before="0" w:after="283"/>
              <w:rPr/>
            </w:pPr>
            <w:r>
              <w:rPr/>
              <w:t> </w:t>
            </w:r>
          </w:p>
        </w:tc>
        <w:tc>
          <w:tcPr>
            <w:tcW w:w="357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720" w:type="dxa"/>
            <w:tcBorders/>
            <w:shd w:fill="auto" w:val="clear"/>
            <w:tcMar>
              <w:bottom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w:t>
            </w:r>
          </w:p>
        </w:tc>
        <w:tc>
          <w:tcPr>
            <w:tcW w:w="60" w:type="dxa"/>
            <w:tcBorders/>
            <w:shd w:fill="auto" w:val="clear"/>
            <w:tcMar>
              <w:bottom w:w="0" w:type="dxa"/>
            </w:tcMar>
            <w:vAlign w:val="center"/>
          </w:tcPr>
          <w:p>
            <w:pPr>
              <w:pStyle w:val="TableContents"/>
              <w:spacing w:before="0" w:after="283"/>
              <w:rPr/>
            </w:pPr>
            <w:r>
              <w:rPr/>
              <w:t> </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BCRX</w:t>
            </w:r>
          </w:p>
        </w:tc>
        <w:tc>
          <w:tcPr>
            <w:tcW w:w="60" w:type="dxa"/>
            <w:tcBorders/>
            <w:shd w:fill="auto" w:val="clear"/>
            <w:tcMar>
              <w:bottom w:w="0" w:type="dxa"/>
            </w:tcMar>
            <w:vAlign w:val="center"/>
          </w:tcPr>
          <w:p>
            <w:pPr>
              <w:pStyle w:val="TableContents"/>
              <w:spacing w:before="0" w:after="283"/>
              <w:rPr/>
            </w:pPr>
            <w:r>
              <w:rPr/>
              <w:t> </w:t>
            </w:r>
          </w:p>
        </w:tc>
        <w:tc>
          <w:tcPr>
            <w:tcW w:w="3575" w:type="dxa"/>
            <w:tcBorders/>
            <w:shd w:fill="auto" w:val="clear"/>
            <w:tcMar>
              <w:bottom w:w="0"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Global Select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15(d)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505" w:type="dxa"/>
        <w:jc w:val="left"/>
        <w:tblInd w:w="0" w:type="dxa"/>
        <w:tblCellMar>
          <w:top w:w="0" w:type="dxa"/>
          <w:left w:w="0" w:type="dxa"/>
          <w:bottom w:w="0" w:type="dxa"/>
          <w:right w:w="0" w:type="dxa"/>
        </w:tblCellMar>
      </w:tblPr>
      <w:tblGrid>
        <w:gridCol w:w="1820"/>
        <w:gridCol w:w="230"/>
        <w:gridCol w:w="2225"/>
        <w:gridCol w:w="230"/>
      </w:tblGrid>
      <w:tr>
        <w:trPr/>
        <w:tc>
          <w:tcPr>
            <w:tcW w:w="18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8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2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8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registrant estimates that the aggregate market value of the Common Stock on June 30, 2021 (based upon the closing price shown on the Nasdaq Global Select Market on June 30, 2021) held by non-affiliates was $2,800,557,076.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number of shares of Common Stock, par value $0.01, of the registrant outstanding as of January 31, 2022 was 184,661,799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pPr>
      <w:r>
        <w:rPr/>
        <w:t xml:space="preserve">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Portions of the registrant’s definitive proxy statement to be filed in connection with the solicitation of proxies for its 2022 annual meeting of stockholders are incorporated by reference into Items 10, 11, 12, 13, and 14 under Part III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pPr>
      <w:r>
        <w:rPr/>
        <w:t xml:space="preserve">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537"/>
        <w:gridCol w:w="668"/>
      </w:tblGrid>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Page No.</w:t>
            </w:r>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0" w:right="0" w:hanging="0"/>
              <w:rPr/>
            </w:pPr>
            <w:hyperlink w:anchor="cautionary">
              <w:r>
                <w:rPr>
                  <w:rStyle w:val="InternetLink"/>
                  <w:rFonts w:ascii="Times New Roman" w:hAnsi="Times New Roman"/>
                  <w:caps w:val="false"/>
                  <w:smallCaps w:val="false"/>
                  <w:sz w:val="20"/>
                </w:rPr>
                <w:t>Cautionary Note Regarding Forward-Looking Statements</w:t>
              </w:r>
            </w:hyperlink>
          </w:p>
        </w:tc>
        <w:tc>
          <w:tcPr>
            <w:tcW w:w="668" w:type="dxa"/>
            <w:tcBorders/>
            <w:shd w:fill="auto" w:val="clear"/>
            <w:vAlign w:val="center"/>
          </w:tcPr>
          <w:p>
            <w:pPr>
              <w:pStyle w:val="TableContents"/>
              <w:spacing w:before="0" w:after="283"/>
              <w:rPr/>
            </w:pPr>
            <w:hyperlink w:anchor="cautionary">
              <w:r>
                <w:rPr>
                  <w:rStyle w:val="InternetLink"/>
                </w:rPr>
                <w:t>1</w:t>
              </w:r>
            </w:hyperlink>
          </w:p>
        </w:tc>
      </w:tr>
      <w:tr>
        <w:trPr/>
        <w:tc>
          <w:tcPr>
            <w:tcW w:w="9537" w:type="dxa"/>
            <w:tcBorders/>
            <w:shd w:fill="auto" w:val="clear"/>
            <w:vAlign w:val="center"/>
          </w:tcPr>
          <w:p>
            <w:pPr>
              <w:pStyle w:val="TableContents"/>
              <w:spacing w:before="0" w:after="283"/>
              <w:rPr/>
            </w:pPr>
            <w:hyperlink w:anchor="risk">
              <w:r>
                <w:rPr>
                  <w:rStyle w:val="InternetLink"/>
                </w:rPr>
                <w:t>Risk Factor Summary</w:t>
              </w:r>
            </w:hyperlink>
          </w:p>
        </w:tc>
        <w:tc>
          <w:tcPr>
            <w:tcW w:w="668" w:type="dxa"/>
            <w:tcBorders/>
            <w:shd w:fill="auto" w:val="clear"/>
            <w:vAlign w:val="center"/>
          </w:tcPr>
          <w:p>
            <w:pPr>
              <w:pStyle w:val="TableContents"/>
              <w:spacing w:before="0" w:after="283"/>
              <w:rPr/>
            </w:pPr>
            <w:hyperlink w:anchor="risk">
              <w:r>
                <w:rPr>
                  <w:rStyle w:val="InternetLink"/>
                </w:rPr>
                <w:t>2</w:t>
              </w:r>
            </w:hyperlink>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PART I</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0" w:right="0" w:hanging="0"/>
              <w:rPr/>
            </w:pPr>
            <w:hyperlink w:anchor="i1">
              <w:r>
                <w:rPr>
                  <w:rStyle w:val="InternetLink"/>
                  <w:rFonts w:ascii="Times New Roman" w:hAnsi="Times New Roman"/>
                  <w:caps w:val="false"/>
                  <w:smallCaps w:val="false"/>
                  <w:sz w:val="20"/>
                </w:rPr>
                <w:t>ITEM 1. BUSINESS</w:t>
              </w:r>
            </w:hyperlink>
          </w:p>
        </w:tc>
        <w:tc>
          <w:tcPr>
            <w:tcW w:w="668" w:type="dxa"/>
            <w:tcBorders/>
            <w:shd w:fill="auto" w:val="clear"/>
            <w:vAlign w:val="center"/>
          </w:tcPr>
          <w:p>
            <w:pPr>
              <w:pStyle w:val="TableContents"/>
              <w:spacing w:before="0" w:after="283"/>
              <w:rPr/>
            </w:pPr>
            <w:hyperlink w:anchor="i1">
              <w:r>
                <w:rPr>
                  <w:rStyle w:val="InternetLink"/>
                </w:rPr>
                <w:t>4</w:t>
              </w:r>
            </w:hyperlink>
          </w:p>
        </w:tc>
      </w:tr>
      <w:tr>
        <w:trPr/>
        <w:tc>
          <w:tcPr>
            <w:tcW w:w="9537" w:type="dxa"/>
            <w:tcBorders/>
            <w:shd w:fill="auto" w:val="clear"/>
            <w:vAlign w:val="center"/>
          </w:tcPr>
          <w:p>
            <w:pPr>
              <w:pStyle w:val="TableContents"/>
              <w:spacing w:before="0" w:after="0"/>
              <w:ind w:left="0" w:right="0" w:hanging="0"/>
              <w:rPr/>
            </w:pPr>
            <w:hyperlink w:anchor="i1a">
              <w:r>
                <w:rPr>
                  <w:rStyle w:val="InternetLink"/>
                  <w:rFonts w:ascii="Times New Roman" w:hAnsi="Times New Roman"/>
                  <w:caps w:val="false"/>
                  <w:smallCaps w:val="false"/>
                  <w:sz w:val="20"/>
                </w:rPr>
                <w:t>ITEM 1A. RISK FACTORS</w:t>
              </w:r>
            </w:hyperlink>
          </w:p>
        </w:tc>
        <w:tc>
          <w:tcPr>
            <w:tcW w:w="668" w:type="dxa"/>
            <w:tcBorders/>
            <w:shd w:fill="auto" w:val="clear"/>
            <w:vAlign w:val="center"/>
          </w:tcPr>
          <w:p>
            <w:pPr>
              <w:pStyle w:val="TableContents"/>
              <w:spacing w:before="0" w:after="283"/>
              <w:rPr/>
            </w:pPr>
            <w:hyperlink w:anchor="i1a">
              <w:r>
                <w:rPr>
                  <w:rStyle w:val="InternetLink"/>
                </w:rPr>
                <w:t>20</w:t>
              </w:r>
            </w:hyperlink>
          </w:p>
        </w:tc>
      </w:tr>
      <w:tr>
        <w:trPr/>
        <w:tc>
          <w:tcPr>
            <w:tcW w:w="9537" w:type="dxa"/>
            <w:tcBorders/>
            <w:shd w:fill="auto" w:val="clear"/>
            <w:vAlign w:val="center"/>
          </w:tcPr>
          <w:p>
            <w:pPr>
              <w:pStyle w:val="TableContents"/>
              <w:spacing w:before="0" w:after="0"/>
              <w:ind w:left="0" w:right="0" w:hanging="0"/>
              <w:rPr/>
            </w:pPr>
            <w:hyperlink w:anchor="i1b">
              <w:r>
                <w:rPr>
                  <w:rStyle w:val="InternetLink"/>
                  <w:rFonts w:ascii="Times New Roman" w:hAnsi="Times New Roman"/>
                  <w:caps w:val="false"/>
                  <w:smallCaps w:val="false"/>
                  <w:sz w:val="20"/>
                </w:rPr>
                <w:t>ITEM 1B. UNRESOLVED STAFF COMMENTS</w:t>
              </w:r>
            </w:hyperlink>
          </w:p>
        </w:tc>
        <w:tc>
          <w:tcPr>
            <w:tcW w:w="668" w:type="dxa"/>
            <w:tcBorders/>
            <w:shd w:fill="auto" w:val="clear"/>
            <w:vAlign w:val="center"/>
          </w:tcPr>
          <w:p>
            <w:pPr>
              <w:pStyle w:val="TableContents"/>
              <w:spacing w:before="0" w:after="283"/>
              <w:rPr/>
            </w:pPr>
            <w:hyperlink w:anchor="i1b">
              <w:r>
                <w:rPr>
                  <w:rStyle w:val="InternetLink"/>
                </w:rPr>
                <w:t>42</w:t>
              </w:r>
            </w:hyperlink>
          </w:p>
        </w:tc>
      </w:tr>
      <w:tr>
        <w:trPr/>
        <w:tc>
          <w:tcPr>
            <w:tcW w:w="9537" w:type="dxa"/>
            <w:tcBorders/>
            <w:shd w:fill="auto" w:val="clear"/>
            <w:vAlign w:val="center"/>
          </w:tcPr>
          <w:p>
            <w:pPr>
              <w:pStyle w:val="TableContents"/>
              <w:spacing w:before="0" w:after="0"/>
              <w:ind w:left="0" w:right="0" w:hanging="0"/>
              <w:rPr/>
            </w:pPr>
            <w:hyperlink w:anchor="i2">
              <w:r>
                <w:rPr>
                  <w:rStyle w:val="InternetLink"/>
                  <w:rFonts w:ascii="Times New Roman" w:hAnsi="Times New Roman"/>
                  <w:caps w:val="false"/>
                  <w:smallCaps w:val="false"/>
                  <w:sz w:val="20"/>
                </w:rPr>
                <w:t>ITEM 2. PROPERTIES</w:t>
              </w:r>
            </w:hyperlink>
          </w:p>
        </w:tc>
        <w:tc>
          <w:tcPr>
            <w:tcW w:w="668" w:type="dxa"/>
            <w:tcBorders/>
            <w:shd w:fill="auto" w:val="clear"/>
            <w:vAlign w:val="center"/>
          </w:tcPr>
          <w:p>
            <w:pPr>
              <w:pStyle w:val="TableContents"/>
              <w:spacing w:before="0" w:after="283"/>
              <w:rPr/>
            </w:pPr>
            <w:hyperlink w:anchor="i2">
              <w:r>
                <w:rPr>
                  <w:rStyle w:val="InternetLink"/>
                </w:rPr>
                <w:t>42</w:t>
              </w:r>
            </w:hyperlink>
          </w:p>
        </w:tc>
      </w:tr>
      <w:tr>
        <w:trPr/>
        <w:tc>
          <w:tcPr>
            <w:tcW w:w="9537" w:type="dxa"/>
            <w:tcBorders/>
            <w:shd w:fill="auto" w:val="clear"/>
            <w:vAlign w:val="center"/>
          </w:tcPr>
          <w:p>
            <w:pPr>
              <w:pStyle w:val="TableContents"/>
              <w:spacing w:before="0" w:after="0"/>
              <w:ind w:left="0" w:right="0" w:hanging="0"/>
              <w:rPr/>
            </w:pPr>
            <w:hyperlink w:anchor="i3">
              <w:r>
                <w:rPr>
                  <w:rStyle w:val="InternetLink"/>
                  <w:rFonts w:ascii="Times New Roman" w:hAnsi="Times New Roman"/>
                  <w:caps w:val="false"/>
                  <w:smallCaps w:val="false"/>
                  <w:sz w:val="20"/>
                </w:rPr>
                <w:t>ITEM 3. LEGAL PROCEEDINGS</w:t>
              </w:r>
            </w:hyperlink>
          </w:p>
        </w:tc>
        <w:tc>
          <w:tcPr>
            <w:tcW w:w="668" w:type="dxa"/>
            <w:tcBorders/>
            <w:shd w:fill="auto" w:val="clear"/>
            <w:vAlign w:val="center"/>
          </w:tcPr>
          <w:p>
            <w:pPr>
              <w:pStyle w:val="TableContents"/>
              <w:spacing w:before="0" w:after="283"/>
              <w:rPr/>
            </w:pPr>
            <w:hyperlink w:anchor="i3">
              <w:r>
                <w:rPr>
                  <w:rStyle w:val="InternetLink"/>
                </w:rPr>
                <w:t>43</w:t>
              </w:r>
            </w:hyperlink>
          </w:p>
        </w:tc>
      </w:tr>
      <w:tr>
        <w:trPr/>
        <w:tc>
          <w:tcPr>
            <w:tcW w:w="9537" w:type="dxa"/>
            <w:tcBorders/>
            <w:shd w:fill="auto" w:val="clear"/>
            <w:vAlign w:val="center"/>
          </w:tcPr>
          <w:p>
            <w:pPr>
              <w:pStyle w:val="TableContents"/>
              <w:spacing w:before="0" w:after="0"/>
              <w:ind w:left="0" w:right="0" w:hanging="0"/>
              <w:rPr/>
            </w:pPr>
            <w:hyperlink w:anchor="i4">
              <w:r>
                <w:rPr>
                  <w:rStyle w:val="InternetLink"/>
                  <w:rFonts w:ascii="Times New Roman" w:hAnsi="Times New Roman"/>
                  <w:caps w:val="false"/>
                  <w:smallCaps w:val="false"/>
                  <w:sz w:val="20"/>
                </w:rPr>
                <w:t>ITEM 4. MINE SAFETY DISCLOSURES</w:t>
              </w:r>
            </w:hyperlink>
          </w:p>
        </w:tc>
        <w:tc>
          <w:tcPr>
            <w:tcW w:w="668" w:type="dxa"/>
            <w:tcBorders/>
            <w:shd w:fill="auto" w:val="clear"/>
            <w:vAlign w:val="center"/>
          </w:tcPr>
          <w:p>
            <w:pPr>
              <w:pStyle w:val="TableContents"/>
              <w:spacing w:before="0" w:after="283"/>
              <w:rPr/>
            </w:pPr>
            <w:hyperlink w:anchor="i4">
              <w:r>
                <w:rPr>
                  <w:rStyle w:val="InternetLink"/>
                </w:rPr>
                <w:t>43</w:t>
              </w:r>
            </w:hyperlink>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PART II</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980" w:right="0" w:hanging="980"/>
              <w:rPr/>
            </w:pPr>
            <w:hyperlink w:anchor="i5">
              <w:r>
                <w:rPr>
                  <w:rStyle w:val="InternetLink"/>
                  <w:rFonts w:ascii="Times New Roman" w:hAnsi="Times New Roman"/>
                  <w:caps w:val="false"/>
                  <w:smallCaps w:val="false"/>
                  <w:sz w:val="20"/>
                </w:rPr>
                <w:t>ITEM 5. MARKET FOR REGISTRANT’S COMMON EQUITY, RELATED STOCKHOLDER MATTERS, AND ISSUER PURCHASES OF EQUITY SECURITIES</w:t>
              </w:r>
            </w:hyperlink>
          </w:p>
        </w:tc>
        <w:tc>
          <w:tcPr>
            <w:tcW w:w="668" w:type="dxa"/>
            <w:tcBorders/>
            <w:shd w:fill="auto" w:val="clear"/>
            <w:vAlign w:val="center"/>
          </w:tcPr>
          <w:p>
            <w:pPr>
              <w:pStyle w:val="TableContents"/>
              <w:spacing w:before="0" w:after="283"/>
              <w:rPr/>
            </w:pPr>
            <w:hyperlink w:anchor="i5">
              <w:r>
                <w:rPr>
                  <w:rStyle w:val="InternetLink"/>
                </w:rPr>
                <w:t>43</w:t>
              </w:r>
            </w:hyperlink>
          </w:p>
        </w:tc>
      </w:tr>
      <w:tr>
        <w:trPr/>
        <w:tc>
          <w:tcPr>
            <w:tcW w:w="9537" w:type="dxa"/>
            <w:tcBorders/>
            <w:shd w:fill="auto" w:val="clear"/>
            <w:vAlign w:val="center"/>
          </w:tcPr>
          <w:p>
            <w:pPr>
              <w:pStyle w:val="TableContents"/>
              <w:spacing w:before="0" w:after="0"/>
              <w:ind w:left="0" w:right="0" w:hanging="0"/>
              <w:rPr/>
            </w:pPr>
            <w:hyperlink w:anchor="i6">
              <w:r>
                <w:rPr>
                  <w:rStyle w:val="InternetLink"/>
                  <w:rFonts w:ascii="Times New Roman" w:hAnsi="Times New Roman"/>
                  <w:caps w:val="false"/>
                  <w:smallCaps w:val="false"/>
                  <w:sz w:val="20"/>
                </w:rPr>
                <w:t>ITEM 6. RESERVED</w:t>
              </w:r>
            </w:hyperlink>
          </w:p>
        </w:tc>
        <w:tc>
          <w:tcPr>
            <w:tcW w:w="668" w:type="dxa"/>
            <w:tcBorders/>
            <w:shd w:fill="auto" w:val="clear"/>
            <w:vAlign w:val="center"/>
          </w:tcPr>
          <w:p>
            <w:pPr>
              <w:pStyle w:val="TableContents"/>
              <w:spacing w:before="0" w:after="283"/>
              <w:rPr/>
            </w:pPr>
            <w:hyperlink w:anchor="i6">
              <w:r>
                <w:rPr>
                  <w:rStyle w:val="InternetLink"/>
                </w:rPr>
                <w:t>44</w:t>
              </w:r>
            </w:hyperlink>
          </w:p>
        </w:tc>
      </w:tr>
      <w:tr>
        <w:trPr/>
        <w:tc>
          <w:tcPr>
            <w:tcW w:w="9537" w:type="dxa"/>
            <w:tcBorders/>
            <w:shd w:fill="auto" w:val="clear"/>
            <w:vAlign w:val="center"/>
          </w:tcPr>
          <w:p>
            <w:pPr>
              <w:pStyle w:val="TableContents"/>
              <w:spacing w:before="0" w:after="0"/>
              <w:ind w:left="980" w:right="0" w:hanging="980"/>
              <w:rPr/>
            </w:pPr>
            <w:hyperlink w:anchor="i7">
              <w:r>
                <w:rPr>
                  <w:rStyle w:val="InternetLink"/>
                  <w:rFonts w:ascii="Times New Roman" w:hAnsi="Times New Roman"/>
                  <w:caps w:val="false"/>
                  <w:smallCaps w:val="false"/>
                  <w:sz w:val="20"/>
                </w:rPr>
                <w:t>ITEM 7. MANAGEMENT’S DISCUSSION AND ANALYSIS OF FINANCIAL CONDITION AND RESULTS OF OPERATIONS</w:t>
              </w:r>
            </w:hyperlink>
          </w:p>
        </w:tc>
        <w:tc>
          <w:tcPr>
            <w:tcW w:w="668" w:type="dxa"/>
            <w:tcBorders/>
            <w:shd w:fill="auto" w:val="clear"/>
            <w:vAlign w:val="center"/>
          </w:tcPr>
          <w:p>
            <w:pPr>
              <w:pStyle w:val="TableContents"/>
              <w:spacing w:before="0" w:after="283"/>
              <w:rPr/>
            </w:pPr>
            <w:hyperlink w:anchor="i7">
              <w:r>
                <w:rPr>
                  <w:rStyle w:val="InternetLink"/>
                </w:rPr>
                <w:t>44</w:t>
              </w:r>
            </w:hyperlink>
          </w:p>
        </w:tc>
      </w:tr>
      <w:tr>
        <w:trPr/>
        <w:tc>
          <w:tcPr>
            <w:tcW w:w="9537" w:type="dxa"/>
            <w:tcBorders/>
            <w:shd w:fill="auto" w:val="clear"/>
            <w:vAlign w:val="center"/>
          </w:tcPr>
          <w:p>
            <w:pPr>
              <w:pStyle w:val="TableContents"/>
              <w:spacing w:before="0" w:after="0"/>
              <w:ind w:left="0" w:right="0" w:hanging="0"/>
              <w:rPr/>
            </w:pPr>
            <w:hyperlink w:anchor="i7a">
              <w:r>
                <w:rPr>
                  <w:rStyle w:val="InternetLink"/>
                  <w:rFonts w:ascii="Times New Roman" w:hAnsi="Times New Roman"/>
                  <w:caps w:val="false"/>
                  <w:smallCaps w:val="false"/>
                  <w:sz w:val="20"/>
                </w:rPr>
                <w:t>ITEM 7A. QUANTITATIVE AND QUALITATIVE DISCLOSURES ABOUT MARKET RISK</w:t>
              </w:r>
            </w:hyperlink>
          </w:p>
        </w:tc>
        <w:tc>
          <w:tcPr>
            <w:tcW w:w="668" w:type="dxa"/>
            <w:tcBorders/>
            <w:shd w:fill="auto" w:val="clear"/>
            <w:vAlign w:val="center"/>
          </w:tcPr>
          <w:p>
            <w:pPr>
              <w:pStyle w:val="TableContents"/>
              <w:spacing w:before="0" w:after="283"/>
              <w:rPr/>
            </w:pPr>
            <w:hyperlink w:anchor="i7a">
              <w:r>
                <w:rPr>
                  <w:rStyle w:val="InternetLink"/>
                </w:rPr>
                <w:t>55</w:t>
              </w:r>
            </w:hyperlink>
          </w:p>
        </w:tc>
      </w:tr>
      <w:tr>
        <w:trPr/>
        <w:tc>
          <w:tcPr>
            <w:tcW w:w="9537" w:type="dxa"/>
            <w:tcBorders/>
            <w:shd w:fill="auto" w:val="clear"/>
            <w:vAlign w:val="center"/>
          </w:tcPr>
          <w:p>
            <w:pPr>
              <w:pStyle w:val="TableContents"/>
              <w:spacing w:before="0" w:after="0"/>
              <w:ind w:left="0" w:right="0" w:hanging="0"/>
              <w:rPr/>
            </w:pPr>
            <w:hyperlink w:anchor="i8">
              <w:r>
                <w:rPr>
                  <w:rStyle w:val="InternetLink"/>
                  <w:rFonts w:ascii="Times New Roman" w:hAnsi="Times New Roman"/>
                  <w:caps w:val="false"/>
                  <w:smallCaps w:val="false"/>
                  <w:sz w:val="20"/>
                </w:rPr>
                <w:t>ITEM 8. FINANCIAL STATEMENTS AND SUPPLEMENTARY DATA</w:t>
              </w:r>
            </w:hyperlink>
          </w:p>
        </w:tc>
        <w:tc>
          <w:tcPr>
            <w:tcW w:w="668" w:type="dxa"/>
            <w:tcBorders/>
            <w:shd w:fill="auto" w:val="clear"/>
            <w:vAlign w:val="center"/>
          </w:tcPr>
          <w:p>
            <w:pPr>
              <w:pStyle w:val="TableContents"/>
              <w:spacing w:before="0" w:after="283"/>
              <w:rPr/>
            </w:pPr>
            <w:hyperlink w:anchor="i8">
              <w:r>
                <w:rPr>
                  <w:rStyle w:val="InternetLink"/>
                </w:rPr>
                <w:t>56</w:t>
              </w:r>
            </w:hyperlink>
          </w:p>
        </w:tc>
      </w:tr>
      <w:tr>
        <w:trPr/>
        <w:tc>
          <w:tcPr>
            <w:tcW w:w="9537" w:type="dxa"/>
            <w:tcBorders/>
            <w:shd w:fill="auto" w:val="clear"/>
            <w:vAlign w:val="center"/>
          </w:tcPr>
          <w:p>
            <w:pPr>
              <w:pStyle w:val="TableContents"/>
              <w:spacing w:before="0" w:after="0"/>
              <w:ind w:left="980" w:right="0" w:hanging="980"/>
              <w:rPr/>
            </w:pPr>
            <w:hyperlink w:anchor="i9">
              <w:r>
                <w:rPr>
                  <w:rStyle w:val="InternetLink"/>
                  <w:rFonts w:ascii="Times New Roman" w:hAnsi="Times New Roman"/>
                  <w:caps w:val="false"/>
                  <w:smallCaps w:val="false"/>
                  <w:sz w:val="20"/>
                </w:rPr>
                <w:t>ITEM 9. CHANGES IN AND DISAGREEMENTS WITH ACCOUNTANTS ON ACCOUNTING AND FINANCIAL DISCLOSURE</w:t>
              </w:r>
            </w:hyperlink>
          </w:p>
        </w:tc>
        <w:tc>
          <w:tcPr>
            <w:tcW w:w="668" w:type="dxa"/>
            <w:tcBorders/>
            <w:shd w:fill="auto" w:val="clear"/>
            <w:vAlign w:val="center"/>
          </w:tcPr>
          <w:p>
            <w:pPr>
              <w:pStyle w:val="TableContents"/>
              <w:spacing w:before="0" w:after="283"/>
              <w:rPr/>
            </w:pPr>
            <w:hyperlink w:anchor="i9">
              <w:r>
                <w:rPr>
                  <w:rStyle w:val="InternetLink"/>
                </w:rPr>
                <w:t>87</w:t>
              </w:r>
            </w:hyperlink>
          </w:p>
        </w:tc>
      </w:tr>
      <w:tr>
        <w:trPr/>
        <w:tc>
          <w:tcPr>
            <w:tcW w:w="9537" w:type="dxa"/>
            <w:tcBorders/>
            <w:shd w:fill="auto" w:val="clear"/>
            <w:vAlign w:val="center"/>
          </w:tcPr>
          <w:p>
            <w:pPr>
              <w:pStyle w:val="TableContents"/>
              <w:spacing w:before="0" w:after="0"/>
              <w:ind w:left="0" w:right="0" w:hanging="0"/>
              <w:rPr/>
            </w:pPr>
            <w:hyperlink w:anchor="i9a">
              <w:r>
                <w:rPr>
                  <w:rStyle w:val="InternetLink"/>
                  <w:rFonts w:ascii="Times New Roman" w:hAnsi="Times New Roman"/>
                  <w:caps w:val="false"/>
                  <w:smallCaps w:val="false"/>
                  <w:sz w:val="20"/>
                </w:rPr>
                <w:t>ITEM 9A. CONTROLS AND PROCEDURES</w:t>
              </w:r>
            </w:hyperlink>
          </w:p>
        </w:tc>
        <w:tc>
          <w:tcPr>
            <w:tcW w:w="668" w:type="dxa"/>
            <w:tcBorders/>
            <w:shd w:fill="auto" w:val="clear"/>
            <w:vAlign w:val="center"/>
          </w:tcPr>
          <w:p>
            <w:pPr>
              <w:pStyle w:val="TableContents"/>
              <w:spacing w:before="0" w:after="283"/>
              <w:rPr/>
            </w:pPr>
            <w:hyperlink w:anchor="i9a">
              <w:r>
                <w:rPr>
                  <w:rStyle w:val="InternetLink"/>
                </w:rPr>
                <w:t>87</w:t>
              </w:r>
            </w:hyperlink>
          </w:p>
        </w:tc>
      </w:tr>
      <w:tr>
        <w:trPr/>
        <w:tc>
          <w:tcPr>
            <w:tcW w:w="9537" w:type="dxa"/>
            <w:tcBorders/>
            <w:shd w:fill="auto" w:val="clear"/>
            <w:vAlign w:val="center"/>
          </w:tcPr>
          <w:p>
            <w:pPr>
              <w:pStyle w:val="TableContents"/>
              <w:spacing w:before="0" w:after="0"/>
              <w:ind w:left="0" w:right="0" w:hanging="0"/>
              <w:rPr/>
            </w:pPr>
            <w:hyperlink w:anchor="i9b">
              <w:r>
                <w:rPr>
                  <w:rStyle w:val="InternetLink"/>
                  <w:rFonts w:ascii="Times New Roman" w:hAnsi="Times New Roman"/>
                  <w:caps w:val="false"/>
                  <w:smallCaps w:val="false"/>
                  <w:sz w:val="20"/>
                </w:rPr>
                <w:t>ITEM 9B. OTHER INFORMATION</w:t>
              </w:r>
            </w:hyperlink>
          </w:p>
        </w:tc>
        <w:tc>
          <w:tcPr>
            <w:tcW w:w="668" w:type="dxa"/>
            <w:tcBorders/>
            <w:shd w:fill="auto" w:val="clear"/>
            <w:vAlign w:val="center"/>
          </w:tcPr>
          <w:p>
            <w:pPr>
              <w:pStyle w:val="TableContents"/>
              <w:spacing w:before="0" w:after="283"/>
              <w:rPr/>
            </w:pPr>
            <w:hyperlink w:anchor="i9b">
              <w:r>
                <w:rPr>
                  <w:rStyle w:val="InternetLink"/>
                </w:rPr>
                <w:t>87</w:t>
              </w:r>
            </w:hyperlink>
          </w:p>
        </w:tc>
      </w:tr>
      <w:tr>
        <w:trPr/>
        <w:tc>
          <w:tcPr>
            <w:tcW w:w="9537" w:type="dxa"/>
            <w:tcBorders/>
            <w:shd w:fill="auto" w:val="clear"/>
            <w:vAlign w:val="center"/>
          </w:tcPr>
          <w:p>
            <w:pPr>
              <w:pStyle w:val="TableContents"/>
              <w:spacing w:before="0" w:after="283"/>
              <w:rPr/>
            </w:pPr>
            <w:hyperlink w:anchor="i9c">
              <w:r>
                <w:rPr>
                  <w:rStyle w:val="InternetLink"/>
                </w:rPr>
                <w:t>ITEM 9C. DISCLOSURE REGARDING FOREIGN JURISDICTIONS THAT PREVENT INSPECTIONS</w:t>
              </w:r>
            </w:hyperlink>
          </w:p>
        </w:tc>
        <w:tc>
          <w:tcPr>
            <w:tcW w:w="668" w:type="dxa"/>
            <w:tcBorders/>
            <w:shd w:fill="auto" w:val="clear"/>
            <w:vAlign w:val="center"/>
          </w:tcPr>
          <w:p>
            <w:pPr>
              <w:pStyle w:val="TableContents"/>
              <w:spacing w:before="0" w:after="283"/>
              <w:rPr/>
            </w:pPr>
            <w:hyperlink w:anchor="i9c">
              <w:r>
                <w:rPr>
                  <w:rStyle w:val="InternetLink"/>
                </w:rPr>
                <w:t>88</w:t>
              </w:r>
            </w:hyperlink>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PART III</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0" w:right="0" w:hanging="0"/>
              <w:rPr/>
            </w:pPr>
            <w:hyperlink w:anchor="i10">
              <w:r>
                <w:rPr>
                  <w:rStyle w:val="InternetLink"/>
                  <w:rFonts w:ascii="Times New Roman" w:hAnsi="Times New Roman"/>
                  <w:caps w:val="false"/>
                  <w:smallCaps w:val="false"/>
                  <w:sz w:val="20"/>
                </w:rPr>
                <w:t>ITEM 10. DIRECTORS, EXECUTIVE OFFICERS, AND CORPORATE GOVERNANCE</w:t>
              </w:r>
            </w:hyperlink>
          </w:p>
        </w:tc>
        <w:tc>
          <w:tcPr>
            <w:tcW w:w="668" w:type="dxa"/>
            <w:tcBorders/>
            <w:shd w:fill="auto" w:val="clear"/>
            <w:vAlign w:val="center"/>
          </w:tcPr>
          <w:p>
            <w:pPr>
              <w:pStyle w:val="TableContents"/>
              <w:spacing w:before="0" w:after="283"/>
              <w:rPr/>
            </w:pPr>
            <w:hyperlink w:anchor="i10">
              <w:r>
                <w:rPr>
                  <w:rStyle w:val="InternetLink"/>
                </w:rPr>
                <w:t>88</w:t>
              </w:r>
            </w:hyperlink>
          </w:p>
        </w:tc>
      </w:tr>
      <w:tr>
        <w:trPr/>
        <w:tc>
          <w:tcPr>
            <w:tcW w:w="9537" w:type="dxa"/>
            <w:tcBorders/>
            <w:shd w:fill="auto" w:val="clear"/>
            <w:vAlign w:val="center"/>
          </w:tcPr>
          <w:p>
            <w:pPr>
              <w:pStyle w:val="TableContents"/>
              <w:spacing w:before="0" w:after="0"/>
              <w:ind w:left="0" w:right="0" w:hanging="0"/>
              <w:rPr/>
            </w:pPr>
            <w:hyperlink w:anchor="i11">
              <w:r>
                <w:rPr>
                  <w:rStyle w:val="InternetLink"/>
                  <w:rFonts w:ascii="Times New Roman" w:hAnsi="Times New Roman"/>
                  <w:caps w:val="false"/>
                  <w:smallCaps w:val="false"/>
                  <w:sz w:val="20"/>
                </w:rPr>
                <w:t>ITEM 11. EXECUTIVE COMPENSATION</w:t>
              </w:r>
            </w:hyperlink>
          </w:p>
        </w:tc>
        <w:tc>
          <w:tcPr>
            <w:tcW w:w="668" w:type="dxa"/>
            <w:tcBorders/>
            <w:shd w:fill="auto" w:val="clear"/>
            <w:vAlign w:val="center"/>
          </w:tcPr>
          <w:p>
            <w:pPr>
              <w:pStyle w:val="TableContents"/>
              <w:spacing w:before="0" w:after="283"/>
              <w:rPr/>
            </w:pPr>
            <w:hyperlink w:anchor="i11">
              <w:r>
                <w:rPr>
                  <w:rStyle w:val="InternetLink"/>
                </w:rPr>
                <w:t>88</w:t>
              </w:r>
            </w:hyperlink>
          </w:p>
        </w:tc>
      </w:tr>
      <w:tr>
        <w:trPr/>
        <w:tc>
          <w:tcPr>
            <w:tcW w:w="9537" w:type="dxa"/>
            <w:tcBorders/>
            <w:shd w:fill="auto" w:val="clear"/>
            <w:vAlign w:val="center"/>
          </w:tcPr>
          <w:p>
            <w:pPr>
              <w:pStyle w:val="TableContents"/>
              <w:spacing w:before="0" w:after="0"/>
              <w:ind w:left="1060" w:right="0" w:hanging="1060"/>
              <w:rPr/>
            </w:pPr>
            <w:hyperlink w:anchor="i12">
              <w:r>
                <w:rPr>
                  <w:rStyle w:val="InternetLink"/>
                  <w:rFonts w:ascii="Times New Roman" w:hAnsi="Times New Roman"/>
                  <w:caps w:val="false"/>
                  <w:smallCaps w:val="false"/>
                  <w:sz w:val="20"/>
                </w:rPr>
                <w:t>ITEM 12. SECURITY OWNERSHIP OF CERTAIN BENEFICIAL OWNERS AND MANAGEMENT AND RELATED STOCKHOLDER MATTERS</w:t>
              </w:r>
            </w:hyperlink>
          </w:p>
        </w:tc>
        <w:tc>
          <w:tcPr>
            <w:tcW w:w="668" w:type="dxa"/>
            <w:tcBorders/>
            <w:shd w:fill="auto" w:val="clear"/>
            <w:vAlign w:val="center"/>
          </w:tcPr>
          <w:p>
            <w:pPr>
              <w:pStyle w:val="TableContents"/>
              <w:spacing w:before="0" w:after="283"/>
              <w:rPr/>
            </w:pPr>
            <w:hyperlink w:anchor="i12">
              <w:r>
                <w:rPr>
                  <w:rStyle w:val="InternetLink"/>
                </w:rPr>
                <w:t>88</w:t>
              </w:r>
            </w:hyperlink>
          </w:p>
        </w:tc>
      </w:tr>
      <w:tr>
        <w:trPr/>
        <w:tc>
          <w:tcPr>
            <w:tcW w:w="9537" w:type="dxa"/>
            <w:tcBorders/>
            <w:shd w:fill="auto" w:val="clear"/>
            <w:vAlign w:val="center"/>
          </w:tcPr>
          <w:p>
            <w:pPr>
              <w:pStyle w:val="TableContents"/>
              <w:spacing w:before="0" w:after="0"/>
              <w:ind w:left="1060" w:right="0" w:hanging="1060"/>
              <w:rPr/>
            </w:pPr>
            <w:hyperlink w:anchor="i13">
              <w:r>
                <w:rPr>
                  <w:rStyle w:val="InternetLink"/>
                  <w:rFonts w:ascii="Times New Roman" w:hAnsi="Times New Roman"/>
                  <w:caps w:val="false"/>
                  <w:smallCaps w:val="false"/>
                  <w:sz w:val="20"/>
                </w:rPr>
                <w:t>ITEM 13. CERTAIN RELATIONSHIPS AND RELATED TRANSACTIONS, AND DIRECTOR INDEPENDENCE</w:t>
              </w:r>
            </w:hyperlink>
          </w:p>
        </w:tc>
        <w:tc>
          <w:tcPr>
            <w:tcW w:w="668" w:type="dxa"/>
            <w:tcBorders/>
            <w:shd w:fill="auto" w:val="clear"/>
            <w:vAlign w:val="center"/>
          </w:tcPr>
          <w:p>
            <w:pPr>
              <w:pStyle w:val="TableContents"/>
              <w:spacing w:before="0" w:after="283"/>
              <w:rPr/>
            </w:pPr>
            <w:hyperlink w:anchor="i13">
              <w:r>
                <w:rPr>
                  <w:rStyle w:val="InternetLink"/>
                </w:rPr>
                <w:t>88</w:t>
              </w:r>
            </w:hyperlink>
          </w:p>
        </w:tc>
      </w:tr>
      <w:tr>
        <w:trPr/>
        <w:tc>
          <w:tcPr>
            <w:tcW w:w="9537" w:type="dxa"/>
            <w:tcBorders/>
            <w:shd w:fill="auto" w:val="clear"/>
            <w:vAlign w:val="center"/>
          </w:tcPr>
          <w:p>
            <w:pPr>
              <w:pStyle w:val="TableContents"/>
              <w:spacing w:before="0" w:after="0"/>
              <w:ind w:left="1060" w:right="0" w:hanging="1060"/>
              <w:rPr/>
            </w:pPr>
            <w:hyperlink w:anchor="i14">
              <w:r>
                <w:rPr>
                  <w:rStyle w:val="InternetLink"/>
                  <w:rFonts w:ascii="Times New Roman" w:hAnsi="Times New Roman"/>
                  <w:caps w:val="false"/>
                  <w:smallCaps w:val="false"/>
                  <w:sz w:val="20"/>
                </w:rPr>
                <w:t>ITEM 14. PRINCIPAL ACCOUNTANT FEES AND SERVICES</w:t>
              </w:r>
            </w:hyperlink>
          </w:p>
        </w:tc>
        <w:tc>
          <w:tcPr>
            <w:tcW w:w="668" w:type="dxa"/>
            <w:tcBorders/>
            <w:shd w:fill="auto" w:val="clear"/>
            <w:vAlign w:val="center"/>
          </w:tcPr>
          <w:p>
            <w:pPr>
              <w:pStyle w:val="TableContents"/>
              <w:spacing w:before="0" w:after="283"/>
              <w:rPr/>
            </w:pPr>
            <w:hyperlink w:anchor="i14">
              <w:r>
                <w:rPr>
                  <w:rStyle w:val="InternetLink"/>
                </w:rPr>
                <w:t>88</w:t>
              </w:r>
            </w:hyperlink>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1060" w:right="0" w:hanging="1060"/>
              <w:rPr>
                <w:rFonts w:ascii="Times New Roman" w:hAnsi="Times New Roman"/>
                <w:b/>
                <w:caps w:val="false"/>
                <w:smallCaps w:val="false"/>
                <w:sz w:val="20"/>
                <w:u w:val="single"/>
              </w:rPr>
            </w:pPr>
            <w:r>
              <w:rPr>
                <w:rFonts w:ascii="Times New Roman" w:hAnsi="Times New Roman"/>
                <w:b/>
                <w:caps w:val="false"/>
                <w:smallCaps w:val="false"/>
                <w:sz w:val="20"/>
                <w:u w:val="single"/>
              </w:rPr>
              <w:t>PART IV</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1060" w:right="0" w:hanging="1060"/>
              <w:rPr/>
            </w:pPr>
            <w:hyperlink w:anchor="i15">
              <w:r>
                <w:rPr>
                  <w:rStyle w:val="InternetLink"/>
                  <w:rFonts w:ascii="Times New Roman" w:hAnsi="Times New Roman"/>
                  <w:caps w:val="false"/>
                  <w:smallCaps w:val="false"/>
                  <w:sz w:val="20"/>
                </w:rPr>
                <w:t>ITEM 15. EXHIBIT AND FINANCIAL STATEMENT SCHEDULES</w:t>
              </w:r>
            </w:hyperlink>
          </w:p>
        </w:tc>
        <w:tc>
          <w:tcPr>
            <w:tcW w:w="668" w:type="dxa"/>
            <w:tcBorders/>
            <w:shd w:fill="auto" w:val="clear"/>
            <w:vAlign w:val="center"/>
          </w:tcPr>
          <w:p>
            <w:pPr>
              <w:pStyle w:val="TableContents"/>
              <w:spacing w:before="0" w:after="283"/>
              <w:rPr/>
            </w:pPr>
            <w:hyperlink w:anchor="i15">
              <w:r>
                <w:rPr>
                  <w:rStyle w:val="InternetLink"/>
                </w:rPr>
                <w:t>88</w:t>
              </w:r>
            </w:hyperlink>
          </w:p>
        </w:tc>
      </w:tr>
      <w:tr>
        <w:trPr/>
        <w:tc>
          <w:tcPr>
            <w:tcW w:w="9537" w:type="dxa"/>
            <w:tcBorders/>
            <w:shd w:fill="auto" w:val="clear"/>
            <w:vAlign w:val="center"/>
          </w:tcPr>
          <w:p>
            <w:pPr>
              <w:pStyle w:val="TableContents"/>
              <w:spacing w:before="0" w:after="0"/>
              <w:ind w:left="1060" w:right="0" w:hanging="1060"/>
              <w:rPr/>
            </w:pPr>
            <w:hyperlink w:anchor="i16">
              <w:r>
                <w:rPr>
                  <w:rStyle w:val="InternetLink"/>
                  <w:rFonts w:ascii="Times New Roman" w:hAnsi="Times New Roman"/>
                  <w:caps w:val="false"/>
                  <w:smallCaps w:val="false"/>
                  <w:sz w:val="20"/>
                </w:rPr>
                <w:t>ITEM 16. FORM 10-K SUMMARY</w:t>
              </w:r>
            </w:hyperlink>
          </w:p>
        </w:tc>
        <w:tc>
          <w:tcPr>
            <w:tcW w:w="668" w:type="dxa"/>
            <w:tcBorders/>
            <w:shd w:fill="auto" w:val="clear"/>
            <w:vAlign w:val="center"/>
          </w:tcPr>
          <w:p>
            <w:pPr>
              <w:pStyle w:val="TableContents"/>
              <w:spacing w:before="0" w:after="283"/>
              <w:rPr/>
            </w:pPr>
            <w:hyperlink w:anchor="i16">
              <w:r>
                <w:rPr>
                  <w:rStyle w:val="InternetLink"/>
                </w:rPr>
                <w:t>96</w:t>
              </w:r>
            </w:hyperlink>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1060" w:right="0" w:hanging="1060"/>
              <w:rPr/>
            </w:pPr>
            <w:hyperlink w:anchor="sign">
              <w:r>
                <w:rPr>
                  <w:rStyle w:val="InternetLink"/>
                  <w:rFonts w:ascii="Times New Roman" w:hAnsi="Times New Roman"/>
                  <w:caps w:val="false"/>
                  <w:smallCaps w:val="false"/>
                  <w:sz w:val="20"/>
                </w:rPr>
                <w:t>SIGNATURES</w:t>
              </w:r>
            </w:hyperlink>
          </w:p>
        </w:tc>
        <w:tc>
          <w:tcPr>
            <w:tcW w:w="668" w:type="dxa"/>
            <w:tcBorders/>
            <w:shd w:fill="auto" w:val="clear"/>
            <w:vAlign w:val="center"/>
          </w:tcPr>
          <w:p>
            <w:pPr>
              <w:pStyle w:val="TableContents"/>
              <w:spacing w:before="0" w:after="283"/>
              <w:rPr/>
            </w:pPr>
            <w:hyperlink w:anchor="sign">
              <w:r>
                <w:rPr>
                  <w:rStyle w:val="InternetLink"/>
                </w:rPr>
                <w:t>97</w:t>
              </w:r>
            </w:hyperlink>
          </w:p>
        </w:tc>
      </w:tr>
      <w:tr>
        <w:trPr/>
        <w:tc>
          <w:tcPr>
            <w:tcW w:w="9537" w:type="dxa"/>
            <w:tcBorders/>
            <w:shd w:fill="auto" w:val="clear"/>
            <w:vAlign w:val="center"/>
          </w:tcPr>
          <w:p>
            <w:pPr>
              <w:pStyle w:val="TableContents"/>
              <w:spacing w:before="0" w:after="283"/>
              <w:rPr/>
            </w:pPr>
            <w:r>
              <w:rPr/>
              <w:t> </w:t>
            </w:r>
          </w:p>
        </w:tc>
        <w:tc>
          <w:tcPr>
            <w:tcW w:w="668" w:type="dxa"/>
            <w:tcBorders/>
            <w:shd w:fill="auto" w:val="clear"/>
            <w:vAlign w:val="center"/>
          </w:tcPr>
          <w:p>
            <w:pPr>
              <w:pStyle w:val="TableContents"/>
              <w:spacing w:before="0" w:after="283"/>
              <w:rPr/>
            </w:pPr>
            <w:r>
              <w:rPr/>
              <w:t> </w:t>
            </w:r>
          </w:p>
        </w:tc>
      </w:tr>
      <w:tr>
        <w:trPr/>
        <w:tc>
          <w:tcPr>
            <w:tcW w:w="9537" w:type="dxa"/>
            <w:tcBorders/>
            <w:shd w:fill="auto" w:val="clear"/>
            <w:vAlign w:val="center"/>
          </w:tcPr>
          <w:p>
            <w:pPr>
              <w:pStyle w:val="TableContents"/>
              <w:spacing w:before="0" w:after="0"/>
              <w:ind w:left="1060" w:right="0" w:hanging="1060"/>
              <w:rPr/>
            </w:pPr>
            <w:hyperlink w:anchor="ex_340701.htm">
              <w:r>
                <w:rPr>
                  <w:rStyle w:val="InternetLink"/>
                  <w:rFonts w:ascii="Times New Roman" w:hAnsi="Times New Roman"/>
                  <w:caps w:val="false"/>
                  <w:smallCaps w:val="false"/>
                  <w:sz w:val="20"/>
                </w:rPr>
                <w:t>EX-10.14</w:t>
              </w:r>
            </w:hyperlink>
          </w:p>
          <w:p>
            <w:pPr>
              <w:pStyle w:val="TableContents"/>
              <w:spacing w:before="0" w:after="0"/>
              <w:ind w:left="1060" w:right="0" w:hanging="1060"/>
              <w:rPr/>
            </w:pPr>
            <w:hyperlink w:anchor="ex_341111.htm">
              <w:r>
                <w:rPr>
                  <w:rStyle w:val="InternetLink"/>
                  <w:rFonts w:ascii="Times New Roman" w:hAnsi="Times New Roman"/>
                  <w:caps w:val="false"/>
                  <w:smallCaps w:val="false"/>
                  <w:sz w:val="20"/>
                </w:rPr>
                <w:t>EX-10.72</w:t>
              </w:r>
            </w:hyperlink>
          </w:p>
          <w:p>
            <w:pPr>
              <w:pStyle w:val="TableContents"/>
              <w:spacing w:before="0" w:after="0"/>
              <w:ind w:left="1060" w:right="0" w:hanging="1060"/>
              <w:rPr/>
            </w:pPr>
            <w:hyperlink w:anchor="ex_340702.htm">
              <w:r>
                <w:rPr>
                  <w:rStyle w:val="InternetLink"/>
                  <w:rFonts w:ascii="Times New Roman" w:hAnsi="Times New Roman"/>
                  <w:caps w:val="false"/>
                  <w:smallCaps w:val="false"/>
                  <w:sz w:val="20"/>
                </w:rPr>
                <w:t>EX-10.76</w:t>
              </w:r>
            </w:hyperlink>
          </w:p>
          <w:p>
            <w:pPr>
              <w:pStyle w:val="TableContents"/>
              <w:spacing w:before="0" w:after="0"/>
              <w:ind w:left="1060" w:right="0" w:hanging="1060"/>
              <w:rPr/>
            </w:pPr>
            <w:hyperlink w:anchor="ex_340784.htm">
              <w:r>
                <w:rPr>
                  <w:rStyle w:val="InternetLink"/>
                  <w:rFonts w:ascii="Times New Roman" w:hAnsi="Times New Roman"/>
                  <w:caps w:val="false"/>
                  <w:smallCaps w:val="false"/>
                  <w:sz w:val="20"/>
                </w:rPr>
                <w:t>EX-10.101</w:t>
              </w:r>
            </w:hyperlink>
          </w:p>
          <w:p>
            <w:pPr>
              <w:pStyle w:val="TableContents"/>
              <w:spacing w:before="0" w:after="0"/>
              <w:ind w:left="1060" w:right="0" w:hanging="1060"/>
              <w:rPr/>
            </w:pPr>
            <w:hyperlink w:anchor="ex_340700.htm">
              <w:r>
                <w:rPr>
                  <w:rStyle w:val="InternetLink"/>
                  <w:rFonts w:ascii="Times New Roman" w:hAnsi="Times New Roman"/>
                  <w:caps w:val="false"/>
                  <w:smallCaps w:val="false"/>
                  <w:sz w:val="20"/>
                </w:rPr>
                <w:t>EX-10.102</w:t>
              </w:r>
            </w:hyperlink>
          </w:p>
          <w:p>
            <w:pPr>
              <w:pStyle w:val="TableContents"/>
              <w:spacing w:before="0" w:after="0"/>
              <w:ind w:left="1060" w:right="0" w:hanging="1060"/>
              <w:rPr/>
            </w:pPr>
            <w:hyperlink w:anchor="ex_340699.htm">
              <w:r>
                <w:rPr>
                  <w:rStyle w:val="InternetLink"/>
                  <w:rFonts w:ascii="Times New Roman" w:hAnsi="Times New Roman"/>
                  <w:caps w:val="false"/>
                  <w:smallCaps w:val="false"/>
                  <w:sz w:val="20"/>
                </w:rPr>
                <w:t>EX-10.103</w:t>
              </w:r>
            </w:hyperlink>
          </w:p>
          <w:p>
            <w:pPr>
              <w:pStyle w:val="TableContents"/>
              <w:spacing w:before="0" w:after="0"/>
              <w:ind w:left="1060" w:right="0" w:hanging="1060"/>
              <w:rPr/>
            </w:pPr>
            <w:hyperlink w:anchor="ex_340698.htm">
              <w:r>
                <w:rPr>
                  <w:rStyle w:val="InternetLink"/>
                  <w:rFonts w:ascii="Times New Roman" w:hAnsi="Times New Roman"/>
                  <w:caps w:val="false"/>
                  <w:smallCaps w:val="false"/>
                  <w:sz w:val="20"/>
                </w:rPr>
                <w:t>EX-10.104</w:t>
              </w:r>
            </w:hyperlink>
          </w:p>
          <w:p>
            <w:pPr>
              <w:pStyle w:val="TableContents"/>
              <w:spacing w:before="0" w:after="0"/>
              <w:ind w:left="1060" w:right="0" w:hanging="1060"/>
              <w:rPr/>
            </w:pPr>
            <w:hyperlink w:anchor="ex_340697.htm">
              <w:r>
                <w:rPr>
                  <w:rStyle w:val="InternetLink"/>
                  <w:rFonts w:ascii="Times New Roman" w:hAnsi="Times New Roman"/>
                  <w:caps w:val="false"/>
                  <w:smallCaps w:val="false"/>
                  <w:sz w:val="20"/>
                </w:rPr>
                <w:t>EX-21</w:t>
              </w:r>
            </w:hyperlink>
          </w:p>
          <w:p>
            <w:pPr>
              <w:pStyle w:val="TableContents"/>
              <w:spacing w:before="0" w:after="0"/>
              <w:ind w:left="1060" w:right="0" w:hanging="1060"/>
              <w:rPr/>
            </w:pPr>
            <w:hyperlink w:anchor="ex_338385.htm">
              <w:r>
                <w:rPr>
                  <w:rStyle w:val="InternetLink"/>
                  <w:rFonts w:ascii="Times New Roman" w:hAnsi="Times New Roman"/>
                  <w:caps w:val="false"/>
                  <w:smallCaps w:val="false"/>
                  <w:sz w:val="20"/>
                </w:rPr>
                <w:t>EX-23</w:t>
              </w:r>
            </w:hyperlink>
          </w:p>
          <w:p>
            <w:pPr>
              <w:pStyle w:val="TableContents"/>
              <w:spacing w:before="0" w:after="0"/>
              <w:ind w:left="1060" w:right="0" w:hanging="1060"/>
              <w:rPr/>
            </w:pPr>
            <w:hyperlink w:anchor="ex_338405.htm">
              <w:r>
                <w:rPr>
                  <w:rStyle w:val="InternetLink"/>
                  <w:rFonts w:ascii="Times New Roman" w:hAnsi="Times New Roman"/>
                  <w:caps w:val="false"/>
                  <w:smallCaps w:val="false"/>
                  <w:sz w:val="20"/>
                </w:rPr>
                <w:t>EX-31.1</w:t>
              </w:r>
            </w:hyperlink>
          </w:p>
          <w:p>
            <w:pPr>
              <w:pStyle w:val="TableContents"/>
              <w:spacing w:before="0" w:after="0"/>
              <w:ind w:left="1060" w:right="0" w:hanging="1060"/>
              <w:rPr/>
            </w:pPr>
            <w:hyperlink w:anchor="ex_338406.htm">
              <w:r>
                <w:rPr>
                  <w:rStyle w:val="InternetLink"/>
                  <w:rFonts w:ascii="Times New Roman" w:hAnsi="Times New Roman"/>
                  <w:caps w:val="false"/>
                  <w:smallCaps w:val="false"/>
                  <w:sz w:val="20"/>
                </w:rPr>
                <w:t>EX-31.2</w:t>
              </w:r>
            </w:hyperlink>
          </w:p>
          <w:p>
            <w:pPr>
              <w:pStyle w:val="TableContents"/>
              <w:spacing w:before="0" w:after="0"/>
              <w:ind w:left="1060" w:right="0" w:hanging="1060"/>
              <w:rPr/>
            </w:pPr>
            <w:hyperlink w:anchor="ex_338407.htm">
              <w:r>
                <w:rPr>
                  <w:rStyle w:val="InternetLink"/>
                  <w:rFonts w:ascii="Times New Roman" w:hAnsi="Times New Roman"/>
                  <w:caps w:val="false"/>
                  <w:smallCaps w:val="false"/>
                  <w:sz w:val="20"/>
                </w:rPr>
                <w:t>EX-32.1</w:t>
              </w:r>
            </w:hyperlink>
          </w:p>
          <w:p>
            <w:pPr>
              <w:pStyle w:val="TableContents"/>
              <w:spacing w:before="0" w:after="0"/>
              <w:ind w:left="1060" w:right="0" w:hanging="1060"/>
              <w:rPr/>
            </w:pPr>
            <w:hyperlink w:anchor="ex_338408.htm">
              <w:r>
                <w:rPr>
                  <w:rStyle w:val="InternetLink"/>
                  <w:rFonts w:ascii="Times New Roman" w:hAnsi="Times New Roman"/>
                  <w:caps w:val="false"/>
                  <w:smallCaps w:val="false"/>
                  <w:sz w:val="20"/>
                </w:rPr>
                <w:t>EX-32.2</w:t>
              </w:r>
            </w:hyperlink>
          </w:p>
          <w:p>
            <w:pPr>
              <w:pStyle w:val="TableContents"/>
              <w:spacing w:before="0" w:after="0"/>
              <w:ind w:left="1060" w:right="0" w:hanging="1060"/>
              <w:rPr>
                <w:rFonts w:ascii="Times New Roman" w:hAnsi="Times New Roman"/>
                <w:caps w:val="false"/>
                <w:smallCaps w:val="false"/>
                <w:sz w:val="20"/>
              </w:rPr>
            </w:pPr>
            <w:r>
              <w:rPr>
                <w:rFonts w:ascii="Times New Roman" w:hAnsi="Times New Roman"/>
                <w:caps w:val="false"/>
                <w:smallCaps w:val="false"/>
                <w:sz w:val="20"/>
              </w:rPr>
              <w:t>EX-101</w:t>
            </w:r>
          </w:p>
          <w:p>
            <w:pPr>
              <w:pStyle w:val="TableContents"/>
              <w:spacing w:before="0" w:after="0"/>
              <w:ind w:left="1060" w:right="0" w:hanging="1060"/>
              <w:rPr>
                <w:rFonts w:ascii="Times New Roman" w:hAnsi="Times New Roman"/>
                <w:caps w:val="false"/>
                <w:smallCaps w:val="false"/>
                <w:sz w:val="20"/>
              </w:rPr>
            </w:pPr>
            <w:r>
              <w:rPr>
                <w:rFonts w:ascii="Times New Roman" w:hAnsi="Times New Roman"/>
                <w:caps w:val="false"/>
                <w:smallCaps w:val="false"/>
                <w:sz w:val="20"/>
              </w:rPr>
              <w:t>EX-104</w:t>
            </w:r>
          </w:p>
        </w:tc>
        <w:tc>
          <w:tcPr>
            <w:tcW w:w="668"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pPr>
      <w:r>
        <w:rPr/>
        <w:t xml:space="preserve">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 xml:space="preserve">When used in this report, unless otherwise indicated,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BioCryst</w:t>
      </w:r>
      <w:r>
        <w:rPr>
          <w:rFonts w:ascii="Times New Roman" w:hAnsi="Times New Roman"/>
          <w:caps w:val="false"/>
          <w:smallCaps w:val="false"/>
          <w:sz w:val="20"/>
        </w:rPr>
        <w:t xml:space="preserve">” </w:t>
      </w:r>
      <w:r>
        <w:rPr>
          <w:rFonts w:ascii="Times New Roman" w:hAnsi="Times New Roman"/>
          <w:i/>
          <w:caps w:val="false"/>
          <w:smallCaps w:val="false"/>
          <w:sz w:val="20"/>
        </w:rPr>
        <w:t>refer to BioCryst Pharmaceuticals, Inc. and, where appropriate,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2" w:name="cautionary"/>
      <w:bookmarkEnd w:id="2"/>
      <w:r>
        <w:rPr>
          <w:rFonts w:ascii="Times New Roman" w:hAnsi="Times New Roman"/>
          <w:b/>
          <w:caps w:val="false"/>
          <w:smallCaps w:val="false"/>
          <w:sz w:val="20"/>
        </w:rPr>
        <w:t>Cautionary Note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This Annual Report on Form 10-K (this “report”) includes forward-looking statements within the meaning of Section 21E of the Securities Exchange Act of 1934, as amended,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“Business,”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preclinical development, clinical development, commercialization, or post-marketing studies of our products and product candidates, including ORLADEYO® (berotralstat), BCX9930, BCX9250, peramivir, galidesivir, and early stage discovery programs;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timing and success of our commercialization of ORLADEYO in the U.S. and elsewhere and expectations regarding the commercial market for ORLADEYO;</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potential for government stockpiling orders of our products and product candidates, including the timing or likelihood of entering into any U.S. government stockpile order and our ability to execute any such order;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potential funding from our contracts with the Biomedical Advanced Research and Development Authority within the U.S. Department of Health and Human Services (“BARDA/HHS”) and the National Institute of Allergy and Infectious Diseases within the HHS (“NIAID/HHS”) for the development of galidesivir;</w:t>
            </w:r>
          </w:p>
        </w:tc>
      </w:tr>
    </w:tbl>
    <w:p>
      <w:pPr>
        <w:pStyle w:val="TextBody"/>
        <w:spacing w:before="0" w:after="0"/>
        <w:ind w:left="0" w:right="0" w:hanging="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60"/>
        <w:gridCol w:w="170"/>
        <w:gridCol w:w="91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1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additional regulatory approvals, or milestones, royalties or profit from sales of our products by us or our partners;</w:t>
            </w:r>
          </w:p>
        </w:tc>
      </w:tr>
    </w:tbl>
    <w:p>
      <w:pPr>
        <w:pStyle w:val="TextBody"/>
        <w:spacing w:before="0" w:after="0"/>
        <w:ind w:left="0" w:right="0" w:hanging="0"/>
        <w:rPr>
          <w:caps w:val="false"/>
          <w:smallCaps w:val="false"/>
        </w:rPr>
      </w:pPr>
      <w:r>
        <w:rPr>
          <w:caps w:val="false"/>
          <w:smallCaps w:val="false"/>
        </w:rPr>
        <w:t> </w:t>
      </w:r>
    </w:p>
    <w:tbl>
      <w:tblPr>
        <w:tblW w:w="10045" w:type="dxa"/>
        <w:jc w:val="left"/>
        <w:tblInd w:w="0" w:type="dxa"/>
        <w:tblCellMar>
          <w:top w:w="0" w:type="dxa"/>
          <w:left w:w="0" w:type="dxa"/>
          <w:bottom w:w="0" w:type="dxa"/>
          <w:right w:w="0" w:type="dxa"/>
        </w:tblCellMar>
      </w:tblPr>
      <w:tblGrid>
        <w:gridCol w:w="60"/>
        <w:gridCol w:w="170"/>
        <w:gridCol w:w="98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8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implementation of our business model, strategic plans for our business, products, product candidates and technology;</w:t>
            </w:r>
          </w:p>
        </w:tc>
      </w:tr>
    </w:tbl>
    <w:p>
      <w:pPr>
        <w:pStyle w:val="TextBody"/>
        <w:spacing w:before="0" w:after="0"/>
        <w:ind w:left="0" w:right="0" w:hanging="0"/>
        <w:rPr>
          <w:caps w:val="false"/>
          <w:smallCaps w:val="false"/>
        </w:rPr>
      </w:pPr>
      <w:r>
        <w:rPr>
          <w:caps w:val="false"/>
          <w:smallCaps w:val="false"/>
        </w:rPr>
        <w:t> </w:t>
      </w:r>
    </w:p>
    <w:tbl>
      <w:tblPr>
        <w:tblW w:w="9340" w:type="dxa"/>
        <w:jc w:val="left"/>
        <w:tblInd w:w="0" w:type="dxa"/>
        <w:tblCellMar>
          <w:top w:w="0" w:type="dxa"/>
          <w:left w:w="0" w:type="dxa"/>
          <w:bottom w:w="0" w:type="dxa"/>
          <w:right w:w="0" w:type="dxa"/>
        </w:tblCellMar>
      </w:tblPr>
      <w:tblGrid>
        <w:gridCol w:w="60"/>
        <w:gridCol w:w="170"/>
        <w:gridCol w:w="91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1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establish and maintain collaborations or out-license rights to our products and product candidates;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plans, programs, progress and potential success of our collaborations, including with Torii Pharmaceutical Co., Ltd. (“Torii”) for ORLADEYO in Japan and Shionogi &amp; Co., Ltd. (“Shionogi”) and Green Cross Corporation (“Green Cross”) for peramivir in their territories;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and our subsidiary guarantors’ ability to satisfy obligations under our Credit Agreement and to comply with the covenants as set forth in the agreements governing our debt obligations;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scope of protection we are able to establish and maintain for intellectual property rights covering our products, product candidates, and technology;</w:t>
            </w:r>
          </w:p>
        </w:tc>
      </w:tr>
    </w:tbl>
    <w:p>
      <w:pPr>
        <w:pStyle w:val="TextBody"/>
        <w:spacing w:before="0" w:after="0"/>
        <w:ind w:left="0" w:right="0" w:hanging="0"/>
        <w:rPr>
          <w:caps w:val="false"/>
          <w:smallCaps w:val="false"/>
        </w:rPr>
      </w:pPr>
      <w:r>
        <w:rPr>
          <w:caps w:val="false"/>
          <w:smallCaps w:val="false"/>
        </w:rPr>
        <w:t> </w:t>
      </w:r>
    </w:p>
    <w:tbl>
      <w:tblPr>
        <w:tblW w:w="7885" w:type="dxa"/>
        <w:jc w:val="left"/>
        <w:tblInd w:w="0" w:type="dxa"/>
        <w:tblCellMar>
          <w:top w:w="0" w:type="dxa"/>
          <w:left w:w="0" w:type="dxa"/>
          <w:bottom w:w="0" w:type="dxa"/>
          <w:right w:w="0" w:type="dxa"/>
        </w:tblCellMar>
      </w:tblPr>
      <w:tblGrid>
        <w:gridCol w:w="60"/>
        <w:gridCol w:w="170"/>
        <w:gridCol w:w="76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6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operate our business without infringing the intellectual property rights of others;</w:t>
            </w:r>
          </w:p>
        </w:tc>
      </w:tr>
    </w:tbl>
    <w:p>
      <w:pPr>
        <w:pStyle w:val="TextBody"/>
        <w:spacing w:before="0" w:after="0"/>
        <w:ind w:left="0" w:right="0" w:hanging="0"/>
        <w:rPr>
          <w:caps w:val="false"/>
          <w:smallCaps w:val="false"/>
        </w:rPr>
      </w:pPr>
      <w:r>
        <w:rPr>
          <w:caps w:val="false"/>
          <w:smallCaps w:val="false"/>
        </w:rPr>
        <w:t> </w:t>
      </w:r>
    </w:p>
    <w:tbl>
      <w:tblPr>
        <w:tblW w:w="10060" w:type="dxa"/>
        <w:jc w:val="left"/>
        <w:tblInd w:w="0" w:type="dxa"/>
        <w:tblCellMar>
          <w:top w:w="0" w:type="dxa"/>
          <w:left w:w="0" w:type="dxa"/>
          <w:bottom w:w="0" w:type="dxa"/>
          <w:right w:w="0" w:type="dxa"/>
        </w:tblCellMar>
      </w:tblPr>
      <w:tblGrid>
        <w:gridCol w:w="60"/>
        <w:gridCol w:w="170"/>
        <w:gridCol w:w="98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8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estimates of our expenses, revenues, capital requirements, annual cash utilization, and our needs for additional financing;</w:t>
            </w:r>
          </w:p>
        </w:tc>
      </w:tr>
    </w:tbl>
    <w:p>
      <w:pPr>
        <w:pStyle w:val="TextBody"/>
        <w:spacing w:before="0" w:after="0"/>
        <w:ind w:left="0" w:right="0" w:hanging="0"/>
        <w:rPr>
          <w:caps w:val="false"/>
          <w:smallCaps w:val="false"/>
        </w:rPr>
      </w:pPr>
      <w:r>
        <w:rPr>
          <w:caps w:val="false"/>
          <w:smallCaps w:val="false"/>
        </w:rPr>
        <w:t> </w:t>
      </w:r>
    </w:p>
    <w:tbl>
      <w:tblPr>
        <w:tblW w:w="7990" w:type="dxa"/>
        <w:jc w:val="left"/>
        <w:tblInd w:w="0" w:type="dxa"/>
        <w:tblCellMar>
          <w:top w:w="0" w:type="dxa"/>
          <w:left w:w="0" w:type="dxa"/>
          <w:bottom w:w="0" w:type="dxa"/>
          <w:right w:w="0" w:type="dxa"/>
        </w:tblCellMar>
      </w:tblPr>
      <w:tblGrid>
        <w:gridCol w:w="60"/>
        <w:gridCol w:w="170"/>
        <w:gridCol w:w="77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timing or likelihood of regulatory filings or regulatory agreements, deferrals, and approvals;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manage our liquidity needs, including our ability to raise additional capital, to fund our operations or repay our recourse debt obligations;</w:t>
            </w:r>
          </w:p>
        </w:tc>
      </w:tr>
    </w:tbl>
    <w:p>
      <w:pPr>
        <w:pStyle w:val="TextBody"/>
        <w:spacing w:before="0" w:after="0"/>
        <w:ind w:left="0" w:right="0" w:hanging="0"/>
        <w:rPr>
          <w:caps w:val="false"/>
          <w:smallCaps w:val="false"/>
        </w:rPr>
      </w:pPr>
      <w:r>
        <w:rPr>
          <w:caps w:val="false"/>
          <w:smallCaps w:val="false"/>
        </w:rPr>
        <w:t> </w:t>
      </w:r>
    </w:p>
    <w:tbl>
      <w:tblPr>
        <w:tblW w:w="2740" w:type="dxa"/>
        <w:jc w:val="left"/>
        <w:tblInd w:w="0" w:type="dxa"/>
        <w:tblCellMar>
          <w:top w:w="0" w:type="dxa"/>
          <w:left w:w="0" w:type="dxa"/>
          <w:bottom w:w="0" w:type="dxa"/>
          <w:right w:w="0" w:type="dxa"/>
        </w:tblCellMar>
      </w:tblPr>
      <w:tblGrid>
        <w:gridCol w:w="60"/>
        <w:gridCol w:w="170"/>
        <w:gridCol w:w="25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5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financial performance; and</w:t>
            </w:r>
          </w:p>
        </w:tc>
      </w:tr>
    </w:tbl>
    <w:p>
      <w:pPr>
        <w:pStyle w:val="TextBody"/>
        <w:spacing w:before="0" w:after="0"/>
        <w:ind w:left="0" w:right="0" w:hanging="0"/>
        <w:rPr>
          <w:caps w:val="false"/>
          <w:smallCaps w:val="false"/>
        </w:rPr>
      </w:pPr>
      <w:r>
        <w:rPr>
          <w:caps w:val="false"/>
          <w:smallCaps w:val="false"/>
        </w:rPr>
        <w:t> </w:t>
      </w:r>
    </w:p>
    <w:tbl>
      <w:tblPr>
        <w:tblW w:w="4750" w:type="dxa"/>
        <w:jc w:val="left"/>
        <w:tblInd w:w="0" w:type="dxa"/>
        <w:tblCellMar>
          <w:top w:w="0" w:type="dxa"/>
          <w:left w:w="0" w:type="dxa"/>
          <w:bottom w:w="0" w:type="dxa"/>
          <w:right w:w="0" w:type="dxa"/>
        </w:tblCellMar>
      </w:tblPr>
      <w:tblGrid>
        <w:gridCol w:w="60"/>
        <w:gridCol w:w="170"/>
        <w:gridCol w:w="45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competitive companies, technologies, and our industry.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3" w:name="risk"/>
      <w:bookmarkEnd w:id="3"/>
      <w:r>
        <w:rPr>
          <w:rFonts w:ascii="Times New Roman" w:hAnsi="Times New Roman"/>
          <w:b/>
          <w:caps w:val="false"/>
          <w:smallCaps w:val="false"/>
          <w:sz w:val="20"/>
        </w:rPr>
        <w:t>Risk Factor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640"/>
        <w:rPr>
          <w:rFonts w:ascii="Times New Roman" w:hAnsi="Times New Roman"/>
          <w:caps w:val="false"/>
          <w:smallCaps w:val="false"/>
          <w:sz w:val="20"/>
        </w:rPr>
      </w:pPr>
      <w:r>
        <w:rPr>
          <w:rFonts w:ascii="Times New Roman" w:hAnsi="Times New Roman"/>
          <w:caps w:val="false"/>
          <w:smallCaps w:val="false"/>
          <w:sz w:val="20"/>
        </w:rPr>
        <w:t>An investment in the Company involves risks. You should carefully read this entire report and consider the uncertainties and risks discussed in the “Risk Factors” section in Part I, Item 1A of this report, which may adversely affect our business, financial condition, or results of operations, along with the other information included in our other filings with the Securities and Exchange Commission, before deciding to invest in the Company. A summary of the principal factors that make an investment in the Company speculative or risky is set forth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 Item 1A of this report.</w:t>
            </w:r>
          </w:p>
        </w:tc>
      </w:tr>
    </w:tbl>
    <w:p>
      <w:pPr>
        <w:pStyle w:val="TextBody"/>
        <w:spacing w:before="0" w:after="0"/>
        <w:ind w:left="0" w:right="0" w:hanging="0"/>
        <w:rPr>
          <w:caps w:val="false"/>
          <w:smallCaps w:val="false"/>
        </w:rPr>
      </w:pPr>
      <w:r>
        <w:rPr>
          <w:caps w:val="false"/>
          <w:smallCaps w:val="false"/>
        </w:rPr>
        <w:t> </w:t>
      </w:r>
    </w:p>
    <w:tbl>
      <w:tblPr>
        <w:tblW w:w="9010" w:type="dxa"/>
        <w:jc w:val="left"/>
        <w:tblInd w:w="0" w:type="dxa"/>
        <w:tblCellMar>
          <w:top w:w="0" w:type="dxa"/>
          <w:left w:w="0" w:type="dxa"/>
          <w:bottom w:w="0" w:type="dxa"/>
          <w:right w:w="0" w:type="dxa"/>
        </w:tblCellMar>
      </w:tblPr>
      <w:tblGrid>
        <w:gridCol w:w="60"/>
        <w:gridCol w:w="170"/>
        <w:gridCol w:w="87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7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incurred losses since our inception, expect to continue to incur losses, and may never be profitable.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may need to raise additional capital in the future. If we are unable to raise capital when needed, we may need to adjust our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success depends upon our ability to advance our product candidates through the various stages of development, especially through the clinical trial process, to receive and maintain regulatory approval for the commercial sale of our product candidates, and to successfully commercialize any approved products.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or take other actions that could materially impact the cost, timing, and success of our planned development strategies.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we fail to obtain additional financing or acceptable partnership arrangements, we may be unable to complete the development and commercialization of our products and product candidates or continue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commercial viability of any approved product could be compromised if the product is less effective than expected, causes undesirable side effects that were not previously identified, or fails to achieve market acceptance by physicians, patients, third-party payors, health authorities, and others.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There can be no assurance that our or our partners’ commercialization efforts, methods, and strategies for our products or technologies will succeed, and our future revenue generation is uncertain.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expect to continue expanding our development and regulatory capabilities and implementing sales, marketing, and distribution capabilities, and as a result, we may encounter difficulties managing our growth, which could disrupt our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face intense competition, and if we are unable to compete effectively, the demand for our products may be reduced. In addition, developments by others may render our products, product candidates, or technologies obsolete or noncompetitive.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obtain collaborators, and raise capital.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we fail to adequately protect or enforce our intellectual property rights or secure rights to patents of others, the value of those rights would diminish. Legal proceedings to protect or enforce our patents, the patents of our partners, or our other intellectual property rights could be expensive, time consuming, and unsuccessful.</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face an inherent risk of liability in the event that the use or misuse of our products or product candidates results in personal injury or death, and our product liability insurance coverage may be insufficient.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face risks related to our government-funded programs and are subject to various U.S. Government contract requirements, which typically contain a number of extraordinary provisions that would not typically be found in commercial contracts and which may create a disadvantage and additional risks to us as compared to competitors that do not rely on U.S. Government contracts.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we fail to reach milestones or to make annual minimum payments or otherwise breach our obligations under our license agreements, our licensors may terminate our agreements with them and seek additional remedies.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Credit Agreement contains conditions and restrictions that limit our flexibility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International expansion of our business exposes us to business, regulatory, political, operational, financial, and economic risks. For example, our actual or perceived failure to comply with European governmental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tc>
      </w:tr>
    </w:tbl>
    <w:p>
      <w:pPr>
        <w:pStyle w:val="TextBody"/>
        <w:spacing w:before="0" w:after="0"/>
        <w:ind w:left="0" w:right="0" w:hanging="0"/>
        <w:rPr>
          <w:caps w:val="false"/>
          <w:smallCaps w:val="false"/>
        </w:rPr>
      </w:pPr>
      <w:r>
        <w:rPr>
          <w:caps w:val="false"/>
          <w:smallCaps w:val="false"/>
        </w:rPr>
        <w:t> </w:t>
      </w:r>
    </w:p>
    <w:tbl>
      <w:tblPr>
        <w:tblW w:w="8350" w:type="dxa"/>
        <w:jc w:val="left"/>
        <w:tblInd w:w="0" w:type="dxa"/>
        <w:tblCellMar>
          <w:top w:w="0" w:type="dxa"/>
          <w:left w:w="0" w:type="dxa"/>
          <w:bottom w:w="0" w:type="dxa"/>
          <w:right w:w="0" w:type="dxa"/>
        </w:tblCellMar>
      </w:tblPr>
      <w:tblGrid>
        <w:gridCol w:w="60"/>
        <w:gridCol w:w="170"/>
        <w:gridCol w:w="81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1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our facilities incur damage or power is lost for a significant length of time, our business will suffer.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 significant disruption in our information technology systems or a cybersecurity breach could adversely affect our business.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existing principal stockholders hold a substantial amount of our common stock and may be able to influence significant corporate decisions, which may conflict with the interests of other stockholders.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stock price has been, and is likely to continue to be, highly volatile, which could cause the value of an investment in our common stock to decline significantly.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Natural disasters, epidemic or pandemic disease outbreaks, trade wars, political unrest, or other events could disrupt our business or operations or those of our development partners, manufacturers, regulators, or third parties with whom we conduct business now or in the future.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are subject to legal proceedings, which could harm our reputation or result in other losses or unexpected expenditure of time and resources.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we fail to retain our existing key personnel or fail to attract and retain additional key personnel, the development of our product candidates, the commercialization of our products, and the related expansion of our business will be delayed or stopped.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4" w:name="i1"/>
      <w:bookmarkEnd w:id="4"/>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i/>
          <w:caps w:val="false"/>
          <w:smallCaps w:val="false"/>
          <w:sz w:val="20"/>
        </w:rPr>
        <w:t>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a commercial-stage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Structure-guided drug design is a drug discovery approach by which we design synthetic compounds from detailed structural knowledge of the active sites of enzyme targets associated with particular diseases. We use X-ray crystallography, computer modeling of molecular structures and advanced chemistry techniques to focus on the three-dimensional molecular structure and active site characteristics of the enzymes that control cellular biology. Enzymes are proteins that act as catalysts for many vital biological reactions. Our goal generally is to design a compound that will fit in the active site of an enzyme and thereby prevent its catalytic activity. Molecules from our discovery efforts that are commercially available or that are in active development are summarized in the table below and are discussed in further detail under “Products and Product Candidates” in this “Part I⸻Item 1⸻Business” section of this report.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234"/>
        <w:gridCol w:w="60"/>
        <w:gridCol w:w="2078"/>
        <w:gridCol w:w="60"/>
        <w:gridCol w:w="2968"/>
        <w:gridCol w:w="60"/>
        <w:gridCol w:w="1645"/>
        <w:gridCol w:w="60"/>
        <w:gridCol w:w="2040"/>
      </w:tblGrid>
      <w:tr>
        <w:trPr/>
        <w:tc>
          <w:tcPr>
            <w:tcW w:w="1234"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Drug/Drug Candidate</w:t>
            </w:r>
          </w:p>
        </w:tc>
        <w:tc>
          <w:tcPr>
            <w:tcW w:w="60" w:type="dxa"/>
            <w:tcBorders/>
            <w:shd w:fill="auto" w:val="clear"/>
            <w:tcMar>
              <w:bottom w:w="0" w:type="dxa"/>
            </w:tcMar>
            <w:vAlign w:val="center"/>
          </w:tcPr>
          <w:p>
            <w:pPr>
              <w:pStyle w:val="TableContents"/>
              <w:spacing w:before="0" w:after="283"/>
              <w:rPr/>
            </w:pPr>
            <w:r>
              <w:rPr/>
              <w:t> </w:t>
            </w:r>
          </w:p>
        </w:tc>
        <w:tc>
          <w:tcPr>
            <w:tcW w:w="2078"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Drug Class</w:t>
            </w:r>
          </w:p>
        </w:tc>
        <w:tc>
          <w:tcPr>
            <w:tcW w:w="60" w:type="dxa"/>
            <w:tcBorders/>
            <w:shd w:fill="auto" w:val="clear"/>
            <w:tcMar>
              <w:bottom w:w="0" w:type="dxa"/>
            </w:tcMar>
            <w:vAlign w:val="center"/>
          </w:tcPr>
          <w:p>
            <w:pPr>
              <w:pStyle w:val="TableContents"/>
              <w:spacing w:before="0" w:after="283"/>
              <w:rPr/>
            </w:pPr>
            <w:r>
              <w:rPr/>
              <w:t> </w:t>
            </w:r>
          </w:p>
        </w:tc>
        <w:tc>
          <w:tcPr>
            <w:tcW w:w="2968"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Therapeutic Area(s)</w:t>
            </w:r>
          </w:p>
        </w:tc>
        <w:tc>
          <w:tcPr>
            <w:tcW w:w="60" w:type="dxa"/>
            <w:tcBorders/>
            <w:shd w:fill="auto" w:val="clear"/>
            <w:tcMar>
              <w:bottom w:w="0" w:type="dxa"/>
            </w:tcMar>
            <w:vAlign w:val="center"/>
          </w:tcPr>
          <w:p>
            <w:pPr>
              <w:pStyle w:val="TableContents"/>
              <w:spacing w:before="0" w:after="283"/>
              <w:rPr/>
            </w:pPr>
            <w:r>
              <w:rPr/>
              <w:t> </w:t>
            </w:r>
          </w:p>
        </w:tc>
        <w:tc>
          <w:tcPr>
            <w:tcW w:w="164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Phase</w:t>
            </w:r>
          </w:p>
        </w:tc>
        <w:tc>
          <w:tcPr>
            <w:tcW w:w="60" w:type="dxa"/>
            <w:tcBorders/>
            <w:shd w:fill="auto" w:val="clear"/>
            <w:tcMar>
              <w:bottom w:w="0" w:type="dxa"/>
            </w:tcMar>
            <w:vAlign w:val="center"/>
          </w:tcPr>
          <w:p>
            <w:pPr>
              <w:pStyle w:val="TableContents"/>
              <w:spacing w:before="0" w:after="283"/>
              <w:rPr/>
            </w:pPr>
            <w:r>
              <w:rPr/>
              <w:t> </w:t>
            </w:r>
          </w:p>
        </w:tc>
        <w:tc>
          <w:tcPr>
            <w:tcW w:w="204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Rights*</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ORLADEYO®</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(berotralstat)</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Oral Serine Protease Inhibitor Targeting Kallikrein (once-daily treatment)</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Hereditary Angioedema (“HAE”)</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Approved</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European Union, Japan, United Kingdom, &amp; United Arab Emirates)</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(worldwide, except Japan); Torii Pharmaceutical Co., Ltd. (Japan)</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BCX9930</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Oral Factor D Inhibitor</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Complement-mediated diseases (paroxysmal nocturnal hemoglobinuria)</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Pivotal</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(worldwide)</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Complement-mediated diseases (C3 glomerulopathy, IgA nephropathy, primary membranous nephropathy)</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Phase 2</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(worldwide)</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BCX9250</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Oral Activin Receptor-like Kinase-2 Inhibitor</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Fibrodysplasia ossificans progressiva (“FOP”)</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Phase 1</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(worldwide)</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RAPIVAB®</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(peramivir injection)</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Intravenous Neuraminidase Inhibitor</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Acute uncomplicated Influenza</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Approved</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Australia &amp; Canada)</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(worldwide, except Japan, Taiwan, Korea and Israel)</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RAPIACTA®</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(peramivir injection)</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Intravenous Neuraminidase Inhibitor</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Uncomplicated seasonal Influenza</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Approved</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(Japan &amp; Taiwan)</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Shionogi &amp; Co., Ltd.</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(Japan &amp; Taiwan)</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PERAMIFLU®</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(peramivir injection)</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Intravenous Neuraminidase Inhibitor</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Uncomplicated seasonal Influenza</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Approved</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(Korea)</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Green Cross Corporation</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(Korea)</w:t>
            </w:r>
          </w:p>
        </w:tc>
      </w:tr>
      <w:tr>
        <w:trPr/>
        <w:tc>
          <w:tcPr>
            <w:tcW w:w="123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283"/>
              <w:rPr/>
            </w:pPr>
            <w:r>
              <w:rPr/>
              <w:t> </w:t>
            </w:r>
          </w:p>
        </w:tc>
      </w:tr>
      <w:tr>
        <w:trPr/>
        <w:tc>
          <w:tcPr>
            <w:tcW w:w="1234"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Galidesivir</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(BCX4430)</w:t>
            </w:r>
          </w:p>
        </w:tc>
        <w:tc>
          <w:tcPr>
            <w:tcW w:w="60" w:type="dxa"/>
            <w:tcBorders/>
            <w:shd w:fill="auto" w:val="clear"/>
            <w:tcMar>
              <w:bottom w:w="0" w:type="dxa"/>
            </w:tcMar>
            <w:vAlign w:val="center"/>
          </w:tcPr>
          <w:p>
            <w:pPr>
              <w:pStyle w:val="TableContents"/>
              <w:spacing w:before="0" w:after="283"/>
              <w:rPr/>
            </w:pPr>
            <w:r>
              <w:rPr/>
              <w:t> </w:t>
            </w:r>
          </w:p>
        </w:tc>
        <w:tc>
          <w:tcPr>
            <w:tcW w:w="207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RNA dependent-RNA Polymerase Inhibitor</w:t>
            </w:r>
          </w:p>
        </w:tc>
        <w:tc>
          <w:tcPr>
            <w:tcW w:w="60" w:type="dxa"/>
            <w:tcBorders/>
            <w:shd w:fill="auto" w:val="clear"/>
            <w:tcMar>
              <w:bottom w:w="0" w:type="dxa"/>
            </w:tcMar>
            <w:vAlign w:val="center"/>
          </w:tcPr>
          <w:p>
            <w:pPr>
              <w:pStyle w:val="TableContents"/>
              <w:spacing w:before="0" w:after="283"/>
              <w:rPr/>
            </w:pPr>
            <w:r>
              <w:rPr/>
              <w:t> </w:t>
            </w:r>
          </w:p>
        </w:tc>
        <w:tc>
          <w:tcPr>
            <w:tcW w:w="2968"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Broad spectrum antiviral for 20 RNA viruses, including Marburg, Yellow Fever, and Ebola</w:t>
            </w:r>
          </w:p>
        </w:tc>
        <w:tc>
          <w:tcPr>
            <w:tcW w:w="60" w:type="dxa"/>
            <w:tcBorders/>
            <w:shd w:fill="auto" w:val="clear"/>
            <w:tcMar>
              <w:bottom w:w="0" w:type="dxa"/>
            </w:tcMar>
            <w:vAlign w:val="center"/>
          </w:tcPr>
          <w:p>
            <w:pPr>
              <w:pStyle w:val="TableContents"/>
              <w:spacing w:before="0" w:after="283"/>
              <w:rPr/>
            </w:pPr>
            <w:r>
              <w:rPr/>
              <w:t> </w:t>
            </w:r>
          </w:p>
        </w:tc>
        <w:tc>
          <w:tcPr>
            <w:tcW w:w="1645"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Phase 1</w:t>
            </w:r>
          </w:p>
        </w:tc>
        <w:tc>
          <w:tcPr>
            <w:tcW w:w="60" w:type="dxa"/>
            <w:tcBorders/>
            <w:shd w:fill="auto" w:val="clear"/>
            <w:tcMar>
              <w:bottom w:w="0" w:type="dxa"/>
            </w:tcMar>
            <w:vAlign w:val="center"/>
          </w:tcPr>
          <w:p>
            <w:pPr>
              <w:pStyle w:val="TableContents"/>
              <w:spacing w:before="0" w:after="283"/>
              <w:rPr/>
            </w:pPr>
            <w:r>
              <w:rPr/>
              <w:t> </w:t>
            </w:r>
          </w:p>
        </w:tc>
        <w:tc>
          <w:tcPr>
            <w:tcW w:w="204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(worldwide)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180"/>
        <w:rPr>
          <w:rFonts w:ascii="Times New Roman" w:hAnsi="Times New Roman"/>
          <w:caps w:val="false"/>
          <w:smallCaps w:val="false"/>
          <w:sz w:val="20"/>
        </w:rPr>
      </w:pPr>
      <w:r>
        <w:rPr>
          <w:rFonts w:ascii="Times New Roman" w:hAnsi="Times New Roman"/>
          <w:caps w:val="false"/>
          <w:smallCaps w:val="false"/>
          <w:sz w:val="20"/>
        </w:rPr>
        <w:t>*         </w:t>
      </w:r>
      <w:r>
        <w:rPr>
          <w:rFonts w:ascii="Times New Roman" w:hAnsi="Times New Roman"/>
          <w:i/>
          <w:caps w:val="false"/>
          <w:smallCaps w:val="false"/>
          <w:sz w:val="20"/>
        </w:rPr>
        <w:t xml:space="preserve">See </w:t>
      </w:r>
      <w:r>
        <w:rPr>
          <w:rFonts w:ascii="Times New Roman" w:hAnsi="Times New Roman"/>
          <w:caps w:val="false"/>
          <w:smallCaps w:val="false"/>
          <w:sz w:val="20"/>
        </w:rPr>
        <w:t>“</w:t>
      </w:r>
      <w:r>
        <w:rPr>
          <w:rFonts w:ascii="Times New Roman" w:hAnsi="Times New Roman"/>
          <w:i/>
          <w:caps w:val="false"/>
          <w:smallCaps w:val="false"/>
          <w:sz w:val="20"/>
        </w:rPr>
        <w:t>Business</w:t>
      </w:r>
      <w:r>
        <w:rPr>
          <w:rFonts w:ascii="Times New Roman" w:hAnsi="Times New Roman"/>
          <w:caps w:val="false"/>
          <w:smallCaps w:val="false"/>
          <w:sz w:val="20"/>
        </w:rPr>
        <w:t>⸻</w:t>
      </w:r>
      <w:r>
        <w:rPr>
          <w:rFonts w:ascii="Times New Roman" w:hAnsi="Times New Roman"/>
          <w:i/>
          <w:caps w:val="false"/>
          <w:smallCaps w:val="false"/>
          <w:sz w:val="20"/>
        </w:rPr>
        <w:t>Collaborations and In-License Relationships</w:t>
      </w:r>
      <w:r>
        <w:rPr>
          <w:rFonts w:ascii="Times New Roman" w:hAnsi="Times New Roman"/>
          <w:caps w:val="false"/>
          <w:smallCaps w:val="false"/>
          <w:sz w:val="20"/>
        </w:rPr>
        <w:t xml:space="preserve">” </w:t>
      </w:r>
      <w:r>
        <w:rPr>
          <w:rFonts w:ascii="Times New Roman" w:hAnsi="Times New Roman"/>
          <w:i/>
          <w:caps w:val="false"/>
          <w:smallCaps w:val="false"/>
          <w:sz w:val="20"/>
        </w:rPr>
        <w:t>for a description of our relationships with the third parties identified in this column.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Business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business strategy is to create stockholder value both by focusing our discovery and development efforts on oral drugs for rare diseases for which a significant unmet medical need exists and by efficiently commercializing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select disease targets and product candidates in which a small molecule would offer a significant benefit over existing products or would be the first to market. We strive to advance our product candidate portfolio from discovery to commercial markets efficiently by utilizing a small group of talented and highly-skilled employees working in conjunction with strategic outsource partners. We are unique in our approach to treat orphan diseases with orally-administered, small molecules, identified by utilizing crystallography and structure-guided drug design. The principal elements of our strategy are: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 xml:space="preserve">Focusing on High Value-Added Structure-Guided Drug Design Technologies. </w:t>
            </w:r>
            <w:r>
              <w:rPr>
                <w:rFonts w:ascii="Times New Roman" w:hAnsi="Times New Roman"/>
                <w:caps w:val="false"/>
                <w:smallCaps w:val="false"/>
                <w:sz w:val="20"/>
              </w:rPr>
              <w:t>We utilize structure-guided drug design in order to most efficiently develop new therapeutic candidates. Structure-guided drug design is a process by which we design a product candidate through detailed analysis of the enzyme target, which the product candidate must inhibit in order to stop the progression of the disease or disorder. We believe that structure-guided drug design is a powerful tool for the efficient development of small-molecule product candidates that have the potential to be safe and effective. Our structure-guided drug design technologies typically allow us to design and synthesize multiple product candidates that inhibit the same enzyme target, with the goal of establishing broad intellectual property protection and formulating compounds with competitive advantages.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 xml:space="preserve">Selecting Inhibitors that are Promising Product Candidates. </w:t>
            </w:r>
            <w:r>
              <w:rPr>
                <w:rFonts w:ascii="Times New Roman" w:hAnsi="Times New Roman"/>
                <w:caps w:val="false"/>
                <w:smallCaps w:val="false"/>
                <w:sz w:val="20"/>
              </w:rPr>
              <w:t>We start by selecting disease targets with well-understood biology and characteristics that fit with our ability to utilize structure-guided drug design capabilities to build potent and specific enzyme inhibitors. Next, we narrow our selection of these product candidates based on product characteristics, such as initial indications of safety and biologic activity on the target.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 xml:space="preserve">Developing our Product Candidates Efficiently. </w:t>
            </w:r>
            <w:r>
              <w:rPr>
                <w:rFonts w:ascii="Times New Roman" w:hAnsi="Times New Roman"/>
                <w:caps w:val="false"/>
                <w:smallCaps w:val="false"/>
                <w:sz w:val="20"/>
              </w:rPr>
              <w:t>An important element of our business strategy is to efficiently progress our product candidates through the development process. In order to accomplish this, we typically strive for disease targets with a defined clinical and regulatory pathway for approval or diseases where high unmet needs allow for frequent interactions with regulators. In addition, as we determine such relationships to be appropriate or desirable, we control certain fixed costs and overhead by outsourcing with strategic partners and contractors or entering into license agreements with third parties, including the U.S. Government. For example, our galidesivir research program is currently being developed under U.S. Government contracts. By contracting with the U.S. Government and outsourcing certain aspects of our operations, we are able to control overhead costs and focus financial resources directly where they provide the most benefit and reduce our business risk.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 xml:space="preserve">Commercializing our Product Candidates Globally. </w:t>
            </w:r>
            <w:r>
              <w:rPr>
                <w:rFonts w:ascii="Times New Roman" w:hAnsi="Times New Roman"/>
                <w:caps w:val="false"/>
                <w:smallCaps w:val="false"/>
                <w:sz w:val="20"/>
              </w:rPr>
              <w:t>A core part of our strategy is to commercialize our rare disease products globally. We have established commercial teams in the United States and Europe for the commercialization of ORLADEYO, and we are continuing to build the structure and expertise to commercialize our products in markets where we believe we can do this efficiently and effectively. We have also established relationships with licensing and distribution partners in certain markets, including Japan, and will continue to seek such relationships where we determine this to be an effective approach.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Products and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ORLADEYO (Berotralstat)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ORLADEYO is an oral, once-daily therapy discovered and developed by BioCryst for the prevention of hereditary angioedema (“HAE”) attacks. HAE is a rare, severely debilitating and potentially fatal genetic condition with a prevalence of between 1 in 33,000 to 1 in 67,000 people. HAE symptoms include recurrent episodes of edema in various locations, including the hands, feet, face, genitalia and airway. Airway swelling is particularly dangerous and can lead to death by asphyxiation. In addition, patients often have bouts of severe abdominal pain, nausea and vomiting caused by swelling in the intestinal wall. By inhibiting plasma kallikrein, ORLADEYO suppresses bradykinin production. Bradykinin is the mediator of acute swelling attacks in HAE patients.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ORLADEYO was approved by the U.S. Food and Drug Administration (“FDA”) in December 2020 for prophylaxis to prevent attacks of HAE in adults and pediatric patients 12 years and older. Our specialty pharmacy provider for ORLADEYO in the U.S. began shipping ORLADEYO to patients with a prescription in the U.S. in December 2020. Through EMPOWER Patient Services, administered by our specialty pharmacy provider, we aim to streamline access to therapy by providing each HAE patient and their healthcare provider with a single point of contact for access to ORLADEYO. A dedicated care coordinator supports access for each patient with comprehensive financial support tools and reimbursement support.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ORLADEYO also received marketing and manufacturing approval from the Ministry of Health, Labor and Welfare (“MHLW”) in Japan in January 2021 for prophylactic treatment of HAE in adults and pediatric patients 12 years and older. ORLADEYO is the first and only prophylactic HAE medication approved in Japan. On April 14, 2021, we announced that the Japanese National Health Insurance System (“NHI”) approved the addition of ORLADEYO to the NHI drug price list on April 21, 2021. Torii, our collaborative partner commercializing ORLADEYO in Japan, launched ORLADEYO in Japan on April 23, 2021. The NHI price listing triggered a $15 million milestone payment from Torii to us. In addition, under our agreement with Torii, we are entitled to receive tiered royalty payments, ranging from 20% to 40% of net sales of ORLADEYO in Japan during each calendar year. See “Collaborations and In-License Relationships” below for a description of our relationship with Torii. OrphanPacific, Inc., our representative partner in Japan, holds the marketing authorization for ORLADEYO in Japan.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April 30, 2021, we announced that the European Commission (“EC”) approved ORLADEYO for routine prevention of recurrent attacks of HAE in adult and adolescent patients aged 12 years and older. The EC approval is applicable to all European Union (“EU”) member states plus Iceland, Norway, and Liechtenstein. ORLADEYO is the first oral, once-daily prophylactic therapy for the prevention of HAE attacks approved in Europe. On June 3, 2021, we announced the launch of ORLADEYO in Germany. Appropriate HAE patients aged 12 years and older in France currently have access to ORLADEYO through an Autorisation Temporaire d’Utilisation de cohort, or Temporary Authorization for Use, granted by the French National Agency for Medicines and Health Products Safety in March 2021.  In addition, we have also launched ORLADEYO in Norway and Sweden.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May 12, 2021, we announced that the United Kingdom’s Medicines and Healthcare Regulatory Agency (“MHRA”) granted marketing authorization for ORLADEYO for the routine prevention of recurrent HAE attacks in HAE patients 12 years and older. We announced on September 15, 2021 that the United Kingdom’s National Institute for Health and Care Excellence (“NICE”) recommended ORLADEYO for preventing recurrent attacks of HAE in eligible patients 12 years and older if they have at least two attacks per month. With this recommendation, HAE patients in England, Wales, and Northern Ireland will have access to the first oral, once-daily therapy for routine prevention of recurrent HAE attacks.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June 16, 2021, we announced that the Israeli Ministry of Health has accepted the regulatory submission of ORLADEYO for the prevention of recurrent attacks in patients with HAE 12 years and older and that the Israeli Ministry of Health has granted an accelerated review. In addition, we entered into a distribution and supply agreement granting Neopharm Ltd., a corporation organized under the laws of the State of Israel, the exclusive rights to commercialize ORLADEYO in Israel.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August 25, 2021, we announced that the new drug submission for ORLADEYO was accepted for review by Health Canada for the prevention of recurrent attacks in patients with HAE 12 years and older. We also announced that Swissmedic accepted the Company’s marketing authorization application for ORLADEYO review.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September 9, 2021, we announced that the Ministry of Health and Prevention (“MOHAP”) in the United Arab Emirates (“UAE”) granted marketing authorization for ORLADEYO for the prevention of recurrent attacks in patients with HAE 12 years and older. To support commercialization efforts in the UAE, we entered into a supply and distribution agreement with NewBridge Pharmaceuticals, which also covers the Gulf Cooperation Council and Iraq.</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January 10, 2022, we announced that ORLADEYO is now covered by all major payors and national and regional pharmacy benefit managers in the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December 7, 2020, we entered into a Purchase and Sale Agreement (the “2020 RPI Royalty Purchase Agreement”) with RPI 2019 Intermediate Finance Trust (“RPI”), pursuant to which we sold to RPI the right to receive certain royalty payments from the Company for a purchase price of $125 million in cash. On November 19, 2021, we entered into a second Purchase and Sale Agreement (the “2021 RPI Royalty Purchase Agreement” and together with the 2020 RPI Royalty Purchase Agreement, (the “RPI Royalty Purchase Agreements”) with RPI, pursuant to which we sold to RPI the right to receive certain royalty payments from the Company for a purchase price of $150 million in cash. On November 19, 2021, we also entered into a Purchase and Sale Agreement (the “OMERS Royalty Purchase Agreement”) and collectively with the RPI Royalty Purchase Agreements, the “Royalty Purchase Agreements”) with OCM IP Healthcare Holdings Limited, an affiliate of OMERS Capital Markets (“OMERS”), pursuant to which we sold to OMERS the right to receive certain royalty payments from the Company for a purchase price of $150 million in cash. The transactions contemplated under the Royalty Purchase Agreements are referred to herein as the “Royalty Sales.” Under the Royalty Purchase Agreements, RPI and OMERS are entitled to receive tiered, sales-based royalties on net product sales of ORLADEYO in the U.S. and certain key European markets (collectively, the “Key Territories”), and other markets where we sell ORLADEYO directly or through distributors (collectively, the “Direct Sales”). In addition, RPI and OMERS are entitled to receive a tiered revenue share on amounts generally received by us on account of ORLADEYO sublicense revenue or net sales by licensees outside of the Key Territories. See “Note 8⸻Royalty Monetizations⸻ORLADEYO and Factor D Inhibitors” in the Notes to Consolidated Financial Statements in Part II, Item 8 of this report for additional information about our obligations under the Royalty Purchase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built out our U.S. commercial infrastructure in 2020 to support the launch of ORLADEYO in the U.S. in December 2020 and are continuing to build our commercial infrastructure to support launches in Europe and elsewhere. Based on proprietary analyses of HAE prevalence and market research studies with HAE patients, physicians, and payors in the U.S. and Europe, and our first full year of commercialization of  ORLADEYO in the U.S. in 2021, we anticipate the commercial market for ORLADEYO has the potential to reach a global peak of more than $1 billion in annual sales. We expect at least 70 to 80 percent of our revenue at peak to come from the U.S.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commercialization efforts, methods, and strategies for our products or technologies will succeed, and our future revenue generation is uncertain” in Part I, Item 1A of this report for further discussion of these risks.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Complement-Mediated Diseases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complement system is part of the body’s natural immune system and is responsible for helping the body eliminate microbes (including viral and bacterial infections) and damaged cells. It is comprised of proteins that are primarily produced in the liver and circulate in the blood. Once activated, the complement system stimulates inflammation, phagocytosis and cell lysis. Excessive or uncontrolled activation of the complement system can cause severe, and potentially fatal, immune and inflammatory disorders. The complement system comprises biological cascades of amplifying enzyme cleavages involving more than 30 proteins and protein fragments, and may be activated through three pathways: the classical pathway (initiated by antibody-antigen complexes), the lectin pathway (initiated by lectin binding) and the alternative pathway (initiated by microbial surfaces). The alternative pathway also provides a critical amplification loop for all three pathways, regardless of the initiating mechanism. Factor D is an essential enzyme in the alternative pathway, thus making Factor D an attractive target to address complement-mediated diseases. Several rare diseases are known to be mediated by dysregulation of the complement system.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BCX9930 is a novel, oral, potent, and selective small molecule inhibitor of Factor D, discovered by the Company and currently in clinical development for the treatment of complement-mediated diseases. Based on the safety and proof-of-concept (“PoC”) data generated to date in patients with paroxysmal nocturnal hemoglobinuria (“PNH”), the program has advanced to pivotal studies of oral BCX9930 (500 mg twice-daily) in PNH and to a proof-of-concept trial of oral BCX9930 (500 mg twice-daily) in three renal complement-mediated diseases, C3 glomerulopathy (C3G), IgA nephropathy (IgAN), and primary membranous nephropathy (PMN). We are working closely with regulators and key opinion leaders in hematology and nephrology to map the advanced development strategy across a broad set of indications. Our goal is to develop oral BCX9930 as a monotherapy for complement-mediated diseases.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have completed a proof-of-concept trial in patients with PNH, including both treatment-naïve and those patients with an inadequate response to C5 inhibitors.  Patients on BCX9930 have been allowed to roll over with continued follow-up into a long-term safety trial.  We continue to monitor the patients who continue in the long-term safety trial.</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November 29, 2021, we announced the enrollment of the first patient in the REDEEM-2 pivotal trial with BCX9930 in patients with PNH. REDEEM-2 is a randomized, placebo-controlled trial evaluating the efficacy and safety of BCX9930 (500 mg twice-daily) as monotherapy versus placebo in PNH patients not currently receiving complement inhibitor therapy. In part 1 of this trial, patients will be randomized 2:1 to receive BCX9930 or placebo under double-blind conditions for 12 weeks. All patients will receive BCX9930 in part 2 (weeks 13-52) to assess the long-term safety, tolerability, and effectiveness of BCX9930, with patients randomized to placebo in part 1 switching to BCX9930 at the week 12 visit. The primary endpoint of REDEEM-2 is change from baseline in hemoglobin, as assessed at week 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January 7, 2022, we announced the enrollment of the first patient in the REDEEM-1 pivotal trial with BCX9930 in patients with PNH. REDEEM-1 is a randomized, open-label, active comparator-controlled comparison of the efficacy and safety of BCX9930 (500 mg twice-daily) monotherapy in PNH patients with an inadequate response to a C5 inhibitor. In part 1 of this trial, patients who have not had an adequate response to a C5 inhibitor will be randomized 2:1 to discontinue their C5 inhibitor and receive BCX9930 as monotherapy or to continue receiving their C5 inhibitor for 24 weeks. All patients will receive BCX9930 in part 2 (weeks 25-52) to assess the long-term safety, tolerability, and effectiveness of BCX9930. Patients who are randomized to C5 inhibitor therapy in part 1 will discontinue that therapy at the week 24 visit and start BCX9930 for part 2. The primary endpoint of REDEEM-1 is change from baseline in hemoglobin, as assessed at weeks 12 to 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February 22, 2022, we announced the enrollment of the first patient in the RENEW proof-of-concept basket study with BCX9930 in patients with C3 glomerulopathy, IgA nephropathy, and primary membranous nephropathy.  RENEW is an open-label, multicenter, proof-of-concept study designed to evaluate the safety, tolerability, and therapeutic potential of BCX9930 (twice-daily) administered for 24 weeks in patients with either C3G, IgAN, or PMN.  All patients will be enrolled into one of three parallel study cohorts, based on confirmation of diagnosis and disease activity in a recent kidney biopsy, and will receive BCX9930 for the 24-week treatment period.  The primary endpoint of RENEW is percent change from baseline in 24-hour urine protein-to-creatinine ratio (uPCR), as assessed at week 24.</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BCX9930 has received Orphan Drug and Fast Track designations from the FDA for the treatment of PNH. Orphan drug designation qualifies BCX9930 for various development incentives, including tax credits for certain clinical costs, a waiver of the new drug application fee, and a designated period of market exclusivity following approval. According to the FDA, the purpose of the Fast Track designation is to get important new drugs to patients earlier by facilitating the development, and expediting the review, of drugs to treat serious conditions and meet an unmet medical need.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the RPI Royalty Purchase Agreements, RPI will be entitled to receive tiered, sales-based royalties on net product sales, if any, of BCX9930 and another earlier stage Factor D inhibitor, as well has tiered, profit share amounts of up to 3.0% from certain other permitted sales in certain markets. See “Note 8⸻Royalty Monetizations⸻ORLADEYO and Factor D Inhibitors” in the Notes to Consolidated Financial Statements in Part II, Item 8 of this report for additional information about our obligations under the RPI Royalty Purchase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Fibrodysplasia Ossificans Progressiva (</w:t>
      </w:r>
      <w:r>
        <w:rPr>
          <w:rFonts w:ascii="Times New Roman" w:hAnsi="Times New Roman"/>
          <w:caps w:val="false"/>
          <w:smallCaps w:val="false"/>
          <w:sz w:val="20"/>
        </w:rPr>
        <w:t>“</w:t>
      </w:r>
      <w:r>
        <w:rPr>
          <w:rFonts w:ascii="Times New Roman" w:hAnsi="Times New Roman"/>
          <w:b/>
          <w:i/>
          <w:caps w:val="false"/>
          <w:smallCaps w:val="false"/>
          <w:sz w:val="20"/>
        </w:rPr>
        <w:t>FOP</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FOP is an ultra-rare disease that affects approximately 1 in 2 million people worldwide. It is a severely disabling condition characterized by the irregular formation of bone outside the normal skeleton, also known as heterotopic ossification (“HO”). HO can occur in muscles, tendons and soft tissue. FOP patients progressively become bound by this irregular ossification, with restricted movement and fused joints, resulting in deformities and premature mortality. In patients with FOP, minor trauma can result in rapid development of painful inflammatory masses. These progress over several weeks resulting in the replacement of the affected soft tissue by permanent bone masses. There is no cure for this condition, and there are no approved treatments for FOP in the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2018, we announced the advancement of a program exploring activin receptor-like kinase-2 (“ALK2”) inhibitors for treatment of FOP. ALK2 enzyme is a part of the normal signaling pathway for bone formation and responds to binding its specific ligands (bone morphogenic proteins, or BMPs), by stimulating normal bone growth and renewal in healthy children and adults. Specific activating mutations of the ALK2 gene are seen in all cases of FOP. An activating mutation in ALK2 is necessary for the disease to occur, making the ALK2 kinase an ideal drug target for treatment of FOP with an ALK2 kinase inhibitor.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goal of our ALK2 inhibitor program is to discover and develop orally administered kinase inhibitor drug candidates that are able to slow or prevent HO. In a phase 1 clinical trial in healthy volunteers, our lead compound, BCX9250, was safe and well tolerated at all doses studied, with linear and dose-proportional exposure supporting once-daily dosing.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Peramivir Injection (RAPIVAB, RAPIACTA, PERAMIFLU)</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RAPIVAB (peramivir injection) was developed under a $234.8 million contract from the Biomedical Advanced Research and Development Authority within the U.S. Department of Health and Human Services (“BARDA/HHS”). In January 2010, our partner, Shionogi, received the first approval for peramivir injection and launched it in Japan under the commercial name RAPIACTA. It is approved in Japan for the treatment of adults, children, and infants with uncomplicated seasonal influenza and those patients at high-risk for complications associated with influenza. In August 2010, our partner, Green Cross, received marketing and manufacturing approval from the Korean Food &amp; Drug Administration under the commercial name PERAMIFLU to treat patients with influenza A &amp; B viruses, including pandemic H1N1 and avian influenza. See “Collaborations and In-License Relationships” below for a discussion of these licensing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Peramivir was also approved in the United States in 2014, Taiwan in 2016, Canada in 2017, and Australia in 2018. A Supplemental New Drug Application (“sNDA”) was approved in the United States in February 2021, extending RAPIVAB’s availability for the treatment of acute uncomplicated influenza to pediatric patients six months and older. Prior to this approval, peramivir had been indicated in the United States for pediatric patients two years and older. In the United States, peramivir is indicated for the treatment of acute uncomplicated influenza in patients who have been symptomatic for no more than two days.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September 2018, the U.S. Department of Health and Human Services (“HHS”) awarded us a $34.7 million contract for the procurement of up to 50,000 doses of RAPIVAB over a five-year period to supply the Strategic National Stockpile for use in a public health emergency. We delivered 20,000 doses of RAPIVAB under this contract in 2019 for a total price of approximately $13.9 million. We delivered another 9,980 doses of RAPIVAB under this contract in 2021 for a total price of approximately $6.9 million. On September 1, 2021, we announced that HHS exercised its option to purchase an additional 10,000 doses of RAPIVAB under this contract for a total price of approximately $6.9 million. As a result, we expect to deliver at least one shipment of 10,000 doses within the contract in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Galidesivir (BCX4430)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Galidesivir is a broad-spectrum antiviral (“BSAV”) that has been shown to be active against more than 20 RNA viruses in nine different families, including filoviruses, togaviruses, bunyaviruses, arenaviruses, paramyxoviruses, coronaviruses and flaviviruses. In animal studies, galidesivir has demonstrated survival benefits against a variety of serious pathogens, including Marburg, Yellow Fever, Ebola, and Zika viruses and from exposures to aerosolized Marburg virus, an experimental condition designed to mimic an exposure scenario that could result during a bioterrorist attack.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objective of our BSAV program is to develop galidesivir as a broad-spectrum therapeutic for viruses that pose a threat to national health and security. The primary focus of the program is treatment of hemorrhagic fever viruses. Our galidesivir research program is currently being developed under contracts with the National Institute of Allergy and Infectious Diseases within the HHS (“NIAID/HHS”) and BARDA/HHS.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NIAID/HHS funding has supported galidesivir’s development as a treatment for Marburg virus, Yellow Fever and Ebola virus. Since September 2013, NIAID/HHS has supported the development of galidesivir as a therapeutic for Ebola and Marburg viruses. As of the date hereof, all options under our initial contract with NIAID/HHS have been awarded. The total amount under the initial contract, as amended, is $47.3 million, inclusive of the $1.4 million added to the contract in September 2021 to pay for certain additional costs, including additional manufacturing development costs and overhead. This is the commencement of the closing out of the initial contract.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contract we entered into with NIAID/HHS in August 2020 for the manufacture and evaluation of the safety, efficacy, and tolerability of galidesivir, with potential aggregate funding of up to $43.9 million if all contract options are exercised, remains ongoing. NIAID/HHS made an initial award of $6.3 million under this contract in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Since March 2015, BARDA/HHS has supported the development of galidesivir as a potential treatment for filoviruses. The total BARDA/HHS contract value to advance the program through toxicology studies and manufacturing work to support a new drug application is $39.1 million if all contract options are exercised. As of the date hereof, a total of $20.6 million has been awarded under exercised options within this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Collaborations and In-License Relationships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Torii Pharmaceutical Co., Ltd. (</w:t>
      </w:r>
      <w:r>
        <w:rPr>
          <w:rFonts w:ascii="Times New Roman" w:hAnsi="Times New Roman"/>
          <w:caps w:val="false"/>
          <w:smallCaps w:val="false"/>
          <w:sz w:val="20"/>
        </w:rPr>
        <w:t>“</w:t>
      </w:r>
      <w:r>
        <w:rPr>
          <w:rFonts w:ascii="Times New Roman" w:hAnsi="Times New Roman"/>
          <w:b/>
          <w:i/>
          <w:caps w:val="false"/>
          <w:smallCaps w:val="false"/>
          <w:sz w:val="20"/>
        </w:rPr>
        <w:t>Torii</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November 5, 2019, we entered into a Commercialization and License Agreement with Torii (the “Torii Agreement”), granting Torii the exclusive right to commercialize ORLADEYO for the prevention of HAE attacks in Japan. Under the Torii Agreement, we received an upfront, non-refundable payment of $22.0 million. We received an additional milestone payment of $15.0 million in the second quarter of 2021 upon receipt from the NHI of a reimbursement price approval for ORLADEYO.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the Torii Agreement, we are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us in the applicable calendar quarter. Torii’s royalty payment obligations commenced upon the first commercial sale of ORLADEYO in Japan and expire upon the later of (i) the tenth anniversary of the date of first commercial sale of ORLADEYO in Japan, (ii) the expiration of our patents covering ORLADEYO, and (iii) the expiration of regulatory exclusivity for ORLADEYO in Japan. We are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the Torii Agreement, we granted Torii a right of first negotiation (“ROFN”) to commercialize ORLADEYO in Japan for the acute treatment of HAE attacks if we develop ORLADEYO for such indication and to commercialize any additional kallikrein inhibitor that we may develop in the future for use in HAE in Japan. Under both ROFNs, if the parties do not agree to terms with respect to a definitive amendment to the Torii Agreement or new agreement, as applicable, the terms of the amendment or agreement would be set by a third-party arbitrator.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Shionogi &amp; Co., Ltd. (</w:t>
      </w:r>
      <w:r>
        <w:rPr>
          <w:rFonts w:ascii="Times New Roman" w:hAnsi="Times New Roman"/>
          <w:caps w:val="false"/>
          <w:smallCaps w:val="false"/>
          <w:sz w:val="20"/>
        </w:rPr>
        <w:t>“</w:t>
      </w:r>
      <w:r>
        <w:rPr>
          <w:rFonts w:ascii="Times New Roman" w:hAnsi="Times New Roman"/>
          <w:b/>
          <w:i/>
          <w:caps w:val="false"/>
          <w:smallCaps w:val="false"/>
          <w:sz w:val="20"/>
        </w:rPr>
        <w:t>Shionogi</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February 2007, we entered into a License, Development and Commercialization Agreement (as amended, supplemented or otherwise modified, the “Shionogi Agreement”), an exclusive license agreement with Shionogi to develop and commercialize peramivir in Japan for the treatment of seasonal and potentially life-threatening human influenza. In October 2008, we and Shionogi amended the Shionogi Agreement to expand the territory covered by the agreement to include Taiwan. Under the terms of the Shionogi Agreement, Shionogi obtained rights to injectable formulations of peramivir in Japan in exchange for a $14.0 million upfront payment. The license provided for development milestone payments (up to $21.0 million), which have all been paid, and for commercial milestone payments (up to $95.0 million) in addition to double-digit (between 10% and 20%) royalty payments on product sales of peramivir, in accordance with the terms of the Shionogi Agreement.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December 2017, we, on behalf of JPR Royalty Sub LLC, a wholly-owned subsidiary of BioCryst (“Royalty Sub”), instituted arbitration proceedings against Shionogi in order to resolve a dispute with Shionogi under the Shionogi Agreement regarding the achievement of sales milestones and escalating royalties. The arbitration proceedings concluded with the decision that no sales milestones had been achieved and that royalties would remain the same. The costs associated with the arbitration proceedings are recoverable from the assets of Royalty Sub in accordance with the terms of the Indenture and servicing agreement relating to the PhaRMA Notes (each as defined below under “Shionogi Royalty Monetization and Non-Recourse Notes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660"/>
        <w:rPr>
          <w:rFonts w:ascii="Times New Roman" w:hAnsi="Times New Roman"/>
          <w:caps w:val="false"/>
          <w:smallCaps w:val="false"/>
          <w:sz w:val="20"/>
        </w:rPr>
      </w:pPr>
      <w:r>
        <w:rPr>
          <w:rFonts w:ascii="Times New Roman" w:hAnsi="Times New Roman"/>
          <w:caps w:val="false"/>
          <w:smallCaps w:val="false"/>
          <w:sz w:val="20"/>
        </w:rPr>
        <w:t>Generally, all payments under the Shionogi Agreement are non-refundable and non-creditable, but they are subject to audit. Shionogi is responsible for all development, regulatory, and marketing costs in Japan. The term of the Shionogi Agreement is from February 28, 2007 until terminated. Either party may terminate the Shionogi Agreement in the event of an uncured breach. Shionogi has the right of termination without cause. In the event of termination, all license and rights granted to Shionogi shall terminate and shall revert back to us. We developed peramivir under a license from the University of Alabama Birmingham (“UAB”) and have paid sublicense payments to UAB on the upfront payments and will owe sublicense payments on any future event payments and/or royalties received by us from Shionogi.</w:t>
      </w:r>
    </w:p>
    <w:p>
      <w:pPr>
        <w:pStyle w:val="TextBody"/>
        <w:spacing w:before="0" w:after="0"/>
        <w:ind w:left="0" w:right="0" w:firstLine="66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540" w:right="0" w:hanging="0"/>
        <w:jc w:val="both"/>
        <w:rPr>
          <w:rFonts w:ascii="Times New Roman" w:hAnsi="Times New Roman"/>
          <w:caps w:val="false"/>
          <w:smallCaps w:val="false"/>
          <w:sz w:val="20"/>
        </w:rPr>
      </w:pPr>
      <w:r>
        <w:rPr>
          <w:rFonts w:ascii="Times New Roman" w:hAnsi="Times New Roman"/>
          <w:i/>
          <w:caps w:val="false"/>
          <w:smallCaps w:val="false"/>
          <w:sz w:val="20"/>
        </w:rPr>
        <w:t>Shionogi Royalty Monetization and Non-Recourse Notes Payable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March 9, 2011, we completed a $30.0 million financing transaction to monetize certain future royalty and milestone payments under the Shionogi Agreement. Pursuant to the transaction, Royalty Sub issued $30.0 million in aggregate principal amount of its PhaRMA Senior Secured 14.0% Notes due 2020 (the “PhaRMA Notes”) in a private placement to institutional investors. The PhaRMA Notes were issued under an indenture, dated as of March 9, 2011 (the “Indenture”), by and between Royalty Sub and U.S. Bank National Association, as Trustee. We received net proceeds of $22.7 million from this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As part of the transaction, we entered into a purchase and sale agreement, dated as of March 9, 2011, with Royalty Sub, whereby we transferred to Royalty Sub, among other things, (i) our rights to receive commercial royalty and milestone payments from Shionogi under the Shionogi Agreement and (ii) the right to receive payments under a Japanese yen/US dollar foreign currency hedge arrangement, which was put into place by us in connection with the transaction and expired in November 2020. Royalty payments are paid by Shionogi in Japanese yen, and milestone payments are paid in U.S. dollars. Our collaboration with Shionogi was not impacted by this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Principal and interest on the PhaRMA Notes are payable from, and are secured by the rights to royalty and milestone payments under the Shionogi Agreement, which were transferred by us to Royalty Sub. The PhaRMA Notes bear interest at 14.0% per annum, payable annually in arrears on September 1st of each year (the “Payment Date”). We remain entitled to receive any royalties and milestone payments related to sales of peramivir by Shionogi following repayment by Royalty Sub of the PhaRMA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Royalty Sub’s obligations to pay principal and interest on the PhaRMA Notes are obligations solely of Royalty Sub and are without recourse to any other person, including the Company, except to the extent of our pledge of our equity interests in Royalty Sub in support of the PhaRMA Notes. We may, but are not obligated to, make capital contributions to a capital account that may be used to redeem, or on up to one occasion pay any interest shortfall on, the PhaRMA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September 2014, Royalty Sub was unable to pay the full amount of interest payable in September 2013 by the next succeeding payment date for the PhaRMA Notes, which was September 1, 2014. This inability constituted an event of default under the terms of the Indenture. Accordingly, we classified the PhaRMA Notes and related accrued interest as current liabilities on our balance sheet since that time. The PhaRMA Notes matured on December 1, 2020, at which time the outstanding principal amount of the PhaRMA Notes of $30.0 million, together with all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As a result of the continuing events of default under the PhaRMA Notes, the holders of the PhaRMA Notes may foreclose on the collateral securing the PhaRMA Notes and our equity interests in Royalty Sub, and they may exercise other remedies available to them under the Indenture in respect of the PhaRMA Notes. In such event, we may not realize the benefit of future royalty payments, if any, that might otherwise accrue to us following repayment of the PhaRMA Notes and we might otherwise be adversely affected.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there can be no assurance that this will be the case or that we will not otherwise be adversely affected as a result of the continuing events of default under the PhaRMA Notes.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As of December 31, 2021, the PhaRMA Notes remained in default. We wrote off the balance due under the PhaRMA Notes to other income as a debt extinguishment as of December 31, 2021. See “Note 8−Royalty Monetizations−RAPIACTA−Non-Recourse Notes Payable−Debt Extinguishment” in the Notes to Consolidated Financial Statements in Part II, Item 8 of this report for additional information about the write-off.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Green Cross Corporation (</w:t>
      </w:r>
      <w:r>
        <w:rPr>
          <w:rFonts w:ascii="Times New Roman" w:hAnsi="Times New Roman"/>
          <w:caps w:val="false"/>
          <w:smallCaps w:val="false"/>
          <w:sz w:val="20"/>
        </w:rPr>
        <w:t>“</w:t>
      </w:r>
      <w:r>
        <w:rPr>
          <w:rFonts w:ascii="Times New Roman" w:hAnsi="Times New Roman"/>
          <w:b/>
          <w:i/>
          <w:caps w:val="false"/>
          <w:smallCaps w:val="false"/>
          <w:sz w:val="20"/>
        </w:rPr>
        <w:t>Green Cross</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June 2006, we entered into an agreement with Green Cross to develop and commercialize peramivir in Korea. Under the terms of the agreement, Green Cross is responsible for all development, regulatory, and commercialization costs in Korea and we are entitled to share in profits resulting from the sale of peramivir in Korea, including the sale of peramivir to the Korean government for stockpiling purposes. Furthermore, Green Cross will pay us a premium over its cost to supply peramivir for development and any future marketing of peramivir products in Korea. Both parties have the right to terminate the agreement in the event of an uncured material breach. In the event of termination, all rights, data, materials, products, and other information would be transferred to us.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Albert Einstein College of Medicine of Yeshiva University and Industrial Research, Ltd. (</w:t>
      </w:r>
      <w:r>
        <w:rPr>
          <w:rFonts w:ascii="Times New Roman" w:hAnsi="Times New Roman"/>
          <w:caps w:val="false"/>
          <w:smallCaps w:val="false"/>
          <w:sz w:val="20"/>
        </w:rPr>
        <w:t>“</w:t>
      </w:r>
      <w:r>
        <w:rPr>
          <w:rFonts w:ascii="Times New Roman" w:hAnsi="Times New Roman"/>
          <w:b/>
          <w:i/>
          <w:caps w:val="false"/>
          <w:smallCaps w:val="false"/>
          <w:sz w:val="20"/>
        </w:rPr>
        <w:t>AECOM</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and </w:t>
      </w:r>
      <w:r>
        <w:rPr>
          <w:rFonts w:ascii="Times New Roman" w:hAnsi="Times New Roman"/>
          <w:caps w:val="false"/>
          <w:smallCaps w:val="false"/>
          <w:sz w:val="20"/>
        </w:rPr>
        <w:t>“</w:t>
      </w:r>
      <w:r>
        <w:rPr>
          <w:rFonts w:ascii="Times New Roman" w:hAnsi="Times New Roman"/>
          <w:b/>
          <w:i/>
          <w:caps w:val="false"/>
          <w:smallCaps w:val="false"/>
          <w:sz w:val="20"/>
        </w:rPr>
        <w:t>IRL,</w:t>
      </w:r>
      <w:r>
        <w:rPr>
          <w:rFonts w:ascii="Times New Roman" w:hAnsi="Times New Roman"/>
          <w:caps w:val="false"/>
          <w:smallCaps w:val="false"/>
          <w:sz w:val="20"/>
        </w:rPr>
        <w:t xml:space="preserve">” </w:t>
      </w:r>
      <w:r>
        <w:rPr>
          <w:rFonts w:ascii="Times New Roman" w:hAnsi="Times New Roman"/>
          <w:b/>
          <w:i/>
          <w:caps w:val="false"/>
          <w:smallCaps w:val="false"/>
          <w:sz w:val="20"/>
        </w:rPr>
        <w:t>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June 2000, we licensed a series of potent inhibitors of Purine Nucleoside Phosphorylase (“PNP”) from AECOM and IRL (together, the “Licensors”). The lead product candidate from this collaboration is forodesine. We have obtained worldwide exclusive rights to develop and ultimately distribute it, or any other, product candidates that might arise from research on these inhibitors. We have the option to expand our license agreement with the Licensors to include other inventions in the field made by the investigators or employees of the Licensors. Under this agreement, as amended and restated, we have agreed to use commercially reasonable efforts to develop these drugs and to pay certain milestone payments for each licensed product (which range in the aggregate from $1.4 million to almost $4.0 million per indication) for future development, single digit royalties on net sales of any resulting product made by us, and to share a portion of future payments received from other third-party partners, if any. In addition, we have agreed to pay annual license fees, which can range from $150,000 to $500,000, that are creditable against actual royalties and other payments due to the Licensors. The Licensors have also granted us an exclusive worldwide license of galidesivir for any antiviral use.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i/>
          <w:caps w:val="false"/>
          <w:smallCaps w:val="false"/>
          <w:sz w:val="20"/>
        </w:rPr>
        <w:t>The University of Alabama at Birmingham (</w:t>
      </w:r>
      <w:r>
        <w:rPr>
          <w:rFonts w:ascii="Times New Roman" w:hAnsi="Times New Roman"/>
          <w:caps w:val="false"/>
          <w:smallCaps w:val="false"/>
          <w:sz w:val="20"/>
        </w:rPr>
        <w:t>“</w:t>
      </w:r>
      <w:r>
        <w:rPr>
          <w:rFonts w:ascii="Times New Roman" w:hAnsi="Times New Roman"/>
          <w:b/>
          <w:i/>
          <w:caps w:val="false"/>
          <w:smallCaps w:val="false"/>
          <w:sz w:val="20"/>
        </w:rPr>
        <w:t>UAB</w:t>
      </w:r>
      <w:r>
        <w:rPr>
          <w:rFonts w:ascii="Times New Roman" w:hAnsi="Times New Roman"/>
          <w:caps w:val="false"/>
          <w:smallCaps w:val="false"/>
          <w:sz w:val="20"/>
        </w:rPr>
        <w:t>”</w:t>
      </w:r>
      <w:r>
        <w:rPr>
          <w:rFonts w:ascii="Times New Roman" w:hAnsi="Times New Roman"/>
          <w:b/>
          <w:i/>
          <w:caps w:val="false"/>
          <w:smallCaps w:val="false"/>
          <w:sz w:val="20"/>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currently have agreements with UAB for influenza neuraminidase and complement inhibitors. Under the terms of these agreements, UAB performed specific research for us in return for research payments and license fees. UAB has granted us certain rights to any discoveries in these areas resulting from research developed by UAB or jointly developed with us. We have agreed to pay single digit royalties on sales of any resulting product and to share in future payments received from other third-party partners. We have completed the research under the UAB agreements. These two agreements have initial 25-year terms, are automatically renewable for five-year terms throughout the life of the last patent and are terminable by us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us and UAB on these agreements, but when we license this technology, such as in the case of the Shionogi and Green Cross agreements, or commercialize products related to these programs, we will owe sublicense fees or royalties on amounts received.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Government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RAPIVAB (Peramivir Injection)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September 2018, HHS awarded us a $34.7 million contract for the procurement of up to 50,000 doses of RAPIVAB over a five-year period, including an initial base order of 10,000 doses. In each of September 2019, 2020, and 2021, HHS exercised its options to purchase an additional 10,000 doses of RAPIVAB. We delivered a total of 20,000 doses of RAPIVAB and recorded approximately $13.9 million of product sales in 2019. In 2021, we delivered another shipment of 9,980 doses within the contract, totaling approximately $6.9 million in product sales. We expect to deliver at least one shipment of 10,000 doses within the contract in 2022, totaling approximately $6.9 million in product sales. The RAPIVAB purchases by HHS will supply the Strategic National Stockpile, the nation’s largest supply of life-saving pharmaceuticals and medical supplies for use in a public health emergency.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Galidesivir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March 2015, BARDA/HHS awarded us a contract for the continued development of galidesivir as a potential treatment for diseases caused by RNA pathogens, including filoviruses. This BARDA/HHS contract has a potential value of $39.1 million if all contract options are exercised. As of the date of this report, a total of $20.6 million has been awarded under exercised options within this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September 2013, NIAID/HHS contracted with us for the development of galidesivir as a treatment for Marburg, and subsequently, Yellow Fever and Ebola virus disease. All options under this contract have been awarded, and the total value of the contract, as amended, is $47.3 million, inclusive of the $1.4 million added to the contract in September 2021 to pay for certain additional costs, including additional manufacturing development costs and overhead. This contract is in the process of being closed out.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August 2020, NIAID/HHS awarded us a new $43.9 million contract for the manufacture and evaluation of the safety, efficacy, and tolerability of galidesivir. NIAID/HHS made an initial award of $6.3 million under this new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contracts with BARDA/HHS and NIAID/HHS are cost-plus-fixed-fee contracts. That is, we are entitled to receive reimbursement for all costs incurred in accordance with the contracts provisions that are related to the development of peramivir and galidesivir plus a fixed fee, or profit. BARDA/HHS and NIAID/HHS will make periodic assessments of progress and the continuation of the contract is based on our performance, the timeliness and quality of deliverables, and other factors. The government has rights under certain contract clauses to terminate these contracts. These contracts are also terminable by the government at any time for breach or without cause.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Patents and Proprietary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success will depend in part on our ability to obtain and enforce patent protection for our products, methods, processes, and other proprietary technologies, preserve our trade secrets, and operate without infringing on the proprietary rights of other parties, both in the United States and in other countries. We own or have rights to certain proprietary information, proprietary technology, issued and allowed patents and patent applications which relate to compounds we are developing. We actively seek, when appropriate, protection for our products, proprietary technology, and proprietary information by means of U.S. and foreign patents, trademarks, and contractual arrangements. In addition, we rely upon trade secrets and contractual arrangements to protect certain of our proprietary information, proprietary technology, and products and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patent positions of companies like ours are generally uncertain and involve complex legal and factual questions. Our ability to maintain and solidify our proprietary position for our technology will depend on our success in obtaining effective patent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rendered unenforceable or circumvented, which could limit our ability to stop competitors from marketing related products or the length of term of patent protection that we may have for our products. In addition, the rights granted under any issued patents may not provide us with competitive advantages against competitors with similar compounds or technology. Furthermore, our competitors may independently develop similar technologies or duplicate any technology developed by us in a manner that does not infringe our patents or other intellectual property. Because of the extensive time required for development, testing and regulatory review of a potential product, it is possible that, before any of our product candidates or those developed by our partners can be commercialized, any related patent may expire or remain in force for only a short period following commercialization, thereby reducing any advantage of the patent.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As of December 31, 2021, we have been issued approximately 28 U.S. patents that expire between 2023 and 2039 and that relate to our kallikrein inhibitor compounds, neuraminidase inhibitor compounds, BSAV compounds, PNP inhibitor compounds, and complement-mediated disease program compounds. We have licensed a number of compounds protected by certain composition of matter patents from AECOM and IRL, totaling three additional U.S. patents that expire between 2023 and 2029. Additionally, we have approximately 25 Patent Cooperation Treaty or U.S. patent applications pending related to kallikrein inhibitor compounds, neuraminidase inhibitor compounds, BSAV compounds, PNP inhibitor compounds, FOP program compounds, and complement-mediated disease program compounds. Our pending applications may not result in issued patents, our patents may not cover the products of interest or may not be enforceable in all, or any jurisdictions and our patents may not provide us with sufficient protection against competitive products or otherwise be commercially viable. After expiration of composition of matter patents for our products and product candidates, we may rely on data exclusivity, or in some cases, method of use patents. The enforceability of these patents varies from jurisdiction to jurisdiction and may not be allowed or enforceable in some territories where we may seek approval. We may not have the funds to continue patent prosecution or to defend all of our existing patents in our current patent estate and may selectively abandon patents or patent families worldwide or in certain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success is also dependent upon the skills, knowledge and experience of our scientific and technical personnel, none of which is patentable. To help protect our rights, we require all employees, consultants, advisors and partners to enter into confidentiality agreements, which prohibit the disclosure of confidential information to anyone outside of BioCryst and, where possible,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pharmaceutical and biotechnology industries are intensely competitive. Many companies, including biotechnology, chemical and pharmaceutical companies, are actively engaged in activities similar to ours, including research, development, and commercialization of drugs for the treatment of rare medical conditions. Many of these companies have substantially greater financial and other resources, larger research and development staffs, and more extensive commercial and manufacturing organizations than we do. In addition, many have considerable experience in preclinical testing, clinical trials, and other regulatory approval procedures. In addition, there are also academic institutions, governmental agencies and other research organizations who conduct research in areas in which we are working. We expect to encounter significant competition for any of the pharmaceutical products we plan to develop. Companies that successfully complete clinical trials, obtain required regulatory approvals, and commence commercial marketing and sales of their products may achieve a significant competitive advantage.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order to compete successfully, we must develop proprietary positions in patented drugs for therapeutic markets that have not been satisfactorily addressed by conventional research strategies and, in the process, expand our expertise in structure-based drug design. Our product candidates, even if successfully tested and developed, may not be adopted by physicians over other products and may not offer economically feasible alternatives to other therapies.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HAE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HAE is an autosomal dominant disease characterized by painful, unpredictable, recurrent attacks of inflammation affecting the hands, feet, face, abdomen, urogenital tract, and the larynx. The inflammation can be disfiguring, debilitating, or in the case of laryngeal attacks, life-threatening. Prevalence for HAE is uncertain but is estimated to be approximately 1 case per 33,000 to 67,000 persons without known differences among ethnic groups and is caused by deficient (Type I) or dysfunctional (Type II) levels of C1-Inhibitor (“C1-INH”), a naturally occurring molecule that is known to inhibit kallikrein, bradykinin, and other serine proteases in the blood. If left untreated, HAE can result in a mortality rate as high as 40% primarily due to upper airway obstruction. There are several licensed therapies for HAE, including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C1-INH replacement therapy is available as an acute therapy (Berinert®) and as a prophylactic therapy (Haegarda® and Cinryze®). These therapies are dosed subcutaneously and intravenously. Recombinant C1-INH (Ruconest®) is also available as an acute therapy.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Kallikrein Inhibitors ⸻ Kalbitor® (ecallantide) is a specific recombinant plasma kallikrein inhibitor that is dosed subcutaneously by healthcare providers to treat acute HAE attacks. Takhzyro® (lanadelumab-flyo) is a monoclonal antibody approved for prophylaxis of HAE attacks and can be self-administered as a subcutaneous injection.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Bradykinin receptor antagonist ⸻ Firazyr® (icatibant) and generic icatibant are indicated for the treatment of acute attacks and is administered by subcutaneous administration.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medications ⸻ Prophylactic administration of synthetic attenuated androgens (generically available as danazol or stanozolol) has been 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aware of a number of HAE therapies in clinical development that, if approved, may compete with ORLADEYO. These include: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845"/>
        <w:gridCol w:w="60"/>
        <w:gridCol w:w="2185"/>
        <w:gridCol w:w="60"/>
        <w:gridCol w:w="2448"/>
        <w:gridCol w:w="60"/>
        <w:gridCol w:w="1879"/>
        <w:gridCol w:w="60"/>
        <w:gridCol w:w="890"/>
        <w:gridCol w:w="60"/>
        <w:gridCol w:w="1658"/>
      </w:tblGrid>
      <w:tr>
        <w:trPr/>
        <w:tc>
          <w:tcPr>
            <w:tcW w:w="84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Company</w:t>
            </w:r>
          </w:p>
        </w:tc>
        <w:tc>
          <w:tcPr>
            <w:tcW w:w="60" w:type="dxa"/>
            <w:tcBorders/>
            <w:shd w:fill="auto" w:val="clear"/>
            <w:tcMar>
              <w:bottom w:w="0" w:type="dxa"/>
            </w:tcMar>
            <w:vAlign w:val="center"/>
          </w:tcPr>
          <w:p>
            <w:pPr>
              <w:pStyle w:val="TableContents"/>
              <w:spacing w:before="0" w:after="283"/>
              <w:rPr/>
            </w:pPr>
            <w:r>
              <w:rPr/>
              <w:t> </w:t>
            </w:r>
          </w:p>
        </w:tc>
        <w:tc>
          <w:tcPr>
            <w:tcW w:w="218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w:t>
            </w:r>
          </w:p>
        </w:tc>
        <w:tc>
          <w:tcPr>
            <w:tcW w:w="60" w:type="dxa"/>
            <w:tcBorders/>
            <w:shd w:fill="auto" w:val="clear"/>
            <w:tcMar>
              <w:bottom w:w="0" w:type="dxa"/>
            </w:tcMar>
            <w:vAlign w:val="center"/>
          </w:tcPr>
          <w:p>
            <w:pPr>
              <w:pStyle w:val="TableContents"/>
              <w:spacing w:before="0" w:after="283"/>
              <w:rPr/>
            </w:pPr>
            <w:r>
              <w:rPr/>
              <w:t> </w:t>
            </w:r>
          </w:p>
        </w:tc>
        <w:tc>
          <w:tcPr>
            <w:tcW w:w="2448"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Mechanism of Action</w:t>
            </w:r>
          </w:p>
        </w:tc>
        <w:tc>
          <w:tcPr>
            <w:tcW w:w="60" w:type="dxa"/>
            <w:tcBorders/>
            <w:shd w:fill="auto" w:val="clear"/>
            <w:tcMar>
              <w:bottom w:w="0" w:type="dxa"/>
            </w:tcMar>
            <w:vAlign w:val="center"/>
          </w:tcPr>
          <w:p>
            <w:pPr>
              <w:pStyle w:val="TableContents"/>
              <w:spacing w:before="0" w:after="283"/>
              <w:rPr/>
            </w:pPr>
            <w:r>
              <w:rPr/>
              <w:t> </w:t>
            </w:r>
          </w:p>
        </w:tc>
        <w:tc>
          <w:tcPr>
            <w:tcW w:w="1879"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Route of Administration</w:t>
            </w:r>
          </w:p>
        </w:tc>
        <w:tc>
          <w:tcPr>
            <w:tcW w:w="60" w:type="dxa"/>
            <w:tcBorders/>
            <w:shd w:fill="auto" w:val="clear"/>
            <w:tcMar>
              <w:bottom w:w="0" w:type="dxa"/>
            </w:tcMar>
            <w:vAlign w:val="center"/>
          </w:tcPr>
          <w:p>
            <w:pPr>
              <w:pStyle w:val="TableContents"/>
              <w:spacing w:before="0" w:after="283"/>
              <w:rPr/>
            </w:pPr>
            <w:r>
              <w:rPr/>
              <w:t> </w:t>
            </w:r>
          </w:p>
        </w:tc>
        <w:tc>
          <w:tcPr>
            <w:tcW w:w="89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Trial Phase</w:t>
            </w:r>
          </w:p>
        </w:tc>
        <w:tc>
          <w:tcPr>
            <w:tcW w:w="60" w:type="dxa"/>
            <w:tcBorders/>
            <w:shd w:fill="auto" w:val="clear"/>
            <w:tcMar>
              <w:bottom w:w="0" w:type="dxa"/>
            </w:tcMar>
            <w:vAlign w:val="center"/>
          </w:tcPr>
          <w:p>
            <w:pPr>
              <w:pStyle w:val="TableContents"/>
              <w:spacing w:before="0" w:after="283"/>
              <w:rPr/>
            </w:pPr>
            <w:r>
              <w:rPr/>
              <w:t> </w:t>
            </w:r>
          </w:p>
        </w:tc>
        <w:tc>
          <w:tcPr>
            <w:tcW w:w="1658"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Role in Therapy</w:t>
            </w:r>
          </w:p>
        </w:tc>
      </w:tr>
      <w:tr>
        <w:trPr/>
        <w:tc>
          <w:tcPr>
            <w:tcW w:w="84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KalVista</w:t>
            </w:r>
          </w:p>
        </w:tc>
        <w:tc>
          <w:tcPr>
            <w:tcW w:w="60" w:type="dxa"/>
            <w:tcBorders/>
            <w:shd w:fill="CCEEFF" w:val="clear"/>
            <w:tcMar>
              <w:bottom w:w="0" w:type="dxa"/>
            </w:tcMar>
            <w:vAlign w:val="center"/>
          </w:tcPr>
          <w:p>
            <w:pPr>
              <w:pStyle w:val="TableContents"/>
              <w:spacing w:before="0" w:after="283"/>
              <w:rPr/>
            </w:pPr>
            <w:r>
              <w:rPr/>
              <w:t> </w:t>
            </w:r>
          </w:p>
        </w:tc>
        <w:tc>
          <w:tcPr>
            <w:tcW w:w="218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KVD-900</w:t>
            </w:r>
          </w:p>
        </w:tc>
        <w:tc>
          <w:tcPr>
            <w:tcW w:w="60" w:type="dxa"/>
            <w:tcBorders/>
            <w:shd w:fill="CCEEFF" w:val="clear"/>
            <w:tcMar>
              <w:bottom w:w="0" w:type="dxa"/>
            </w:tcMar>
            <w:vAlign w:val="center"/>
          </w:tcPr>
          <w:p>
            <w:pPr>
              <w:pStyle w:val="TableContents"/>
              <w:spacing w:before="0" w:after="283"/>
              <w:rPr/>
            </w:pPr>
            <w:r>
              <w:rPr/>
              <w:t> </w:t>
            </w:r>
          </w:p>
        </w:tc>
        <w:tc>
          <w:tcPr>
            <w:tcW w:w="244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Kallikrein inhibitor</w:t>
            </w:r>
          </w:p>
        </w:tc>
        <w:tc>
          <w:tcPr>
            <w:tcW w:w="60" w:type="dxa"/>
            <w:tcBorders/>
            <w:shd w:fill="CCEEFF" w:val="clear"/>
            <w:tcMar>
              <w:bottom w:w="0" w:type="dxa"/>
            </w:tcMar>
            <w:vAlign w:val="center"/>
          </w:tcPr>
          <w:p>
            <w:pPr>
              <w:pStyle w:val="TableContents"/>
              <w:spacing w:before="0" w:after="283"/>
              <w:rPr/>
            </w:pPr>
            <w:r>
              <w:rPr/>
              <w:t> </w:t>
            </w:r>
          </w:p>
        </w:tc>
        <w:tc>
          <w:tcPr>
            <w:tcW w:w="1879"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CCEEFF" w:val="clear"/>
            <w:tcMar>
              <w:bottom w:w="0" w:type="dxa"/>
            </w:tcMar>
            <w:vAlign w:val="center"/>
          </w:tcPr>
          <w:p>
            <w:pPr>
              <w:pStyle w:val="TableContents"/>
              <w:spacing w:before="0" w:after="283"/>
              <w:rPr/>
            </w:pPr>
            <w:r>
              <w:rPr/>
              <w:t> </w:t>
            </w:r>
          </w:p>
        </w:tc>
        <w:tc>
          <w:tcPr>
            <w:tcW w:w="89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c>
          <w:tcPr>
            <w:tcW w:w="60" w:type="dxa"/>
            <w:tcBorders/>
            <w:shd w:fill="CCEEFF" w:val="clear"/>
            <w:tcMar>
              <w:bottom w:w="0" w:type="dxa"/>
            </w:tcMar>
            <w:vAlign w:val="center"/>
          </w:tcPr>
          <w:p>
            <w:pPr>
              <w:pStyle w:val="TableContents"/>
              <w:spacing w:before="0" w:after="283"/>
              <w:rPr/>
            </w:pPr>
            <w:r>
              <w:rPr/>
              <w:t> </w:t>
            </w:r>
          </w:p>
        </w:tc>
        <w:tc>
          <w:tcPr>
            <w:tcW w:w="165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Acute treatment</w:t>
            </w:r>
          </w:p>
        </w:tc>
      </w:tr>
      <w:tr>
        <w:trPr/>
        <w:tc>
          <w:tcPr>
            <w:tcW w:w="84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18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KVD-824</w:t>
            </w:r>
          </w:p>
        </w:tc>
        <w:tc>
          <w:tcPr>
            <w:tcW w:w="60" w:type="dxa"/>
            <w:tcBorders/>
            <w:shd w:fill="CCEEFF" w:val="clear"/>
            <w:tcMar>
              <w:bottom w:w="0" w:type="dxa"/>
            </w:tcMar>
            <w:vAlign w:val="center"/>
          </w:tcPr>
          <w:p>
            <w:pPr>
              <w:pStyle w:val="TableContents"/>
              <w:spacing w:before="0" w:after="283"/>
              <w:rPr/>
            </w:pPr>
            <w:r>
              <w:rPr/>
              <w:t> </w:t>
            </w:r>
          </w:p>
        </w:tc>
        <w:tc>
          <w:tcPr>
            <w:tcW w:w="244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Kallikrein inhibitor</w:t>
            </w:r>
          </w:p>
        </w:tc>
        <w:tc>
          <w:tcPr>
            <w:tcW w:w="60" w:type="dxa"/>
            <w:tcBorders/>
            <w:shd w:fill="CCEEFF" w:val="clear"/>
            <w:tcMar>
              <w:bottom w:w="0" w:type="dxa"/>
            </w:tcMar>
            <w:vAlign w:val="center"/>
          </w:tcPr>
          <w:p>
            <w:pPr>
              <w:pStyle w:val="TableContents"/>
              <w:spacing w:before="0" w:after="283"/>
              <w:rPr/>
            </w:pPr>
            <w:r>
              <w:rPr/>
              <w:t> </w:t>
            </w:r>
          </w:p>
        </w:tc>
        <w:tc>
          <w:tcPr>
            <w:tcW w:w="1879"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CCEEFF" w:val="clear"/>
            <w:tcMar>
              <w:bottom w:w="0" w:type="dxa"/>
            </w:tcMar>
            <w:vAlign w:val="center"/>
          </w:tcPr>
          <w:p>
            <w:pPr>
              <w:pStyle w:val="TableContents"/>
              <w:spacing w:before="0" w:after="283"/>
              <w:rPr/>
            </w:pPr>
            <w:r>
              <w:rPr/>
              <w:t> </w:t>
            </w:r>
          </w:p>
        </w:tc>
        <w:tc>
          <w:tcPr>
            <w:tcW w:w="89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c>
          <w:tcPr>
            <w:tcW w:w="60" w:type="dxa"/>
            <w:tcBorders/>
            <w:shd w:fill="CCEEFF" w:val="clear"/>
            <w:tcMar>
              <w:bottom w:w="0" w:type="dxa"/>
            </w:tcMar>
            <w:vAlign w:val="center"/>
          </w:tcPr>
          <w:p>
            <w:pPr>
              <w:pStyle w:val="TableContents"/>
              <w:spacing w:before="0" w:after="283"/>
              <w:rPr/>
            </w:pPr>
            <w:r>
              <w:rPr/>
              <w:t> </w:t>
            </w:r>
          </w:p>
        </w:tc>
        <w:tc>
          <w:tcPr>
            <w:tcW w:w="165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Prophylaxis</w:t>
            </w:r>
          </w:p>
        </w:tc>
      </w:tr>
      <w:tr>
        <w:trPr/>
        <w:tc>
          <w:tcPr>
            <w:tcW w:w="84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Pharvaris</w:t>
            </w:r>
          </w:p>
        </w:tc>
        <w:tc>
          <w:tcPr>
            <w:tcW w:w="60" w:type="dxa"/>
            <w:tcBorders/>
            <w:shd w:fill="FFFFFF" w:val="clear"/>
            <w:tcMar>
              <w:bottom w:w="0" w:type="dxa"/>
            </w:tcMar>
            <w:vAlign w:val="center"/>
          </w:tcPr>
          <w:p>
            <w:pPr>
              <w:pStyle w:val="TableContents"/>
              <w:spacing w:before="0" w:after="283"/>
              <w:rPr/>
            </w:pPr>
            <w:r>
              <w:rPr/>
              <w:t> </w:t>
            </w:r>
          </w:p>
        </w:tc>
        <w:tc>
          <w:tcPr>
            <w:tcW w:w="218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PHA121 (PHVS416/PHVS719)</w:t>
            </w:r>
          </w:p>
        </w:tc>
        <w:tc>
          <w:tcPr>
            <w:tcW w:w="60" w:type="dxa"/>
            <w:tcBorders/>
            <w:shd w:fill="FFFFFF" w:val="clear"/>
            <w:tcMar>
              <w:bottom w:w="0" w:type="dxa"/>
            </w:tcMar>
            <w:vAlign w:val="center"/>
          </w:tcPr>
          <w:p>
            <w:pPr>
              <w:pStyle w:val="TableContents"/>
              <w:spacing w:before="0" w:after="283"/>
              <w:rPr/>
            </w:pPr>
            <w:r>
              <w:rPr/>
              <w:t> </w:t>
            </w:r>
          </w:p>
        </w:tc>
        <w:tc>
          <w:tcPr>
            <w:tcW w:w="2448"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B2 bradykinin antagonist</w:t>
            </w:r>
          </w:p>
        </w:tc>
        <w:tc>
          <w:tcPr>
            <w:tcW w:w="60" w:type="dxa"/>
            <w:tcBorders/>
            <w:shd w:fill="FFFFFF" w:val="clear"/>
            <w:tcMar>
              <w:bottom w:w="0" w:type="dxa"/>
            </w:tcMar>
            <w:vAlign w:val="center"/>
          </w:tcPr>
          <w:p>
            <w:pPr>
              <w:pStyle w:val="TableContents"/>
              <w:spacing w:before="0" w:after="283"/>
              <w:rPr/>
            </w:pPr>
            <w:r>
              <w:rPr/>
              <w:t> </w:t>
            </w:r>
          </w:p>
        </w:tc>
        <w:tc>
          <w:tcPr>
            <w:tcW w:w="1879"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FFFFFF" w:val="clear"/>
            <w:tcMar>
              <w:bottom w:w="0" w:type="dxa"/>
            </w:tcMar>
            <w:vAlign w:val="center"/>
          </w:tcPr>
          <w:p>
            <w:pPr>
              <w:pStyle w:val="TableContents"/>
              <w:spacing w:before="0" w:after="283"/>
              <w:rPr/>
            </w:pPr>
            <w:r>
              <w:rPr/>
              <w:t> </w:t>
            </w:r>
          </w:p>
        </w:tc>
        <w:tc>
          <w:tcPr>
            <w:tcW w:w="89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c>
          <w:tcPr>
            <w:tcW w:w="60" w:type="dxa"/>
            <w:tcBorders/>
            <w:shd w:fill="FFFFFF" w:val="clear"/>
            <w:tcMar>
              <w:bottom w:w="0" w:type="dxa"/>
            </w:tcMar>
            <w:vAlign w:val="center"/>
          </w:tcPr>
          <w:p>
            <w:pPr>
              <w:pStyle w:val="TableContents"/>
              <w:spacing w:before="0" w:after="283"/>
              <w:rPr/>
            </w:pPr>
            <w:r>
              <w:rPr/>
              <w:t> </w:t>
            </w:r>
          </w:p>
        </w:tc>
        <w:tc>
          <w:tcPr>
            <w:tcW w:w="1658"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Acute and Prophylaxis</w:t>
            </w:r>
          </w:p>
        </w:tc>
      </w:tr>
      <w:tr>
        <w:trPr/>
        <w:tc>
          <w:tcPr>
            <w:tcW w:w="84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Attune</w:t>
            </w:r>
          </w:p>
        </w:tc>
        <w:tc>
          <w:tcPr>
            <w:tcW w:w="60" w:type="dxa"/>
            <w:tcBorders/>
            <w:shd w:fill="CCEEFF" w:val="clear"/>
            <w:tcMar>
              <w:bottom w:w="0" w:type="dxa"/>
            </w:tcMar>
            <w:vAlign w:val="center"/>
          </w:tcPr>
          <w:p>
            <w:pPr>
              <w:pStyle w:val="TableContents"/>
              <w:spacing w:before="0" w:after="283"/>
              <w:rPr/>
            </w:pPr>
            <w:r>
              <w:rPr/>
              <w:t> </w:t>
            </w:r>
          </w:p>
        </w:tc>
        <w:tc>
          <w:tcPr>
            <w:tcW w:w="218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ATN-249</w:t>
            </w:r>
          </w:p>
        </w:tc>
        <w:tc>
          <w:tcPr>
            <w:tcW w:w="60" w:type="dxa"/>
            <w:tcBorders/>
            <w:shd w:fill="CCEEFF" w:val="clear"/>
            <w:tcMar>
              <w:bottom w:w="0" w:type="dxa"/>
            </w:tcMar>
            <w:vAlign w:val="center"/>
          </w:tcPr>
          <w:p>
            <w:pPr>
              <w:pStyle w:val="TableContents"/>
              <w:spacing w:before="0" w:after="283"/>
              <w:rPr/>
            </w:pPr>
            <w:r>
              <w:rPr/>
              <w:t> </w:t>
            </w:r>
          </w:p>
        </w:tc>
        <w:tc>
          <w:tcPr>
            <w:tcW w:w="244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Kallikrein inhibitor</w:t>
            </w:r>
          </w:p>
        </w:tc>
        <w:tc>
          <w:tcPr>
            <w:tcW w:w="60" w:type="dxa"/>
            <w:tcBorders/>
            <w:shd w:fill="CCEEFF" w:val="clear"/>
            <w:tcMar>
              <w:bottom w:w="0" w:type="dxa"/>
            </w:tcMar>
            <w:vAlign w:val="center"/>
          </w:tcPr>
          <w:p>
            <w:pPr>
              <w:pStyle w:val="TableContents"/>
              <w:spacing w:before="0" w:after="283"/>
              <w:rPr/>
            </w:pPr>
            <w:r>
              <w:rPr/>
              <w:t> </w:t>
            </w:r>
          </w:p>
        </w:tc>
        <w:tc>
          <w:tcPr>
            <w:tcW w:w="1879"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CCEEFF" w:val="clear"/>
            <w:tcMar>
              <w:bottom w:w="0" w:type="dxa"/>
            </w:tcMar>
            <w:vAlign w:val="center"/>
          </w:tcPr>
          <w:p>
            <w:pPr>
              <w:pStyle w:val="TableContents"/>
              <w:spacing w:before="0" w:after="283"/>
              <w:rPr/>
            </w:pPr>
            <w:r>
              <w:rPr/>
              <w:t> </w:t>
            </w:r>
          </w:p>
        </w:tc>
        <w:tc>
          <w:tcPr>
            <w:tcW w:w="89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tc>
        <w:tc>
          <w:tcPr>
            <w:tcW w:w="60" w:type="dxa"/>
            <w:tcBorders/>
            <w:shd w:fill="CCEEFF" w:val="clear"/>
            <w:tcMar>
              <w:bottom w:w="0" w:type="dxa"/>
            </w:tcMar>
            <w:vAlign w:val="center"/>
          </w:tcPr>
          <w:p>
            <w:pPr>
              <w:pStyle w:val="TableContents"/>
              <w:spacing w:before="0" w:after="283"/>
              <w:rPr/>
            </w:pPr>
            <w:r>
              <w:rPr/>
              <w:t> </w:t>
            </w:r>
          </w:p>
        </w:tc>
        <w:tc>
          <w:tcPr>
            <w:tcW w:w="165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Prophylaxis</w:t>
            </w:r>
          </w:p>
        </w:tc>
      </w:tr>
      <w:tr>
        <w:trPr/>
        <w:tc>
          <w:tcPr>
            <w:tcW w:w="84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CSL</w:t>
            </w:r>
          </w:p>
        </w:tc>
        <w:tc>
          <w:tcPr>
            <w:tcW w:w="60" w:type="dxa"/>
            <w:tcBorders/>
            <w:shd w:fill="FFFFFF" w:val="clear"/>
            <w:tcMar>
              <w:bottom w:w="0" w:type="dxa"/>
            </w:tcMar>
            <w:vAlign w:val="center"/>
          </w:tcPr>
          <w:p>
            <w:pPr>
              <w:pStyle w:val="TableContents"/>
              <w:spacing w:before="0" w:after="283"/>
              <w:rPr/>
            </w:pPr>
            <w:r>
              <w:rPr/>
              <w:t> </w:t>
            </w:r>
          </w:p>
        </w:tc>
        <w:tc>
          <w:tcPr>
            <w:tcW w:w="218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Garadacimab</w:t>
            </w:r>
          </w:p>
        </w:tc>
        <w:tc>
          <w:tcPr>
            <w:tcW w:w="60" w:type="dxa"/>
            <w:tcBorders/>
            <w:shd w:fill="FFFFFF" w:val="clear"/>
            <w:tcMar>
              <w:bottom w:w="0" w:type="dxa"/>
            </w:tcMar>
            <w:vAlign w:val="center"/>
          </w:tcPr>
          <w:p>
            <w:pPr>
              <w:pStyle w:val="TableContents"/>
              <w:spacing w:before="0" w:after="283"/>
              <w:rPr/>
            </w:pPr>
            <w:r>
              <w:rPr/>
              <w:t> </w:t>
            </w:r>
          </w:p>
        </w:tc>
        <w:tc>
          <w:tcPr>
            <w:tcW w:w="2448"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Anti-factor XII mAb</w:t>
            </w:r>
          </w:p>
        </w:tc>
        <w:tc>
          <w:tcPr>
            <w:tcW w:w="60" w:type="dxa"/>
            <w:tcBorders/>
            <w:shd w:fill="FFFFFF" w:val="clear"/>
            <w:tcMar>
              <w:bottom w:w="0" w:type="dxa"/>
            </w:tcMar>
            <w:vAlign w:val="center"/>
          </w:tcPr>
          <w:p>
            <w:pPr>
              <w:pStyle w:val="TableContents"/>
              <w:spacing w:before="0" w:after="283"/>
              <w:rPr/>
            </w:pPr>
            <w:r>
              <w:rPr/>
              <w:t> </w:t>
            </w:r>
          </w:p>
        </w:tc>
        <w:tc>
          <w:tcPr>
            <w:tcW w:w="1879"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IV/Subcutaneous</w:t>
            </w:r>
          </w:p>
        </w:tc>
        <w:tc>
          <w:tcPr>
            <w:tcW w:w="60" w:type="dxa"/>
            <w:tcBorders/>
            <w:shd w:fill="FFFFFF" w:val="clear"/>
            <w:tcMar>
              <w:bottom w:w="0" w:type="dxa"/>
            </w:tcMar>
            <w:vAlign w:val="center"/>
          </w:tcPr>
          <w:p>
            <w:pPr>
              <w:pStyle w:val="TableContents"/>
              <w:spacing w:before="0" w:after="283"/>
              <w:rPr/>
            </w:pPr>
            <w:r>
              <w:rPr/>
              <w:t> </w:t>
            </w:r>
          </w:p>
        </w:tc>
        <w:tc>
          <w:tcPr>
            <w:tcW w:w="89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c>
          <w:tcPr>
            <w:tcW w:w="60" w:type="dxa"/>
            <w:tcBorders/>
            <w:shd w:fill="FFFFFF" w:val="clear"/>
            <w:tcMar>
              <w:bottom w:w="0" w:type="dxa"/>
            </w:tcMar>
            <w:vAlign w:val="center"/>
          </w:tcPr>
          <w:p>
            <w:pPr>
              <w:pStyle w:val="TableContents"/>
              <w:spacing w:before="0" w:after="283"/>
              <w:rPr/>
            </w:pPr>
            <w:r>
              <w:rPr/>
              <w:t> </w:t>
            </w:r>
          </w:p>
        </w:tc>
        <w:tc>
          <w:tcPr>
            <w:tcW w:w="1658"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Prophylaxis</w:t>
            </w:r>
          </w:p>
        </w:tc>
      </w:tr>
      <w:tr>
        <w:trPr/>
        <w:tc>
          <w:tcPr>
            <w:tcW w:w="84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Ionis</w:t>
            </w:r>
          </w:p>
        </w:tc>
        <w:tc>
          <w:tcPr>
            <w:tcW w:w="60" w:type="dxa"/>
            <w:tcBorders/>
            <w:shd w:fill="CCEEFF" w:val="clear"/>
            <w:tcMar>
              <w:bottom w:w="0" w:type="dxa"/>
            </w:tcMar>
            <w:vAlign w:val="center"/>
          </w:tcPr>
          <w:p>
            <w:pPr>
              <w:pStyle w:val="TableContents"/>
              <w:spacing w:before="0" w:after="283"/>
              <w:rPr/>
            </w:pPr>
            <w:r>
              <w:rPr/>
              <w:t> </w:t>
            </w:r>
          </w:p>
        </w:tc>
        <w:tc>
          <w:tcPr>
            <w:tcW w:w="218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Donidalorsen</w:t>
            </w:r>
          </w:p>
        </w:tc>
        <w:tc>
          <w:tcPr>
            <w:tcW w:w="60" w:type="dxa"/>
            <w:tcBorders/>
            <w:shd w:fill="CCEEFF" w:val="clear"/>
            <w:tcMar>
              <w:bottom w:w="0" w:type="dxa"/>
            </w:tcMar>
            <w:vAlign w:val="center"/>
          </w:tcPr>
          <w:p>
            <w:pPr>
              <w:pStyle w:val="TableContents"/>
              <w:spacing w:before="0" w:after="283"/>
              <w:rPr/>
            </w:pPr>
            <w:r>
              <w:rPr/>
              <w:t> </w:t>
            </w:r>
          </w:p>
        </w:tc>
        <w:tc>
          <w:tcPr>
            <w:tcW w:w="244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Antisense inhibitor of prekallikrein</w:t>
            </w:r>
          </w:p>
        </w:tc>
        <w:tc>
          <w:tcPr>
            <w:tcW w:w="60" w:type="dxa"/>
            <w:tcBorders/>
            <w:shd w:fill="CCEEFF" w:val="clear"/>
            <w:tcMar>
              <w:bottom w:w="0" w:type="dxa"/>
            </w:tcMar>
            <w:vAlign w:val="center"/>
          </w:tcPr>
          <w:p>
            <w:pPr>
              <w:pStyle w:val="TableContents"/>
              <w:spacing w:before="0" w:after="283"/>
              <w:rPr/>
            </w:pPr>
            <w:r>
              <w:rPr/>
              <w:t> </w:t>
            </w:r>
          </w:p>
        </w:tc>
        <w:tc>
          <w:tcPr>
            <w:tcW w:w="1879"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Subcutaneous</w:t>
            </w:r>
          </w:p>
        </w:tc>
        <w:tc>
          <w:tcPr>
            <w:tcW w:w="60" w:type="dxa"/>
            <w:tcBorders/>
            <w:shd w:fill="CCEEFF" w:val="clear"/>
            <w:tcMar>
              <w:bottom w:w="0" w:type="dxa"/>
            </w:tcMar>
            <w:vAlign w:val="center"/>
          </w:tcPr>
          <w:p>
            <w:pPr>
              <w:pStyle w:val="TableContents"/>
              <w:spacing w:before="0" w:after="283"/>
              <w:rPr/>
            </w:pPr>
            <w:r>
              <w:rPr/>
              <w:t> </w:t>
            </w:r>
          </w:p>
        </w:tc>
        <w:tc>
          <w:tcPr>
            <w:tcW w:w="89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c>
          <w:tcPr>
            <w:tcW w:w="60" w:type="dxa"/>
            <w:tcBorders/>
            <w:shd w:fill="CCEEFF" w:val="clear"/>
            <w:tcMar>
              <w:bottom w:w="0" w:type="dxa"/>
            </w:tcMar>
            <w:vAlign w:val="center"/>
          </w:tcPr>
          <w:p>
            <w:pPr>
              <w:pStyle w:val="TableContents"/>
              <w:spacing w:before="0" w:after="283"/>
              <w:rPr/>
            </w:pPr>
            <w:r>
              <w:rPr/>
              <w:t> </w:t>
            </w:r>
          </w:p>
        </w:tc>
        <w:tc>
          <w:tcPr>
            <w:tcW w:w="1658"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Prophylaxis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Complement-Mediated Diseases</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Several rare diseases are known to be mediated by defects of the complement system, including PNH, atypical hemolytic uremic syndrome (“aHUS”), complement 3 glomerulopathy (“C3G”), and myasthenia gravis. Alexion, AstraZeneca Rare Disease’s Soliris® (eculizumab) is a C5 inhibitor approved for PNH, aHUS, myasthenia gravis, and neuromyelitis optica spectrum disorder. Soliris had global sales of over $1.9 billion in 2021. Alexion also received FDA approval for Ultomiris® (ravulizumab), a longer-acting C5 inhibitor, as a treatment for PNH in late 2018 and aHUS in late 2019. Global sales for Ultomiris were $688 million in 2021. Apellis Pharmaceuticals, Inc.’s Empaveli® is a C3 inhibitor approved for PNH in the U.S. and Europe in 2021.</w:t>
      </w:r>
    </w:p>
    <w:p>
      <w:pPr>
        <w:pStyle w:val="TextBody"/>
        <w:spacing w:before="0" w:after="0"/>
        <w:ind w:left="0" w:right="0" w:firstLine="540"/>
        <w:rPr>
          <w:caps w:val="false"/>
          <w:smallCaps w:val="false"/>
        </w:rPr>
      </w:pPr>
      <w:r>
        <w:rPr>
          <w:caps w:val="false"/>
          <w:smallCaps w:val="false"/>
        </w:rPr>
        <w:t> </w:t>
      </w:r>
    </w:p>
    <w:p>
      <w:pPr>
        <w:pStyle w:val="TextBody"/>
        <w:spacing w:before="0" w:after="0"/>
        <w:ind w:left="500" w:right="0" w:hanging="0"/>
        <w:rPr>
          <w:rFonts w:ascii="Times New Roman" w:hAnsi="Times New Roman"/>
          <w:caps w:val="false"/>
          <w:smallCaps w:val="false"/>
          <w:sz w:val="20"/>
        </w:rPr>
      </w:pPr>
      <w:r>
        <w:rPr>
          <w:rFonts w:ascii="Times New Roman" w:hAnsi="Times New Roman"/>
          <w:caps w:val="false"/>
          <w:smallCaps w:val="false"/>
          <w:sz w:val="20"/>
        </w:rPr>
        <w:t>In addition to BCX9930, we are aware of a number of complement pathway-based products in development, which include:</w:t>
      </w:r>
    </w:p>
    <w:p>
      <w:pPr>
        <w:pStyle w:val="TextBody"/>
        <w:spacing w:before="0" w:after="0"/>
        <w:ind w:left="0" w:right="0" w:hanging="0"/>
        <w:rPr>
          <w:caps w:val="false"/>
          <w:smallCaps w:val="false"/>
        </w:rPr>
      </w:pPr>
      <w:r>
        <w:rPr>
          <w:caps w:val="false"/>
          <w:smallCaps w:val="false"/>
        </w:rPr>
        <w:t> </w:t>
      </w:r>
    </w:p>
    <w:tbl>
      <w:tblPr>
        <w:tblW w:w="8500" w:type="dxa"/>
        <w:jc w:val="left"/>
        <w:tblInd w:w="0" w:type="dxa"/>
        <w:tblCellMar>
          <w:top w:w="0" w:type="dxa"/>
          <w:left w:w="0" w:type="dxa"/>
          <w:bottom w:w="28" w:type="dxa"/>
          <w:right w:w="0" w:type="dxa"/>
        </w:tblCellMar>
      </w:tblPr>
      <w:tblGrid>
        <w:gridCol w:w="1265"/>
        <w:gridCol w:w="60"/>
        <w:gridCol w:w="2120"/>
        <w:gridCol w:w="60"/>
        <w:gridCol w:w="1805"/>
        <w:gridCol w:w="60"/>
        <w:gridCol w:w="2060"/>
        <w:gridCol w:w="60"/>
        <w:gridCol w:w="1010"/>
      </w:tblGrid>
      <w:tr>
        <w:trPr/>
        <w:tc>
          <w:tcPr>
            <w:tcW w:w="126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Company</w:t>
            </w:r>
          </w:p>
        </w:tc>
        <w:tc>
          <w:tcPr>
            <w:tcW w:w="60" w:type="dxa"/>
            <w:tcBorders/>
            <w:shd w:fill="auto" w:val="clear"/>
            <w:tcMar>
              <w:bottom w:w="0" w:type="dxa"/>
            </w:tcMar>
            <w:vAlign w:val="center"/>
          </w:tcPr>
          <w:p>
            <w:pPr>
              <w:pStyle w:val="TableContents"/>
              <w:spacing w:before="0" w:after="283"/>
              <w:rPr/>
            </w:pPr>
            <w:r>
              <w:rPr/>
              <w:t> </w:t>
            </w:r>
          </w:p>
        </w:tc>
        <w:tc>
          <w:tcPr>
            <w:tcW w:w="212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w:t>
            </w:r>
          </w:p>
        </w:tc>
        <w:tc>
          <w:tcPr>
            <w:tcW w:w="60" w:type="dxa"/>
            <w:tcBorders/>
            <w:shd w:fill="auto" w:val="clear"/>
            <w:tcMar>
              <w:bottom w:w="0" w:type="dxa"/>
            </w:tcMar>
            <w:vAlign w:val="center"/>
          </w:tcPr>
          <w:p>
            <w:pPr>
              <w:pStyle w:val="TableContents"/>
              <w:spacing w:before="0" w:after="283"/>
              <w:rPr/>
            </w:pPr>
            <w:r>
              <w:rPr/>
              <w:t> </w:t>
            </w:r>
          </w:p>
        </w:tc>
        <w:tc>
          <w:tcPr>
            <w:tcW w:w="180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Mechanism of Action</w:t>
            </w:r>
          </w:p>
        </w:tc>
        <w:tc>
          <w:tcPr>
            <w:tcW w:w="60" w:type="dxa"/>
            <w:tcBorders/>
            <w:shd w:fill="auto" w:val="clear"/>
            <w:tcMar>
              <w:bottom w:w="0" w:type="dxa"/>
            </w:tcMar>
            <w:vAlign w:val="center"/>
          </w:tcPr>
          <w:p>
            <w:pPr>
              <w:pStyle w:val="TableContents"/>
              <w:spacing w:before="0" w:after="283"/>
              <w:rPr/>
            </w:pPr>
            <w:r>
              <w:rPr/>
              <w:t> </w:t>
            </w:r>
          </w:p>
        </w:tc>
        <w:tc>
          <w:tcPr>
            <w:tcW w:w="206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Route of Administration</w:t>
            </w:r>
          </w:p>
        </w:tc>
        <w:tc>
          <w:tcPr>
            <w:tcW w:w="60" w:type="dxa"/>
            <w:tcBorders/>
            <w:shd w:fill="auto" w:val="clear"/>
            <w:tcMar>
              <w:bottom w:w="0" w:type="dxa"/>
            </w:tcMar>
            <w:vAlign w:val="center"/>
          </w:tcPr>
          <w:p>
            <w:pPr>
              <w:pStyle w:val="TableContents"/>
              <w:spacing w:before="0" w:after="283"/>
              <w:rPr/>
            </w:pPr>
            <w:r>
              <w:rPr/>
              <w:t> </w:t>
            </w:r>
          </w:p>
        </w:tc>
        <w:tc>
          <w:tcPr>
            <w:tcW w:w="10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Trial Phase</w:t>
            </w:r>
          </w:p>
        </w:tc>
      </w:tr>
      <w:tr>
        <w:trPr/>
        <w:tc>
          <w:tcPr>
            <w:tcW w:w="126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Apellis</w:t>
            </w:r>
          </w:p>
        </w:tc>
        <w:tc>
          <w:tcPr>
            <w:tcW w:w="60" w:type="dxa"/>
            <w:tcBorders/>
            <w:shd w:fill="CCEEFF" w:val="clear"/>
            <w:tcMar>
              <w:bottom w:w="0" w:type="dxa"/>
            </w:tcMar>
            <w:vAlign w:val="center"/>
          </w:tcPr>
          <w:p>
            <w:pPr>
              <w:pStyle w:val="TableContents"/>
              <w:spacing w:before="0" w:after="283"/>
              <w:rPr/>
            </w:pPr>
            <w:r>
              <w:rPr/>
              <w:t> </w:t>
            </w:r>
          </w:p>
        </w:tc>
        <w:tc>
          <w:tcPr>
            <w:tcW w:w="212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Empaveli</w:t>
            </w:r>
          </w:p>
        </w:tc>
        <w:tc>
          <w:tcPr>
            <w:tcW w:w="60" w:type="dxa"/>
            <w:tcBorders/>
            <w:shd w:fill="CCEEFF" w:val="clear"/>
            <w:tcMar>
              <w:bottom w:w="0" w:type="dxa"/>
            </w:tcMar>
            <w:vAlign w:val="center"/>
          </w:tcPr>
          <w:p>
            <w:pPr>
              <w:pStyle w:val="TableContents"/>
              <w:spacing w:before="0" w:after="283"/>
              <w:rPr/>
            </w:pPr>
            <w:r>
              <w:rPr/>
              <w:t> </w:t>
            </w:r>
          </w:p>
        </w:tc>
        <w:tc>
          <w:tcPr>
            <w:tcW w:w="18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C3 Inhibitor</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Subcutaneous</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Approved</w:t>
            </w:r>
          </w:p>
        </w:tc>
      </w:tr>
      <w:tr>
        <w:trPr/>
        <w:tc>
          <w:tcPr>
            <w:tcW w:w="126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Akari</w:t>
            </w:r>
          </w:p>
        </w:tc>
        <w:tc>
          <w:tcPr>
            <w:tcW w:w="60" w:type="dxa"/>
            <w:tcBorders/>
            <w:shd w:fill="FFFFFF" w:val="clear"/>
            <w:tcMar>
              <w:bottom w:w="0" w:type="dxa"/>
            </w:tcMar>
            <w:vAlign w:val="center"/>
          </w:tcPr>
          <w:p>
            <w:pPr>
              <w:pStyle w:val="TableContents"/>
              <w:spacing w:before="0" w:after="283"/>
              <w:rPr/>
            </w:pPr>
            <w:r>
              <w:rPr/>
              <w:t> </w:t>
            </w:r>
          </w:p>
        </w:tc>
        <w:tc>
          <w:tcPr>
            <w:tcW w:w="212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Nomacopan</w:t>
            </w:r>
          </w:p>
        </w:tc>
        <w:tc>
          <w:tcPr>
            <w:tcW w:w="60" w:type="dxa"/>
            <w:tcBorders/>
            <w:shd w:fill="FFFFFF" w:val="clear"/>
            <w:tcMar>
              <w:bottom w:w="0" w:type="dxa"/>
            </w:tcMar>
            <w:vAlign w:val="center"/>
          </w:tcPr>
          <w:p>
            <w:pPr>
              <w:pStyle w:val="TableContents"/>
              <w:spacing w:before="0" w:after="283"/>
              <w:rPr/>
            </w:pPr>
            <w:r>
              <w:rPr/>
              <w:t> </w:t>
            </w:r>
          </w:p>
        </w:tc>
        <w:tc>
          <w:tcPr>
            <w:tcW w:w="180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C5 Inhibitor</w:t>
            </w:r>
          </w:p>
        </w:tc>
        <w:tc>
          <w:tcPr>
            <w:tcW w:w="60" w:type="dxa"/>
            <w:tcBorders/>
            <w:shd w:fill="FFFFFF" w:val="clear"/>
            <w:tcMar>
              <w:bottom w:w="0" w:type="dxa"/>
            </w:tcMar>
            <w:vAlign w:val="center"/>
          </w:tcPr>
          <w:p>
            <w:pPr>
              <w:pStyle w:val="TableContents"/>
              <w:spacing w:before="0" w:after="283"/>
              <w:rPr/>
            </w:pPr>
            <w:r>
              <w:rPr/>
              <w:t> </w:t>
            </w:r>
          </w:p>
        </w:tc>
        <w:tc>
          <w:tcPr>
            <w:tcW w:w="20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Subcutaneous</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r>
      <w:tr>
        <w:trPr/>
        <w:tc>
          <w:tcPr>
            <w:tcW w:w="126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Roche</w:t>
            </w:r>
          </w:p>
        </w:tc>
        <w:tc>
          <w:tcPr>
            <w:tcW w:w="60" w:type="dxa"/>
            <w:tcBorders/>
            <w:shd w:fill="CCEEFF" w:val="clear"/>
            <w:tcMar>
              <w:bottom w:w="0" w:type="dxa"/>
            </w:tcMar>
            <w:vAlign w:val="center"/>
          </w:tcPr>
          <w:p>
            <w:pPr>
              <w:pStyle w:val="TableContents"/>
              <w:spacing w:before="0" w:after="283"/>
              <w:rPr/>
            </w:pPr>
            <w:r>
              <w:rPr/>
              <w:t> </w:t>
            </w:r>
          </w:p>
        </w:tc>
        <w:tc>
          <w:tcPr>
            <w:tcW w:w="212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Crovalimab (RG6107)</w:t>
            </w:r>
          </w:p>
        </w:tc>
        <w:tc>
          <w:tcPr>
            <w:tcW w:w="60" w:type="dxa"/>
            <w:tcBorders/>
            <w:shd w:fill="CCEEFF" w:val="clear"/>
            <w:tcMar>
              <w:bottom w:w="0" w:type="dxa"/>
            </w:tcMar>
            <w:vAlign w:val="center"/>
          </w:tcPr>
          <w:p>
            <w:pPr>
              <w:pStyle w:val="TableContents"/>
              <w:spacing w:before="0" w:after="283"/>
              <w:rPr/>
            </w:pPr>
            <w:r>
              <w:rPr/>
              <w:t> </w:t>
            </w:r>
          </w:p>
        </w:tc>
        <w:tc>
          <w:tcPr>
            <w:tcW w:w="18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C5 Inhibitor</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 / Subcutaneous</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r>
      <w:tr>
        <w:trPr/>
        <w:tc>
          <w:tcPr>
            <w:tcW w:w="126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Regeneron</w:t>
            </w:r>
          </w:p>
        </w:tc>
        <w:tc>
          <w:tcPr>
            <w:tcW w:w="60" w:type="dxa"/>
            <w:tcBorders/>
            <w:shd w:fill="FFFFFF" w:val="clear"/>
            <w:tcMar>
              <w:bottom w:w="0" w:type="dxa"/>
            </w:tcMar>
            <w:vAlign w:val="center"/>
          </w:tcPr>
          <w:p>
            <w:pPr>
              <w:pStyle w:val="TableContents"/>
              <w:spacing w:before="0" w:after="283"/>
              <w:rPr/>
            </w:pPr>
            <w:r>
              <w:rPr/>
              <w:t> </w:t>
            </w:r>
          </w:p>
        </w:tc>
        <w:tc>
          <w:tcPr>
            <w:tcW w:w="212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Pozelimab</w:t>
            </w:r>
          </w:p>
        </w:tc>
        <w:tc>
          <w:tcPr>
            <w:tcW w:w="60" w:type="dxa"/>
            <w:tcBorders/>
            <w:shd w:fill="FFFFFF" w:val="clear"/>
            <w:tcMar>
              <w:bottom w:w="0" w:type="dxa"/>
            </w:tcMar>
            <w:vAlign w:val="center"/>
          </w:tcPr>
          <w:p>
            <w:pPr>
              <w:pStyle w:val="TableContents"/>
              <w:spacing w:before="0" w:after="283"/>
              <w:rPr/>
            </w:pPr>
            <w:r>
              <w:rPr/>
              <w:t> </w:t>
            </w:r>
          </w:p>
        </w:tc>
        <w:tc>
          <w:tcPr>
            <w:tcW w:w="180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C5 Inhibitor</w:t>
            </w:r>
          </w:p>
        </w:tc>
        <w:tc>
          <w:tcPr>
            <w:tcW w:w="60" w:type="dxa"/>
            <w:tcBorders/>
            <w:shd w:fill="FFFFFF" w:val="clear"/>
            <w:tcMar>
              <w:bottom w:w="0" w:type="dxa"/>
            </w:tcMar>
            <w:vAlign w:val="center"/>
          </w:tcPr>
          <w:p>
            <w:pPr>
              <w:pStyle w:val="TableContents"/>
              <w:spacing w:before="0" w:after="283"/>
              <w:rPr/>
            </w:pPr>
            <w:r>
              <w:rPr/>
              <w:t> </w:t>
            </w:r>
          </w:p>
        </w:tc>
        <w:tc>
          <w:tcPr>
            <w:tcW w:w="20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 / Subcutaneous</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r>
      <w:tr>
        <w:trPr/>
        <w:tc>
          <w:tcPr>
            <w:tcW w:w="126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Omeros</w:t>
            </w:r>
          </w:p>
        </w:tc>
        <w:tc>
          <w:tcPr>
            <w:tcW w:w="60" w:type="dxa"/>
            <w:tcBorders/>
            <w:shd w:fill="CCEEFF" w:val="clear"/>
            <w:tcMar>
              <w:bottom w:w="0" w:type="dxa"/>
            </w:tcMar>
            <w:vAlign w:val="center"/>
          </w:tcPr>
          <w:p>
            <w:pPr>
              <w:pStyle w:val="TableContents"/>
              <w:spacing w:before="0" w:after="283"/>
              <w:rPr/>
            </w:pPr>
            <w:r>
              <w:rPr/>
              <w:t> </w:t>
            </w:r>
          </w:p>
        </w:tc>
        <w:tc>
          <w:tcPr>
            <w:tcW w:w="212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Narsoplimab</w:t>
            </w:r>
          </w:p>
        </w:tc>
        <w:tc>
          <w:tcPr>
            <w:tcW w:w="60" w:type="dxa"/>
            <w:tcBorders/>
            <w:shd w:fill="CCEEFF" w:val="clear"/>
            <w:tcMar>
              <w:bottom w:w="0" w:type="dxa"/>
            </w:tcMar>
            <w:vAlign w:val="center"/>
          </w:tcPr>
          <w:p>
            <w:pPr>
              <w:pStyle w:val="TableContents"/>
              <w:spacing w:before="0" w:after="283"/>
              <w:rPr/>
            </w:pPr>
            <w:r>
              <w:rPr/>
              <w:t> </w:t>
            </w:r>
          </w:p>
        </w:tc>
        <w:tc>
          <w:tcPr>
            <w:tcW w:w="18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MASP-2</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 / Subcutaneous</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BLA</w:t>
            </w:r>
          </w:p>
        </w:tc>
      </w:tr>
      <w:tr>
        <w:trPr/>
        <w:tc>
          <w:tcPr>
            <w:tcW w:w="126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12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OMS906</w:t>
            </w:r>
          </w:p>
        </w:tc>
        <w:tc>
          <w:tcPr>
            <w:tcW w:w="60" w:type="dxa"/>
            <w:tcBorders/>
            <w:shd w:fill="CCEEFF" w:val="clear"/>
            <w:tcMar>
              <w:bottom w:w="0" w:type="dxa"/>
            </w:tcMar>
            <w:vAlign w:val="center"/>
          </w:tcPr>
          <w:p>
            <w:pPr>
              <w:pStyle w:val="TableContents"/>
              <w:spacing w:before="0" w:after="283"/>
              <w:rPr/>
            </w:pPr>
            <w:r>
              <w:rPr/>
              <w:t> </w:t>
            </w:r>
          </w:p>
        </w:tc>
        <w:tc>
          <w:tcPr>
            <w:tcW w:w="18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MASP-3</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Subcutaneous</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tc>
      </w:tr>
      <w:tr>
        <w:trPr/>
        <w:tc>
          <w:tcPr>
            <w:tcW w:w="126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AstraZeneca</w:t>
            </w:r>
          </w:p>
        </w:tc>
        <w:tc>
          <w:tcPr>
            <w:tcW w:w="60" w:type="dxa"/>
            <w:tcBorders/>
            <w:shd w:fill="FFFFFF" w:val="clear"/>
            <w:tcMar>
              <w:bottom w:w="0" w:type="dxa"/>
            </w:tcMar>
            <w:vAlign w:val="center"/>
          </w:tcPr>
          <w:p>
            <w:pPr>
              <w:pStyle w:val="TableContents"/>
              <w:spacing w:before="0" w:after="283"/>
              <w:rPr/>
            </w:pPr>
            <w:r>
              <w:rPr/>
              <w:t> </w:t>
            </w:r>
          </w:p>
        </w:tc>
        <w:tc>
          <w:tcPr>
            <w:tcW w:w="212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Danicopan (ALXN2040)</w:t>
            </w:r>
          </w:p>
        </w:tc>
        <w:tc>
          <w:tcPr>
            <w:tcW w:w="60" w:type="dxa"/>
            <w:tcBorders/>
            <w:shd w:fill="FFFFFF" w:val="clear"/>
            <w:tcMar>
              <w:bottom w:w="0" w:type="dxa"/>
            </w:tcMar>
            <w:vAlign w:val="center"/>
          </w:tcPr>
          <w:p>
            <w:pPr>
              <w:pStyle w:val="TableContents"/>
              <w:spacing w:before="0" w:after="283"/>
              <w:rPr/>
            </w:pPr>
            <w:r>
              <w:rPr/>
              <w:t> </w:t>
            </w:r>
          </w:p>
        </w:tc>
        <w:tc>
          <w:tcPr>
            <w:tcW w:w="180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Factor D Inhibitor</w:t>
            </w:r>
          </w:p>
        </w:tc>
        <w:tc>
          <w:tcPr>
            <w:tcW w:w="60" w:type="dxa"/>
            <w:tcBorders/>
            <w:shd w:fill="FFFFFF" w:val="clear"/>
            <w:tcMar>
              <w:bottom w:w="0" w:type="dxa"/>
            </w:tcMar>
            <w:vAlign w:val="center"/>
          </w:tcPr>
          <w:p>
            <w:pPr>
              <w:pStyle w:val="TableContents"/>
              <w:spacing w:before="0" w:after="283"/>
              <w:rPr/>
            </w:pPr>
            <w:r>
              <w:rPr/>
              <w:t> </w:t>
            </w:r>
          </w:p>
        </w:tc>
        <w:tc>
          <w:tcPr>
            <w:tcW w:w="20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r>
      <w:tr>
        <w:trPr/>
        <w:tc>
          <w:tcPr>
            <w:tcW w:w="12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12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Vermicopan (ALXN2050)</w:t>
            </w:r>
          </w:p>
        </w:tc>
        <w:tc>
          <w:tcPr>
            <w:tcW w:w="60" w:type="dxa"/>
            <w:tcBorders/>
            <w:shd w:fill="auto" w:val="clear"/>
            <w:tcMar>
              <w:bottom w:w="0" w:type="dxa"/>
            </w:tcMar>
            <w:vAlign w:val="center"/>
          </w:tcPr>
          <w:p>
            <w:pPr>
              <w:pStyle w:val="TableContents"/>
              <w:spacing w:before="0" w:after="283"/>
              <w:rPr/>
            </w:pPr>
            <w:r>
              <w:rPr/>
              <w:t> </w:t>
            </w:r>
          </w:p>
        </w:tc>
        <w:tc>
          <w:tcPr>
            <w:tcW w:w="180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Factor D Inhibitor</w:t>
            </w:r>
          </w:p>
        </w:tc>
        <w:tc>
          <w:tcPr>
            <w:tcW w:w="60" w:type="dxa"/>
            <w:tcBorders/>
            <w:shd w:fill="auto" w:val="clear"/>
            <w:tcMar>
              <w:bottom w:w="0" w:type="dxa"/>
            </w:tcMar>
            <w:vAlign w:val="center"/>
          </w:tcPr>
          <w:p>
            <w:pPr>
              <w:pStyle w:val="TableContents"/>
              <w:spacing w:before="0" w:after="283"/>
              <w:rPr/>
            </w:pPr>
            <w:r>
              <w:rPr/>
              <w:t> </w:t>
            </w:r>
          </w:p>
        </w:tc>
        <w:tc>
          <w:tcPr>
            <w:tcW w:w="206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auto" w:val="clear"/>
            <w:tcMar>
              <w:bottom w:w="0" w:type="dxa"/>
            </w:tcMar>
            <w:vAlign w:val="center"/>
          </w:tcPr>
          <w:p>
            <w:pPr>
              <w:pStyle w:val="TableContents"/>
              <w:spacing w:before="0" w:after="283"/>
              <w:rPr/>
            </w:pPr>
            <w:r>
              <w:rPr/>
              <w:t> </w:t>
            </w:r>
          </w:p>
        </w:tc>
        <w:tc>
          <w:tcPr>
            <w:tcW w:w="101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r>
      <w:tr>
        <w:trPr/>
        <w:tc>
          <w:tcPr>
            <w:tcW w:w="126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Novartis</w:t>
            </w:r>
          </w:p>
        </w:tc>
        <w:tc>
          <w:tcPr>
            <w:tcW w:w="60" w:type="dxa"/>
            <w:tcBorders/>
            <w:shd w:fill="CCEEFF" w:val="clear"/>
            <w:tcMar>
              <w:bottom w:w="0" w:type="dxa"/>
            </w:tcMar>
            <w:vAlign w:val="center"/>
          </w:tcPr>
          <w:p>
            <w:pPr>
              <w:pStyle w:val="TableContents"/>
              <w:spacing w:before="0" w:after="283"/>
              <w:rPr/>
            </w:pPr>
            <w:r>
              <w:rPr/>
              <w:t> </w:t>
            </w:r>
          </w:p>
        </w:tc>
        <w:tc>
          <w:tcPr>
            <w:tcW w:w="212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Iptacopan (LNP023)</w:t>
            </w:r>
          </w:p>
        </w:tc>
        <w:tc>
          <w:tcPr>
            <w:tcW w:w="60" w:type="dxa"/>
            <w:tcBorders/>
            <w:shd w:fill="CCEEFF" w:val="clear"/>
            <w:tcMar>
              <w:bottom w:w="0" w:type="dxa"/>
            </w:tcMar>
            <w:vAlign w:val="center"/>
          </w:tcPr>
          <w:p>
            <w:pPr>
              <w:pStyle w:val="TableContents"/>
              <w:spacing w:before="0" w:after="283"/>
              <w:rPr/>
            </w:pPr>
            <w:r>
              <w:rPr/>
              <w:t> </w:t>
            </w:r>
          </w:p>
        </w:tc>
        <w:tc>
          <w:tcPr>
            <w:tcW w:w="18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Factor B Inhibitor</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r>
      <w:tr>
        <w:trPr/>
        <w:tc>
          <w:tcPr>
            <w:tcW w:w="126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12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Tesidolumab</w:t>
            </w:r>
          </w:p>
        </w:tc>
        <w:tc>
          <w:tcPr>
            <w:tcW w:w="60" w:type="dxa"/>
            <w:tcBorders/>
            <w:shd w:fill="CCEEFF" w:val="clear"/>
            <w:tcMar>
              <w:bottom w:w="0" w:type="dxa"/>
            </w:tcMar>
            <w:vAlign w:val="center"/>
          </w:tcPr>
          <w:p>
            <w:pPr>
              <w:pStyle w:val="TableContents"/>
              <w:spacing w:before="0" w:after="283"/>
              <w:rPr/>
            </w:pPr>
            <w:r>
              <w:rPr/>
              <w:t> </w:t>
            </w:r>
          </w:p>
        </w:tc>
        <w:tc>
          <w:tcPr>
            <w:tcW w:w="18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C5 Inhibitor</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r>
      <w:tr>
        <w:trPr/>
        <w:tc>
          <w:tcPr>
            <w:tcW w:w="126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ChemoCentryx</w:t>
            </w:r>
          </w:p>
        </w:tc>
        <w:tc>
          <w:tcPr>
            <w:tcW w:w="60" w:type="dxa"/>
            <w:tcBorders/>
            <w:shd w:fill="FFFFFF" w:val="clear"/>
            <w:tcMar>
              <w:bottom w:w="0" w:type="dxa"/>
            </w:tcMar>
            <w:vAlign w:val="center"/>
          </w:tcPr>
          <w:p>
            <w:pPr>
              <w:pStyle w:val="TableContents"/>
              <w:spacing w:before="0" w:after="283"/>
              <w:rPr/>
            </w:pPr>
            <w:r>
              <w:rPr/>
              <w:t> </w:t>
            </w:r>
          </w:p>
        </w:tc>
        <w:tc>
          <w:tcPr>
            <w:tcW w:w="212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Avacopan</w:t>
            </w:r>
          </w:p>
        </w:tc>
        <w:tc>
          <w:tcPr>
            <w:tcW w:w="60" w:type="dxa"/>
            <w:tcBorders/>
            <w:shd w:fill="FFFFFF" w:val="clear"/>
            <w:tcMar>
              <w:bottom w:w="0" w:type="dxa"/>
            </w:tcMar>
            <w:vAlign w:val="center"/>
          </w:tcPr>
          <w:p>
            <w:pPr>
              <w:pStyle w:val="TableContents"/>
              <w:spacing w:before="0" w:after="283"/>
              <w:rPr/>
            </w:pPr>
            <w:r>
              <w:rPr/>
              <w:t> </w:t>
            </w:r>
          </w:p>
        </w:tc>
        <w:tc>
          <w:tcPr>
            <w:tcW w:w="180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C5aR Inhibitor</w:t>
            </w:r>
          </w:p>
        </w:tc>
        <w:tc>
          <w:tcPr>
            <w:tcW w:w="60" w:type="dxa"/>
            <w:tcBorders/>
            <w:shd w:fill="FFFFFF" w:val="clear"/>
            <w:tcMar>
              <w:bottom w:w="0" w:type="dxa"/>
            </w:tcMar>
            <w:vAlign w:val="center"/>
          </w:tcPr>
          <w:p>
            <w:pPr>
              <w:pStyle w:val="TableContents"/>
              <w:spacing w:before="0" w:after="283"/>
              <w:rPr/>
            </w:pPr>
            <w:r>
              <w:rPr/>
              <w:t> </w:t>
            </w:r>
          </w:p>
        </w:tc>
        <w:tc>
          <w:tcPr>
            <w:tcW w:w="20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Approved</w:t>
            </w:r>
          </w:p>
        </w:tc>
      </w:tr>
      <w:tr>
        <w:trPr/>
        <w:tc>
          <w:tcPr>
            <w:tcW w:w="126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 / UCB</w:t>
            </w:r>
          </w:p>
        </w:tc>
        <w:tc>
          <w:tcPr>
            <w:tcW w:w="60" w:type="dxa"/>
            <w:tcBorders/>
            <w:shd w:fill="CCEEFF" w:val="clear"/>
            <w:tcMar>
              <w:bottom w:w="0" w:type="dxa"/>
            </w:tcMar>
            <w:vAlign w:val="center"/>
          </w:tcPr>
          <w:p>
            <w:pPr>
              <w:pStyle w:val="TableContents"/>
              <w:spacing w:before="0" w:after="283"/>
              <w:rPr/>
            </w:pPr>
            <w:r>
              <w:rPr/>
              <w:t> </w:t>
            </w:r>
          </w:p>
        </w:tc>
        <w:tc>
          <w:tcPr>
            <w:tcW w:w="212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Zilucoplan</w:t>
            </w:r>
          </w:p>
        </w:tc>
        <w:tc>
          <w:tcPr>
            <w:tcW w:w="60" w:type="dxa"/>
            <w:tcBorders/>
            <w:shd w:fill="CCEEFF" w:val="clear"/>
            <w:tcMar>
              <w:bottom w:w="0" w:type="dxa"/>
            </w:tcMar>
            <w:vAlign w:val="center"/>
          </w:tcPr>
          <w:p>
            <w:pPr>
              <w:pStyle w:val="TableContents"/>
              <w:spacing w:before="0" w:after="283"/>
              <w:rPr/>
            </w:pPr>
            <w:r>
              <w:rPr/>
              <w:t> </w:t>
            </w:r>
          </w:p>
        </w:tc>
        <w:tc>
          <w:tcPr>
            <w:tcW w:w="18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C5 Inhibitor</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Subcutaneous</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r>
      <w:tr>
        <w:trPr/>
        <w:tc>
          <w:tcPr>
            <w:tcW w:w="126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Alnylam</w:t>
            </w:r>
          </w:p>
        </w:tc>
        <w:tc>
          <w:tcPr>
            <w:tcW w:w="60" w:type="dxa"/>
            <w:tcBorders/>
            <w:shd w:fill="FFFFFF" w:val="clear"/>
            <w:tcMar>
              <w:bottom w:w="0" w:type="dxa"/>
            </w:tcMar>
            <w:vAlign w:val="center"/>
          </w:tcPr>
          <w:p>
            <w:pPr>
              <w:pStyle w:val="TableContents"/>
              <w:spacing w:before="0" w:after="283"/>
              <w:rPr/>
            </w:pPr>
            <w:r>
              <w:rPr/>
              <w:t> </w:t>
            </w:r>
          </w:p>
        </w:tc>
        <w:tc>
          <w:tcPr>
            <w:tcW w:w="212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Cemdisiran</w:t>
            </w:r>
          </w:p>
        </w:tc>
        <w:tc>
          <w:tcPr>
            <w:tcW w:w="60" w:type="dxa"/>
            <w:tcBorders/>
            <w:shd w:fill="FFFFFF" w:val="clear"/>
            <w:tcMar>
              <w:bottom w:w="0" w:type="dxa"/>
            </w:tcMar>
            <w:vAlign w:val="center"/>
          </w:tcPr>
          <w:p>
            <w:pPr>
              <w:pStyle w:val="TableContents"/>
              <w:spacing w:before="0" w:after="283"/>
              <w:rPr/>
            </w:pPr>
            <w:r>
              <w:rPr/>
              <w:t> </w:t>
            </w:r>
          </w:p>
        </w:tc>
        <w:tc>
          <w:tcPr>
            <w:tcW w:w="180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C5 Inhibitor</w:t>
            </w:r>
          </w:p>
        </w:tc>
        <w:tc>
          <w:tcPr>
            <w:tcW w:w="60" w:type="dxa"/>
            <w:tcBorders/>
            <w:shd w:fill="FFFFFF" w:val="clear"/>
            <w:tcMar>
              <w:bottom w:w="0" w:type="dxa"/>
            </w:tcMar>
            <w:vAlign w:val="center"/>
          </w:tcPr>
          <w:p>
            <w:pPr>
              <w:pStyle w:val="TableContents"/>
              <w:spacing w:before="0" w:after="283"/>
              <w:rPr/>
            </w:pPr>
            <w:r>
              <w:rPr/>
              <w:t> </w:t>
            </w:r>
          </w:p>
        </w:tc>
        <w:tc>
          <w:tcPr>
            <w:tcW w:w="20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Subcutaneous</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Amgen (Phase 3), Samsung, and Isu Abxis are also in clinical trials developing biosimilars of eculizumab.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FOP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FOP is a rare, severely disabling condition characterized by HO. HO can occur in muscles, tendons, and soft tissue. FOP patients progressively become bound by this irregular ossification, with restricted movement and fused joints, resulting in deformities and premature mortality. There are currently no approved treatments for FOP in the U.S.</w:t>
      </w:r>
    </w:p>
    <w:p>
      <w:pPr>
        <w:pStyle w:val="TextBody"/>
        <w:spacing w:before="0" w:after="0"/>
        <w:ind w:left="0" w:right="0" w:hanging="0"/>
        <w:rPr>
          <w:caps w:val="false"/>
          <w:smallCaps w:val="false"/>
        </w:rPr>
      </w:pPr>
      <w:r>
        <w:rPr>
          <w:caps w:val="false"/>
          <w:smallCaps w:val="false"/>
        </w:rPr>
        <w:t> </w:t>
      </w:r>
    </w:p>
    <w:p>
      <w:pPr>
        <w:pStyle w:val="TextBody"/>
        <w:spacing w:before="0" w:after="0"/>
        <w:ind w:left="500" w:right="0" w:hanging="0"/>
        <w:rPr>
          <w:rFonts w:ascii="Times New Roman" w:hAnsi="Times New Roman"/>
          <w:caps w:val="false"/>
          <w:smallCaps w:val="false"/>
          <w:sz w:val="20"/>
        </w:rPr>
      </w:pPr>
      <w:r>
        <w:rPr>
          <w:rFonts w:ascii="Times New Roman" w:hAnsi="Times New Roman"/>
          <w:caps w:val="false"/>
          <w:smallCaps w:val="false"/>
          <w:sz w:val="20"/>
        </w:rPr>
        <w:t>In addition to BCX9250, we are aware of a number of FOP therapies in clinical development, which include:</w:t>
      </w:r>
    </w:p>
    <w:p>
      <w:pPr>
        <w:pStyle w:val="TextBody"/>
        <w:spacing w:before="0" w:after="0"/>
        <w:ind w:left="0" w:right="0" w:hanging="0"/>
        <w:rPr>
          <w:caps w:val="false"/>
          <w:smallCaps w:val="false"/>
        </w:rPr>
      </w:pPr>
      <w:r>
        <w:rPr>
          <w:caps w:val="false"/>
          <w:smallCaps w:val="false"/>
        </w:rPr>
        <w:t> </w:t>
      </w:r>
    </w:p>
    <w:tbl>
      <w:tblPr>
        <w:tblW w:w="9160" w:type="dxa"/>
        <w:jc w:val="left"/>
        <w:tblInd w:w="0" w:type="dxa"/>
        <w:tblCellMar>
          <w:top w:w="0" w:type="dxa"/>
          <w:left w:w="0" w:type="dxa"/>
          <w:bottom w:w="28" w:type="dxa"/>
          <w:right w:w="0" w:type="dxa"/>
        </w:tblCellMar>
      </w:tblPr>
      <w:tblGrid>
        <w:gridCol w:w="905"/>
        <w:gridCol w:w="60"/>
        <w:gridCol w:w="1085"/>
        <w:gridCol w:w="60"/>
        <w:gridCol w:w="3860"/>
        <w:gridCol w:w="60"/>
        <w:gridCol w:w="2060"/>
        <w:gridCol w:w="60"/>
        <w:gridCol w:w="1010"/>
      </w:tblGrid>
      <w:tr>
        <w:trPr/>
        <w:tc>
          <w:tcPr>
            <w:tcW w:w="90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Company</w:t>
            </w:r>
          </w:p>
        </w:tc>
        <w:tc>
          <w:tcPr>
            <w:tcW w:w="60" w:type="dxa"/>
            <w:tcBorders/>
            <w:shd w:fill="auto" w:val="clear"/>
            <w:tcMar>
              <w:bottom w:w="0" w:type="dxa"/>
            </w:tcMar>
            <w:vAlign w:val="center"/>
          </w:tcPr>
          <w:p>
            <w:pPr>
              <w:pStyle w:val="TableContents"/>
              <w:spacing w:before="0" w:after="283"/>
              <w:rPr/>
            </w:pPr>
            <w:r>
              <w:rPr/>
              <w:t> </w:t>
            </w:r>
          </w:p>
        </w:tc>
        <w:tc>
          <w:tcPr>
            <w:tcW w:w="108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w:t>
            </w:r>
          </w:p>
        </w:tc>
        <w:tc>
          <w:tcPr>
            <w:tcW w:w="60" w:type="dxa"/>
            <w:tcBorders/>
            <w:shd w:fill="auto" w:val="clear"/>
            <w:tcMar>
              <w:bottom w:w="0" w:type="dxa"/>
            </w:tcMar>
            <w:vAlign w:val="center"/>
          </w:tcPr>
          <w:p>
            <w:pPr>
              <w:pStyle w:val="TableContents"/>
              <w:spacing w:before="0" w:after="283"/>
              <w:rPr/>
            </w:pPr>
            <w:r>
              <w:rPr/>
              <w:t> </w:t>
            </w:r>
          </w:p>
        </w:tc>
        <w:tc>
          <w:tcPr>
            <w:tcW w:w="386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Mechanism of Action</w:t>
            </w:r>
          </w:p>
        </w:tc>
        <w:tc>
          <w:tcPr>
            <w:tcW w:w="60" w:type="dxa"/>
            <w:tcBorders/>
            <w:shd w:fill="auto" w:val="clear"/>
            <w:tcMar>
              <w:bottom w:w="0" w:type="dxa"/>
            </w:tcMar>
            <w:vAlign w:val="center"/>
          </w:tcPr>
          <w:p>
            <w:pPr>
              <w:pStyle w:val="TableContents"/>
              <w:spacing w:before="0" w:after="283"/>
              <w:rPr/>
            </w:pPr>
            <w:r>
              <w:rPr/>
              <w:t> </w:t>
            </w:r>
          </w:p>
        </w:tc>
        <w:tc>
          <w:tcPr>
            <w:tcW w:w="206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Route of Administration</w:t>
            </w:r>
          </w:p>
        </w:tc>
        <w:tc>
          <w:tcPr>
            <w:tcW w:w="60" w:type="dxa"/>
            <w:tcBorders/>
            <w:shd w:fill="auto" w:val="clear"/>
            <w:tcMar>
              <w:bottom w:w="0" w:type="dxa"/>
            </w:tcMar>
            <w:vAlign w:val="center"/>
          </w:tcPr>
          <w:p>
            <w:pPr>
              <w:pStyle w:val="TableContents"/>
              <w:spacing w:before="0" w:after="283"/>
              <w:rPr/>
            </w:pPr>
            <w:r>
              <w:rPr/>
              <w:t> </w:t>
            </w:r>
          </w:p>
        </w:tc>
        <w:tc>
          <w:tcPr>
            <w:tcW w:w="101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Trial Phase</w:t>
            </w:r>
          </w:p>
        </w:tc>
      </w:tr>
      <w:tr>
        <w:trPr/>
        <w:tc>
          <w:tcPr>
            <w:tcW w:w="9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Ipsen</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Palovarotene</w:t>
            </w:r>
          </w:p>
        </w:tc>
        <w:tc>
          <w:tcPr>
            <w:tcW w:w="60" w:type="dxa"/>
            <w:tcBorders/>
            <w:shd w:fill="CCEEFF" w:val="clear"/>
            <w:tcMar>
              <w:bottom w:w="0" w:type="dxa"/>
            </w:tcMar>
            <w:vAlign w:val="center"/>
          </w:tcPr>
          <w:p>
            <w:pPr>
              <w:pStyle w:val="TableContents"/>
              <w:spacing w:before="0" w:after="283"/>
              <w:rPr/>
            </w:pPr>
            <w:r>
              <w:rPr/>
              <w:t> </w:t>
            </w:r>
          </w:p>
        </w:tc>
        <w:tc>
          <w:tcPr>
            <w:tcW w:w="38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Retinoic Acid Receptor (RAR) Gamma Agonist</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NDA</w:t>
            </w:r>
          </w:p>
        </w:tc>
      </w:tr>
      <w:tr>
        <w:trPr/>
        <w:tc>
          <w:tcPr>
            <w:tcW w:w="9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IPN60130</w:t>
            </w:r>
          </w:p>
        </w:tc>
        <w:tc>
          <w:tcPr>
            <w:tcW w:w="60" w:type="dxa"/>
            <w:tcBorders/>
            <w:shd w:fill="CCEEFF" w:val="clear"/>
            <w:tcMar>
              <w:bottom w:w="0" w:type="dxa"/>
            </w:tcMar>
            <w:vAlign w:val="center"/>
          </w:tcPr>
          <w:p>
            <w:pPr>
              <w:pStyle w:val="TableContents"/>
              <w:spacing w:before="0" w:after="283"/>
              <w:rPr/>
            </w:pPr>
            <w:r>
              <w:rPr/>
              <w:t> </w:t>
            </w:r>
          </w:p>
        </w:tc>
        <w:tc>
          <w:tcPr>
            <w:tcW w:w="38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ALK-2 Inhibitor</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r>
      <w:tr>
        <w:trPr/>
        <w:tc>
          <w:tcPr>
            <w:tcW w:w="90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Regeneron</w:t>
            </w:r>
          </w:p>
        </w:tc>
        <w:tc>
          <w:tcPr>
            <w:tcW w:w="60" w:type="dxa"/>
            <w:tcBorders/>
            <w:shd w:fill="FFFFFF" w:val="clear"/>
            <w:tcMar>
              <w:bottom w:w="0" w:type="dxa"/>
            </w:tcMar>
            <w:vAlign w:val="center"/>
          </w:tcPr>
          <w:p>
            <w:pPr>
              <w:pStyle w:val="TableContents"/>
              <w:spacing w:before="0" w:after="283"/>
              <w:rPr/>
            </w:pPr>
            <w:r>
              <w:rPr/>
              <w:t> </w:t>
            </w:r>
          </w:p>
        </w:tc>
        <w:tc>
          <w:tcPr>
            <w:tcW w:w="108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Garetosmab</w:t>
            </w:r>
          </w:p>
        </w:tc>
        <w:tc>
          <w:tcPr>
            <w:tcW w:w="60" w:type="dxa"/>
            <w:tcBorders/>
            <w:shd w:fill="FFFFFF" w:val="clear"/>
            <w:tcMar>
              <w:bottom w:w="0" w:type="dxa"/>
            </w:tcMar>
            <w:vAlign w:val="center"/>
          </w:tcPr>
          <w:p>
            <w:pPr>
              <w:pStyle w:val="TableContents"/>
              <w:spacing w:before="0" w:after="283"/>
              <w:rPr/>
            </w:pPr>
            <w:r>
              <w:rPr/>
              <w:t> </w:t>
            </w:r>
          </w:p>
        </w:tc>
        <w:tc>
          <w:tcPr>
            <w:tcW w:w="38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Anti-activin A</w:t>
            </w:r>
          </w:p>
        </w:tc>
        <w:tc>
          <w:tcPr>
            <w:tcW w:w="60" w:type="dxa"/>
            <w:tcBorders/>
            <w:shd w:fill="FFFFFF" w:val="clear"/>
            <w:tcMar>
              <w:bottom w:w="0" w:type="dxa"/>
            </w:tcMar>
            <w:vAlign w:val="center"/>
          </w:tcPr>
          <w:p>
            <w:pPr>
              <w:pStyle w:val="TableContents"/>
              <w:spacing w:before="0" w:after="283"/>
              <w:rPr/>
            </w:pPr>
            <w:r>
              <w:rPr/>
              <w:t> </w:t>
            </w:r>
          </w:p>
        </w:tc>
        <w:tc>
          <w:tcPr>
            <w:tcW w:w="20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r>
      <w:tr>
        <w:trPr/>
        <w:tc>
          <w:tcPr>
            <w:tcW w:w="90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Incyte</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INCB00928</w:t>
            </w:r>
          </w:p>
        </w:tc>
        <w:tc>
          <w:tcPr>
            <w:tcW w:w="60" w:type="dxa"/>
            <w:tcBorders/>
            <w:shd w:fill="CCEEFF" w:val="clear"/>
            <w:tcMar>
              <w:bottom w:w="0" w:type="dxa"/>
            </w:tcMar>
            <w:vAlign w:val="center"/>
          </w:tcPr>
          <w:p>
            <w:pPr>
              <w:pStyle w:val="TableContents"/>
              <w:spacing w:before="0" w:after="283"/>
              <w:rPr/>
            </w:pPr>
            <w:r>
              <w:rPr/>
              <w:t> </w:t>
            </w:r>
          </w:p>
        </w:tc>
        <w:tc>
          <w:tcPr>
            <w:tcW w:w="38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ALK-2 Inhibitor</w:t>
            </w:r>
          </w:p>
        </w:tc>
        <w:tc>
          <w:tcPr>
            <w:tcW w:w="60" w:type="dxa"/>
            <w:tcBorders/>
            <w:shd w:fill="CCEEFF" w:val="clear"/>
            <w:tcMar>
              <w:bottom w:w="0" w:type="dxa"/>
            </w:tcMar>
            <w:vAlign w:val="center"/>
          </w:tcPr>
          <w:p>
            <w:pPr>
              <w:pStyle w:val="TableContents"/>
              <w:spacing w:before="0" w:after="283"/>
              <w:rPr/>
            </w:pPr>
            <w:r>
              <w:rPr/>
              <w:t> </w:t>
            </w:r>
          </w:p>
        </w:tc>
        <w:tc>
          <w:tcPr>
            <w:tcW w:w="206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CCEEFF" w:val="clear"/>
            <w:tcMar>
              <w:bottom w:w="0" w:type="dxa"/>
            </w:tcMar>
            <w:vAlign w:val="center"/>
          </w:tcPr>
          <w:p>
            <w:pPr>
              <w:pStyle w:val="TableContents"/>
              <w:spacing w:before="0" w:after="283"/>
              <w:rPr/>
            </w:pPr>
            <w:r>
              <w:rPr/>
              <w:t> </w:t>
            </w:r>
          </w:p>
        </w:tc>
        <w:tc>
          <w:tcPr>
            <w:tcW w:w="1010" w:type="dxa"/>
            <w:tcBorders/>
            <w:shd w:fill="CCEE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tc>
      </w:tr>
      <w:tr>
        <w:trPr/>
        <w:tc>
          <w:tcPr>
            <w:tcW w:w="90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Keros</w:t>
            </w:r>
          </w:p>
        </w:tc>
        <w:tc>
          <w:tcPr>
            <w:tcW w:w="60" w:type="dxa"/>
            <w:tcBorders/>
            <w:shd w:fill="FFFFFF" w:val="clear"/>
            <w:tcMar>
              <w:bottom w:w="0" w:type="dxa"/>
            </w:tcMar>
            <w:vAlign w:val="center"/>
          </w:tcPr>
          <w:p>
            <w:pPr>
              <w:pStyle w:val="TableContents"/>
              <w:spacing w:before="0" w:after="283"/>
              <w:rPr/>
            </w:pPr>
            <w:r>
              <w:rPr/>
              <w:t> </w:t>
            </w:r>
          </w:p>
        </w:tc>
        <w:tc>
          <w:tcPr>
            <w:tcW w:w="1085"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KER-047</w:t>
            </w:r>
          </w:p>
        </w:tc>
        <w:tc>
          <w:tcPr>
            <w:tcW w:w="60" w:type="dxa"/>
            <w:tcBorders/>
            <w:shd w:fill="FFFFFF" w:val="clear"/>
            <w:tcMar>
              <w:bottom w:w="0" w:type="dxa"/>
            </w:tcMar>
            <w:vAlign w:val="center"/>
          </w:tcPr>
          <w:p>
            <w:pPr>
              <w:pStyle w:val="TableContents"/>
              <w:spacing w:before="0" w:after="283"/>
              <w:rPr/>
            </w:pPr>
            <w:r>
              <w:rPr/>
              <w:t> </w:t>
            </w:r>
          </w:p>
        </w:tc>
        <w:tc>
          <w:tcPr>
            <w:tcW w:w="38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ALK-2 Inhibitor</w:t>
            </w:r>
          </w:p>
        </w:tc>
        <w:tc>
          <w:tcPr>
            <w:tcW w:w="60" w:type="dxa"/>
            <w:tcBorders/>
            <w:shd w:fill="FFFFFF" w:val="clear"/>
            <w:tcMar>
              <w:bottom w:w="0" w:type="dxa"/>
            </w:tcMar>
            <w:vAlign w:val="center"/>
          </w:tcPr>
          <w:p>
            <w:pPr>
              <w:pStyle w:val="TableContents"/>
              <w:spacing w:before="0" w:after="283"/>
              <w:rPr/>
            </w:pPr>
            <w:r>
              <w:rPr/>
              <w:t> </w:t>
            </w:r>
          </w:p>
        </w:tc>
        <w:tc>
          <w:tcPr>
            <w:tcW w:w="206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Oral</w:t>
            </w:r>
          </w:p>
        </w:tc>
        <w:tc>
          <w:tcPr>
            <w:tcW w:w="60" w:type="dxa"/>
            <w:tcBorders/>
            <w:shd w:fill="FFFFFF" w:val="clear"/>
            <w:tcMar>
              <w:bottom w:w="0" w:type="dxa"/>
            </w:tcMar>
            <w:vAlign w:val="center"/>
          </w:tcPr>
          <w:p>
            <w:pPr>
              <w:pStyle w:val="TableContents"/>
              <w:spacing w:before="0" w:after="283"/>
              <w:rPr/>
            </w:pPr>
            <w:r>
              <w:rPr/>
              <w:t> </w:t>
            </w:r>
          </w:p>
        </w:tc>
        <w:tc>
          <w:tcPr>
            <w:tcW w:w="1010" w:type="dxa"/>
            <w:tcBorders/>
            <w:shd w:fill="FFFFFF"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Antivirals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pharmaceutical market for products that prevent or treat influenza is very competitive. Key competitive factors for RAPIVAB (peramivir injection) include, among others, efficacy, ease of use, safety, price and cost-effectiveness, storage and handling requirements, and reimbursement. A number of products are currently available in the U.S. and/or other counties, including Japan, for the prevention or treatment of influenza, including seasonal flu vaccines, F. Hoffmann-La Roche Ltd.’s (“Roche”) TAMIFLU® (oseltamivir), generic oseltamivir, GlaxoSmithKline plc’s (“GSK”) RELENZA®, Genentech and Shiongi’s XOFLUZA® and Daiichi Sankyo Co., Ltd.’s INAVIR®. In addition, FUJIFILM Corporation’s favipiravir, a polymerase inhibitor, is approved in Japan.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Various government entities throughout the world are offering incentives, grants, and contracts to encourage additional investment into preventative and therapeutic agents against influenza, which may have the effect of further increasing the number of our competitors and/or providing advantages to certain competitors.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Galidesivir is a product candidate in our BSAV research program and is currently being developed under contracts with NIAID/HHS and BARDA/HHS. The objective of our BSAV program is to develop galidesivir as a broad-spectrum therapeutic for viruses that pose a threat to national health and security. The U.S. Government is investing in a number of programs intended to address gaps in its medical countermeasure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initiated our research and development activities in 1986. We have assembled a scientific research staff with expertise in a broad base of advanced research technologies, including protein biochemistry, X-ray crystallography, chemistry, and pharmacology. Our research facilities, located in Birmingham, Alabama, include protein biochemistry and organic synthesis laboratories, testing facilities, X-ray crystallography, computer and graphics equipment and facilities to make product candidates on a small scale for early-stage clinical trials.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Compliance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conduct our business in an ethical, fair, honest, and lawful manner. We act responsibly, respectfully, and with integrity in our relationships with patients, health care professionals, collaborators, governments, regulatory entities, stockholders, suppliers, and vendors.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order to ensure compliance with applicable laws and regulations, our Chief Financial Officer, Chief Legal Officer, and Chief People Officer oversee compliance training, education, auditing, and monitoring; enforce disciplinary guidelines for any infractions of our corporate polices; implement new policies and procedures; respond to any detected issues; and undertake corrective action procedures. Our controls address compliance with laws and regulations that govern public pharmaceutical companies, including, but not limited to, the following: federal and state law, such as the Sarbanes-Oxley Act of 2002 and the U.S. Foreign Corrupt Practices Act of 1977; Nasdaq listing requirements; the regulations of the Financial Industry Regulatory Authority, the SEC, the FDA, and HHS; and applicable laws and regulations administered by foreign regulatory authorities, including those of the EU, the U.K., and Japan. Our standard operating procedures are designed to provide a framework for corporate governance in accordance with ethical standards and best legal practices.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Government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FDA regulates the pharmaceutical and biotechnology industries in the U.S., and our product candidates are subject to extensive and rigorous domestic government regulations prior to commercialization. The FDA regulates, among other things, the development, testing, manufacture, safety, efficacy, record-keeping, labeling, storage, approval, advertising, promotion, sale and distribution of pharmaceutical products. In foreign countries, our products are also subject to extensive regulation by foreign governments. These government regulations are a significant factor in the production and marketing of any pharmaceutical products that we develop. Failure to comply with applicable FDA and other regulatory requirements at any stage during the regulatory process may subject us to sanctions, including: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835" w:type="dxa"/>
        <w:jc w:val="left"/>
        <w:tblInd w:w="0" w:type="dxa"/>
        <w:tblCellMar>
          <w:top w:w="0" w:type="dxa"/>
          <w:left w:w="0" w:type="dxa"/>
          <w:bottom w:w="0" w:type="dxa"/>
          <w:right w:w="0" w:type="dxa"/>
        </w:tblCellMar>
      </w:tblPr>
      <w:tblGrid>
        <w:gridCol w:w="60"/>
        <w:gridCol w:w="170"/>
        <w:gridCol w:w="6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delays;</w:t>
            </w:r>
          </w:p>
        </w:tc>
      </w:tr>
    </w:tbl>
    <w:tbl>
      <w:tblPr>
        <w:tblW w:w="1510" w:type="dxa"/>
        <w:jc w:val="left"/>
        <w:tblInd w:w="0" w:type="dxa"/>
        <w:tblCellMar>
          <w:top w:w="0" w:type="dxa"/>
          <w:left w:w="0" w:type="dxa"/>
          <w:bottom w:w="0" w:type="dxa"/>
          <w:right w:w="0" w:type="dxa"/>
        </w:tblCellMar>
      </w:tblPr>
      <w:tblGrid>
        <w:gridCol w:w="60"/>
        <w:gridCol w:w="170"/>
        <w:gridCol w:w="12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warning letters;</w:t>
            </w:r>
          </w:p>
        </w:tc>
      </w:tr>
    </w:tbl>
    <w:tbl>
      <w:tblPr>
        <w:tblW w:w="700" w:type="dxa"/>
        <w:jc w:val="left"/>
        <w:tblInd w:w="0" w:type="dxa"/>
        <w:tblCellMar>
          <w:top w:w="0" w:type="dxa"/>
          <w:left w:w="0" w:type="dxa"/>
          <w:bottom w:w="0" w:type="dxa"/>
          <w:right w:w="0" w:type="dxa"/>
        </w:tblCellMar>
      </w:tblPr>
      <w:tblGrid>
        <w:gridCol w:w="60"/>
        <w:gridCol w:w="170"/>
        <w:gridCol w:w="4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fines;</w:t>
            </w:r>
          </w:p>
        </w:tc>
      </w:tr>
    </w:tbl>
    <w:tbl>
      <w:tblPr>
        <w:tblW w:w="2410" w:type="dxa"/>
        <w:jc w:val="left"/>
        <w:tblInd w:w="0" w:type="dxa"/>
        <w:tblCellMar>
          <w:top w:w="0" w:type="dxa"/>
          <w:left w:w="0" w:type="dxa"/>
          <w:bottom w:w="0" w:type="dxa"/>
          <w:right w:w="0" w:type="dxa"/>
        </w:tblCellMar>
      </w:tblPr>
      <w:tblGrid>
        <w:gridCol w:w="60"/>
        <w:gridCol w:w="170"/>
        <w:gridCol w:w="21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1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 recalls or seizures;</w:t>
            </w:r>
          </w:p>
        </w:tc>
      </w:tr>
    </w:tbl>
    <w:tbl>
      <w:tblPr>
        <w:tblW w:w="1240" w:type="dxa"/>
        <w:jc w:val="left"/>
        <w:tblInd w:w="0" w:type="dxa"/>
        <w:tblCellMar>
          <w:top w:w="0" w:type="dxa"/>
          <w:left w:w="0" w:type="dxa"/>
          <w:bottom w:w="0" w:type="dxa"/>
          <w:right w:w="0" w:type="dxa"/>
        </w:tblCellMar>
      </w:tblPr>
      <w:tblGrid>
        <w:gridCol w:w="60"/>
        <w:gridCol w:w="170"/>
        <w:gridCol w:w="10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injunctions;</w:t>
            </w:r>
          </w:p>
        </w:tc>
      </w:tr>
    </w:tbl>
    <w:tbl>
      <w:tblPr>
        <w:tblW w:w="1045" w:type="dxa"/>
        <w:jc w:val="left"/>
        <w:tblInd w:w="0" w:type="dxa"/>
        <w:tblCellMar>
          <w:top w:w="0" w:type="dxa"/>
          <w:left w:w="0" w:type="dxa"/>
          <w:bottom w:w="0" w:type="dxa"/>
          <w:right w:w="0" w:type="dxa"/>
        </w:tblCellMar>
      </w:tblPr>
      <w:tblGrid>
        <w:gridCol w:w="60"/>
        <w:gridCol w:w="170"/>
        <w:gridCol w:w="8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penalties;</w:t>
            </w:r>
          </w:p>
        </w:tc>
      </w:tr>
    </w:tbl>
    <w:tbl>
      <w:tblPr>
        <w:tblW w:w="9010" w:type="dxa"/>
        <w:jc w:val="left"/>
        <w:tblInd w:w="0" w:type="dxa"/>
        <w:tblCellMar>
          <w:top w:w="0" w:type="dxa"/>
          <w:left w:w="0" w:type="dxa"/>
          <w:bottom w:w="0" w:type="dxa"/>
          <w:right w:w="0" w:type="dxa"/>
        </w:tblCellMar>
      </w:tblPr>
      <w:tblGrid>
        <w:gridCol w:w="60"/>
        <w:gridCol w:w="170"/>
        <w:gridCol w:w="87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7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refusal of the FDA to review pending market approval applications or supplements to approval applications;</w:t>
            </w:r>
          </w:p>
        </w:tc>
      </w:tr>
    </w:tbl>
    <w:tbl>
      <w:tblPr>
        <w:tblW w:w="3565" w:type="dxa"/>
        <w:jc w:val="left"/>
        <w:tblInd w:w="0" w:type="dxa"/>
        <w:tblCellMar>
          <w:top w:w="0" w:type="dxa"/>
          <w:left w:w="0" w:type="dxa"/>
          <w:bottom w:w="0" w:type="dxa"/>
          <w:right w:w="0" w:type="dxa"/>
        </w:tblCellMar>
      </w:tblPr>
      <w:tblGrid>
        <w:gridCol w:w="60"/>
        <w:gridCol w:w="170"/>
        <w:gridCol w:w="33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3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or partial suspension of production;</w:t>
            </w:r>
          </w:p>
        </w:tc>
      </w:tr>
    </w:tbl>
    <w:tbl>
      <w:tblPr>
        <w:tblW w:w="1465" w:type="dxa"/>
        <w:jc w:val="left"/>
        <w:tblInd w:w="0" w:type="dxa"/>
        <w:tblCellMar>
          <w:top w:w="0" w:type="dxa"/>
          <w:left w:w="0" w:type="dxa"/>
          <w:bottom w:w="0" w:type="dxa"/>
          <w:right w:w="0" w:type="dxa"/>
        </w:tblCellMar>
      </w:tblPr>
      <w:tblGrid>
        <w:gridCol w:w="60"/>
        <w:gridCol w:w="170"/>
        <w:gridCol w:w="12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2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civil penalties;</w:t>
            </w:r>
          </w:p>
        </w:tc>
      </w:tr>
    </w:tbl>
    <w:tbl>
      <w:tblPr>
        <w:tblW w:w="5485" w:type="dxa"/>
        <w:jc w:val="left"/>
        <w:tblInd w:w="0" w:type="dxa"/>
        <w:tblCellMar>
          <w:top w:w="0" w:type="dxa"/>
          <w:left w:w="0" w:type="dxa"/>
          <w:bottom w:w="0" w:type="dxa"/>
          <w:right w:w="0" w:type="dxa"/>
        </w:tblCellMar>
      </w:tblPr>
      <w:tblGrid>
        <w:gridCol w:w="60"/>
        <w:gridCol w:w="170"/>
        <w:gridCol w:w="52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2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withdrawals of previously approved marketing applications; and</w:t>
            </w:r>
          </w:p>
        </w:tc>
      </w:tr>
    </w:tbl>
    <w:tbl>
      <w:tblPr>
        <w:tblW w:w="2050" w:type="dxa"/>
        <w:jc w:val="left"/>
        <w:tblInd w:w="0" w:type="dxa"/>
        <w:tblCellMar>
          <w:top w:w="0" w:type="dxa"/>
          <w:left w:w="0" w:type="dxa"/>
          <w:bottom w:w="0" w:type="dxa"/>
          <w:right w:w="0" w:type="dxa"/>
        </w:tblCellMar>
      </w:tblPr>
      <w:tblGrid>
        <w:gridCol w:w="60"/>
        <w:gridCol w:w="170"/>
        <w:gridCol w:w="18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8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criminal prosecutions.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regulatory review and approval process is lengthy, expensive, and uncertain. Before obtaining regulatory approvals for the commercial sale of any products, we or our partners must demonstrate that our product candidates are safe and effective for use in humans. The approval process takes many years, substantial expenses may be incurred, and significant time may be devoted to clinical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policies of the FDA and foreign regulatory authorities may change, and additional government regulations may be enacted which could prevent or delay regulatory approval of our product candidates or approval of new indications for our existing products. We cannot predict the likelihood, nature, or extent of adverse governmental regulation that might arise from future legislative or administrative action, either in the United States or abroad.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FDA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Before testing potential product candidates in humans, we carry out laboratory and animal studies to determine safety and biological activity. After completing preclinical trials, we must file an investigation new drug application (“IND”), including a proposal to begin clinical trials, with the FDA. Thirty days after filing an IND, a phase 1 human clinical trial can start, unless the FDA places a hold on the trial.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Clinical trials to support a new drug application (“NDA”) are typically conducted in three sequential phases, but the phases may overlap.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Phase 1 — During phase 1, which involves the initial introduction of the drug into healthy volunteers, the drug is tested to assess metabolism, pharmacokinetic, and pharmacological actions and safety, including side effects associated with increasing doses.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Phase 2 — Phase 2 usually involves trials in a limited patient population to: (1) assess the efficacy of the drug in specific, targeted indications; (2) assess dosage tolerance and optimal dosage; and (3) identify possible adverse effects and safety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Phase 3 (pivotal) — If a compound is found to be potentially effective and to have an acceptable safety profile in phase 2 evaluations, phase 3 clinical trials, also called pivotal studies, major studies, or advanced clinical trials, are undertaken to further demonstrate clinical efficacy and to further test for safety within an expanded patient population at geographically dispersed clinical trial sites. In general, the FDA requires that at least two adequate and well-controlled phase 3 clinical trials be conducted.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Initiation and completion of the clinical trial phases are dependent on several factors, including things that are beyond our control. For example, the clinical trials cannot begin at a particular site until that site receives approval from its Institutional Review Board (“IRB”), which reviews the protocol and related documents. This process can take several weeks to several months. In addition, clinical trials are dependent on patient enrollment, but the rate at which patients enroll in the study depends on:</w:t>
      </w:r>
    </w:p>
    <w:p>
      <w:pPr>
        <w:pStyle w:val="TextBody"/>
        <w:spacing w:before="0" w:after="0"/>
        <w:ind w:left="0" w:right="0" w:hanging="0"/>
        <w:rPr>
          <w:caps w:val="false"/>
          <w:smallCaps w:val="false"/>
        </w:rPr>
      </w:pPr>
      <w:r>
        <w:rPr>
          <w:caps w:val="false"/>
          <w:smallCaps w:val="false"/>
        </w:rPr>
        <w:t> </w:t>
      </w:r>
    </w:p>
    <w:tbl>
      <w:tblPr>
        <w:tblW w:w="4510" w:type="dxa"/>
        <w:jc w:val="left"/>
        <w:tblInd w:w="0" w:type="dxa"/>
        <w:tblCellMar>
          <w:top w:w="0" w:type="dxa"/>
          <w:left w:w="0" w:type="dxa"/>
          <w:bottom w:w="0" w:type="dxa"/>
          <w:right w:w="0" w:type="dxa"/>
        </w:tblCellMar>
      </w:tblPr>
      <w:tblGrid>
        <w:gridCol w:w="60"/>
        <w:gridCol w:w="170"/>
        <w:gridCol w:w="42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willingness of investigators to participate in a study;</w:t>
            </w:r>
          </w:p>
        </w:tc>
      </w:tr>
    </w:tbl>
    <w:tbl>
      <w:tblPr>
        <w:tblW w:w="4885" w:type="dxa"/>
        <w:jc w:val="left"/>
        <w:tblInd w:w="0" w:type="dxa"/>
        <w:tblCellMar>
          <w:top w:w="0" w:type="dxa"/>
          <w:left w:w="0" w:type="dxa"/>
          <w:bottom w:w="0" w:type="dxa"/>
          <w:right w:w="0" w:type="dxa"/>
        </w:tblCellMar>
      </w:tblPr>
      <w:tblGrid>
        <w:gridCol w:w="60"/>
        <w:gridCol w:w="170"/>
        <w:gridCol w:w="46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ability of clinical sites to obtain approval from their IRB;</w:t>
            </w:r>
          </w:p>
        </w:tc>
      </w:tr>
    </w:tbl>
    <w:tbl>
      <w:tblPr>
        <w:tblW w:w="7435" w:type="dxa"/>
        <w:jc w:val="left"/>
        <w:tblInd w:w="0" w:type="dxa"/>
        <w:tblCellMar>
          <w:top w:w="0" w:type="dxa"/>
          <w:left w:w="0" w:type="dxa"/>
          <w:bottom w:w="0" w:type="dxa"/>
          <w:right w:w="0" w:type="dxa"/>
        </w:tblCellMar>
      </w:tblPr>
      <w:tblGrid>
        <w:gridCol w:w="60"/>
        <w:gridCol w:w="170"/>
        <w:gridCol w:w="72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availability of the required number of eligible subjects to be enrolled in a given trial;</w:t>
            </w:r>
          </w:p>
        </w:tc>
      </w:tr>
    </w:tbl>
    <w:tbl>
      <w:tblPr>
        <w:tblW w:w="7405" w:type="dxa"/>
        <w:jc w:val="left"/>
        <w:tblInd w:w="0" w:type="dxa"/>
        <w:tblCellMar>
          <w:top w:w="0" w:type="dxa"/>
          <w:left w:w="0" w:type="dxa"/>
          <w:bottom w:w="0" w:type="dxa"/>
          <w:right w:w="0" w:type="dxa"/>
        </w:tblCellMar>
      </w:tblPr>
      <w:tblGrid>
        <w:gridCol w:w="60"/>
        <w:gridCol w:w="170"/>
        <w:gridCol w:w="71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availability of existing or other experimental drugs for the disease we intend to treat;</w:t>
            </w:r>
          </w:p>
        </w:tc>
      </w:tr>
    </w:tbl>
    <w:tbl>
      <w:tblPr>
        <w:tblW w:w="3910" w:type="dxa"/>
        <w:jc w:val="left"/>
        <w:tblInd w:w="0" w:type="dxa"/>
        <w:tblCellMar>
          <w:top w:w="0" w:type="dxa"/>
          <w:left w:w="0" w:type="dxa"/>
          <w:bottom w:w="0" w:type="dxa"/>
          <w:right w:w="0" w:type="dxa"/>
        </w:tblCellMar>
      </w:tblPr>
      <w:tblGrid>
        <w:gridCol w:w="60"/>
        <w:gridCol w:w="170"/>
        <w:gridCol w:w="36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willingness of patients to participate; and</w:t>
            </w:r>
          </w:p>
        </w:tc>
      </w:tr>
    </w:tbl>
    <w:tbl>
      <w:tblPr>
        <w:tblW w:w="3730" w:type="dxa"/>
        <w:jc w:val="left"/>
        <w:tblInd w:w="0" w:type="dxa"/>
        <w:tblCellMar>
          <w:top w:w="0" w:type="dxa"/>
          <w:left w:w="0" w:type="dxa"/>
          <w:bottom w:w="0" w:type="dxa"/>
          <w:right w:w="0" w:type="dxa"/>
        </w:tblCellMar>
      </w:tblPr>
      <w:tblGrid>
        <w:gridCol w:w="60"/>
        <w:gridCol w:w="170"/>
        <w:gridCol w:w="35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5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patients meeting the eligibility criteria.</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Delays in planned patient enrollment may result in increased expense and longer development timelines.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After successful completion of the required clinical testing, generally an NDA is submitted. Upon receipt of the NDA, the FDA will review the application for completeness. Within 60 days, the FDA will determine if the application is sufficiently complete to warrant full review and will consider the application “filed” at that time. Also upon receipt of the application, the FDA will assign a review priority to the application. Priority review applications are usually reviewed within 6 months; standard review applications are usually reviewed within 10 months. The FDA may refer NDAs for new molecular entities to an appropriate advisory committee for review and evaluation in regard to providing a recommendation as to whether the application should be approved. The FDA is not bound to follow the recommendation of an advisory committee.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Following the review of the application, which may include requests for additional information from the sponsor and results from inspections of manufacturing and clinical sites, the FDA will issue an “action letter” on the application. The action letter will either be an “approval letter,” in which case the product may be lawfully marketed in the United States, or a “complete response letter.” A complete response letter will state that the FDA cannot approve the NDA in its present form and, usually, will describe all of the specific deficiencies that the FDA has identified in the application. The complete response letter, when possible, will include the FDA’s recommended actions to place the application in a condition for approval. Deficiencies can be minor (e.g., labeling changes) or major (e.g., requiring additional clinical trials). A complete response letter may also be issued before the FDA conducts the required facility inspection and/or reviews labeling, leaving the possibility that additional deficiencies in the original NDA could be subsequently cited. An applicant receiving a complete response letter is permitted to resubmit the NDA addressing the identified deficiencies (in which case a new two- or six-month review cycle will begin), or withdraw the NDA. The FDA may consider a failure to take action within one year of a complete response letter to be a request to withdraw, unless the applicant has requested an extension of time in which to resubmit the NDA. If the FDA approves an NDA, the marketing of the product will be limited to the particular disease states and conditions of use that are described in the product label. The FDA strictly regulates marketing, labeling, advertising, and promotion of products that are placed on the market.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Approved drugs that are manufactured or distributed in the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 FDA may impose a number of post-approval requirements as a condition of approval of an NDA. For example, the FDA may require post-marketing testing, including phase 4 clinical trials, and surveillance programs to further assess and monitor the product's safety and effectiveness after commercialization.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and all of our contract manufacturers are also required to comply with the applicable FDA current Good Manufacturing Practice, or cGMP, regulations during clinical development and to ensure that the product can be consistently manufactured to meet the specifications submitted in an NDA. The cGMP regulations include requirements relating to product quality, as well as the corresponding maintenance of records and documentation. Manufacturing facilities must be approved by the FDA before they can be used to manufacture our products. Based on an inspection, the FDA determines whether manufacturing facilities are in compliance with applicable regulations. Manufacturing facilities in non-United States countries that are utilized to manufacture drugs for distribution into the United States are also subject to inspection by the FDA. Additionally, failure to comply with local regulatory requirements could affect production and availability of product in relevant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Orphan Drugs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the Orphan Drug Act, the FDA may grant orphan drug designation to drugs intended to treat a rare disease or condition, which is generally a disease or condition that affects fewer than 200,000 individuals in the U.S. Orphan drug designation, if sought,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with FDA orphan drug designation for a particular active ingredient to receive FDA approval of the designated drug for the disease indication for which it has such designation, is entitled to a seven-year exclusive marketing period (“Orphan drug exclusivity”) in the U.S. for that product, for that indication. During the seven-year period, the FDA may not finally approve any other applications to market the same drug for the same disease, except in limited circumstances, such as a showing of clinical superiority to the product with Orphan drug exclusivity or if the license holder cannot supply sufficient quantities of the product. Orphan drug exclusivity does not prevent the FDA from approving a different drug for the same disease or condition, or the same drug for a different disease or condition, provided that the sponsor has conducted appropriate clinical trials required for approval. Among the other benefits of orphan drug designation are tax credits for certain research and a waiver of the NDA application user fee for the orphan indication.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Fast Track Designation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the Fast Track program, the sponsor of an IND may request the FDA to designate the drug candidate as a Fast Track drug if it is intended to treat a serious condition and fulfill an unmet medical need. The FDA must determine if the drug candidate qualifies for Fast Track designation within 60 days of receipt of the sponsor's request. Once the FDA designates a drug as a Fast Track candidate, it is required to facilitate the development and expedite the review of that drug by providing more frequent communication with, and guidance to, the sponsor.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addition to other benefits, such as greater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However, the FDA's review period as specified under PDUFA V for filing and reviewing an application does not begin until the last section of the NDA has been submitted. Additionally, the Fast Track designation may be withdrawn by the FDA if the FDA believes that the designation is no longer supported by data emerging in the clinical trial process.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Foreign Regulation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addition to regulations in the United States, we are subject to a variety of foreign regulatory requirements governing human clinical trials and marketing approval, commercial sales, and distribution of drugs. The foreign regulatory approval process includes all of the risks associated with FDA approval set forth above, as well as additional country-specific regulations.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various phases of pre-clinical and clinical research in the European Union (the “EU”) are subject to significant regulatory controls. Pursuant to the Clinical Trials Directive 2001/20/EC, as amended (the “Clinical Trials Directive”), a system for the approval of clinical trials in the EU has been implemented through national legislation of the member states. Under this system, approval must be obtained from the national competent authority of each EU member state in which a clinical trial is planned to be conducted. A clinical trial application (“CTA”) is submitted, which must be supported by an investigational medicinal product dossier and further supporting information prescribed by the Clinical Trials Directive and other applicable guidance documents, including but not limited to the clinical trial protocol. Further, a clinical trial may only be started after an independent ethics committee has issued a favorable opinion on the CTA in that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April 2014, the EU adopted a new Clinical Trials Regulation (EU) No 536/2014 (the “Regulation”), which is set to replace the current Clinical Trials Directive. The Regulation came into effect in January 2022 with a three-year transition period in which clinical trial sponsors will be able to choose among different submission pathways. The Regulation, which is directly applicable in all EU member states, aims to simplify and streamline the approval of clinical trials in the EU. For instance, the Regulation provides for a streamlined application procedure via a single entry point and strictly defined deadlines for the assessment of clinical trial applications.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Manufacturing and import into the EU of investigational medicinal products for use in clinical trials is subject to the holding of appropriate authorizations and must be carried out in accordance with cGMP.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EU regulatory systems, we may submit marketing authorizations either under a centralized or decentralized procedure. The centralized procedure provides for the grant of a single marketing authorization that is valid for all EU member states. Under the centralized procedure, a single marketing authorization application is submitted to the Committee for Medicinal Products for Human Use of the European Medicines Agency (“EMA”), which then makes a recommendation to the European Commission (“EC”). The EC makes the final determination on whether to approve the application.  The decentralized procedure provides for mutual recognition of national approval decisions, and the holder of a national marketing authorization may submit an application to the remaining member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United Kingdom’s (“U.K.”) exit from the EU, or Brexit, has caused political and economic uncertainty, including in the regulatory framework applicable to our operations and product candidates, and this uncertainty may persist for years.  From January 1, 2021, the Medicines and Healthcare products Regulatory Agency (“MHRA”) is the U.K.’s standalone medicines and medical devices regulator. As a result of the Northern Ireland protocol, different rules apply in Northern Ireland than in England, Wales and Scotland (together, Great Britain or “GB”). Northern Ireland continues to follow the EU regulatory regime, but its national competent authority remains the MHRA. The MHRA has published a draft guidance on how various aspects of the U.K. regulatory regime for medicines will operate in GB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U.K. The U.K. regulatory regime largely mirrors that of the EU.</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the Japanese regulatory system administered by the Japanese Pharmaceuticals and Medical Devices Agency (“PMDA”), pre-marketing approval and clinical studies are required for all pharmaceutical products. To obtain manufacturing/marketing approval, we must submit an application for approval to the Ministry of Health, Labor and Welfare (“MHLW”) with results of nonclinical and clinical studies to show the quality, efficacy, and safety of a new drug. A data compliance review, good Clinical Practices, or GCP, on-site inspection, cGMP audit, and detailed data review are undertaken by the PMDA. The application is then discussed by the committees of the Pharmaceutical Affairs and Food Sanitation Council (“PAFSC”). Based on the results of these reviews, the final decision on approval is made by the MHLW. In Japan, the National Health Insurance system maintains a Drug Price List specifying which pharmaceutical products are eligible for reimbursement, and the MHLW sets the prices of the products on this list. The price will be determined within 60 to 90 days following approval unless the applicant disagrees, which may result in extended pricing negotiations.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Japanese government has also promoted the use of generics, where available.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Fraud and Abuse and Related Regulatory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subject to various federal and state laws pertaining to health care “fraud and abuse,” including both federal and state anti-kickback and false claims laws. Outside of the U.S.,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addition, we are subject to the federal physician sunshine act and certain similar physician payment and drug pricing transparency legislation in various states.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Reimbursement and Healthcare Reform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both domestic and foreign markets, sales and reimbursement of any approved products will depend, in part, on the extent to which the costs of such products will be covered by third-party payors, such as government health programs, commercial insurance and managed healthcare organizations. These third-party payors are increasingly challenging the prices charged for medical products and services and imposing controls to manage costs. The containment of healthcare costs has become a priority of federal and state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net revenue and results. In addition, there is significant uncertainty regarding the reimbursement status of newly approved healthcare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Adequate coverage and reimbursement in the U.S. and other markets is critical to the commercial success of approved products. Recently in the U.S.,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that establish pricing and reimbursement levels. Exclusion of a product from a formulary can lead to its sharply reduced usage in the third-party payor’s patient population. The process for obtaining coverage can be lengthy and costly, and it could take several months before a particular payor initially reviews a product and makes a decision with respect to coverage. For example, third-party payors may require cost-benefit analysis data in order to demonstrate the cost-effectiveness of a particular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Outside the U.S., ensuring adequate coverage and payment for drug products can have challenges. Pricing of prescription pharmaceuticals is subject to governmental control in many countries. Pricing negotiations with governmental authorities can extend well beyond the receipt of regulatory marketing approval for a product and may require us to conduct an active comparator clinical trial to demonstrate the relative effectiveness of our therapeutic candidates or products to other available therapies to support our pricing, which could be expensive and result in delays in our commercialization efforts. Third-party payors are challenging the prices charged for medical products and services, and many third-party payors limit reimbursement for newly-approved healthcare products. Recent budgetary pressures in many EU countries are also causing governments to consider or implement various cost-containment measures, including reference price grouping,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Patient Protection and Affordable Care Act (“PPACA”) made extensive changes to the delivery of healthcare in the U.S.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continuing efforts of the government, insurance companies, managed care organizations and other payors of healthcare services to contain or reduce costs of healthcare could result in decreased net revenues from our pharmaceutical products and decreased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Data Privacy and Security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(“PHI”), than the federal Health Insurance Portability and Accountability Act of 1996, as amended, and its implementing regulations, which are collectively referred to as HIPAA, and state laws may differ from each other, which may complicate compliance efforts. Entities that are found to be in violation of HIPAA or that enter into a resolution agreement with the HHS to settle actual or potential allegations of HIPAA noncompliance may be subject to significant civil, criminal, and administrative fines and penalties and/or additional reporting and oversight obligations.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Many state laws govern the privacy of personal information in specified circumstances. For example, in California the California Consumer Privacy Act (“CCPA”), establishes a privacy framework for covered businesses by creating an expanded definition of personal information, establishing data privacy rights for consumers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While clinical trial data and information governed by HIPAA are currently exempt from the CCPA, other personal information may be covered, and possible changes to the CCPA may broaden its scope.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EU member states, the U.K., Switzerland, and other jurisdictions have also adopted data protection laws and regulations, which impose significant compliance obligations. In the European Economic Area (“EEA”), the collection and use of personal data, including clinical trial data, is governed by the provisions of the General Data Protection Regulation (“GDPR”). The GDPR, together with national legislation, regulations, and guidelines of the states in the EEA, the U.K., and Switzerland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the U.K., or Switzerland,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the U.K., or Switzerland. Guidance on implementation and compliance practices are often updated or otherwise revised.</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Human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As of December 31, 2021, we had approximately 358 employees, of whom approximately 190 employees were engaged in the research and development function of our operations. Our research and development staff, approximately 76 of whom hold Ph.D. or M.D. degrees, have diversified experience in biochemistry, pharmacology, X-ray crystallography, synthetic organic chemistry, computational chemistry, medicinal chemistry, clinical development, and regulatory affairs.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believe that our ability to successfully execute on our strategic initiatives is highly dependent upon our ability to recruit, retain, and reward our employees. We engage in targeted recruitment strategies to fill highly skilled positions. Our employees enjoy competitive salaries and benefits, as well as equity participation. Our compensation philosophy is designed to provide an appealing, competitive, and rewarding compensation program that encourages high personal and company performance, strong cultural and ethical behavior, and incentives aligned with stockholder interests.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committed to providing a workplace that protects the health and wellbeing of our employees. All employees are required to abide by our Code of Conduct and Compliance Plan and health and safety parameters and to contribute to a positive, inclusive, and friendly company culture. Where we believe such arrangements can be effective, we have implemented flexible working arrangements, including work from home arrangements, for our employees, in part, to encourage employee health and wellness during the global COVID-19 pandemic. We consider our relations with our employees to be satisfactory.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a Delaware corporation originally founded in 1986. Our corporate headquarters is located at 4505 Emperor Blvd., Suite 200, Durham, North Carolina 27703, and our corporate telephone number is (919) 859-1302. For more information about us, please visit our website at www.biocryst.com. The information on our website is not incorporated into this Form 10-K.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Financial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information related to our revenues, profits, net loss and total assets, in addition to other financial information, please refer to the Consolidated Financial Statements and Notes to Consolidated Financial Statements contained in Part II, Item 8 of this report. Financial information about revenues derived from foreign countries is included in Notes 1 and 2 to the Consolidated Financial Statements contained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website address is www.biocryst.com. We make available, free of charge, at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also make available at our website copies of our audit committee charter, compensation committee charter, corporate governance and nominating committee charter and our code of business conduct, which applies to all our employees as well as the members of our Board of Directors. Any amendment to, or waiver from, our code of business conduct will be posted on our website.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5" w:name="i1a"/>
      <w:bookmarkEnd w:id="5"/>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i/>
          <w:caps w:val="false"/>
          <w:smallCaps w:val="false"/>
          <w:sz w:val="20"/>
        </w:rPr>
        <w:t>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rFonts w:ascii="Times New Roman" w:hAnsi="Times New Roman"/>
          <w:i/>
          <w:caps w:val="false"/>
          <w:smallCaps w:val="false"/>
          <w:sz w:val="20"/>
        </w:rPr>
      </w:pPr>
      <w:r>
        <w:rPr>
          <w:rFonts w:ascii="Times New Roman" w:hAnsi="Times New Roman"/>
          <w:i/>
          <w:caps w:val="false"/>
          <w:smallCaps w:val="false"/>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Risks Relating to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Risks Relating to COVID-19</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20"/>
        <w:jc w:val="both"/>
        <w:rPr>
          <w:rFonts w:ascii="Times New Roman" w:hAnsi="Times New Roman"/>
          <w:caps w:val="false"/>
          <w:smallCaps w:val="false"/>
          <w:sz w:val="20"/>
        </w:rPr>
      </w:pPr>
      <w:r>
        <w:rPr>
          <w:rFonts w:ascii="Times New Roman" w:hAnsi="Times New Roman"/>
          <w:b/>
          <w:i/>
          <w:caps w:val="false"/>
          <w:smallCaps w:val="false"/>
          <w:sz w:val="20"/>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clinical research organizations (</w:t>
      </w:r>
      <w:r>
        <w:rPr>
          <w:rFonts w:ascii="Times New Roman" w:hAnsi="Times New Roman"/>
          <w:caps w:val="false"/>
          <w:smallCaps w:val="false"/>
          <w:sz w:val="20"/>
        </w:rPr>
        <w:t>“</w:t>
      </w:r>
      <w:r>
        <w:rPr>
          <w:rFonts w:ascii="Times New Roman" w:hAnsi="Times New Roman"/>
          <w:b/>
          <w:i/>
          <w:caps w:val="false"/>
          <w:smallCaps w:val="false"/>
          <w:sz w:val="20"/>
        </w:rPr>
        <w:t>CROs</w:t>
      </w:r>
      <w:r>
        <w:rPr>
          <w:rFonts w:ascii="Times New Roman" w:hAnsi="Times New Roman"/>
          <w:caps w:val="false"/>
          <w:smallCaps w:val="false"/>
          <w:sz w:val="20"/>
        </w:rPr>
        <w:t>”</w:t>
      </w:r>
      <w:r>
        <w:rPr>
          <w:rFonts w:ascii="Times New Roman" w:hAnsi="Times New Roman"/>
          <w:b/>
          <w:i/>
          <w:caps w:val="false"/>
          <w:smallCaps w:val="false"/>
          <w:sz w:val="20"/>
        </w:rPr>
        <w:t>), and others, as well as on the regulatory and government agencies with whom we work.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EMA, PMDA, and other health and governmental authorities, which could result in delays of reviews and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delays or challenges will not have an adverse impact on our business, financial condition and prospects.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addition, our clinical trials have been and may continue to be affected by the COVID-19 pandemic. For example, the acceleration of COVID-19 slowed startup of the inadequate C5 responder cohorts in our complement oral Factor D inhibitor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Although our business operations under the ongoing COVID-19 pandemic continue to evolve, where possible and practical, we continue to provide work-from-home flexibility for our employees, which could negatively impact productivity, disrupt our business and delay our clinical programs and timelines. In addition, we are a government contractor, and as such, we are subject to the federal COVID-19 safety protocols, including the vaccine mandate.  We cannot accurately predict the impact on operations of our return-to-the-office plan, nor of the federal COVID-19 safety protocols on our business or on third parties with whom we conduct business.  Our business may be negatively impacted in the event that large numbers of employees or key employees do not comply with these protocols.  These and similar, and perhaps more severe, disruptions in our operations could negatively impact our business, operating results and financial condition.</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spread of COVID-19, which has caused a broad impact globally, could also materially affect our access to capital. While the future economic impact brought by, and the duration of, COVID-19 may be difficult to assess or predict, the pandemic could result in significant disruption of global financial markets, reducing our ability to access the equity or debt capital markets or obtain other sources of capital, which could negatively affect our liquidity. In addition, a recession or market correction resulting from the spread of COVID-19 and related responses could materially affect our business and the value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global pandemic of COVID-19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on the healthcare system, or on the global economy. In addition, the COVID-19 pandemic could have the effect of heightening many of the other risks described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Financial and Liquidity Risks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have incurred losses since our inception, expect to continue to incur such losses, and may never be profitable.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new commercially viable products, certain obligations we have to third parties, including, without limitation, our obligation to pay RPI and OMERS, as applicable, royalties on certain revenues from ORLADEYO, BCX9930, and another earlier stage Factor D inhibitor under the Royalty Purchase Agreements, may reduce the profitability of such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may need to raise additional capital in the future. If we are unable to raise capital when needed, we may need to adjust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have sustained operating losses for the majority of our corporate history and expect that our 2022 expenses will exceed our 2022 revenues. We expect to continue to incur operating losses and negative cash flows unless and until revenues reach a level sufficient to support ongoing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liquidity needs will be largely determined by the success of operations in regard to the commercialization of our products and the progression of our product candidates in the future. Our plans for managing our liquidity needs primarily include controlling the timing and spending on our research and development programs, raising additional funds through equity and/or debt financings, and commercializing our approved products. We regularly evaluate other opportunities to fund operations including: (1) securing or increasing U.S. Government funding of our programs, including obtaining additional and delivering on procurement contracts; (2) out-licensing rights to certain of our products or product candidates, pursuant to which we would receive cash milestone payments and/or royalties;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research and development programs, including by discontinuing and suspending development; and/or (6) restructuring operations to change our overhead structure.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There can be no assurance that any of our plans will be successful or that additional capital will be available to us on reasonable terms, or at all, when needed. If we are unable to obtain sufficient additional capital, we may be forced to adjust or curtail our operations; delay, reduce, or stop ongoing clinical trials or commercialization efforts; cease operations altogether; or file for bankruptcy.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Risks Relating to Drug Development and Commercialization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Our success depends upon our ability to advance our product candidates through the various stages of development, especially through the clinical trial process, and to receive regulatory approval for the commercial sale of our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Failure to achieve any of these endpoints in any of our programs, including our Factor D program (inclusive of BCX9930), BCX9250, galidesivir, and our other rare disease product candidates, could result in delays in or modifications to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Product candidates that initially show promise in clinical or preclinical testing could later be found to cause undesirable or unexpected side effects that could result in delays in the development of our product candidates, significant unexpected costs, or the termination of programs. The development plans for our product candidates, including our clinical trials, may not be adequately designed or executed, which could negatively affect the outcome and analysis of study results. Because of the cost and duration of clinical trials, we may decide to discontinue development of product candidates that are unlikely to show favorable results in clinical trials, unlikely to help advance a product to the point of a meaningful collaboration, or unlikely to have reasonable commercial potential.</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Undesirable or inconclusive data in our pre-clinical studies and clinical trials or side effects in humans could result in the FDA or foreign regulatory authorities (including, e.g., the EMA, the MHLW or the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may suspend or terminate clinical trials at any time if we or they believe the trial participants face unacceptable health risks.</w:t>
      </w:r>
    </w:p>
    <w:p>
      <w:pPr>
        <w:pStyle w:val="TextBody"/>
        <w:spacing w:before="0" w:after="0"/>
        <w:ind w:left="0" w:right="0" w:hanging="0"/>
        <w:rPr>
          <w:caps w:val="false"/>
          <w:smallCaps w:val="false"/>
        </w:rPr>
      </w:pPr>
      <w:r>
        <w:rPr>
          <w:caps w:val="false"/>
          <w:smallCaps w:val="false"/>
        </w:rPr>
        <w:t> </w:t>
      </w:r>
    </w:p>
    <w:p>
      <w:pPr>
        <w:pStyle w:val="TextBody"/>
        <w:spacing w:before="0" w:after="0"/>
        <w:ind w:left="500" w:right="0" w:hanging="0"/>
        <w:rPr>
          <w:rFonts w:ascii="Times New Roman" w:hAnsi="Times New Roman"/>
          <w:caps w:val="false"/>
          <w:smallCaps w:val="false"/>
          <w:sz w:val="20"/>
        </w:rPr>
      </w:pPr>
      <w:r>
        <w:rPr>
          <w:rFonts w:ascii="Times New Roman" w:hAnsi="Times New Roman"/>
          <w:caps w:val="false"/>
          <w:smallCaps w:val="false"/>
          <w:sz w:val="20"/>
        </w:rPr>
        <w:t>Our ability to successfully complete the clinical development process is dependent upon many factors, including but not limited to:</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or our partners’ ability to secure suitable clinical sites and investigators and to enroll and maintain an adequate number of patients on a timely basis or at all;</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patients that enroll in a clinical trial may not comply with the clinical trial protocol or maintain contact with investigators to provide complete data during and after treatment;</w:t>
            </w:r>
          </w:p>
        </w:tc>
      </w:tr>
    </w:tbl>
    <w:tbl>
      <w:tblPr>
        <w:tblW w:w="9865" w:type="dxa"/>
        <w:jc w:val="left"/>
        <w:tblInd w:w="0" w:type="dxa"/>
        <w:tblCellMar>
          <w:top w:w="0" w:type="dxa"/>
          <w:left w:w="0" w:type="dxa"/>
          <w:bottom w:w="0" w:type="dxa"/>
          <w:right w:w="0" w:type="dxa"/>
        </w:tblCellMar>
      </w:tblPr>
      <w:tblGrid>
        <w:gridCol w:w="60"/>
        <w:gridCol w:w="170"/>
        <w:gridCol w:w="96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6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product candidates may not prove to be either safe or effective or may produce unfavorable or inconclusive results;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partners may decide, or be required by regulatory authorities, to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authorities may disagree with our or our partners’ clinical trial protocols or our or their interpretation of data from preclinical studies and clinical trials;</w:t>
            </w:r>
          </w:p>
        </w:tc>
      </w:tr>
    </w:tbl>
    <w:tbl>
      <w:tblPr>
        <w:tblW w:w="8665" w:type="dxa"/>
        <w:jc w:val="left"/>
        <w:tblInd w:w="0" w:type="dxa"/>
        <w:tblCellMar>
          <w:top w:w="0" w:type="dxa"/>
          <w:left w:w="0" w:type="dxa"/>
          <w:bottom w:w="0" w:type="dxa"/>
          <w:right w:w="0" w:type="dxa"/>
        </w:tblCellMar>
      </w:tblPr>
      <w:tblGrid>
        <w:gridCol w:w="60"/>
        <w:gridCol w:w="170"/>
        <w:gridCol w:w="84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4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clinical protocols or study procedures may not be adequately designed or followed by the investigators;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formulation improvements may not work as expected, which could negatively impact commercial demand for our product candidates;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authorities may fail to approve or subsequently find fault with the manufacturing processes or facilities of third-party manufacturers with which we or our partners enter into agreements for clinical and commercial supplies;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or our partners’ development plans may be delayed or changed as a result of changes in development strategy, the impact of new or different regulations, requirements, and guidelines, or other unexpected events or conditions;</w:t>
            </w:r>
          </w:p>
        </w:tc>
      </w:tr>
    </w:tbl>
    <w:tbl>
      <w:tblPr>
        <w:tblW w:w="6955" w:type="dxa"/>
        <w:jc w:val="left"/>
        <w:tblInd w:w="0" w:type="dxa"/>
        <w:tblCellMar>
          <w:top w:w="0" w:type="dxa"/>
          <w:left w:w="0" w:type="dxa"/>
          <w:bottom w:w="0" w:type="dxa"/>
          <w:right w:w="0" w:type="dxa"/>
        </w:tblCellMar>
      </w:tblPr>
      <w:tblGrid>
        <w:gridCol w:w="60"/>
        <w:gridCol w:w="170"/>
        <w:gridCol w:w="67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7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 of pre-clinical studies and clinical trials may be greater than we anticipate;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tc>
      </w:tr>
    </w:tbl>
    <w:tbl>
      <w:tblPr>
        <w:tblW w:w="7345" w:type="dxa"/>
        <w:jc w:val="left"/>
        <w:tblInd w:w="0" w:type="dxa"/>
        <w:tblCellMar>
          <w:top w:w="0" w:type="dxa"/>
          <w:left w:w="0" w:type="dxa"/>
          <w:bottom w:w="0" w:type="dxa"/>
          <w:right w:w="0" w:type="dxa"/>
        </w:tblCellMar>
      </w:tblPr>
      <w:tblGrid>
        <w:gridCol w:w="60"/>
        <w:gridCol w:w="170"/>
        <w:gridCol w:w="71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impact of the ongoing COVID-19 pandemic on one or more of the foregoing factors.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Clinical trials are lengthy and expensive. Many of the factors listed above could result in increased clinical development costs or longer clinical development times for any of our programs. We or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may not receive regulatory approval for the product candidates, in which case we would be unable to generate any revenues from product sales or licensing arrangements, or any product candidate, if approved, may be subject to restrictions on labeling, marketing, distribution, prescribing, and use, which could adversely impact the sales of such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If our development collaborations with third parties, such as our development partners, contractors and contract research organizations, fail, the development of our product candidates will be delayed or stopped.</w:t>
      </w:r>
    </w:p>
    <w:p>
      <w:pPr>
        <w:pStyle w:val="TextBody"/>
        <w:spacing w:before="0" w:after="0"/>
        <w:ind w:left="0" w:right="0" w:hanging="0"/>
        <w:rPr>
          <w:caps w:val="false"/>
          <w:smallCaps w:val="false"/>
        </w:rPr>
      </w:pPr>
      <w:r>
        <w:rPr>
          <w:caps w:val="false"/>
          <w:smallCaps w:val="false"/>
        </w:rPr>
        <w:t> </w:t>
      </w:r>
    </w:p>
    <w:p>
      <w:pPr>
        <w:pStyle w:val="TextBody"/>
        <w:spacing w:before="0" w:after="0"/>
        <w:ind w:left="500" w:right="0" w:hanging="0"/>
        <w:rPr>
          <w:rFonts w:ascii="Times New Roman" w:hAnsi="Times New Roman"/>
          <w:caps w:val="false"/>
          <w:smallCaps w:val="false"/>
          <w:sz w:val="20"/>
        </w:rPr>
      </w:pPr>
      <w:r>
        <w:rPr>
          <w:rFonts w:ascii="Times New Roman" w:hAnsi="Times New Roman"/>
          <w:caps w:val="false"/>
          <w:smallCaps w:val="false"/>
          <w:sz w:val="20"/>
        </w:rPr>
        <w:t>We rely heavily upon third parties for many important stages of our product candidate development, including but not limited to:</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discovery of natural proteins that cause or enable biological reactions necessary for the progression of the disease or disorder, called enzyme targets;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execution of certain pharmacology preclinical studies and late-stage development for our compounds and product candidates;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management of our phase 1, 2 and 3 clinical trials, including medical monitoring, laboratory testing, and data management;</w:t>
            </w:r>
          </w:p>
        </w:tc>
      </w:tr>
    </w:tbl>
    <w:tbl>
      <w:tblPr>
        <w:tblW w:w="8320" w:type="dxa"/>
        <w:jc w:val="left"/>
        <w:tblInd w:w="0" w:type="dxa"/>
        <w:tblCellMar>
          <w:top w:w="0" w:type="dxa"/>
          <w:left w:w="0" w:type="dxa"/>
          <w:bottom w:w="0" w:type="dxa"/>
          <w:right w:w="0" w:type="dxa"/>
        </w:tblCellMar>
      </w:tblPr>
      <w:tblGrid>
        <w:gridCol w:w="60"/>
        <w:gridCol w:w="170"/>
        <w:gridCol w:w="80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execution of toxicology studies that may be required to obtain approval for our product candidates;</w:t>
            </w:r>
          </w:p>
        </w:tc>
      </w:tr>
    </w:tbl>
    <w:tbl>
      <w:tblPr>
        <w:tblW w:w="4285" w:type="dxa"/>
        <w:jc w:val="left"/>
        <w:tblInd w:w="0" w:type="dxa"/>
        <w:tblCellMar>
          <w:top w:w="0" w:type="dxa"/>
          <w:left w:w="0" w:type="dxa"/>
          <w:bottom w:w="0" w:type="dxa"/>
          <w:right w:w="0" w:type="dxa"/>
        </w:tblCellMar>
      </w:tblPr>
      <w:tblGrid>
        <w:gridCol w:w="60"/>
        <w:gridCol w:w="170"/>
        <w:gridCol w:w="40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0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formulation improvement strategies and methods;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manufacturing the starting materials and drug substance required to formulate our products and the product candidates to be used in our clinical trials, toxicology studies and any potential commercial product; and</w:t>
            </w:r>
          </w:p>
        </w:tc>
      </w:tr>
    </w:tbl>
    <w:tbl>
      <w:tblPr>
        <w:tblW w:w="6310" w:type="dxa"/>
        <w:jc w:val="left"/>
        <w:tblInd w:w="0" w:type="dxa"/>
        <w:tblCellMar>
          <w:top w:w="0" w:type="dxa"/>
          <w:left w:w="0" w:type="dxa"/>
          <w:bottom w:w="0" w:type="dxa"/>
          <w:right w:w="0" w:type="dxa"/>
        </w:tblCellMar>
      </w:tblPr>
      <w:tblGrid>
        <w:gridCol w:w="60"/>
        <w:gridCol w:w="170"/>
        <w:gridCol w:w="60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management of certain regulatory interactions outside of the United States.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If we fail to obtain additional financing or acceptable partnership arrangements, we may be unable to complete the development and commercialization of our products and product candidates or continue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obtain regulatory approval for our product candidates, including BCX9930, BCX9250, and galidesivir; our ability to maintain regulatory approval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collaborations with Torii, BARDA/HHS, and NIAID/HHS); the commercial success of our products achieved by our partners; the amount or profitability of any orders for peramivir or galidesivir by any government agency or other party; the progress and results of our current and proposed clinical trials for our product candidates; and the progress made in the manufacture of our lead products and the progression of our other programs.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order to continue future operations, progress our drug development programs, and commercialize our current products and product candidates, we will be required to raise additional capital. In addition to seeking strategic partnerships, transactions and government funding, we may access the equity or debt markets, incur additional borrowings,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and governmental agencies such as BARDA/HHS or NIAID/HHS, or from other sources, may not be available when needed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ability to raise additional capital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and carcinogenicity, drug-drug interaction, toxicity, or other required studies) for BCX9250 for the treatment of FOP, our Factor D program (including BCX9930) for diseases of the complement system, our broad-spectrum antiviral program, including galidesivir, and other rare disease product candidates, as well as any post-approval studies for our products. In addition, constriction and volatility in the equity and debt markets, including as a result of the impacts of COVID-19,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including as a result of the impacts of COVID-19.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could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spacing w:before="0" w:after="0"/>
        <w:ind w:left="0" w:right="0" w:firstLine="50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If we or our partners do not obtain governmental approval for our product candidates or maintain governmental approval for our products, we or our partners will not be able to commercialize and sell these products and potential products, which would significantly harm our business because we will receive no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or our partners must obtain regulatory approval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advance our product candidates through the various stages of development, especially through the clinical trial process, and to receive regulatory approval for the commercial sale of our product candidates,” we or our partners may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These requirements are wide ranging and govern, among other things:</w:t>
      </w:r>
    </w:p>
    <w:p>
      <w:pPr>
        <w:pStyle w:val="TextBody"/>
        <w:spacing w:before="0" w:after="0"/>
        <w:ind w:left="0" w:right="0" w:hanging="0"/>
        <w:rPr>
          <w:caps w:val="false"/>
          <w:smallCaps w:val="false"/>
        </w:rPr>
      </w:pPr>
      <w:r>
        <w:rPr>
          <w:caps w:val="false"/>
          <w:smallCaps w:val="false"/>
        </w:rPr>
        <w:t> </w:t>
      </w:r>
    </w:p>
    <w:tbl>
      <w:tblPr>
        <w:tblW w:w="4030" w:type="dxa"/>
        <w:jc w:val="left"/>
        <w:tblInd w:w="0" w:type="dxa"/>
        <w:tblCellMar>
          <w:top w:w="0" w:type="dxa"/>
          <w:left w:w="0" w:type="dxa"/>
          <w:bottom w:w="0" w:type="dxa"/>
          <w:right w:w="0" w:type="dxa"/>
        </w:tblCellMar>
      </w:tblPr>
      <w:tblGrid>
        <w:gridCol w:w="60"/>
        <w:gridCol w:w="170"/>
        <w:gridCol w:w="38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8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adverse drug experience reporting regulations;</w:t>
            </w:r>
          </w:p>
        </w:tc>
      </w:tr>
    </w:tbl>
    <w:tbl>
      <w:tblPr>
        <w:tblW w:w="1840" w:type="dxa"/>
        <w:jc w:val="left"/>
        <w:tblInd w:w="0" w:type="dxa"/>
        <w:tblCellMar>
          <w:top w:w="0" w:type="dxa"/>
          <w:left w:w="0" w:type="dxa"/>
          <w:bottom w:w="0" w:type="dxa"/>
          <w:right w:w="0" w:type="dxa"/>
        </w:tblCellMar>
      </w:tblPr>
      <w:tblGrid>
        <w:gridCol w:w="60"/>
        <w:gridCol w:w="170"/>
        <w:gridCol w:w="16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6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 promotion;</w:t>
            </w:r>
          </w:p>
        </w:tc>
      </w:tr>
    </w:tbl>
    <w:tbl>
      <w:tblPr>
        <w:tblW w:w="6880" w:type="dxa"/>
        <w:jc w:val="left"/>
        <w:tblInd w:w="0" w:type="dxa"/>
        <w:tblCellMar>
          <w:top w:w="0" w:type="dxa"/>
          <w:left w:w="0" w:type="dxa"/>
          <w:bottom w:w="0" w:type="dxa"/>
          <w:right w:w="0" w:type="dxa"/>
        </w:tblCellMar>
      </w:tblPr>
      <w:tblGrid>
        <w:gridCol w:w="60"/>
        <w:gridCol w:w="170"/>
        <w:gridCol w:w="66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6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 manufacturing, including good manufacturing practice requirements; and</w:t>
            </w:r>
          </w:p>
        </w:tc>
      </w:tr>
    </w:tbl>
    <w:tbl>
      <w:tblPr>
        <w:tblW w:w="3010" w:type="dxa"/>
        <w:jc w:val="left"/>
        <w:tblInd w:w="0" w:type="dxa"/>
        <w:tblCellMar>
          <w:top w:w="0" w:type="dxa"/>
          <w:left w:w="0" w:type="dxa"/>
          <w:bottom w:w="0" w:type="dxa"/>
          <w:right w:w="0" w:type="dxa"/>
        </w:tblCellMar>
      </w:tblPr>
      <w:tblGrid>
        <w:gridCol w:w="60"/>
        <w:gridCol w:w="170"/>
        <w:gridCol w:w="27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7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 changes or modifications.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focus on rare diseases, which may create additional risks and challenges.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For instance, although BCX9930 for PNH has received Fast Track and Orphan Drug designations from the FDA, we may not experience a faster development, review or approval process compared to the conventional process in the relevant jurisdictions. We may not be able to obtain or maintain these designations for BCX9930 or other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The commercial viability of any approved product could be compromised if the product is less effective than expected, causes undesirable side effects that were not previously identified, or fails to achieve market acceptance within the medical community.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after obtaining regulatory approval of a product, we or others discover that it is less effective than previously believed or causes undesirable side effects that were not previously identified, any of the following adverse events could occur:</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partners may be required to recall the product, change the way the product is administered, conduct additional clinical trials, or be subject to civil or criminal penalties; and</w:t>
            </w:r>
          </w:p>
        </w:tc>
      </w:tr>
    </w:tbl>
    <w:tbl>
      <w:tblPr>
        <w:tblW w:w="6085" w:type="dxa"/>
        <w:jc w:val="left"/>
        <w:tblInd w:w="0" w:type="dxa"/>
        <w:tblCellMar>
          <w:top w:w="0" w:type="dxa"/>
          <w:left w:w="0" w:type="dxa"/>
          <w:bottom w:w="0" w:type="dxa"/>
          <w:right w:w="0" w:type="dxa"/>
        </w:tblCellMar>
      </w:tblPr>
      <w:tblGrid>
        <w:gridCol w:w="60"/>
        <w:gridCol w:w="170"/>
        <w:gridCol w:w="58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product may become less competitive and our reputation may suffer.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Even after receiving regulatory approval, any product could fail to gain sufficient, or even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products and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Currently, we have established collaborative relationships, including with Torii for the commercialization of ORLADEYO in Japan and with each of Shionogi and Green Cross for the development and commercialization of peramivir. The process of establishing and implementing collaborative relationships is difficult, time-consuming and involves significant uncertainty, including:</w:t>
      </w:r>
    </w:p>
    <w:p>
      <w:pPr>
        <w:pStyle w:val="TextBody"/>
        <w:spacing w:before="0" w:after="0"/>
        <w:ind w:left="0" w:right="0" w:firstLine="50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partners may seek to renegotiate or terminate their relationships with us due to unsatisfactory commercial, regulatory or clinical results, including post-approval clinical commitments, a change in business strategy, a change of control or other reasons;</w:t>
            </w:r>
          </w:p>
        </w:tc>
      </w:tr>
    </w:tbl>
    <w:tbl>
      <w:tblPr>
        <w:tblW w:w="4825" w:type="dxa"/>
        <w:jc w:val="left"/>
        <w:tblInd w:w="0" w:type="dxa"/>
        <w:tblCellMar>
          <w:top w:w="0" w:type="dxa"/>
          <w:left w:w="0" w:type="dxa"/>
          <w:bottom w:w="0" w:type="dxa"/>
          <w:right w:w="0" w:type="dxa"/>
        </w:tblCellMar>
      </w:tblPr>
      <w:tblGrid>
        <w:gridCol w:w="60"/>
        <w:gridCol w:w="170"/>
        <w:gridCol w:w="45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contracts for collaborative arrangements may expire;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possibility that expiration or termination of collaborative relationships, such as those with certain of our distribution partners, may trigger repurchase obligations of the Company for unsold product held by our partner;</w:t>
            </w:r>
          </w:p>
        </w:tc>
      </w:tr>
    </w:tbl>
    <w:tbl>
      <w:tblPr>
        <w:tblW w:w="7975" w:type="dxa"/>
        <w:jc w:val="left"/>
        <w:tblInd w:w="0" w:type="dxa"/>
        <w:tblCellMar>
          <w:top w:w="0" w:type="dxa"/>
          <w:left w:w="0" w:type="dxa"/>
          <w:bottom w:w="0" w:type="dxa"/>
          <w:right w:w="0" w:type="dxa"/>
        </w:tblCellMar>
      </w:tblPr>
      <w:tblGrid>
        <w:gridCol w:w="60"/>
        <w:gridCol w:w="170"/>
        <w:gridCol w:w="77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7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partners may choose to pursue alternative technologies, including those of our competitors;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had in the past, and in the future may have, disputes with a partner that could lead to litigation or arbitration, which could result in substantial costs and divert the attention of our management;</w:t>
            </w:r>
          </w:p>
        </w:tc>
      </w:tr>
    </w:tbl>
    <w:tbl>
      <w:tblPr>
        <w:tblW w:w="9490" w:type="dxa"/>
        <w:jc w:val="left"/>
        <w:tblInd w:w="0" w:type="dxa"/>
        <w:tblCellMar>
          <w:top w:w="0" w:type="dxa"/>
          <w:left w:w="0" w:type="dxa"/>
          <w:bottom w:w="0" w:type="dxa"/>
          <w:right w:w="0" w:type="dxa"/>
        </w:tblCellMar>
      </w:tblPr>
      <w:tblGrid>
        <w:gridCol w:w="60"/>
        <w:gridCol w:w="170"/>
        <w:gridCol w:w="92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2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do not have day-to-day control over the activities of our partners and have limited control over their decisions;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tc>
      </w:tr>
    </w:tbl>
    <w:tbl>
      <w:tblPr>
        <w:tblW w:w="9415" w:type="dxa"/>
        <w:jc w:val="left"/>
        <w:tblInd w:w="0" w:type="dxa"/>
        <w:tblCellMar>
          <w:top w:w="0" w:type="dxa"/>
          <w:left w:w="0" w:type="dxa"/>
          <w:bottom w:w="0" w:type="dxa"/>
          <w:right w:w="0" w:type="dxa"/>
        </w:tblCellMar>
      </w:tblPr>
      <w:tblGrid>
        <w:gridCol w:w="60"/>
        <w:gridCol w:w="170"/>
        <w:gridCol w:w="91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1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partners may not devote sufficient capital or resources toward our products and product candidates; and</w:t>
            </w:r>
          </w:p>
        </w:tc>
      </w:tr>
    </w:tbl>
    <w:tbl>
      <w:tblPr>
        <w:tblW w:w="7405" w:type="dxa"/>
        <w:jc w:val="left"/>
        <w:tblInd w:w="0" w:type="dxa"/>
        <w:tblCellMar>
          <w:top w:w="0" w:type="dxa"/>
          <w:left w:w="0" w:type="dxa"/>
          <w:bottom w:w="0" w:type="dxa"/>
          <w:right w:w="0" w:type="dxa"/>
        </w:tblCellMar>
      </w:tblPr>
      <w:tblGrid>
        <w:gridCol w:w="60"/>
        <w:gridCol w:w="170"/>
        <w:gridCol w:w="71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partners may not comply with applicable government regulatory requirements.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The results of our partnership with Torii may not meet our current expectations.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Torii Agreement provides that we are entitled to receive tiered royalty payments, the amounts of which will depend upon the amount of annual net sales of ORLADEYO in Japan during each calendar year and other factors. We remain responsible for regulatory activities with respect to ORLADEYO in Japan for one year after the first commercial sale.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Torii may terminate the Torii Agreement under certain limited circumstances, including upon one year’s written notice after the sixth anniversary of the first commercial sale of ORLADEYO in Japan. If the Torii Agreement is terminated in connection with these provisions, we will no longer be entitled to receive any milestone or royalty payments thereunder, which could have a material adverse impact on our business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Torii has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There can be no assurance that our commercialization efforts, methods, and strategies for our products or technologies will succeed, and our future revenue generation is uncertain.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There can be no assurance that our and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partners may fail to successfully complete clinical trials, or satisfy post-marketing commitments, sufficient to obtain and keep regulatory agency marketing approval;</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many competitors are more experienced and have significantly more resources, and their products could reach the market faster, be more cost effective or have a better efficacy or tolerability profile than our products and product candidates;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may fail to employ a comprehensive and effective regulatory strategy, which could result in a delay or failure in commercialization of our products;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and our partners’ ability to successfully commercialize our products is affected by the competitive landscape, which cannot be fully known at this time;</w:t>
            </w:r>
          </w:p>
        </w:tc>
      </w:tr>
    </w:tbl>
    <w:tbl>
      <w:tblPr>
        <w:tblW w:w="8170" w:type="dxa"/>
        <w:jc w:val="left"/>
        <w:tblInd w:w="0" w:type="dxa"/>
        <w:tblCellMar>
          <w:top w:w="0" w:type="dxa"/>
          <w:left w:w="0" w:type="dxa"/>
          <w:bottom w:w="0" w:type="dxa"/>
          <w:right w:w="0" w:type="dxa"/>
        </w:tblCellMar>
      </w:tblPr>
      <w:tblGrid>
        <w:gridCol w:w="60"/>
        <w:gridCol w:w="170"/>
        <w:gridCol w:w="79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 from product sales would depend on our ability to obtain and maintain favorable pricing;</w:t>
            </w:r>
          </w:p>
        </w:tc>
      </w:tr>
    </w:tbl>
    <w:tbl>
      <w:tblPr>
        <w:tblW w:w="7390" w:type="dxa"/>
        <w:jc w:val="left"/>
        <w:tblInd w:w="0" w:type="dxa"/>
        <w:tblCellMar>
          <w:top w:w="0" w:type="dxa"/>
          <w:left w:w="0" w:type="dxa"/>
          <w:bottom w:w="0" w:type="dxa"/>
          <w:right w:w="0" w:type="dxa"/>
        </w:tblCellMar>
      </w:tblPr>
      <w:tblGrid>
        <w:gridCol w:w="60"/>
        <w:gridCol w:w="170"/>
        <w:gridCol w:w="71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reimbursement is constantly changing, which could greatly affect usage of our products;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future revenue from product sales would depend on our ability to successfully complete clinical studies, obtain regulatory approvals, and manufacture, market, distribute and commercialize our approved drugs; and</w:t>
            </w:r>
          </w:p>
        </w:tc>
      </w:tr>
    </w:tbl>
    <w:tbl>
      <w:tblPr>
        <w:tblW w:w="5110" w:type="dxa"/>
        <w:jc w:val="left"/>
        <w:tblInd w:w="0" w:type="dxa"/>
        <w:tblCellMar>
          <w:top w:w="0" w:type="dxa"/>
          <w:left w:w="0" w:type="dxa"/>
          <w:bottom w:w="0" w:type="dxa"/>
          <w:right w:w="0" w:type="dxa"/>
        </w:tblCellMar>
      </w:tblPr>
      <w:tblGrid>
        <w:gridCol w:w="60"/>
        <w:gridCol w:w="170"/>
        <w:gridCol w:w="48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8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impact of the COVID-19 pandemic on us or our partners.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addition, future revenue from sales of ORLADEYO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payors, the conversion of patients from our clinical trials and early access programs to commercial customers, and market trends.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Even if we are able to successfully commercialize our existing products, or to develop new commercially viable products, certain obligations we have to third parties, including, without limitation, our obligations to pay royalties on certain revenues from ORLADEYO, BCX9930, and another earlier stage Factor D inhibitor under the Royalty Purchase Agreements may reduce the profitability of such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expect to continue expanding our development and regulatory capabilities and implementing sales, marketing and distribution capabilities, and as a result, we may encounter difficulties in managing our growth, which could disrupt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expect to continue experiencing significant growth in the number of our employees and the scope of our operations, particularly in the areas of drug development, regulatory affairs, sales, marketing, and distribution. To manage our anticipated future growth, we must continue to implement and improve our managerial, operational and financial systems, expand our facilities and continue to recruit and train additional qualified personnel. For example, we expanded our internal commercial team in 2020 in preparation for the commercial launch of ORLADEYO, and we continued to add additional headcount throughout 2021. Due to our limited financial resources and the limited experience of our management team in managing a company with such anticipated growth, we may not be able to effectively manage the expansion of our operations or recruit, train, and retain additional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depend on third-party vendors, including third-party manufacturers, distributors, and specialty pharmacies, in the manufacture and distribution of our products, product candidates, and the materials for our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which may be the only vendor we have engaged for a particular product or service or in a particular region, may encounter difficulties with meeting our requirements, including but not limited to problems involving, as applicable:</w:t>
      </w:r>
    </w:p>
    <w:p>
      <w:pPr>
        <w:pStyle w:val="TextBody"/>
        <w:spacing w:before="0" w:after="0"/>
        <w:ind w:left="0" w:right="0" w:hanging="0"/>
        <w:rPr>
          <w:caps w:val="false"/>
          <w:smallCaps w:val="false"/>
        </w:rPr>
      </w:pPr>
      <w:r>
        <w:rPr>
          <w:caps w:val="false"/>
          <w:smallCaps w:val="false"/>
        </w:rPr>
        <w:t> </w:t>
      </w:r>
    </w:p>
    <w:tbl>
      <w:tblPr>
        <w:tblW w:w="9700" w:type="dxa"/>
        <w:jc w:val="left"/>
        <w:tblInd w:w="0" w:type="dxa"/>
        <w:tblCellMar>
          <w:top w:w="0" w:type="dxa"/>
          <w:left w:w="0" w:type="dxa"/>
          <w:bottom w:w="0" w:type="dxa"/>
          <w:right w:w="0" w:type="dxa"/>
        </w:tblCellMar>
      </w:tblPr>
      <w:tblGrid>
        <w:gridCol w:w="60"/>
        <w:gridCol w:w="170"/>
        <w:gridCol w:w="94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4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insufficient resources being devoted in the manner necessary to satisfy our requirements within expected timeframes;</w:t>
            </w:r>
          </w:p>
        </w:tc>
      </w:tr>
    </w:tbl>
    <w:tbl>
      <w:tblPr>
        <w:tblW w:w="2785" w:type="dxa"/>
        <w:jc w:val="left"/>
        <w:tblInd w:w="0" w:type="dxa"/>
        <w:tblCellMar>
          <w:top w:w="0" w:type="dxa"/>
          <w:left w:w="0" w:type="dxa"/>
          <w:bottom w:w="0" w:type="dxa"/>
          <w:right w:w="0" w:type="dxa"/>
        </w:tblCellMar>
      </w:tblPr>
      <w:tblGrid>
        <w:gridCol w:w="60"/>
        <w:gridCol w:w="170"/>
        <w:gridCol w:w="255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5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inconsistent production yields;</w:t>
            </w:r>
          </w:p>
        </w:tc>
      </w:tr>
    </w:tbl>
    <w:tbl>
      <w:tblPr>
        <w:tblW w:w="4870" w:type="dxa"/>
        <w:jc w:val="left"/>
        <w:tblInd w:w="0" w:type="dxa"/>
        <w:tblCellMar>
          <w:top w:w="0" w:type="dxa"/>
          <w:left w:w="0" w:type="dxa"/>
          <w:bottom w:w="0" w:type="dxa"/>
          <w:right w:w="0" w:type="dxa"/>
        </w:tblCellMar>
      </w:tblPr>
      <w:tblGrid>
        <w:gridCol w:w="60"/>
        <w:gridCol w:w="170"/>
        <w:gridCol w:w="46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 liability claims or recalls of commercial product;</w:t>
            </w:r>
          </w:p>
        </w:tc>
      </w:tr>
    </w:tbl>
    <w:tbl>
      <w:tblPr>
        <w:tblW w:w="5845" w:type="dxa"/>
        <w:jc w:val="left"/>
        <w:tblInd w:w="0" w:type="dxa"/>
        <w:tblCellMar>
          <w:top w:w="0" w:type="dxa"/>
          <w:left w:w="0" w:type="dxa"/>
          <w:bottom w:w="0" w:type="dxa"/>
          <w:right w:w="0" w:type="dxa"/>
        </w:tblCellMar>
      </w:tblPr>
      <w:tblGrid>
        <w:gridCol w:w="60"/>
        <w:gridCol w:w="170"/>
        <w:gridCol w:w="56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6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difficulties in scaling production to commercial and validation sizes;</w:t>
            </w:r>
          </w:p>
        </w:tc>
      </w:tr>
    </w:tbl>
    <w:tbl>
      <w:tblPr>
        <w:tblW w:w="6670" w:type="dxa"/>
        <w:jc w:val="left"/>
        <w:tblInd w:w="0" w:type="dxa"/>
        <w:tblCellMar>
          <w:top w:w="0" w:type="dxa"/>
          <w:left w:w="0" w:type="dxa"/>
          <w:bottom w:w="0" w:type="dxa"/>
          <w:right w:w="0" w:type="dxa"/>
        </w:tblCellMar>
      </w:tblPr>
      <w:tblGrid>
        <w:gridCol w:w="60"/>
        <w:gridCol w:w="170"/>
        <w:gridCol w:w="64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4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interruption of the delivery of materials required for the manufacturing process;</w:t>
            </w:r>
          </w:p>
        </w:tc>
      </w:tr>
    </w:tbl>
    <w:tbl>
      <w:tblPr>
        <w:tblW w:w="9310" w:type="dxa"/>
        <w:jc w:val="left"/>
        <w:tblInd w:w="0" w:type="dxa"/>
        <w:tblCellMar>
          <w:top w:w="0" w:type="dxa"/>
          <w:left w:w="0" w:type="dxa"/>
          <w:bottom w:w="0" w:type="dxa"/>
          <w:right w:w="0" w:type="dxa"/>
        </w:tblCellMar>
      </w:tblPr>
      <w:tblGrid>
        <w:gridCol w:w="60"/>
        <w:gridCol w:w="170"/>
        <w:gridCol w:w="90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failure to distribute commercial supplies of our products to commercial vendors or end users in a timely manner;</w:t>
            </w:r>
          </w:p>
        </w:tc>
      </w:tr>
    </w:tbl>
    <w:tbl>
      <w:tblPr>
        <w:tblW w:w="6535" w:type="dxa"/>
        <w:jc w:val="left"/>
        <w:tblInd w:w="0" w:type="dxa"/>
        <w:tblCellMar>
          <w:top w:w="0" w:type="dxa"/>
          <w:left w:w="0" w:type="dxa"/>
          <w:bottom w:w="0" w:type="dxa"/>
          <w:right w:w="0" w:type="dxa"/>
        </w:tblCellMar>
      </w:tblPr>
      <w:tblGrid>
        <w:gridCol w:w="60"/>
        <w:gridCol w:w="170"/>
        <w:gridCol w:w="63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3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scheduling of plant time with other vendors or unexpected equipment failure;</w:t>
            </w:r>
          </w:p>
        </w:tc>
      </w:tr>
    </w:tbl>
    <w:tbl>
      <w:tblPr>
        <w:tblW w:w="7390" w:type="dxa"/>
        <w:jc w:val="left"/>
        <w:tblInd w:w="0" w:type="dxa"/>
        <w:tblCellMar>
          <w:top w:w="0" w:type="dxa"/>
          <w:left w:w="0" w:type="dxa"/>
          <w:bottom w:w="0" w:type="dxa"/>
          <w:right w:w="0" w:type="dxa"/>
        </w:tblCellMar>
      </w:tblPr>
      <w:tblGrid>
        <w:gridCol w:w="60"/>
        <w:gridCol w:w="170"/>
        <w:gridCol w:w="71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potential catastrophes that could strike their facilities or have an effect on infrastructure;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potential impurities in our drug substance or products that could affect availability of product for our clinical trials or future commercialization;</w:t>
            </w:r>
          </w:p>
        </w:tc>
      </w:tr>
    </w:tbl>
    <w:tbl>
      <w:tblPr>
        <w:tblW w:w="5620" w:type="dxa"/>
        <w:jc w:val="left"/>
        <w:tblInd w:w="0" w:type="dxa"/>
        <w:tblCellMar>
          <w:top w:w="0" w:type="dxa"/>
          <w:left w:w="0" w:type="dxa"/>
          <w:bottom w:w="0" w:type="dxa"/>
          <w:right w:w="0" w:type="dxa"/>
        </w:tblCellMar>
      </w:tblPr>
      <w:tblGrid>
        <w:gridCol w:w="60"/>
        <w:gridCol w:w="170"/>
        <w:gridCol w:w="53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3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poor quality control and assurance or inadequate process controls;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failure to provide us with accurate or timely information regarding inventories, the number of patients who are using our products, or serious adverse events and/or product complaints regarding our products;</w:t>
            </w:r>
          </w:p>
        </w:tc>
      </w:tr>
    </w:tbl>
    <w:tbl>
      <w:tblPr>
        <w:tblW w:w="6580" w:type="dxa"/>
        <w:jc w:val="left"/>
        <w:tblInd w:w="0" w:type="dxa"/>
        <w:tblCellMar>
          <w:top w:w="0" w:type="dxa"/>
          <w:left w:w="0" w:type="dxa"/>
          <w:bottom w:w="0" w:type="dxa"/>
          <w:right w:w="0" w:type="dxa"/>
        </w:tblCellMar>
      </w:tblPr>
      <w:tblGrid>
        <w:gridCol w:w="60"/>
        <w:gridCol w:w="170"/>
        <w:gridCol w:w="63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3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inability of third parties to satisfy their financial obligations to us or to others;</w:t>
            </w:r>
          </w:p>
        </w:tc>
      </w:tr>
    </w:tbl>
    <w:tbl>
      <w:tblPr>
        <w:tblW w:w="6925" w:type="dxa"/>
        <w:jc w:val="left"/>
        <w:tblInd w:w="0" w:type="dxa"/>
        <w:tblCellMar>
          <w:top w:w="0" w:type="dxa"/>
          <w:left w:w="0" w:type="dxa"/>
          <w:bottom w:w="0" w:type="dxa"/>
          <w:right w:w="0" w:type="dxa"/>
        </w:tblCellMar>
      </w:tblPr>
      <w:tblGrid>
        <w:gridCol w:w="60"/>
        <w:gridCol w:w="170"/>
        <w:gridCol w:w="66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6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potential breach of the manufacturing or distribution agreement by the third party;</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possible termination or nonrenewal of a critical agreement by the third party at a time that is costly or inconvenient to us;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lack of compliance or cooperation with regulations and specifications or requests set forth by the FDA or other foreign regulatory agencies or local customs, particularly associated with ORLADEYO, BCX9930, BCX9250, galidesivir, peramivir and our early-stage compounds.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Many additional factors could cause production or distribution interruptions with the manufacture and distribution of any of our products and product candidates, including human error, natural disasters, pandemics, labor disputes, acts of terrorism or war, equipment malfunctions, or raw material shortages. If our commercial distribution partners are not able to satisfy our requirements within the expected timeframe, or are unable to provide us with accurate or timely information and data, including inventories and sales, serious adverse events, and/or product complaints, our business, including our commercial launch and sales of ORLADEYO may be at risk. In addition, if specialty pharmacy services, including our third-party call center services, which provide patient support and financial services, prescription intake and distribution, reimbursement adjudication, and ongoing compliance support, is not effectively managed, the continuance of our commercial launch and sales of ORLADEYO may be delayed or compromised.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To date, our third-party manufacturers have met our manufacturing requirements, but they may not continue to do so.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rPr>
          <w:rFonts w:ascii="Times New Roman" w:hAnsi="Times New Roman"/>
          <w:caps w:val="false"/>
          <w:smallCaps w:val="false"/>
          <w:sz w:val="20"/>
        </w:rPr>
      </w:pPr>
      <w:r>
        <w:rPr>
          <w:rFonts w:ascii="Times New Roman" w:hAnsi="Times New Roman"/>
          <w:b/>
          <w:i/>
          <w:caps w:val="false"/>
          <w:smallCaps w:val="false"/>
          <w:sz w:val="20"/>
        </w:rPr>
        <w:t>Commercialization of our products by us and our partners is subject to the potential commercialization risks described herein and numerous additional risks.</w:t>
      </w:r>
      <w:r>
        <w:rPr>
          <w:rFonts w:ascii="Times New Roman" w:hAnsi="Times New Roman"/>
          <w:caps w:val="false"/>
          <w:smallCaps w:val="false"/>
          <w:sz w:val="20"/>
        </w:rPr>
        <w:t xml:space="preserve"> </w:t>
      </w:r>
      <w:r>
        <w:rPr>
          <w:rFonts w:ascii="Times New Roman" w:hAnsi="Times New Roman"/>
          <w:b/>
          <w:i/>
          <w:caps w:val="false"/>
          <w:smallCaps w:val="false"/>
          <w:sz w:val="20"/>
        </w:rPr>
        <w:t>Any potential revenue benefits to us, including in the form of milestone payments, royalties or other consideration are highly speculative.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Commercialization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products may not prove to be adequately safe and effective for market approval in markets other than the markets in which they are currently approved;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necessary funding for post-marketing commitments and further development of our products may not be available timely, at all, or in sufficient amounts;</w:t>
            </w:r>
          </w:p>
        </w:tc>
      </w:tr>
    </w:tbl>
    <w:tbl>
      <w:tblPr>
        <w:tblW w:w="7975" w:type="dxa"/>
        <w:jc w:val="left"/>
        <w:tblInd w:w="0" w:type="dxa"/>
        <w:tblCellMar>
          <w:top w:w="0" w:type="dxa"/>
          <w:left w:w="0" w:type="dxa"/>
          <w:bottom w:w="0" w:type="dxa"/>
          <w:right w:w="0" w:type="dxa"/>
        </w:tblCellMar>
      </w:tblPr>
      <w:tblGrid>
        <w:gridCol w:w="60"/>
        <w:gridCol w:w="170"/>
        <w:gridCol w:w="77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7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advances in competing products could substantially replace potential demand for our products;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government and third-party payors may not provide sufficient coverage or reimbursement, which would negatively impact the demand for our products;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may not be able to supply commercial material to our partners and our partners may not be able to maintain or establish sufficient and acceptable commercial manufacturing, either directly or through third-party manufacturers;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commercial demand and acceptance for our products by healthcare providers and by patients may not be sufficient to result in substantial product revenues to us or to our partners and may result in little to no revenue, milestone payments, or royalties to us;</w:t>
            </w:r>
          </w:p>
        </w:tc>
      </w:tr>
    </w:tbl>
    <w:tbl>
      <w:tblPr>
        <w:tblW w:w="7930" w:type="dxa"/>
        <w:jc w:val="left"/>
        <w:tblInd w:w="0" w:type="dxa"/>
        <w:tblCellMar>
          <w:top w:w="0" w:type="dxa"/>
          <w:left w:w="0" w:type="dxa"/>
          <w:bottom w:w="0" w:type="dxa"/>
          <w:right w:w="0" w:type="dxa"/>
        </w:tblCellMar>
      </w:tblPr>
      <w:tblGrid>
        <w:gridCol w:w="60"/>
        <w:gridCol w:w="170"/>
        <w:gridCol w:w="77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7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effectiveness of marketing and commercialization efforts for our products by us or our partners;</w:t>
            </w:r>
          </w:p>
        </w:tc>
      </w:tr>
    </w:tbl>
    <w:tbl>
      <w:tblPr>
        <w:tblW w:w="4645" w:type="dxa"/>
        <w:jc w:val="left"/>
        <w:tblInd w:w="0" w:type="dxa"/>
        <w:tblCellMar>
          <w:top w:w="0" w:type="dxa"/>
          <w:left w:w="0" w:type="dxa"/>
          <w:bottom w:w="0" w:type="dxa"/>
          <w:right w:w="0" w:type="dxa"/>
        </w:tblCellMar>
      </w:tblPr>
      <w:tblGrid>
        <w:gridCol w:w="60"/>
        <w:gridCol w:w="170"/>
        <w:gridCol w:w="44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market satisfaction with existing alternative therapies;</w:t>
            </w:r>
          </w:p>
        </w:tc>
      </w:tr>
    </w:tbl>
    <w:tbl>
      <w:tblPr>
        <w:tblW w:w="4705" w:type="dxa"/>
        <w:jc w:val="left"/>
        <w:tblInd w:w="0" w:type="dxa"/>
        <w:tblCellMar>
          <w:top w:w="0" w:type="dxa"/>
          <w:left w:w="0" w:type="dxa"/>
          <w:bottom w:w="0" w:type="dxa"/>
          <w:right w:w="0" w:type="dxa"/>
        </w:tblCellMar>
      </w:tblPr>
      <w:tblGrid>
        <w:gridCol w:w="60"/>
        <w:gridCol w:w="170"/>
        <w:gridCol w:w="44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perceived efficacy relative to other available therapies;</w:t>
            </w:r>
          </w:p>
        </w:tc>
      </w:tr>
    </w:tbl>
    <w:tbl>
      <w:tblPr>
        <w:tblW w:w="1825" w:type="dxa"/>
        <w:jc w:val="left"/>
        <w:tblInd w:w="0" w:type="dxa"/>
        <w:tblCellMar>
          <w:top w:w="0" w:type="dxa"/>
          <w:left w:w="0" w:type="dxa"/>
          <w:bottom w:w="0" w:type="dxa"/>
          <w:right w:w="0" w:type="dxa"/>
        </w:tblCellMar>
      </w:tblPr>
      <w:tblGrid>
        <w:gridCol w:w="60"/>
        <w:gridCol w:w="170"/>
        <w:gridCol w:w="15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5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disease prevalence;</w:t>
            </w:r>
          </w:p>
        </w:tc>
      </w:tr>
    </w:tbl>
    <w:tbl>
      <w:tblPr>
        <w:tblW w:w="1660" w:type="dxa"/>
        <w:jc w:val="left"/>
        <w:tblInd w:w="0" w:type="dxa"/>
        <w:tblCellMar>
          <w:top w:w="0" w:type="dxa"/>
          <w:left w:w="0" w:type="dxa"/>
          <w:bottom w:w="0" w:type="dxa"/>
          <w:right w:w="0" w:type="dxa"/>
        </w:tblCellMar>
      </w:tblPr>
      <w:tblGrid>
        <w:gridCol w:w="60"/>
        <w:gridCol w:w="170"/>
        <w:gridCol w:w="14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4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treatment;</w:t>
            </w:r>
          </w:p>
        </w:tc>
      </w:tr>
    </w:tbl>
    <w:tbl>
      <w:tblPr>
        <w:tblW w:w="4105" w:type="dxa"/>
        <w:jc w:val="left"/>
        <w:tblInd w:w="0" w:type="dxa"/>
        <w:tblCellMar>
          <w:top w:w="0" w:type="dxa"/>
          <w:left w:w="0" w:type="dxa"/>
          <w:bottom w:w="0" w:type="dxa"/>
          <w:right w:w="0" w:type="dxa"/>
        </w:tblCellMar>
      </w:tblPr>
      <w:tblGrid>
        <w:gridCol w:w="60"/>
        <w:gridCol w:w="170"/>
        <w:gridCol w:w="38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pricing and availability of alternative products;</w:t>
            </w:r>
          </w:p>
        </w:tc>
      </w:tr>
    </w:tbl>
    <w:tbl>
      <w:tblPr>
        <w:tblW w:w="3925" w:type="dxa"/>
        <w:jc w:val="left"/>
        <w:tblInd w:w="0" w:type="dxa"/>
        <w:tblCellMar>
          <w:top w:w="0" w:type="dxa"/>
          <w:left w:w="0" w:type="dxa"/>
          <w:bottom w:w="0" w:type="dxa"/>
          <w:right w:w="0" w:type="dxa"/>
        </w:tblCellMar>
      </w:tblPr>
      <w:tblGrid>
        <w:gridCol w:w="60"/>
        <w:gridCol w:w="170"/>
        <w:gridCol w:w="36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6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marketing and sales activities of competitors;</w:t>
            </w:r>
          </w:p>
        </w:tc>
      </w:tr>
    </w:tbl>
    <w:tbl>
      <w:tblPr>
        <w:tblW w:w="7150" w:type="dxa"/>
        <w:jc w:val="left"/>
        <w:tblInd w:w="0" w:type="dxa"/>
        <w:tblCellMar>
          <w:top w:w="0" w:type="dxa"/>
          <w:left w:w="0" w:type="dxa"/>
          <w:bottom w:w="0" w:type="dxa"/>
          <w:right w:w="0" w:type="dxa"/>
        </w:tblCellMar>
      </w:tblPr>
      <w:tblGrid>
        <w:gridCol w:w="60"/>
        <w:gridCol w:w="170"/>
        <w:gridCol w:w="69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shifts in the medical community to new treatment paradigms or standards of care; and</w:t>
            </w:r>
          </w:p>
        </w:tc>
      </w:tr>
    </w:tbl>
    <w:tbl>
      <w:tblPr>
        <w:tblW w:w="4165" w:type="dxa"/>
        <w:jc w:val="left"/>
        <w:tblInd w:w="0" w:type="dxa"/>
        <w:tblCellMar>
          <w:top w:w="0" w:type="dxa"/>
          <w:left w:w="0" w:type="dxa"/>
          <w:bottom w:w="0" w:type="dxa"/>
          <w:right w:w="0" w:type="dxa"/>
        </w:tblCellMar>
      </w:tblPr>
      <w:tblGrid>
        <w:gridCol w:w="60"/>
        <w:gridCol w:w="170"/>
        <w:gridCol w:w="39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9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relative convenience and ease of administration.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Risks Relating to Competing in Our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face intense competition, and if we are unable to compete effectively, the demand for our products may be reduced.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or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pStyle w:val="TextBody"/>
        <w:spacing w:before="0" w:after="0"/>
        <w:ind w:left="0" w:right="0" w:hanging="0"/>
        <w:rPr>
          <w:caps w:val="false"/>
          <w:smallCaps w:val="false"/>
        </w:rPr>
      </w:pPr>
      <w:r>
        <w:rPr>
          <w:caps w:val="false"/>
          <w:smallCaps w:val="false"/>
        </w:rPr>
        <w:t> </w:t>
      </w:r>
    </w:p>
    <w:tbl>
      <w:tblPr>
        <w:tblW w:w="3355" w:type="dxa"/>
        <w:jc w:val="left"/>
        <w:tblInd w:w="0" w:type="dxa"/>
        <w:tblCellMar>
          <w:top w:w="0" w:type="dxa"/>
          <w:left w:w="0" w:type="dxa"/>
          <w:bottom w:w="0" w:type="dxa"/>
          <w:right w:w="0" w:type="dxa"/>
        </w:tblCellMar>
      </w:tblPr>
      <w:tblGrid>
        <w:gridCol w:w="60"/>
        <w:gridCol w:w="170"/>
        <w:gridCol w:w="31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1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drug development technologies;</w:t>
            </w:r>
          </w:p>
        </w:tc>
      </w:tr>
    </w:tbl>
    <w:tbl>
      <w:tblPr>
        <w:tblW w:w="7075" w:type="dxa"/>
        <w:jc w:val="left"/>
        <w:tblInd w:w="0" w:type="dxa"/>
        <w:tblCellMar>
          <w:top w:w="0" w:type="dxa"/>
          <w:left w:w="0" w:type="dxa"/>
          <w:bottom w:w="0" w:type="dxa"/>
          <w:right w:w="0" w:type="dxa"/>
        </w:tblCellMar>
      </w:tblPr>
      <w:tblGrid>
        <w:gridCol w:w="60"/>
        <w:gridCol w:w="170"/>
        <w:gridCol w:w="68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methods of preventing or reducing the incidence of disease, including vaccines; and</w:t>
            </w:r>
          </w:p>
        </w:tc>
      </w:tr>
    </w:tbl>
    <w:tbl>
      <w:tblPr>
        <w:tblW w:w="4915" w:type="dxa"/>
        <w:jc w:val="left"/>
        <w:tblInd w:w="0" w:type="dxa"/>
        <w:tblCellMar>
          <w:top w:w="0" w:type="dxa"/>
          <w:left w:w="0" w:type="dxa"/>
          <w:bottom w:w="0" w:type="dxa"/>
          <w:right w:w="0" w:type="dxa"/>
        </w:tblCellMar>
      </w:tblPr>
      <w:tblGrid>
        <w:gridCol w:w="60"/>
        <w:gridCol w:w="170"/>
        <w:gridCol w:w="46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new small molecule or other classes of therapeutic agents.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Developments by others may render our products, product candidates, or technologies obsolete or noncompetitive.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received FDA approval of ORLADEYO, an oral, once-daily therapy for the prevention of HAE attacks in adults and pediatric patients 12 years and older, in December 2020. We subsequently received regulatory approvals for ORLADEYO in Japan, the European Union, the United Kingdom, and the United Arab Emirates in January 2021, April 2021, May 2021, and September 2021, respectively. In addition, we are performing research on or developing products for the treatment of several other rare diseases, including diseases of the complement system and FOP, as well as developing broad spectrum antivirals for use as medical countermeasures.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There are licensed therapies for HAE (including Berinert®, Haegarda®, Cinryze®, Kalbitor®, Takhzyro®, Firazyr® (icatibant), generic icatibant, and Ruconest®), therapies for certain complement-mediated diseases such as PNH, aHUS, myasthenia gravis, and neuromyelitis optica spectrum disorder (Soliris®, Ultomiris®, and Empaveli®), products for the prevention or treatment of influenza (seasonal flu vaccines, Tamiflu® (oseltamivir), generic oseltamivir, Relenza®, and Inavir®, favipiravir, and Xofluza®), and a number of additional products in clinical development in these therapeutic areas and for the treatment of FOP. In addition, various government entities throughout the world may offer incentives, grants and contracts to encourage additional investment into preventative and therapeutic agents against viruses such as influenza, coronavirus, Ebola, and others, which may have the effect of further increasing the number of our competitors and/or providing advantages to certain competitors. See “Business—Competition” in Part I, Item 1 of this report for further discussion of our competitors, competitive products or programs, and the competitive conditions in these and other therapeutic areas.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one or more of our competitors’ products or programs, including potential competitors not currently identified, are successful, the market for our products may be reduced or eliminated.</w:t>
      </w:r>
    </w:p>
    <w:p>
      <w:pPr>
        <w:pStyle w:val="TextBody"/>
        <w:spacing w:before="0" w:after="0"/>
        <w:ind w:left="0" w:right="0" w:hanging="0"/>
        <w:rPr>
          <w:caps w:val="false"/>
          <w:smallCaps w:val="false"/>
        </w:rPr>
      </w:pPr>
      <w:r>
        <w:rPr>
          <w:caps w:val="false"/>
          <w:smallCaps w:val="false"/>
        </w:rPr>
        <w:t> </w:t>
      </w:r>
    </w:p>
    <w:p>
      <w:pPr>
        <w:pStyle w:val="TextBody"/>
        <w:spacing w:before="0" w:after="0"/>
        <w:ind w:left="500" w:right="0" w:hanging="0"/>
        <w:rPr>
          <w:rFonts w:ascii="Times New Roman" w:hAnsi="Times New Roman"/>
          <w:caps w:val="false"/>
          <w:smallCaps w:val="false"/>
          <w:sz w:val="20"/>
        </w:rPr>
      </w:pPr>
      <w:r>
        <w:rPr>
          <w:rFonts w:ascii="Times New Roman" w:hAnsi="Times New Roman"/>
          <w:caps w:val="false"/>
          <w:smallCaps w:val="false"/>
          <w:sz w:val="20"/>
        </w:rPr>
        <w:t>Compared to us, many of our competitors and potential competitors have substantially greater:</w:t>
      </w:r>
    </w:p>
    <w:p>
      <w:pPr>
        <w:pStyle w:val="TextBody"/>
        <w:spacing w:before="0" w:after="0"/>
        <w:ind w:left="0" w:right="0" w:hanging="0"/>
        <w:rPr>
          <w:caps w:val="false"/>
          <w:smallCaps w:val="false"/>
        </w:rPr>
      </w:pPr>
      <w:r>
        <w:rPr>
          <w:caps w:val="false"/>
          <w:smallCaps w:val="false"/>
        </w:rPr>
        <w:t> </w:t>
      </w:r>
    </w:p>
    <w:tbl>
      <w:tblPr>
        <w:tblW w:w="1660" w:type="dxa"/>
        <w:jc w:val="left"/>
        <w:tblInd w:w="0" w:type="dxa"/>
        <w:tblCellMar>
          <w:top w:w="0" w:type="dxa"/>
          <w:left w:w="0" w:type="dxa"/>
          <w:bottom w:w="0" w:type="dxa"/>
          <w:right w:w="0" w:type="dxa"/>
        </w:tblCellMar>
      </w:tblPr>
      <w:tblGrid>
        <w:gridCol w:w="60"/>
        <w:gridCol w:w="170"/>
        <w:gridCol w:w="14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4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capital resources;</w:t>
            </w:r>
          </w:p>
        </w:tc>
      </w:tr>
    </w:tbl>
    <w:tbl>
      <w:tblPr>
        <w:tblW w:w="6265" w:type="dxa"/>
        <w:jc w:val="left"/>
        <w:tblInd w:w="0" w:type="dxa"/>
        <w:tblCellMar>
          <w:top w:w="0" w:type="dxa"/>
          <w:left w:w="0" w:type="dxa"/>
          <w:bottom w:w="0" w:type="dxa"/>
          <w:right w:w="0" w:type="dxa"/>
        </w:tblCellMar>
      </w:tblPr>
      <w:tblGrid>
        <w:gridCol w:w="60"/>
        <w:gridCol w:w="170"/>
        <w:gridCol w:w="60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 resources, including personnel and technology;</w:t>
            </w:r>
          </w:p>
        </w:tc>
      </w:tr>
    </w:tbl>
    <w:tbl>
      <w:tblPr>
        <w:tblW w:w="2080" w:type="dxa"/>
        <w:jc w:val="left"/>
        <w:tblInd w:w="0" w:type="dxa"/>
        <w:tblCellMar>
          <w:top w:w="0" w:type="dxa"/>
          <w:left w:w="0" w:type="dxa"/>
          <w:bottom w:w="0" w:type="dxa"/>
          <w:right w:w="0" w:type="dxa"/>
        </w:tblCellMar>
      </w:tblPr>
      <w:tblGrid>
        <w:gridCol w:w="60"/>
        <w:gridCol w:w="170"/>
        <w:gridCol w:w="18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8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experience;</w:t>
            </w:r>
          </w:p>
        </w:tc>
      </w:tr>
    </w:tbl>
    <w:tbl>
      <w:tblPr>
        <w:tblW w:w="4210" w:type="dxa"/>
        <w:jc w:val="left"/>
        <w:tblInd w:w="0" w:type="dxa"/>
        <w:tblCellMar>
          <w:top w:w="0" w:type="dxa"/>
          <w:left w:w="0" w:type="dxa"/>
          <w:bottom w:w="0" w:type="dxa"/>
          <w:right w:w="0" w:type="dxa"/>
        </w:tblCellMar>
      </w:tblPr>
      <w:tblGrid>
        <w:gridCol w:w="60"/>
        <w:gridCol w:w="170"/>
        <w:gridCol w:w="39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9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preclinical study and clinical testing experience;</w:t>
            </w:r>
          </w:p>
        </w:tc>
      </w:tr>
    </w:tbl>
    <w:tbl>
      <w:tblPr>
        <w:tblW w:w="4510" w:type="dxa"/>
        <w:jc w:val="left"/>
        <w:tblInd w:w="0" w:type="dxa"/>
        <w:tblCellMar>
          <w:top w:w="0" w:type="dxa"/>
          <w:left w:w="0" w:type="dxa"/>
          <w:bottom w:w="0" w:type="dxa"/>
          <w:right w:w="0" w:type="dxa"/>
        </w:tblCellMar>
      </w:tblPr>
      <w:tblGrid>
        <w:gridCol w:w="60"/>
        <w:gridCol w:w="170"/>
        <w:gridCol w:w="42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manufacturing, marketing, and sales experience; and</w:t>
            </w:r>
          </w:p>
        </w:tc>
      </w:tr>
    </w:tbl>
    <w:tbl>
      <w:tblPr>
        <w:tblW w:w="1945" w:type="dxa"/>
        <w:jc w:val="left"/>
        <w:tblInd w:w="0" w:type="dxa"/>
        <w:tblCellMar>
          <w:top w:w="0" w:type="dxa"/>
          <w:left w:w="0" w:type="dxa"/>
          <w:bottom w:w="0" w:type="dxa"/>
          <w:right w:w="0" w:type="dxa"/>
        </w:tblCellMar>
      </w:tblPr>
      <w:tblGrid>
        <w:gridCol w:w="60"/>
        <w:gridCol w:w="170"/>
        <w:gridCol w:w="17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7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production facilities.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60"/>
        <w:rPr>
          <w:rFonts w:ascii="Times New Roman" w:hAnsi="Times New Roman"/>
          <w:caps w:val="false"/>
          <w:smallCaps w:val="false"/>
          <w:sz w:val="20"/>
        </w:rPr>
      </w:pPr>
      <w:r>
        <w:rPr>
          <w:rFonts w:ascii="Times New Roman" w:hAnsi="Times New Roman"/>
          <w:caps w:val="false"/>
          <w:smallCaps w:val="false"/>
          <w:sz w:val="20"/>
        </w:rPr>
        <w:t>Any of these competitive factors could impede our funding efforts, render our products, product candidates, or technologies noncompetitive or eliminate or reduce demand for our products and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Legal and Regulatory Risks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are subject to various laws and regulations related to our products and product candidates, and if we or our partners do not comply with these laws and regulations, we could face substantial penalties.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or our partners’ activities related to approved products or, following their regulatory approval, any of our product candidates under development, such as BCX9930, BCX9250, and galidesivir, are subject to regulatory and law enforcement authorities in the United States (including the FDA, the Federal Trade Commission, the Department of Justice, and state and local governments) and their foreign equivalents (including the EMA, MHLW, MHRA, and others).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addition, we are subject to the federal physician sunshine act and certain similar physician payment and drug pricing transparency legislation in various states. We are also subject to various federal and state laws pertaining to health 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its safety or efficacy.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Advertising and promotion are subject to stringent FDA rules and oversight, and as an NDA-holder,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 and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Adverse event information concerning approved products must be reviewed, and as an NDA-holder,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U.S. Department of Health and Human Services, the U.S. Department of Justice and individual U.S. Attorney offices within the Department of Justice, state and local governments, and foreign equivalents of the foregoing. All of these activities are also potentially subject to healthcare false claims and fraud and abuse laws, as well as consumer protection and unfair competition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our operations with respect to our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Our employees and consultants may engage in misconduct or other improper activities, including non-compliance with regulatory standards and requirements, which could cause significant liability for us and harm our reputation.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are subject to the risk of fraud or other misconduct by our employees and consultants,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rPr>
          <w:rFonts w:ascii="Times New Roman" w:hAnsi="Times New Roman"/>
          <w:caps w:val="false"/>
          <w:smallCaps w:val="false"/>
          <w:sz w:val="20"/>
        </w:rPr>
      </w:pPr>
      <w:r>
        <w:rPr>
          <w:rFonts w:ascii="Times New Roman" w:hAnsi="Times New Roman"/>
          <w:b/>
          <w:i/>
          <w:caps w:val="false"/>
          <w:smallCaps w:val="false"/>
          <w:sz w:val="20"/>
        </w:rPr>
        <w:t>We and our partners may be subject to new legislation, regulatory proposals and healthcare payor initiatives that may increase our costs of compliance and adversely affect our or our partners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market our products, obtain collaborators and raise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Patient Protection and Affordable Care Act (“PPACA”), made extensive changes to the delivery of healthcare in the U.S. The PPACA included numerous provisions that affect pharmaceutical companies, some of which became effective immediately and others of which have taken effect over the past several years. For example, the PPACA expanded health 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U.S., and an expansion of an existing program requiring pharmaceutical discounts to certain types of hospitals and federally subsidized clinics. The PPACA also contains cost containment measures that could reduce reimbursement levels for health care items and services generally, including pharmaceuticals. It also required reporting and public disclosure of payments and other transfers of value provided by pharmaceutical companies to physicians and teaching hospitals.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continuing efforts of the government, insurance companies, managed care organizations and other payors of health care services to contain or reduce costs of health 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Adequate coverage and reimbursement in the U.S. and other markets is critical to the commercial success of our approved products. Recently in the U.S.,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 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are subject to data security and privacy risks, and our actual or perceived failure to comply with regulations and other legal obligations related to privacy and data protection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General Data Protection Regulation in the EEA and similar legislation in the U.K. and Switzerland.  See “Risks Relating to Our Business—Risks Relating to International Operations—Our actual or perceived failure to comply with European governmental regulations and other legal obligations related to privacy, data protection and information security could harm our business” in this section for additional discussion of international privacy laws and regulations. Failure to comply with these laws and regulations could result in government enforcement actions, private litigation, or harm to our reputation and our business.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If because of our use of hazardous materials, we violate any environmental controls or regulations that apply to such materials, we may incur substantial costs and expenses in our remediation efforts.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rPr>
          <w:rFonts w:ascii="Times New Roman" w:hAnsi="Times New Roman"/>
          <w:caps w:val="false"/>
          <w:smallCaps w:val="false"/>
          <w:sz w:val="20"/>
        </w:rPr>
      </w:pPr>
      <w:r>
        <w:rPr>
          <w:rFonts w:ascii="Times New Roman" w:hAnsi="Times New Roman"/>
          <w:caps w:val="false"/>
          <w:smallCaps w:val="false"/>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Intellectual Property Risks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If we fail to adequately protect or enforce our intellectual property rights or secure rights to patents of others, the value of those rights would diminish.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may be involved in legal proceedings to protect or enforce our patents, the patents of our partners or our other intellectual property rights, which could be expensive, time consuming and unsuccessful.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Competitors may infringe or otherwise violate our patents, the patents of our licensors or our other intellectual property rights. To counter infringement or unauthorized use, we may be required to file legal claims, which can be expensive and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spacing w:before="0" w:after="0"/>
        <w:ind w:left="0" w:right="0" w:hanging="0"/>
        <w:rPr>
          <w:caps w:val="false"/>
          <w:smallCaps w:val="false"/>
        </w:rPr>
      </w:pPr>
      <w:r>
        <w:rPr>
          <w:caps w:val="false"/>
          <w:smallCaps w:val="false"/>
        </w:rPr>
        <w:t> </w:t>
      </w:r>
    </w:p>
    <w:tbl>
      <w:tblPr>
        <w:tblW w:w="8335" w:type="dxa"/>
        <w:jc w:val="left"/>
        <w:tblInd w:w="0" w:type="dxa"/>
        <w:tblCellMar>
          <w:top w:w="0" w:type="dxa"/>
          <w:left w:w="0" w:type="dxa"/>
          <w:bottom w:w="0" w:type="dxa"/>
          <w:right w:w="0" w:type="dxa"/>
        </w:tblCellMar>
      </w:tblPr>
      <w:tblGrid>
        <w:gridCol w:w="60"/>
        <w:gridCol w:w="170"/>
        <w:gridCol w:w="81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1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degree and range of protection any patents will afford against competitors with similar products;</w:t>
            </w:r>
          </w:p>
        </w:tc>
      </w:tr>
    </w:tbl>
    <w:tbl>
      <w:tblPr>
        <w:tblW w:w="2695" w:type="dxa"/>
        <w:jc w:val="left"/>
        <w:tblInd w:w="0" w:type="dxa"/>
        <w:tblCellMar>
          <w:top w:w="0" w:type="dxa"/>
          <w:left w:w="0" w:type="dxa"/>
          <w:bottom w:w="0" w:type="dxa"/>
          <w:right w:w="0" w:type="dxa"/>
        </w:tblCellMar>
      </w:tblPr>
      <w:tblGrid>
        <w:gridCol w:w="60"/>
        <w:gridCol w:w="170"/>
        <w:gridCol w:w="24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4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and when patents will issue;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if patents do issue, we cannot be sure that we will be able to adequately defend such patents and whether or not we will be able to adequately enforce such patents; or</w:t>
            </w:r>
          </w:p>
        </w:tc>
      </w:tr>
    </w:tbl>
    <w:tbl>
      <w:tblPr>
        <w:tblW w:w="9115" w:type="dxa"/>
        <w:jc w:val="left"/>
        <w:tblInd w:w="0" w:type="dxa"/>
        <w:tblCellMar>
          <w:top w:w="0" w:type="dxa"/>
          <w:left w:w="0" w:type="dxa"/>
          <w:bottom w:w="0" w:type="dxa"/>
          <w:right w:w="0" w:type="dxa"/>
        </w:tblCellMar>
      </w:tblPr>
      <w:tblGrid>
        <w:gridCol w:w="60"/>
        <w:gridCol w:w="170"/>
        <w:gridCol w:w="88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8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whether or not others will obtain patents claiming aspects similar to those covered by our patent applications.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the USPTO or other foreign patent office upholds patents issued to others or if the USPTO grants patent applications filed by others, we may have to:</w:t>
      </w:r>
    </w:p>
    <w:p>
      <w:pPr>
        <w:pStyle w:val="TextBody"/>
        <w:spacing w:before="0" w:after="0"/>
        <w:ind w:left="0" w:right="0" w:hanging="0"/>
        <w:rPr>
          <w:caps w:val="false"/>
          <w:smallCaps w:val="false"/>
        </w:rPr>
      </w:pPr>
      <w:r>
        <w:rPr>
          <w:caps w:val="false"/>
          <w:smallCaps w:val="false"/>
        </w:rPr>
        <w:t> </w:t>
      </w:r>
    </w:p>
    <w:tbl>
      <w:tblPr>
        <w:tblW w:w="6370" w:type="dxa"/>
        <w:jc w:val="left"/>
        <w:tblInd w:w="0" w:type="dxa"/>
        <w:tblCellMar>
          <w:top w:w="0" w:type="dxa"/>
          <w:left w:w="0" w:type="dxa"/>
          <w:bottom w:w="0" w:type="dxa"/>
          <w:right w:w="0" w:type="dxa"/>
        </w:tblCellMar>
      </w:tblPr>
      <w:tblGrid>
        <w:gridCol w:w="60"/>
        <w:gridCol w:w="170"/>
        <w:gridCol w:w="61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1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obtain licenses or redesign our products or processes to avoid infringement;</w:t>
            </w:r>
          </w:p>
        </w:tc>
      </w:tr>
    </w:tbl>
    <w:tbl>
      <w:tblPr>
        <w:tblW w:w="4855" w:type="dxa"/>
        <w:jc w:val="left"/>
        <w:tblInd w:w="0" w:type="dxa"/>
        <w:tblCellMar>
          <w:top w:w="0" w:type="dxa"/>
          <w:left w:w="0" w:type="dxa"/>
          <w:bottom w:w="0" w:type="dxa"/>
          <w:right w:w="0" w:type="dxa"/>
        </w:tblCellMar>
      </w:tblPr>
      <w:tblGrid>
        <w:gridCol w:w="60"/>
        <w:gridCol w:w="170"/>
        <w:gridCol w:w="46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stop using the subject matter claimed in those patents; or</w:t>
            </w:r>
          </w:p>
        </w:tc>
      </w:tr>
    </w:tbl>
    <w:tbl>
      <w:tblPr>
        <w:tblW w:w="1345" w:type="dxa"/>
        <w:jc w:val="left"/>
        <w:tblInd w:w="0" w:type="dxa"/>
        <w:tblCellMar>
          <w:top w:w="0" w:type="dxa"/>
          <w:left w:w="0" w:type="dxa"/>
          <w:bottom w:w="0" w:type="dxa"/>
          <w:right w:w="0" w:type="dxa"/>
        </w:tblCellMar>
      </w:tblPr>
      <w:tblGrid>
        <w:gridCol w:w="60"/>
        <w:gridCol w:w="170"/>
        <w:gridCol w:w="11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1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pay damages.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Product Liability Risks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face an inherent risk of liability in the event that the use or misuse of our products or product candidates results in personal injury or death and our product liability insurance coverage may be insufficient.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testing of our product candidates in human clinical trials and will face even greater risks upon any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liabilities that substantially exceed our product liability insurance, which we would then be required to pay from other sources, if available;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 increase of our product liability insurance rates or the inability to maintain insurance coverage in the future on acceptable terms, or at all;</w:t>
            </w:r>
          </w:p>
        </w:tc>
      </w:tr>
    </w:tbl>
    <w:tbl>
      <w:tblPr>
        <w:tblW w:w="4255" w:type="dxa"/>
        <w:jc w:val="left"/>
        <w:tblInd w:w="0" w:type="dxa"/>
        <w:tblCellMar>
          <w:top w:w="0" w:type="dxa"/>
          <w:left w:w="0" w:type="dxa"/>
          <w:bottom w:w="0" w:type="dxa"/>
          <w:right w:w="0" w:type="dxa"/>
        </w:tblCellMar>
      </w:tblPr>
      <w:tblGrid>
        <w:gridCol w:w="60"/>
        <w:gridCol w:w="170"/>
        <w:gridCol w:w="40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0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withdrawal of clinical trial volunteers or patients;</w:t>
            </w:r>
          </w:p>
        </w:tc>
      </w:tr>
    </w:tbl>
    <w:tbl>
      <w:tblPr>
        <w:tblW w:w="7105" w:type="dxa"/>
        <w:jc w:val="left"/>
        <w:tblInd w:w="0" w:type="dxa"/>
        <w:tblCellMar>
          <w:top w:w="0" w:type="dxa"/>
          <w:left w:w="0" w:type="dxa"/>
          <w:bottom w:w="0" w:type="dxa"/>
          <w:right w:w="0" w:type="dxa"/>
        </w:tblCellMar>
      </w:tblPr>
      <w:tblGrid>
        <w:gridCol w:w="60"/>
        <w:gridCol w:w="170"/>
        <w:gridCol w:w="68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damage to our reputation and the reputation of our products, resulting in lower sales;</w:t>
            </w:r>
          </w:p>
        </w:tc>
      </w:tr>
    </w:tbl>
    <w:tbl>
      <w:tblPr>
        <w:tblW w:w="7000" w:type="dxa"/>
        <w:jc w:val="left"/>
        <w:tblInd w:w="0" w:type="dxa"/>
        <w:tblCellMar>
          <w:top w:w="0" w:type="dxa"/>
          <w:left w:w="0" w:type="dxa"/>
          <w:bottom w:w="0" w:type="dxa"/>
          <w:right w:w="0" w:type="dxa"/>
        </w:tblCellMar>
      </w:tblPr>
      <w:tblGrid>
        <w:gridCol w:w="60"/>
        <w:gridCol w:w="170"/>
        <w:gridCol w:w="67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7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investigations that could require costly recalls or product modifications;</w:t>
            </w:r>
          </w:p>
        </w:tc>
      </w:tr>
    </w:tbl>
    <w:tbl>
      <w:tblPr>
        <w:tblW w:w="1870" w:type="dxa"/>
        <w:jc w:val="left"/>
        <w:tblInd w:w="0" w:type="dxa"/>
        <w:tblCellMar>
          <w:top w:w="0" w:type="dxa"/>
          <w:left w:w="0" w:type="dxa"/>
          <w:bottom w:w="0" w:type="dxa"/>
          <w:right w:w="0" w:type="dxa"/>
        </w:tblCellMar>
      </w:tblPr>
      <w:tblGrid>
        <w:gridCol w:w="60"/>
        <w:gridCol w:w="170"/>
        <w:gridCol w:w="16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6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litigation costs; and</w:t>
            </w:r>
          </w:p>
        </w:tc>
      </w:tr>
    </w:tbl>
    <w:tbl>
      <w:tblPr>
        <w:tblW w:w="5890" w:type="dxa"/>
        <w:jc w:val="left"/>
        <w:tblInd w:w="0" w:type="dxa"/>
        <w:tblCellMar>
          <w:top w:w="0" w:type="dxa"/>
          <w:left w:w="0" w:type="dxa"/>
          <w:bottom w:w="0" w:type="dxa"/>
          <w:right w:w="0" w:type="dxa"/>
        </w:tblCellMar>
      </w:tblPr>
      <w:tblGrid>
        <w:gridCol w:w="60"/>
        <w:gridCol w:w="170"/>
        <w:gridCol w:w="56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6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diversion of management’s attention from managing our business.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Risks Relating to Contractual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face risks related to our government-funded programs and are subject to various U.S. Government contract requirements, which may create a disadvantage and additional risks to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 If the U.S. Government terminates any of its contracts with us for its convenience, or if we default by failing to perform in accordance with the contract schedule and terms, this could have an adverse impact on the programs associated with such funding and could also adversely impact our cash flows and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pStyle w:val="TextBody"/>
        <w:spacing w:before="0" w:after="0"/>
        <w:ind w:left="0" w:right="0" w:hanging="0"/>
        <w:rPr>
          <w:caps w:val="false"/>
          <w:smallCaps w:val="false"/>
        </w:rPr>
      </w:pPr>
      <w:r>
        <w:rPr>
          <w:caps w:val="false"/>
          <w:smallCaps w:val="false"/>
        </w:rPr>
        <w:t> </w:t>
      </w:r>
    </w:p>
    <w:tbl>
      <w:tblPr>
        <w:tblW w:w="5695" w:type="dxa"/>
        <w:jc w:val="left"/>
        <w:tblInd w:w="0" w:type="dxa"/>
        <w:tblCellMar>
          <w:top w:w="0" w:type="dxa"/>
          <w:left w:w="0" w:type="dxa"/>
          <w:bottom w:w="0" w:type="dxa"/>
          <w:right w:w="0" w:type="dxa"/>
        </w:tblCellMar>
      </w:tblPr>
      <w:tblGrid>
        <w:gridCol w:w="60"/>
        <w:gridCol w:w="170"/>
        <w:gridCol w:w="54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4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terminate or reduce the scope of our contract with or without cause;</w:t>
            </w:r>
          </w:p>
        </w:tc>
      </w:tr>
    </w:tbl>
    <w:tbl>
      <w:tblPr>
        <w:tblW w:w="5860" w:type="dxa"/>
        <w:jc w:val="left"/>
        <w:tblInd w:w="0" w:type="dxa"/>
        <w:tblCellMar>
          <w:top w:w="0" w:type="dxa"/>
          <w:left w:w="0" w:type="dxa"/>
          <w:bottom w:w="0" w:type="dxa"/>
          <w:right w:w="0" w:type="dxa"/>
        </w:tblCellMar>
      </w:tblPr>
      <w:tblGrid>
        <w:gridCol w:w="60"/>
        <w:gridCol w:w="170"/>
        <w:gridCol w:w="56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6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interpret relevant regulations (federal acquisition regulation clauses);</w:t>
            </w:r>
          </w:p>
        </w:tc>
      </w:tr>
    </w:tbl>
    <w:tbl>
      <w:tblPr>
        <w:tblW w:w="6355" w:type="dxa"/>
        <w:jc w:val="left"/>
        <w:tblInd w:w="0" w:type="dxa"/>
        <w:tblCellMar>
          <w:top w:w="0" w:type="dxa"/>
          <w:left w:w="0" w:type="dxa"/>
          <w:bottom w:w="0" w:type="dxa"/>
          <w:right w:w="0" w:type="dxa"/>
        </w:tblCellMar>
      </w:tblPr>
      <w:tblGrid>
        <w:gridCol w:w="60"/>
        <w:gridCol w:w="170"/>
        <w:gridCol w:w="61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1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require performance under circumstances which may not be favorable to us;</w:t>
            </w:r>
          </w:p>
        </w:tc>
      </w:tr>
    </w:tbl>
    <w:tbl>
      <w:tblPr>
        <w:tblW w:w="9445" w:type="dxa"/>
        <w:jc w:val="left"/>
        <w:tblInd w:w="0" w:type="dxa"/>
        <w:tblCellMar>
          <w:top w:w="0" w:type="dxa"/>
          <w:left w:w="0" w:type="dxa"/>
          <w:bottom w:w="0" w:type="dxa"/>
          <w:right w:w="0" w:type="dxa"/>
        </w:tblCellMar>
      </w:tblPr>
      <w:tblGrid>
        <w:gridCol w:w="60"/>
        <w:gridCol w:w="170"/>
        <w:gridCol w:w="92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2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require an in-process review where the U.S. Government will review the project and its options under the contract;</w:t>
            </w:r>
          </w:p>
        </w:tc>
      </w:tr>
    </w:tbl>
    <w:tbl>
      <w:tblPr>
        <w:tblW w:w="8740" w:type="dxa"/>
        <w:jc w:val="left"/>
        <w:tblInd w:w="0" w:type="dxa"/>
        <w:tblCellMar>
          <w:top w:w="0" w:type="dxa"/>
          <w:left w:w="0" w:type="dxa"/>
          <w:bottom w:w="0" w:type="dxa"/>
          <w:right w:w="0" w:type="dxa"/>
        </w:tblCellMar>
      </w:tblPr>
      <w:tblGrid>
        <w:gridCol w:w="60"/>
        <w:gridCol w:w="170"/>
        <w:gridCol w:w="85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5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control the timing and amount of funding, which impacts the development progress of our programs; and</w:t>
            </w:r>
          </w:p>
        </w:tc>
      </w:tr>
    </w:tbl>
    <w:tbl>
      <w:tblPr>
        <w:tblW w:w="7420" w:type="dxa"/>
        <w:jc w:val="left"/>
        <w:tblInd w:w="0" w:type="dxa"/>
        <w:tblCellMar>
          <w:top w:w="0" w:type="dxa"/>
          <w:left w:w="0" w:type="dxa"/>
          <w:bottom w:w="0" w:type="dxa"/>
          <w:right w:w="0" w:type="dxa"/>
        </w:tblCellMar>
      </w:tblPr>
      <w:tblGrid>
        <w:gridCol w:w="60"/>
        <w:gridCol w:w="170"/>
        <w:gridCol w:w="71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audit and object to our contract-related costs and fees, including allocated indirect costs.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this could have an adverse impact on our cash flows and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pStyle w:val="TextBody"/>
        <w:spacing w:before="0" w:after="0"/>
        <w:ind w:left="0" w:right="0" w:firstLine="50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There are risks related to the potential government use or sale of our antivirals.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September 2018, we entered into a contract with the U.S. Government for the procurement of up to 50,000 doses of RAPIVAB (peramivir injection) over a five-year period. In addition, we are working with NIAID/HHS to further develop galidesivir. There can be no assurance that we or our manufacturers will be able to fully meet the demand for such antivirals with respect to these or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There can be no assurance that the non-U.S. partnerships that we have entered into for peramivir will result in any order for peramivir in those countries or that peramivir will be approved for any use or will achieve market approval in additional countries. There can be no assurance that galidesivir will be approved for use in any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If we fail to reach milestones or to make annual minimum payments or otherwise breach our obligations under our license agreements, our licensors may terminate our agreements with them and seek additional remedies.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or seek other available remedies. As a result, our development of the respective product candidate or commercialization of the product would cease.</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Royalties and milestone payments, if any, from Shionogi under the Shionogi Agreement are required to be used by Royalty Sub to satisfy its obligations under its PhaRMA Notes, and generally will not be available to us for other purposes unless and until Royalty Sub has repaid in full its obligations under the PhaRMA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As a result of the continuing event of default,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wrote off the balance due under the PhaRMA Notes to other income as a debt extinguishment as of December 31, 2021.  See “Note 8−Royalty Monetizations−RAPIACTA−Non-Recourse Notes Payable−Debt Extinguishment” in the Notes to Consolidated Financial Statements in Part II, Item 8 of this report for additional information about the write-off.</w:t>
      </w:r>
    </w:p>
    <w:p>
      <w:pPr>
        <w:pStyle w:val="TextBody"/>
        <w:spacing w:before="0" w:after="0"/>
        <w:ind w:left="0" w:right="0" w:firstLine="50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 In addition, the PhaRMA Notes had a final legal maturity date of December 1, 2020, at which time the outstanding principal amount of the PhaRMA Notes of $30.0 million, together with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We cannot predict whether holders of PhaRMA Notes will seek to pursue any remedies as a result of the continuing events of default with respect to the PhaRMA Notes. The PhaRMA Notes are the obligation of Royalty Sub.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wrote off the balance due under the PhaRMA Notes to other income as a debt extinguishment as of December 31, 2021. See “Note 8−Royalty Monetizations−RAPIACTA−Non-Recourse Notes Payable−Debt Extinguishment” in the Notes to Consolidated Financial Statements in Part II, Item 8 of this report for additional information about the write-off.</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have incurred significant indebtedness, which could adversely affect our business. Additionally, our Credit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As of December 31, 2021, we had an outstanding principal balance under our Credit Agreement of $142.1 million, inclusive of the quarterly PIK Interest Payments. We have also committed to draw another $75.0 million in aggregate principal amount under the Term B Loan and the Term C Loan (each as defined in the Credit Agreement) under the Credit Agreement. If we do not draw these Term Loans by the end of the applicable period available to draw them, we will be required to pay to Athyrium, for the account of the lenders, a make-whole premium plus certain fees set forth in the Credit Agreement, subject to certain exceptions set forth in the Credit Agreement. We will also be required to pay to Athyrium, for the account of the lenders, a make-whole premium plus certain fees set forth in the Credit Agreement in the event that we either (x) terminate the commitments in respect of the Term B Loan or the Term C Loan on or prior to the end of the applicable period available to draw such Term Loans, or (y) prepay or repay, or are required to prepay or repay, voluntarily or pursuant to a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under the Credit Agreement, in each case, subject to certain exceptions set forth in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indebtedness could have important consequences to our stockholders. For example, it:</w:t>
      </w:r>
    </w:p>
    <w:p>
      <w:pPr>
        <w:pStyle w:val="TextBody"/>
        <w:spacing w:before="0" w:after="0"/>
        <w:ind w:left="0" w:right="0" w:hanging="0"/>
        <w:rPr>
          <w:caps w:val="false"/>
          <w:smallCaps w:val="false"/>
        </w:rPr>
      </w:pPr>
      <w:r>
        <w:rPr>
          <w:caps w:val="false"/>
          <w:smallCaps w:val="false"/>
        </w:rPr>
        <w:t> </w:t>
      </w:r>
    </w:p>
    <w:tbl>
      <w:tblPr>
        <w:tblW w:w="6670" w:type="dxa"/>
        <w:jc w:val="left"/>
        <w:tblInd w:w="0" w:type="dxa"/>
        <w:tblCellMar>
          <w:top w:w="0" w:type="dxa"/>
          <w:left w:w="0" w:type="dxa"/>
          <w:bottom w:w="0" w:type="dxa"/>
          <w:right w:w="0" w:type="dxa"/>
        </w:tblCellMar>
      </w:tblPr>
      <w:tblGrid>
        <w:gridCol w:w="60"/>
        <w:gridCol w:w="170"/>
        <w:gridCol w:w="64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4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increases our vulnerability to adverse general economic or industry conditions;</w:t>
            </w:r>
          </w:p>
        </w:tc>
      </w:tr>
    </w:tbl>
    <w:tbl>
      <w:tblPr>
        <w:tblW w:w="9295" w:type="dxa"/>
        <w:jc w:val="left"/>
        <w:tblInd w:w="0" w:type="dxa"/>
        <w:tblCellMar>
          <w:top w:w="0" w:type="dxa"/>
          <w:left w:w="0" w:type="dxa"/>
          <w:bottom w:w="0" w:type="dxa"/>
          <w:right w:w="0" w:type="dxa"/>
        </w:tblCellMar>
      </w:tblPr>
      <w:tblGrid>
        <w:gridCol w:w="60"/>
        <w:gridCol w:w="170"/>
        <w:gridCol w:w="90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0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limits our flexibility in planning for, or reacting to, changes in our business or the industry in which we operate;</w:t>
            </w:r>
          </w:p>
        </w:tc>
      </w:tr>
    </w:tbl>
    <w:tbl>
      <w:tblPr>
        <w:tblW w:w="9805" w:type="dxa"/>
        <w:jc w:val="left"/>
        <w:tblInd w:w="0" w:type="dxa"/>
        <w:tblCellMar>
          <w:top w:w="0" w:type="dxa"/>
          <w:left w:w="0" w:type="dxa"/>
          <w:bottom w:w="0" w:type="dxa"/>
          <w:right w:w="0" w:type="dxa"/>
        </w:tblCellMar>
      </w:tblPr>
      <w:tblGrid>
        <w:gridCol w:w="60"/>
        <w:gridCol w:w="170"/>
        <w:gridCol w:w="95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5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makes us more vulnerable to increases in interest rates, as borrowings under our Credit Agreement are at variable rates;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requires us to dedicate a portion of our cash flow from operations to interest payments, limiting the availability of cash for other purposes;</w:t>
            </w:r>
          </w:p>
        </w:tc>
      </w:tr>
    </w:tbl>
    <w:tbl>
      <w:tblPr>
        <w:tblW w:w="9760" w:type="dxa"/>
        <w:jc w:val="left"/>
        <w:tblInd w:w="0" w:type="dxa"/>
        <w:tblCellMar>
          <w:top w:w="0" w:type="dxa"/>
          <w:left w:w="0" w:type="dxa"/>
          <w:bottom w:w="0" w:type="dxa"/>
          <w:right w:w="0" w:type="dxa"/>
        </w:tblCellMar>
      </w:tblPr>
      <w:tblGrid>
        <w:gridCol w:w="60"/>
        <w:gridCol w:w="170"/>
        <w:gridCol w:w="95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5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limits our ability to obtain additional financing or refinancing in the future for working capital or other purposes; and</w:t>
            </w:r>
          </w:p>
        </w:tc>
      </w:tr>
    </w:tbl>
    <w:tbl>
      <w:tblPr>
        <w:tblW w:w="8125" w:type="dxa"/>
        <w:jc w:val="left"/>
        <w:tblInd w:w="0" w:type="dxa"/>
        <w:tblCellMar>
          <w:top w:w="0" w:type="dxa"/>
          <w:left w:w="0" w:type="dxa"/>
          <w:bottom w:w="0" w:type="dxa"/>
          <w:right w:w="0" w:type="dxa"/>
        </w:tblCellMar>
      </w:tblPr>
      <w:tblGrid>
        <w:gridCol w:w="60"/>
        <w:gridCol w:w="170"/>
        <w:gridCol w:w="78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8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places us at a competitive disadvantage compared to our competitors that have less indebtedness.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Credit Agreement also contains certain financial covenants, including a minimum liquidity covenant that requires us to maintain at all times, as applicable, at least $15.0 million of unrestricted cash and cash equivalents if only the Term A Loan (as defined in the Credit Agreement) has been drawn; at least $20.0 million of unrestricted cash and cash equivalents if the Term B Loan has been drawn but the Term C Loan has not been drawn; and at least $15.0 million (or, in certain circumstances, $20.0 million) of unrestricted cash and cash equivalents if the Term C Loan has been drawn, subject to certain exceptions. In addition, when we draw upon the Term C Loan, we will be required to achieve certain minimum targets for consolidated net revenues from ORLADEYO sales in the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Agreements.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Risks Relating to International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International expansion of our business exposes us to business, regulatory, political, operational, financial, and economic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business strategy includes international expansion, including the commercialization of products outside of the United States. We currently conduct clinical studies and regulatory activities and have hired, and expect to continue hiring, employees outside of the United States. Doing business internationally involves a number of risks, including but not limited to:</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multiple, conflicting, and changing laws and regulations such as privacy and data regulations, transparency regulations, tax laws, export and import restrictions, employment laws, regulatory requirements, and other governmental approvals, permits, and licenses;</w:t>
            </w:r>
          </w:p>
        </w:tc>
      </w:tr>
    </w:tbl>
    <w:tbl>
      <w:tblPr>
        <w:tblW w:w="8275" w:type="dxa"/>
        <w:jc w:val="left"/>
        <w:tblInd w:w="0" w:type="dxa"/>
        <w:tblCellMar>
          <w:top w:w="0" w:type="dxa"/>
          <w:left w:w="0" w:type="dxa"/>
          <w:bottom w:w="0" w:type="dxa"/>
          <w:right w:w="0" w:type="dxa"/>
        </w:tblCellMar>
      </w:tblPr>
      <w:tblGrid>
        <w:gridCol w:w="60"/>
        <w:gridCol w:w="170"/>
        <w:gridCol w:w="80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0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introduction of new health authority requirements and/or changes in health authority expectations;</w:t>
            </w:r>
          </w:p>
        </w:tc>
      </w:tr>
    </w:tbl>
    <w:tbl>
      <w:tblPr>
        <w:tblW w:w="9955" w:type="dxa"/>
        <w:jc w:val="left"/>
        <w:tblInd w:w="0" w:type="dxa"/>
        <w:tblCellMar>
          <w:top w:w="0" w:type="dxa"/>
          <w:left w:w="0" w:type="dxa"/>
          <w:bottom w:w="0" w:type="dxa"/>
          <w:right w:w="0" w:type="dxa"/>
        </w:tblCellMar>
      </w:tblPr>
      <w:tblGrid>
        <w:gridCol w:w="60"/>
        <w:gridCol w:w="170"/>
        <w:gridCol w:w="97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7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failure by us or our partners to obtain and maintain regulatory approvals for the use of our products in various countries;</w:t>
            </w:r>
          </w:p>
        </w:tc>
      </w:tr>
    </w:tbl>
    <w:tbl>
      <w:tblPr>
        <w:tblW w:w="9505" w:type="dxa"/>
        <w:jc w:val="left"/>
        <w:tblInd w:w="0" w:type="dxa"/>
        <w:tblCellMar>
          <w:top w:w="0" w:type="dxa"/>
          <w:left w:w="0" w:type="dxa"/>
          <w:bottom w:w="0" w:type="dxa"/>
          <w:right w:w="0" w:type="dxa"/>
        </w:tblCellMar>
      </w:tblPr>
      <w:tblGrid>
        <w:gridCol w:w="60"/>
        <w:gridCol w:w="170"/>
        <w:gridCol w:w="92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2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complexities and difficulties in obtaining and maintaining protection for, and enforcing, our intellectual property;</w:t>
            </w:r>
          </w:p>
        </w:tc>
      </w:tr>
    </w:tbl>
    <w:tbl>
      <w:tblPr>
        <w:tblW w:w="4795" w:type="dxa"/>
        <w:jc w:val="left"/>
        <w:tblInd w:w="0" w:type="dxa"/>
        <w:tblCellMar>
          <w:top w:w="0" w:type="dxa"/>
          <w:left w:w="0" w:type="dxa"/>
          <w:bottom w:w="0" w:type="dxa"/>
          <w:right w:w="0" w:type="dxa"/>
        </w:tblCellMar>
      </w:tblPr>
      <w:tblGrid>
        <w:gridCol w:w="60"/>
        <w:gridCol w:w="170"/>
        <w:gridCol w:w="45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difficulties in staffing and managing foreign operations;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complexities associated with managing multiple payor reimbursement regimes, government payors, or patient self-pay systems;</w:t>
            </w:r>
          </w:p>
        </w:tc>
      </w:tr>
    </w:tbl>
    <w:tbl>
      <w:tblPr>
        <w:tblW w:w="4705" w:type="dxa"/>
        <w:jc w:val="left"/>
        <w:tblInd w:w="0" w:type="dxa"/>
        <w:tblCellMar>
          <w:top w:w="0" w:type="dxa"/>
          <w:left w:w="0" w:type="dxa"/>
          <w:bottom w:w="0" w:type="dxa"/>
          <w:right w:w="0" w:type="dxa"/>
        </w:tblCellMar>
      </w:tblPr>
      <w:tblGrid>
        <w:gridCol w:w="60"/>
        <w:gridCol w:w="170"/>
        <w:gridCol w:w="44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limits on our ability to penetrate international markets;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financial risks, such as longer payment cycles, difficulty collecting accounts receivable, the impact of local and regional financial crises on demand and payment for our products, and exposure to foreign currency exchange rate fluctuations;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natural disasters and political and economic instability, including wars, terrorism, political unrest, results of certain elections and votes, actual or threatened public health emergencies and outbreak of disease (including for example, the recent coronavirus outbreak), boycotts, adoption or expansion of government trade restrictions, and other business restrictions;</w:t>
            </w:r>
          </w:p>
        </w:tc>
      </w:tr>
    </w:tbl>
    <w:tbl>
      <w:tblPr>
        <w:tblW w:w="7450" w:type="dxa"/>
        <w:jc w:val="left"/>
        <w:tblInd w:w="0" w:type="dxa"/>
        <w:tblCellMar>
          <w:top w:w="0" w:type="dxa"/>
          <w:left w:w="0" w:type="dxa"/>
          <w:bottom w:w="0" w:type="dxa"/>
          <w:right w:w="0" w:type="dxa"/>
        </w:tblCellMar>
      </w:tblPr>
      <w:tblGrid>
        <w:gridCol w:w="60"/>
        <w:gridCol w:w="170"/>
        <w:gridCol w:w="72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certain expenses including, among others, expenses for travel, translation, and insurance;</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and compliance risks relating to doing business with any entity that is subject to sanctions administered by the Office of Foreign Assets Control of the U.S. Department of the Treasury.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Any of these factors could significantly harm our future international expansion of operations and, consequently, our business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Additionally, in some countries, such as Japan and the countries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Our actual or perceived failure to comply with European governmental regulations and other legal obligations related to privacy, data protection and information security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EU member states, the U.K., Switzerland and other countries have adopted data protection laws and regulations, which impose significant compliance obligations. For example, the General Data Protection Regulation (“GDPR”) imposes strict requirements on controllers and processors of personal data, including special protections for “special category data,” which includes health, biometric and genetic information of data subjects located in the EEA and, through incorporation in national legislation, the U.K.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national legislation grant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and similar national legislation impose strict rules on the transfer of personal data out of the EEA, the U.K., Switzerland, and other countries to the United States or other regions that have not been deemed to offer “adequate” privacy protections.</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new data protection rules.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imposes additional obligations on us when we are contracting with service providers and requires us to adopt appropriate privacy governance including policies, procedures, training and data audit.</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are also subject to evolving European privacy laws on electronic marketing and cookies. The EU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caps w:val="false"/>
          <w:smallCaps w:val="false"/>
          <w:sz w:val="20"/>
        </w:rPr>
      </w:pPr>
      <w:r>
        <w:rPr>
          <w:rFonts w:ascii="Times New Roman" w:hAnsi="Times New Roman"/>
          <w:b/>
          <w:i/>
          <w:caps w:val="false"/>
          <w:smallCaps w:val="false"/>
          <w:sz w:val="20"/>
        </w:rPr>
        <w:t>The United Kingdom</w:t>
      </w:r>
      <w:r>
        <w:rPr>
          <w:rFonts w:ascii="Times New Roman" w:hAnsi="Times New Roman"/>
          <w:caps w:val="false"/>
          <w:smallCaps w:val="false"/>
          <w:sz w:val="20"/>
        </w:rPr>
        <w:t>’</w:t>
      </w:r>
      <w:r>
        <w:rPr>
          <w:rFonts w:ascii="Times New Roman" w:hAnsi="Times New Roman"/>
          <w:b/>
          <w:i/>
          <w:caps w:val="false"/>
          <w:smallCaps w:val="false"/>
          <w:sz w:val="20"/>
        </w:rPr>
        <w:t>s decision to withdraw from the EU could result in increased regulatory and legal complexity, which may make it more difficult for us to do business in Europe and impose additional challenges in securing regulatory approval of our product candidates in Europe.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United Kingdom’s exit from the EU,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 and result in increased legal and regulatory complexities, as well as potential higher costs of conducting business in Europe. The long-term effects of Brexit will depend in part on how the current and future trade agreements between the United Kingdom and the EU take effect in practice. Changes in United Kingdom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cumulative effects of the disruption to the regulatory framework may add considerably to the development lead time to marketing authorization and commercialization of products in the EU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 and restrict our ability to generate revenues and achieve and sustain profitability.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addition, as a result of Brexit, other European countries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the EU will have and how such withdrawal will affect us, and the full extent to which our business could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Risks Relating to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240" w:right="0" w:hanging="0"/>
        <w:rPr>
          <w:rFonts w:ascii="Times New Roman" w:hAnsi="Times New Roman"/>
          <w:b/>
          <w:i/>
          <w:caps w:val="false"/>
          <w:smallCaps w:val="false"/>
          <w:sz w:val="20"/>
        </w:rPr>
      </w:pPr>
      <w:r>
        <w:rPr>
          <w:rFonts w:ascii="Times New Roman" w:hAnsi="Times New Roman"/>
          <w:b/>
          <w:i/>
          <w:caps w:val="false"/>
          <w:smallCaps w:val="false"/>
          <w:sz w:val="20"/>
        </w:rPr>
        <w:t>If our facilities, or the facilities of our third-party vendors, incur damage or power is lost for a significant length of time, our business will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A significant disruption in our information technology systems or a cybersecurity breach could adversely affect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Risks Relating to Investing in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Our existing principal stockholders hold a substantial amount of our common stock and may be able to influence significant corporate decisions, which may conflict with the interest of other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Several of our stockholders own greater than 5% of our outstanding common stock. Our top ten stockholders own close to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240" w:right="0" w:hanging="0"/>
        <w:rPr>
          <w:rFonts w:ascii="Times New Roman" w:hAnsi="Times New Roman"/>
          <w:b/>
          <w:i/>
          <w:caps w:val="false"/>
          <w:smallCaps w:val="false"/>
          <w:sz w:val="20"/>
        </w:rPr>
      </w:pPr>
      <w:r>
        <w:rPr>
          <w:rFonts w:ascii="Times New Roman" w:hAnsi="Times New Roman"/>
          <w:b/>
          <w:i/>
          <w:caps w:val="false"/>
          <w:smallCaps w:val="false"/>
          <w:sz w:val="20"/>
        </w:rPr>
        <w:t>Our stock price has been, and is likely to continue to be, highly volatile, which could cause the value of an investment in our common stock to decline significantly.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December 31, 2021, the 52-week range of the market price of our stock was from $7.27 to $18.48 per share. The following factors, in addition to other risk factors described in this section, may have a significant impact on the market price of our common stock:</w:t>
      </w:r>
    </w:p>
    <w:p>
      <w:pPr>
        <w:pStyle w:val="TextBody"/>
        <w:spacing w:before="0" w:after="0"/>
        <w:ind w:left="0" w:right="0" w:hanging="0"/>
        <w:rPr>
          <w:caps w:val="false"/>
          <w:smallCaps w:val="false"/>
        </w:rPr>
      </w:pPr>
      <w:r>
        <w:rPr>
          <w:caps w:val="false"/>
          <w:smallCaps w:val="false"/>
        </w:rPr>
        <w:t> </w:t>
      </w:r>
    </w:p>
    <w:tbl>
      <w:tblPr>
        <w:tblW w:w="7330" w:type="dxa"/>
        <w:jc w:val="left"/>
        <w:tblInd w:w="0" w:type="dxa"/>
        <w:tblCellMar>
          <w:top w:w="0" w:type="dxa"/>
          <w:left w:w="0" w:type="dxa"/>
          <w:bottom w:w="0" w:type="dxa"/>
          <w:right w:w="0" w:type="dxa"/>
        </w:tblCellMar>
      </w:tblPr>
      <w:tblGrid>
        <w:gridCol w:w="60"/>
        <w:gridCol w:w="170"/>
        <w:gridCol w:w="71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announcements of technological innovations or new products by us or our competitors;</w:t>
            </w:r>
          </w:p>
        </w:tc>
      </w:tr>
    </w:tbl>
    <w:tbl>
      <w:tblPr>
        <w:tblW w:w="5635" w:type="dxa"/>
        <w:jc w:val="left"/>
        <w:tblInd w:w="0" w:type="dxa"/>
        <w:tblCellMar>
          <w:top w:w="0" w:type="dxa"/>
          <w:left w:w="0" w:type="dxa"/>
          <w:bottom w:w="0" w:type="dxa"/>
          <w:right w:w="0" w:type="dxa"/>
        </w:tblCellMar>
      </w:tblPr>
      <w:tblGrid>
        <w:gridCol w:w="60"/>
        <w:gridCol w:w="170"/>
        <w:gridCol w:w="54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4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developments or disputes concerning patents or proprietary rights;</w:t>
            </w:r>
          </w:p>
        </w:tc>
      </w:tr>
    </w:tbl>
    <w:tbl>
      <w:tblPr>
        <w:tblW w:w="7090" w:type="dxa"/>
        <w:jc w:val="left"/>
        <w:tblInd w:w="0" w:type="dxa"/>
        <w:tblCellMar>
          <w:top w:w="0" w:type="dxa"/>
          <w:left w:w="0" w:type="dxa"/>
          <w:bottom w:w="0" w:type="dxa"/>
          <w:right w:w="0" w:type="dxa"/>
        </w:tblCellMar>
      </w:tblPr>
      <w:tblGrid>
        <w:gridCol w:w="60"/>
        <w:gridCol w:w="170"/>
        <w:gridCol w:w="68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additional dilution through sales of our common stock or other derivative securities;</w:t>
            </w:r>
          </w:p>
        </w:tc>
      </w:tr>
    </w:tbl>
    <w:tbl>
      <w:tblPr>
        <w:tblW w:w="7510" w:type="dxa"/>
        <w:jc w:val="left"/>
        <w:tblInd w:w="0" w:type="dxa"/>
        <w:tblCellMar>
          <w:top w:w="0" w:type="dxa"/>
          <w:left w:w="0" w:type="dxa"/>
          <w:bottom w:w="0" w:type="dxa"/>
          <w:right w:w="0" w:type="dxa"/>
        </w:tblCellMar>
      </w:tblPr>
      <w:tblGrid>
        <w:gridCol w:w="60"/>
        <w:gridCol w:w="170"/>
        <w:gridCol w:w="72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status of new or existing licensing or collaborative agreements and government contracts;</w:t>
            </w:r>
          </w:p>
        </w:tc>
      </w:tr>
    </w:tbl>
    <w:tbl>
      <w:tblPr>
        <w:tblW w:w="4600" w:type="dxa"/>
        <w:jc w:val="left"/>
        <w:tblInd w:w="0" w:type="dxa"/>
        <w:tblCellMar>
          <w:top w:w="0" w:type="dxa"/>
          <w:left w:w="0" w:type="dxa"/>
          <w:bottom w:w="0" w:type="dxa"/>
          <w:right w:w="0" w:type="dxa"/>
        </w:tblCellMar>
      </w:tblPr>
      <w:tblGrid>
        <w:gridCol w:w="60"/>
        <w:gridCol w:w="170"/>
        <w:gridCol w:w="43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3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announcements relating to the status of our programs;</w:t>
            </w:r>
          </w:p>
        </w:tc>
      </w:tr>
    </w:tbl>
    <w:tbl>
      <w:tblPr>
        <w:tblW w:w="6940" w:type="dxa"/>
        <w:jc w:val="left"/>
        <w:tblInd w:w="0" w:type="dxa"/>
        <w:tblCellMar>
          <w:top w:w="0" w:type="dxa"/>
          <w:left w:w="0" w:type="dxa"/>
          <w:bottom w:w="0" w:type="dxa"/>
          <w:right w:w="0" w:type="dxa"/>
        </w:tblCellMar>
      </w:tblPr>
      <w:tblGrid>
        <w:gridCol w:w="60"/>
        <w:gridCol w:w="170"/>
        <w:gridCol w:w="67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7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developments and announcements regarding new and virulent strains of influenza;</w:t>
            </w:r>
          </w:p>
        </w:tc>
      </w:tr>
    </w:tbl>
    <w:tbl>
      <w:tblPr>
        <w:tblW w:w="6310" w:type="dxa"/>
        <w:jc w:val="left"/>
        <w:tblInd w:w="0" w:type="dxa"/>
        <w:tblCellMar>
          <w:top w:w="0" w:type="dxa"/>
          <w:left w:w="0" w:type="dxa"/>
          <w:bottom w:w="0" w:type="dxa"/>
          <w:right w:w="0" w:type="dxa"/>
        </w:tblCellMar>
      </w:tblPr>
      <w:tblGrid>
        <w:gridCol w:w="60"/>
        <w:gridCol w:w="170"/>
        <w:gridCol w:w="60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or our partners achieving or failing to achieve development milestones;</w:t>
            </w:r>
          </w:p>
        </w:tc>
      </w:tr>
    </w:tbl>
    <w:tbl>
      <w:tblPr>
        <w:tblW w:w="9940" w:type="dxa"/>
        <w:jc w:val="left"/>
        <w:tblInd w:w="0" w:type="dxa"/>
        <w:tblCellMar>
          <w:top w:w="0" w:type="dxa"/>
          <w:left w:w="0" w:type="dxa"/>
          <w:bottom w:w="0" w:type="dxa"/>
          <w:right w:w="0" w:type="dxa"/>
        </w:tblCellMar>
      </w:tblPr>
      <w:tblGrid>
        <w:gridCol w:w="60"/>
        <w:gridCol w:w="170"/>
        <w:gridCol w:w="97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7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publicity regarding actual or potential medical results relating to products under development by us or our competitors;</w:t>
            </w:r>
          </w:p>
        </w:tc>
      </w:tr>
    </w:tbl>
    <w:tbl>
      <w:tblPr>
        <w:tblW w:w="8440" w:type="dxa"/>
        <w:jc w:val="left"/>
        <w:tblInd w:w="0" w:type="dxa"/>
        <w:tblCellMar>
          <w:top w:w="0" w:type="dxa"/>
          <w:left w:w="0" w:type="dxa"/>
          <w:bottom w:w="0" w:type="dxa"/>
          <w:right w:w="0" w:type="dxa"/>
        </w:tblCellMar>
      </w:tblPr>
      <w:tblGrid>
        <w:gridCol w:w="60"/>
        <w:gridCol w:w="170"/>
        <w:gridCol w:w="82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2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publicity regarding certain public health concerns for which we are or may be developing treatments;</w:t>
            </w:r>
          </w:p>
        </w:tc>
      </w:tr>
    </w:tbl>
    <w:tbl>
      <w:tblPr>
        <w:tblW w:w="6160" w:type="dxa"/>
        <w:jc w:val="left"/>
        <w:tblInd w:w="0" w:type="dxa"/>
        <w:tblCellMar>
          <w:top w:w="0" w:type="dxa"/>
          <w:left w:w="0" w:type="dxa"/>
          <w:bottom w:w="0" w:type="dxa"/>
          <w:right w:w="0" w:type="dxa"/>
        </w:tblCellMar>
      </w:tblPr>
      <w:tblGrid>
        <w:gridCol w:w="60"/>
        <w:gridCol w:w="170"/>
        <w:gridCol w:w="59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9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developments in both the United States and foreign countries;</w:t>
            </w:r>
          </w:p>
        </w:tc>
      </w:tr>
    </w:tbl>
    <w:tbl>
      <w:tblPr>
        <w:tblW w:w="5020" w:type="dxa"/>
        <w:jc w:val="left"/>
        <w:tblInd w:w="0" w:type="dxa"/>
        <w:tblCellMar>
          <w:top w:w="0" w:type="dxa"/>
          <w:left w:w="0" w:type="dxa"/>
          <w:bottom w:w="0" w:type="dxa"/>
          <w:right w:w="0" w:type="dxa"/>
        </w:tblCellMar>
      </w:tblPr>
      <w:tblGrid>
        <w:gridCol w:w="60"/>
        <w:gridCol w:w="170"/>
        <w:gridCol w:w="47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7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public concern as to the safety of pharmaceutical products;</w:t>
            </w:r>
          </w:p>
        </w:tc>
      </w:tr>
    </w:tbl>
    <w:tbl>
      <w:tblPr>
        <w:tblW w:w="4915" w:type="dxa"/>
        <w:jc w:val="left"/>
        <w:tblInd w:w="0" w:type="dxa"/>
        <w:tblCellMar>
          <w:top w:w="0" w:type="dxa"/>
          <w:left w:w="0" w:type="dxa"/>
          <w:bottom w:w="0" w:type="dxa"/>
          <w:right w:w="0" w:type="dxa"/>
        </w:tblCellMar>
      </w:tblPr>
      <w:tblGrid>
        <w:gridCol w:w="60"/>
        <w:gridCol w:w="170"/>
        <w:gridCol w:w="46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6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actual or anticipated fluctuations in our operating results;</w:t>
            </w:r>
          </w:p>
        </w:tc>
      </w:tr>
    </w:tbl>
    <w:tbl>
      <w:tblPr>
        <w:tblW w:w="6205" w:type="dxa"/>
        <w:jc w:val="left"/>
        <w:tblInd w:w="0" w:type="dxa"/>
        <w:tblCellMar>
          <w:top w:w="0" w:type="dxa"/>
          <w:left w:w="0" w:type="dxa"/>
          <w:bottom w:w="0" w:type="dxa"/>
          <w:right w:w="0" w:type="dxa"/>
        </w:tblCellMar>
      </w:tblPr>
      <w:tblGrid>
        <w:gridCol w:w="60"/>
        <w:gridCol w:w="170"/>
        <w:gridCol w:w="5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changes in financial estimates or recommendations by securities analysts;</w:t>
            </w:r>
          </w:p>
        </w:tc>
      </w:tr>
    </w:tbl>
    <w:tbl>
      <w:tblPr>
        <w:tblW w:w="9025" w:type="dxa"/>
        <w:jc w:val="left"/>
        <w:tblInd w:w="0" w:type="dxa"/>
        <w:tblCellMar>
          <w:top w:w="0" w:type="dxa"/>
          <w:left w:w="0" w:type="dxa"/>
          <w:bottom w:w="0" w:type="dxa"/>
          <w:right w:w="0" w:type="dxa"/>
        </w:tblCellMar>
      </w:tblPr>
      <w:tblGrid>
        <w:gridCol w:w="60"/>
        <w:gridCol w:w="170"/>
        <w:gridCol w:w="87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7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changes in the structure of healthcare payment systems, including developments in price control legislation;</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announcements by us or our competitors of significant acquisitions, strategic partnerships, joint ventures or capital commitments;</w:t>
            </w:r>
          </w:p>
        </w:tc>
      </w:tr>
    </w:tbl>
    <w:tbl>
      <w:tblPr>
        <w:tblW w:w="6535" w:type="dxa"/>
        <w:jc w:val="left"/>
        <w:tblInd w:w="0" w:type="dxa"/>
        <w:tblCellMar>
          <w:top w:w="0" w:type="dxa"/>
          <w:left w:w="0" w:type="dxa"/>
          <w:bottom w:w="0" w:type="dxa"/>
          <w:right w:w="0" w:type="dxa"/>
        </w:tblCellMar>
      </w:tblPr>
      <w:tblGrid>
        <w:gridCol w:w="60"/>
        <w:gridCol w:w="170"/>
        <w:gridCol w:w="63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3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additions or departures of key personnel or members of our board of directors;</w:t>
            </w:r>
          </w:p>
        </w:tc>
      </w:tr>
    </w:tbl>
    <w:tbl>
      <w:tblPr>
        <w:tblW w:w="9160" w:type="dxa"/>
        <w:jc w:val="left"/>
        <w:tblInd w:w="0" w:type="dxa"/>
        <w:tblCellMar>
          <w:top w:w="0" w:type="dxa"/>
          <w:left w:w="0" w:type="dxa"/>
          <w:bottom w:w="0" w:type="dxa"/>
          <w:right w:w="0" w:type="dxa"/>
        </w:tblCellMar>
      </w:tblPr>
      <w:tblGrid>
        <w:gridCol w:w="60"/>
        <w:gridCol w:w="170"/>
        <w:gridCol w:w="89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9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purchases or sales of substantial amounts of our stock by existing stockholders, including officers or directors;</w:t>
            </w:r>
          </w:p>
        </w:tc>
      </w:tr>
    </w:tbl>
    <w:tbl>
      <w:tblPr>
        <w:tblW w:w="5665" w:type="dxa"/>
        <w:jc w:val="left"/>
        <w:tblInd w:w="0" w:type="dxa"/>
        <w:tblCellMar>
          <w:top w:w="0" w:type="dxa"/>
          <w:left w:w="0" w:type="dxa"/>
          <w:bottom w:w="0" w:type="dxa"/>
          <w:right w:w="0" w:type="dxa"/>
        </w:tblCellMar>
      </w:tblPr>
      <w:tblGrid>
        <w:gridCol w:w="60"/>
        <w:gridCol w:w="170"/>
        <w:gridCol w:w="54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4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economic and other external factors or other disasters or crises; and</w:t>
            </w:r>
          </w:p>
        </w:tc>
      </w:tr>
    </w:tbl>
    <w:tbl>
      <w:tblPr>
        <w:tblW w:w="4510" w:type="dxa"/>
        <w:jc w:val="left"/>
        <w:tblInd w:w="0" w:type="dxa"/>
        <w:tblCellMar>
          <w:top w:w="0" w:type="dxa"/>
          <w:left w:w="0" w:type="dxa"/>
          <w:bottom w:w="0" w:type="dxa"/>
          <w:right w:w="0" w:type="dxa"/>
        </w:tblCellMar>
      </w:tblPr>
      <w:tblGrid>
        <w:gridCol w:w="60"/>
        <w:gridCol w:w="170"/>
        <w:gridCol w:w="42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period-to-period fluctuations in our financial results.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240" w:right="0" w:hanging="0"/>
        <w:rPr>
          <w:rFonts w:ascii="Times New Roman" w:hAnsi="Times New Roman"/>
          <w:b/>
          <w:i/>
          <w:caps w:val="false"/>
          <w:smallCaps w:val="false"/>
          <w:sz w:val="20"/>
        </w:rPr>
      </w:pPr>
      <w:r>
        <w:rPr>
          <w:rFonts w:ascii="Times New Roman" w:hAnsi="Times New Roman"/>
          <w:b/>
          <w:i/>
          <w:caps w:val="false"/>
          <w:smallCaps w:val="false"/>
          <w:sz w:val="20"/>
        </w:rPr>
        <w:t>Future sales and issuances of securities may dilute the ownership interests of our current stockholders and cause our stock price to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Future sales of our common stock by us or our current stockholders into the public market could cause the market price of our stock to fall. As of January 31, 2022, there were 184,661,799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As of January 31, 2022, there were 30,321,597 stock options and restricted stock units outstanding and 3,683,617 shares available for issuance under our Amended and Restated Stock Incentive Plan, 4,624,409 stock options and restricted stock units outstanding and 672,882 shares available for issuance under our Amended and Restated Inducement Equity Incentive Plan, and 5,937,390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pStyle w:val="TextBody"/>
        <w:spacing w:before="0" w:after="0"/>
        <w:ind w:left="0" w:right="0" w:firstLine="50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In addition, on June 1, 2020, we issued to certain of the Baker Entities pre-funded warrants to purchase 3,511,111 shares of our common stock at a price of $4.49 per warrant. Each warrant has an exercise price of $0.01 per share.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have anti-takeover provisions in our corporate charter documents that may result in outcomes with which you do not agree.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bylaws and of Delaware law applicable to us could delay or make more difficult a merger, tender offer or proxy contest involving us.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have never paid dividends on our common stock and do not anticipate doing so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jc w:val="both"/>
        <w:rPr>
          <w:rFonts w:ascii="Times New Roman" w:hAnsi="Times New Roman"/>
          <w:caps w:val="false"/>
          <w:smallCaps w:val="false"/>
          <w:sz w:val="20"/>
        </w:rPr>
      </w:pPr>
      <w:r>
        <w:rPr>
          <w:rFonts w:ascii="Times New Roman" w:hAnsi="Times New Roman"/>
          <w:b/>
          <w:i/>
          <w:caps w:val="false"/>
          <w:smallCaps w:val="false"/>
          <w:sz w:val="20"/>
        </w:rPr>
        <w:t>Our Amended and Restated Bylaws provide that the Court of Chancery of the State of Delaware will be the sole and exclusive forum for certain litigation that may be initiated by our stockholders, which may limit a stockholder</w:t>
      </w:r>
      <w:r>
        <w:rPr>
          <w:rFonts w:ascii="Times New Roman" w:hAnsi="Times New Roman"/>
          <w:caps w:val="false"/>
          <w:smallCaps w:val="false"/>
          <w:sz w:val="20"/>
        </w:rPr>
        <w:t>’</w:t>
      </w:r>
      <w:r>
        <w:rPr>
          <w:rFonts w:ascii="Times New Roman" w:hAnsi="Times New Roman"/>
          <w:b/>
          <w:i/>
          <w:caps w:val="false"/>
          <w:smallCaps w:val="false"/>
          <w:sz w:val="20"/>
        </w:rPr>
        <w:t>s ability to obtain a favorable judicial forum for such disputes with us or our directors, officers or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General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Natural disasters, epidemic or pandemic disease outbreaks, trade wars, political unrest or other events could disrupt our business or operations or those of our development partners, manufacturers, regulators or other third parties with whom we conduct business now or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600"/>
        <w:rPr>
          <w:rFonts w:ascii="Times New Roman" w:hAnsi="Times New Roman"/>
          <w:caps w:val="false"/>
          <w:smallCaps w:val="false"/>
          <w:sz w:val="20"/>
        </w:rPr>
      </w:pPr>
      <w:r>
        <w:rPr>
          <w:rFonts w:ascii="Times New Roman" w:hAnsi="Times New Roman"/>
          <w:caps w:val="false"/>
          <w:smallCaps w:val="false"/>
          <w:sz w:val="20"/>
        </w:rPr>
        <w:t>A wide variety of events beyond our control, including natural disasters, epidemic or pandemic disease outbreaks (such as the ongoing COVID-19 pandemic), trade wars,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have business are impaired or curtailed as a result of these events, the development and commercialization of our products and product candidates could be impaired or halted, which could have a material adverse impact on our business. See “Risk Factors—Risks Relating to Our Business—Risks Relating to COVID-19⸻Our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clinical research organizations (“CROs”), and others, as well as on the regulatory and government agencies with whom we work.” In addition, other events, such as the armed conflict between Russia and Ukraine, could adversely impact our business.  Furthermore,  the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spacing w:before="0" w:after="0"/>
        <w:ind w:left="0" w:right="0" w:firstLine="60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We are subject to legal proceedings, which could harm our reputation or result in other losses or unexpected expenditure of time and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Insurance coverage is increasingly more costly and difficult to obtain or maintain.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00"/>
        <w:rPr>
          <w:rFonts w:ascii="Times New Roman" w:hAnsi="Times New Roman"/>
          <w:caps w:val="false"/>
          <w:smallCaps w:val="false"/>
          <w:sz w:val="20"/>
        </w:rPr>
      </w:pPr>
      <w:r>
        <w:rPr>
          <w:rFonts w:ascii="Times New Roman" w:hAnsi="Times New Roman"/>
          <w:caps w:val="false"/>
          <w:smallCaps w:val="false"/>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If we fail to retain our existing key personnel or fail to attract and retain additional key personnel, the development of our product candidates, the commercialization of our products, and the related expansion of our business will be delayed or stopped.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highly dependent upon our senior management and scientific team, the unexpected loss of whose services might impede the achievement of our development and commercial objectives. This risk has been heightened in the current environment as a result of the ongoing COVID-19 pandemic. Competition for key personnel with the experience that we require is intense and is expected to continue to increase. Our inability to attract and retain the required number of skilled and experienced management, commercial, operational and scientific personnel will harm our business because we rely upon these personnel for many critical functions of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6" w:name="i1b"/>
      <w:bookmarkEnd w:id="6"/>
      <w:r>
        <w:rPr>
          <w:rFonts w:ascii="Times New Roman" w:hAnsi="Times New Roman"/>
          <w:b/>
          <w:caps w:val="false"/>
          <w:smallCaps w:val="false"/>
          <w:sz w:val="20"/>
        </w:rPr>
        <w:t>ITEM 1B.</w:t>
      </w:r>
      <w:r>
        <w:rPr>
          <w:rFonts w:ascii="Times New Roman" w:hAnsi="Times New Roman"/>
          <w:caps w:val="false"/>
          <w:smallCaps w:val="false"/>
          <w:sz w:val="20"/>
        </w:rPr>
        <w:t>         </w:t>
      </w:r>
      <w:r>
        <w:rPr>
          <w:rFonts w:ascii="Times New Roman" w:hAnsi="Times New Roman"/>
          <w:b/>
          <w:i/>
          <w:caps w:val="false"/>
          <w:smallCaps w:val="false"/>
          <w:sz w:val="20"/>
        </w:rPr>
        <w:t>UNRESOLVED STAFF COMMENTS</w:t>
      </w:r>
    </w:p>
    <w:p>
      <w:pPr>
        <w:pStyle w:val="TextBody"/>
        <w:spacing w:before="0" w:after="0"/>
        <w:ind w:left="0" w:right="0" w:hanging="0"/>
        <w:rPr>
          <w:caps w:val="false"/>
          <w:smallCaps w:val="false"/>
        </w:rPr>
      </w:pPr>
      <w:r>
        <w:rPr>
          <w:caps w:val="false"/>
          <w:smallCaps w:val="false"/>
        </w:rPr>
        <w:t> </w:t>
      </w:r>
    </w:p>
    <w:p>
      <w:pPr>
        <w:pStyle w:val="TextBody"/>
        <w:spacing w:before="0" w:after="0"/>
        <w:ind w:left="46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7" w:name="i2"/>
      <w:bookmarkEnd w:id="7"/>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i/>
          <w:caps w:val="false"/>
          <w:smallCaps w:val="false"/>
          <w:sz w:val="20"/>
        </w:rPr>
        <w:t>PROPERTIES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lease property in both Durham, North Carolina and Birmingham, Alabama. Our headquarters, including our clinical and regulatory operations, are based in Durham, while our principal research facility is located in Birmingham. We currently lease approximately 24,500 square feet in Durham through leases expiring December 31, 2023 and June 30, 2024, and we lease approximately 34,000 square feet in Birmingham through October 31, 2026. We also contract for smaller offices in Ireland, Germany, France, and the United Kingdom. We believe that our facilities are adequate for our current and planned future operations.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bookmarkStart w:id="8" w:name="i3"/>
      <w:bookmarkEnd w:id="8"/>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i/>
          <w:caps w:val="false"/>
          <w:smallCaps w:val="false"/>
          <w:sz w:val="20"/>
        </w:rPr>
        <w:t>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9" w:name="i4"/>
      <w:bookmarkEnd w:id="9"/>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i/>
          <w:caps w:val="false"/>
          <w:smallCaps w:val="false"/>
          <w:sz w:val="20"/>
        </w:rPr>
        <w:t>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ind w:left="1140" w:right="0" w:hanging="1140"/>
        <w:rPr>
          <w:rFonts w:ascii="Times New Roman" w:hAnsi="Times New Roman"/>
          <w:caps w:val="false"/>
          <w:smallCaps w:val="false"/>
          <w:sz w:val="20"/>
        </w:rPr>
      </w:pPr>
      <w:bookmarkStart w:id="10" w:name="i5"/>
      <w:bookmarkEnd w:id="10"/>
      <w:r>
        <w:rPr>
          <w:rFonts w:ascii="Times New Roman" w:hAnsi="Times New Roman"/>
          <w:b/>
          <w:caps w:val="false"/>
          <w:smallCaps w:val="false"/>
          <w:sz w:val="20"/>
        </w:rPr>
        <w:t>ITEM 5.</w:t>
      </w:r>
      <w:r>
        <w:rPr>
          <w:rFonts w:ascii="Times New Roman" w:hAnsi="Times New Roman"/>
          <w:caps w:val="false"/>
          <w:smallCaps w:val="false"/>
          <w:sz w:val="20"/>
        </w:rPr>
        <w:t>         </w:t>
      </w:r>
      <w:r>
        <w:rPr>
          <w:rFonts w:ascii="Times New Roman" w:hAnsi="Times New Roman"/>
          <w:b/>
          <w:i/>
          <w:caps w:val="false"/>
          <w:smallCaps w:val="false"/>
          <w:sz w:val="20"/>
        </w:rPr>
        <w:t>MARKET FOR REGISTRANT</w:t>
      </w:r>
      <w:r>
        <w:rPr>
          <w:rFonts w:ascii="Times New Roman" w:hAnsi="Times New Roman"/>
          <w:caps w:val="false"/>
          <w:smallCaps w:val="false"/>
          <w:sz w:val="20"/>
        </w:rPr>
        <w:t>’</w:t>
      </w:r>
      <w:r>
        <w:rPr>
          <w:rFonts w:ascii="Times New Roman" w:hAnsi="Times New Roman"/>
          <w:b/>
          <w:i/>
          <w:caps w:val="false"/>
          <w:smallCaps w:val="false"/>
          <w:sz w:val="20"/>
        </w:rPr>
        <w:t>S COMMON EQUITY, RELATED STOCKHOLDER MATTERS AND ISSUER PURCHASES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Our common stock trades on the Nasdaq Global Select Market under the symbol BCRX.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As of January 31, 2022, there were approximately 162 holders of record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We have never paid cash dividends and do not anticipate paying cash dividends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Stock Performance Graph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 The stock price performance shown on the graph is not necessarily indicative of future price performance.</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GRAPH FOR BIOCRYST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Indexed Comparison Since 2016</w:t>
      </w:r>
    </w:p>
    <w:p>
      <w:pPr>
        <w:pStyle w:val="TextBody"/>
        <w:spacing w:before="0" w:after="0"/>
        <w:ind w:left="0" w:right="0" w:hanging="0"/>
        <w:jc w:val="center"/>
        <w:rPr>
          <w:caps w:val="false"/>
          <w:smallCaps w:val="false"/>
        </w:rPr>
      </w:pPr>
      <w:r>
        <w:rPr>
          <w:caps w:val="false"/>
          <w:smallCaps w:val="false"/>
        </w:rPr>
        <w:t> </w:t>
      </w:r>
    </w:p>
    <w:p>
      <w:pPr>
        <w:pStyle w:val="TextBody"/>
        <w:jc w:val="center"/>
        <w:rPr/>
      </w:pPr>
      <w:r>
        <w:rPr/>
        <w:drawing>
          <wp:inline distT="0" distB="0" distL="0" distR="0">
            <wp:extent cx="7734300"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34300" cy="31051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719"/>
        <w:gridCol w:w="60"/>
        <w:gridCol w:w="265"/>
        <w:gridCol w:w="1255"/>
        <w:gridCol w:w="60"/>
        <w:gridCol w:w="60"/>
        <w:gridCol w:w="218"/>
        <w:gridCol w:w="1030"/>
        <w:gridCol w:w="60"/>
        <w:gridCol w:w="60"/>
        <w:gridCol w:w="218"/>
        <w:gridCol w:w="1030"/>
        <w:gridCol w:w="60"/>
        <w:gridCol w:w="60"/>
        <w:gridCol w:w="218"/>
        <w:gridCol w:w="1030"/>
        <w:gridCol w:w="60"/>
        <w:gridCol w:w="60"/>
        <w:gridCol w:w="218"/>
        <w:gridCol w:w="1030"/>
        <w:gridCol w:w="60"/>
        <w:gridCol w:w="60"/>
        <w:gridCol w:w="218"/>
        <w:gridCol w:w="1030"/>
        <w:gridCol w:w="66"/>
      </w:tblGrid>
      <w:tr>
        <w:trPr/>
        <w:tc>
          <w:tcPr>
            <w:tcW w:w="17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Beginning Investment at 12/31/16</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 at 12/31/17</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 at 12/31/18</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 at 12/31/19</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 at 12/31/20</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4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Investment at 12/31/21</w:t>
            </w:r>
          </w:p>
        </w:tc>
        <w:tc>
          <w:tcPr>
            <w:tcW w:w="66"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719"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BioCryst Pharmaceuticals, Inc.</w:t>
            </w:r>
          </w:p>
        </w:tc>
        <w:tc>
          <w:tcPr>
            <w:tcW w:w="60" w:type="dxa"/>
            <w:tcBorders/>
            <w:shd w:fill="CCEEFF" w:val="clear"/>
            <w:vAlign w:val="center"/>
          </w:tcPr>
          <w:p>
            <w:pPr>
              <w:pStyle w:val="TableContents"/>
              <w:spacing w:before="0" w:after="283"/>
              <w:ind w:left="0" w:right="0" w:hanging="0"/>
              <w:rPr/>
            </w:pPr>
            <w:r>
              <w:rPr/>
              <w:t> </w:t>
            </w:r>
          </w:p>
        </w:tc>
        <w:tc>
          <w:tcPr>
            <w:tcW w:w="26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218.80</w:t>
            </w:r>
          </w:p>
        </w:tc>
        <w:tc>
          <w:tcPr>
            <w:tcW w:w="66" w:type="dxa"/>
            <w:tcBorders/>
            <w:shd w:fill="CCEEFF" w:val="clear"/>
            <w:vAlign w:val="center"/>
          </w:tcPr>
          <w:p>
            <w:pPr>
              <w:pStyle w:val="TableContents"/>
              <w:spacing w:before="0" w:after="283"/>
              <w:rPr/>
            </w:pPr>
            <w:r>
              <w:rPr/>
              <w:t> </w:t>
            </w:r>
          </w:p>
        </w:tc>
      </w:tr>
      <w:tr>
        <w:trPr/>
        <w:tc>
          <w:tcPr>
            <w:tcW w:w="1719"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Nasdaq Stock Market (U.S.)</w:t>
            </w:r>
          </w:p>
        </w:tc>
        <w:tc>
          <w:tcPr>
            <w:tcW w:w="60" w:type="dxa"/>
            <w:tcBorders/>
            <w:shd w:fill="FFFFFF" w:val="clear"/>
            <w:vAlign w:val="center"/>
          </w:tcPr>
          <w:p>
            <w:pPr>
              <w:pStyle w:val="TableContents"/>
              <w:spacing w:before="0" w:after="283"/>
              <w:rPr/>
            </w:pPr>
            <w:r>
              <w:rPr/>
              <w:t> </w:t>
            </w:r>
          </w:p>
        </w:tc>
        <w:tc>
          <w:tcPr>
            <w:tcW w:w="265" w:type="dxa"/>
            <w:tcBorders/>
            <w:shd w:fill="FFFFFF" w:val="clear"/>
            <w:vAlign w:val="center"/>
          </w:tcPr>
          <w:p>
            <w:pPr>
              <w:pStyle w:val="TableContents"/>
              <w:spacing w:before="0" w:after="283"/>
              <w:ind w:left="0" w:right="0" w:hanging="0"/>
              <w:rPr/>
            </w:pPr>
            <w:r>
              <w:rPr/>
              <w:t> </w:t>
            </w:r>
          </w:p>
        </w:tc>
        <w:tc>
          <w:tcPr>
            <w:tcW w:w="12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10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121.38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10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114.77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10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150.55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10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ind w:left="0" w:right="0" w:hanging="0"/>
              <w:rPr/>
            </w:pPr>
            <w:r>
              <w:rPr/>
              <w:t> </w:t>
            </w:r>
          </w:p>
        </w:tc>
        <w:tc>
          <w:tcPr>
            <w:tcW w:w="103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229.84</w:t>
            </w:r>
          </w:p>
        </w:tc>
        <w:tc>
          <w:tcPr>
            <w:tcW w:w="66" w:type="dxa"/>
            <w:tcBorders/>
            <w:shd w:fill="FFFFFF" w:val="clear"/>
            <w:vAlign w:val="center"/>
          </w:tcPr>
          <w:p>
            <w:pPr>
              <w:pStyle w:val="TableContents"/>
              <w:spacing w:before="0" w:after="283"/>
              <w:rPr/>
            </w:pPr>
            <w:r>
              <w:rPr/>
              <w:t> </w:t>
            </w:r>
          </w:p>
        </w:tc>
      </w:tr>
      <w:tr>
        <w:trPr/>
        <w:tc>
          <w:tcPr>
            <w:tcW w:w="1719"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Nasdaq Pharmaceutical Stocks</w:t>
            </w:r>
          </w:p>
        </w:tc>
        <w:tc>
          <w:tcPr>
            <w:tcW w:w="6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283"/>
              <w:ind w:left="0" w:right="0" w:hanging="0"/>
              <w:rPr/>
            </w:pPr>
            <w:r>
              <w:rPr/>
              <w:t> </w:t>
            </w:r>
          </w:p>
        </w:tc>
        <w:tc>
          <w:tcPr>
            <w:tcW w:w="12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128.60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162.74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ind w:left="0" w:right="0" w:hanging="0"/>
              <w:rPr/>
            </w:pPr>
            <w:r>
              <w:rPr/>
              <w:t> </w:t>
            </w:r>
          </w:p>
        </w:tc>
        <w:tc>
          <w:tcPr>
            <w:tcW w:w="103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202.43</w:t>
            </w:r>
          </w:p>
        </w:tc>
        <w:tc>
          <w:tcPr>
            <w:tcW w:w="66"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above graph measures the change in a $100 investment in our common stock based on its closing price of $6.33 on December 31, 2016 and its year-end closing price thereafter. Our relative performance is then compared with the CRSP Total Return Indexes for the Nasdaq Stock Market (U.S.) and Nasdaq Pharmaceutical Stocks.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There were no repurchases of our common stock during the fourth quarter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1" w:name="i6"/>
      <w:bookmarkEnd w:id="11"/>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i/>
          <w:caps w:val="false"/>
          <w:smallCaps w:val="false"/>
          <w:sz w:val="20"/>
        </w:rPr>
        <w:t>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2" w:name="i7"/>
      <w:bookmarkEnd w:id="12"/>
      <w:r>
        <w:rPr>
          <w:rFonts w:ascii="Times New Roman" w:hAnsi="Times New Roman"/>
          <w:b/>
          <w:caps w:val="false"/>
          <w:smallCaps w:val="false"/>
          <w:sz w:val="20"/>
        </w:rPr>
        <w:t>ITEM 7.</w:t>
      </w:r>
      <w:r>
        <w:rPr>
          <w:rFonts w:ascii="Times New Roman" w:hAnsi="Times New Roman"/>
          <w:caps w:val="false"/>
          <w:smallCaps w:val="false"/>
          <w:sz w:val="20"/>
        </w:rPr>
        <w:t>         </w:t>
      </w: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The following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w:t>
      </w:r>
      <w:r>
        <w:rPr>
          <w:rFonts w:ascii="Times New Roman" w:hAnsi="Times New Roman"/>
          <w:caps w:val="false"/>
          <w:smallCaps w:val="false"/>
          <w:sz w:val="20"/>
        </w:rPr>
        <w:t>“</w:t>
      </w:r>
      <w:r>
        <w:rPr>
          <w:rFonts w:ascii="Times New Roman" w:hAnsi="Times New Roman"/>
          <w:i/>
          <w:caps w:val="false"/>
          <w:smallCaps w:val="false"/>
          <w:sz w:val="20"/>
        </w:rPr>
        <w:t>MD&amp;A</w:t>
      </w:r>
      <w:r>
        <w:rPr>
          <w:rFonts w:ascii="Times New Roman" w:hAnsi="Times New Roman"/>
          <w:caps w:val="false"/>
          <w:smallCaps w:val="false"/>
          <w:sz w:val="20"/>
        </w:rPr>
        <w:t>”</w:t>
      </w:r>
      <w:r>
        <w:rPr>
          <w:rFonts w:ascii="Times New Roman" w:hAnsi="Times New Roman"/>
          <w:i/>
          <w:caps w:val="false"/>
          <w:smallCaps w:val="false"/>
          <w:sz w:val="20"/>
        </w:rPr>
        <w:t xml:space="preserve">) is intended to help the reader understand our results of operations and financial condition. MD&amp;A is provided as a supplement to, and should be read in conjunction with, our audited financial statements and the accompanying notes to the financial statements and other disclosures included in this report (including the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at the beginning of this report and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section in Part I, Item 1A of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a commercial-stage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U.S. and certain other regions upon regulatory approval. By focusing on rare disease markets, we believe that we can more effectively control the costs of, and our strategic allocation of financial resources toward, post-approval commercialization.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During 2021, ORLADEYO received regulatory approvals in the European Union, Japan, the United Arab Emirates, and the United Kingdom.  We are commercializing ORLADEYO in each of these territories directly or through distributors, except in Japan where Torii, our collaborative partner, has the exclusive right to commercialize ORLADEYO for the prevention of HAE attacks in exchange for certain milestone and royalty payments to us.  In addition to its approval in the United States, peramivir injection has received regulatory approvals in Canada, Australia, Japan, Taiwan and Korea. </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revenues are difficult to predict and depend on several factors, including those discussed in the “Risk Factors” section in Part I, Item 1A of this report. For example, our revenues depend, in part, on regulatory approval decisions for our products and product candidates, the effectiveness of our and our collaborative partners’ commercialization efforts, market acceptance of our products, particularly ORLADEYO, the resources dedicated to our products by us and our collaborative partners, and ongoing discussions with government agencies regarding contract awards for development and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operating expenses are also difficult to predict and depend on several factors, including research and development expenses (and whether these expenses are reimbursable under government contracts), drug manufacturing, and clinical research activities, the ongoing requirements of our development programs, the costs of commercialization, the availability of capital and direction from regulatory agencies, which are difficult to predict, and the factors discussed in the “Risk Factors” section in Part 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Critical Accounting Policies and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accompanying discussion and analysis of our financial condition and results of operations are based upon our consolidated financial statements and the related disclosures, which have been prepared in accordance with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Policies” at the end of this “Management’s Discussion and Analysis of Financial Condition and Results of Operations”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Recent Corporate Highlights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COVID-19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outbreak of COVID-19 has severely impacted global economic activity and caused significant volatility in financial markets. To date, our financial condition, results of operations, and liquidity have not been materially impacted by the direct effects of the COVID-19 pandemic. Please refer to “Risk Factors⸻Risks Relating to Our Business⸻Risks Relating to COVID-19” in Part I, Item 1A of this report for a discussion of COVID-19 risks as they relate to our business. We are continuing to monitor developments with respect to the COVID-19 pandemic and to make adjustments as needed to assist in protecting the safety of our employees and communities while continuing our business activities. Our remote working arrangements continue to be flexible where it is both practical and possible for the business. Business-related travel has increased, and we will continue to monitor developments with respect to COVID-19 going forward. To date, implementation of specific COVID-19 measures has not required material expenditures or significantly impacted our ability to operate our business or our internal control over financial reporting and disclosure controls and procedures. We continue to monitor the potential impacts of COVID-19 on our operations and those of our partners, suppliers, customers, and regulators.</w:t>
      </w:r>
    </w:p>
    <w:p>
      <w:pPr>
        <w:pStyle w:val="TextBody"/>
        <w:spacing w:before="0" w:after="0"/>
        <w:ind w:left="0" w:right="0" w:firstLine="540"/>
        <w:rPr>
          <w:caps w:val="false"/>
          <w:smallCaps w:val="false"/>
        </w:rPr>
      </w:pPr>
      <w:r>
        <w:rPr>
          <w:caps w:val="false"/>
          <w:smallCaps w:val="false"/>
        </w:rPr>
        <w:t> </w:t>
      </w:r>
    </w:p>
    <w:p>
      <w:pPr>
        <w:pStyle w:val="TextBody"/>
        <w:spacing w:before="0" w:after="0"/>
        <w:ind w:left="540" w:right="0" w:hanging="0"/>
        <w:rPr>
          <w:rFonts w:ascii="Times New Roman" w:hAnsi="Times New Roman"/>
          <w:i/>
          <w:caps w:val="false"/>
          <w:smallCaps w:val="false"/>
          <w:sz w:val="20"/>
        </w:rPr>
      </w:pPr>
      <w:r>
        <w:rPr>
          <w:rFonts w:ascii="Times New Roman" w:hAnsi="Times New Roman"/>
          <w:i/>
          <w:caps w:val="false"/>
          <w:smallCaps w:val="false"/>
          <w:sz w:val="20"/>
        </w:rPr>
        <w:t>ORLADEYO (berotralstat)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ORLADEYO is an oral, once-daily therapy discovered and developed by us for the prevention of HAE attacks. Approved first by the FDA in the U.S. in December 2020, ORLADEYO is also approved in the European Union, Japan, the United Kingdom, and the United Arab Emirates for the prevention of HAE attacks in adults and pediatric patients 12 years and 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January 10, 2022, we announced that ORLADEYO is now covered by all major payors and national and regional pharmacy benefit managers in the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built out our U.S. commercial infrastructure in 2020 to support the launch of ORLADEYO in the U.S. and are continuing to build our commercial infrastructure to support launches in Europe and elsewhere.  Based on proprietary analyses of HAE prevalence and market research studies with HAE patients, physicians, and payors in the U.S. and Europe, and our first full year of experience with the ORLADEYO launch in 2021, we anticipate the commercial market for ORLADEYO has the potential to reach a global peak of more than $1 billion in annual sales.  We expect at least 70 to 80 percent of our revenue at peak to come from the U.S.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commercialization efforts, methods, and strategies for our products or technologies will succeed, and our future revenue generation is uncertain” in Part I, Item 1A of this report for further discussion of these risks.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Revenue from sales of ORLADEYO in 2021, which was our first full year of ORLADEYO sales, is discussed under “Results of Operations.” Revenue from sales of ORLADEYO in future periods is subject to uncertainties and will depend on several factors, including the success of our and our partners’ commercialization efforts in the U.S.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and market trends. We are continuing to monitor and analyze this data as we continue to commercialize ORLADEYO.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540" w:right="0" w:hanging="0"/>
        <w:rPr>
          <w:rFonts w:ascii="Times New Roman" w:hAnsi="Times New Roman"/>
          <w:i/>
          <w:caps w:val="false"/>
          <w:smallCaps w:val="false"/>
          <w:sz w:val="20"/>
        </w:rPr>
      </w:pPr>
      <w:r>
        <w:rPr>
          <w:rFonts w:ascii="Times New Roman" w:hAnsi="Times New Roman"/>
          <w:i/>
          <w:caps w:val="false"/>
          <w:smallCaps w:val="false"/>
          <w:sz w:val="20"/>
        </w:rPr>
        <w:t>Complement-Mediated Diseases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BCX9930 is a novel, oral, potent, and selective small molecule inhibitor of Factor D discovered by the Company and currently in clinical development for the treatment of complement-mediated diseases. Based on the safety and proof-of-concept (“PoC”) data generated to date in patients with PNH, the program has advanced to pivotal studies of oral BCX9930 (500 mg twice-daily) in PNH and to a proof-of-concept trial of oral BCX9930 (500 mg twice-daily) in renal complement-mediated diseases. We are working closely with key opinion leaders in hematology and nephrology to map the advanced development strategy across a broad set of indications. Our goal is to develop BCX9930 as a monotherapy for complement-mediated diseases.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November 29, 2021, we announced the enrollment of the first patient in the REDEEM-2 pivotal trial with BCX9930 in patients with PNH. REDEEM-2 is a randomized, placebo-controlled trial evaluating the efficacy and safety of BCX9930 (500 mg twice-daily) as monotherapy versus placebo in PNH patients not currently receiving complement inhibitor therapy. In part 1 of this trial, patients will be randomized 2:1 to receive BCX9930 or placebo under double-blind conditions for 12 weeks. All patients will receive BCX9930 in part 2 (weeks 13-52) to assess the long-term safety, tolerability, and effectiveness of BCX9930, with patients randomized to placebo in part 1 switching to BCX9930 at the week 12 visit. The primary endpoint of REDEEM-2 is change from baseline in hemoglobin, as assessed at week 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January 7, 2022, we announced the enrollment of the first patient in the REDEEM-1 pivotal trial with BCX9930 in patients with PNH. REDEEM-1 is a randomized, open-label, active comparator-controlled comparison of the efficacy and safety of BCX9930 (500 mg twice-daily) monotherapy in PNH patients with an inadequate response to a C5 inhibitor. In part 1 of this trial, patients who have not had an adequate response to a C5 inhibitor will be randomized 2:1 to discontinue their C5 inhibitor and receive BCX9930 as monotherapy or to continue receiving their C5 inhibitor for 24 weeks. All patients will receive BCX9930 in part 2 (weeks 25-52) to assess the long-term safety, tolerability, and effectiveness of BCX9930. Patients who are randomized to C5 inhibitor therapy in part 1 will discontinue that therapy at the week 24 visit and start BCX9930 for part 2. The primary endpoint of REDEEM-1 is change from baseline in hemoglobin, as assessed at weeks 12 to 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February 22, 2022, we announced the enrollment of the first patient in the RENEW proof-of-concept basket study with BCX9930 in patients with C3 glomerulopathy (C3G), IgA nephropathy (IgAN), and primary membranous nephropathy (PMN).  RENEW is an open-label, multicenter, proof-of-concept study designed to evaluate the safety, tolerability, and therapeutic potential of BCX9930 (twice-daily) administered for 24 weeks in patients with either C3G, IgAN, or PMN.  All patients will be enrolled into one of three parallel study cohorts, based on confirmation of diagnosis and disease activity in a recent kidney biopsy, and will receive BCX9930 for the 24-week treatment period.  The primary endpoint of RENEW is percent change from baseline in 24-hour urine protein-to-creatinine ratio (uPCR), as assessed at week 24.</w:t>
      </w:r>
    </w:p>
    <w:p>
      <w:pPr>
        <w:pStyle w:val="TextBody"/>
        <w:spacing w:before="0" w:after="0"/>
        <w:ind w:left="0" w:right="0" w:firstLine="540"/>
        <w:rPr>
          <w:caps w:val="false"/>
          <w:smallCaps w:val="false"/>
        </w:rPr>
      </w:pPr>
      <w:r>
        <w:rPr>
          <w:caps w:val="false"/>
          <w:smallCaps w:val="false"/>
        </w:rPr>
        <w:t> </w:t>
      </w:r>
    </w:p>
    <w:p>
      <w:pPr>
        <w:pStyle w:val="TextBody"/>
        <w:spacing w:before="0" w:after="0"/>
        <w:ind w:left="540" w:right="0" w:hanging="0"/>
        <w:rPr>
          <w:rFonts w:ascii="Times New Roman" w:hAnsi="Times New Roman"/>
          <w:i/>
          <w:caps w:val="false"/>
          <w:smallCaps w:val="false"/>
          <w:sz w:val="20"/>
        </w:rPr>
      </w:pPr>
      <w:r>
        <w:rPr>
          <w:rFonts w:ascii="Times New Roman" w:hAnsi="Times New Roman"/>
          <w:i/>
          <w:caps w:val="false"/>
          <w:smallCaps w:val="false"/>
          <w:sz w:val="20"/>
        </w:rPr>
        <w:t>Financing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u w:val="single"/>
        </w:rPr>
        <w:t>Royalty Monetizations</w:t>
      </w:r>
      <w:r>
        <w:rPr>
          <w:rFonts w:ascii="Times New Roman" w:hAnsi="Times New Roman"/>
          <w:i/>
          <w:caps w:val="false"/>
          <w:smallCaps w:val="false"/>
          <w:sz w:val="20"/>
        </w:rPr>
        <w:t>.</w:t>
      </w:r>
      <w:r>
        <w:rPr>
          <w:rFonts w:ascii="Times New Roman" w:hAnsi="Times New Roman"/>
          <w:caps w:val="false"/>
          <w:smallCaps w:val="false"/>
          <w:sz w:val="20"/>
        </w:rPr>
        <w:t xml:space="preserve"> On November 19, 2021, we entered into (i) the 2021 RPI Royalty Purchase Agreement, pursuant to which we sold to RPI the right to receive certain royalty payments from the Company for a purchase price of $150 million in cash; and (ii) the OMERS Royalty Purchase Agreement, pursuant to which we sold to OMERS the right to receive certain royalty payments from the Company for a purchase price of an additional $150 million in cash. Under the Royalty Purchase Agreements, RPI and OMERS are entitled to receive tiered, sales-based royalties on net product sales of ORLADEYO in the Key Territories and on other Direct Sales. In addition, RPI and OMERS are entitled to receive a tiered revenue share on amounts generally received by us on account of ORLADEYO sublicense revenue or net sales by licensees outside of the Key Territories. Under the 2021 RPI Royalty Purchase Agreement, RPI will also be entitled to receive tiered, sales-based royalties on net product sales, if any, of BCX9930 and another earlier stage Factor D inhibitor, as well as tiered, profit share amounts of up to 3.0% from certain other permitted sales in certain other markets. See “Note 8⸻Royalty Monetizations⸻ORLADEYO and Factor D Inhibitors” in the Notes to Consolidated Financial Statements in Part II, Item 8 of this report for additional information about our obligations under the Royalty Purchase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u w:val="single"/>
        </w:rPr>
        <w:t>Sales of Common Stock</w:t>
      </w:r>
      <w:r>
        <w:rPr>
          <w:rFonts w:ascii="Times New Roman" w:hAnsi="Times New Roman"/>
          <w:caps w:val="false"/>
          <w:smallCaps w:val="false"/>
          <w:sz w:val="20"/>
        </w:rPr>
        <w:t>. On November 19, 2021, concurrent with the 2021 RPI Royalty Purchase Agreement, we entered into a Common Stock Purchase Agreement (the “Stock Purchase Agreement”) with RPI, pursuant to which we issued to RPI 3,846,154 shares of our common stock for an aggregate purchase price of approximately $50 million, at a price of $13.00 per share, calculated based on the 20-day volume weighted average price. These shares were offered and sold without registration under the Securities Act of 1933, as amended (the “Securities Act”), in reliance on the exemptions provided by Section 4(a)(2) of the Securities Act as transactions not involving a public offering and Rule 506 promulgated under the Securities Act as sales to an accredited investor.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u w:val="single"/>
        </w:rPr>
        <w:t>Amendment to Credit Agreement</w:t>
      </w:r>
      <w:r>
        <w:rPr>
          <w:rFonts w:ascii="Times New Roman" w:hAnsi="Times New Roman"/>
          <w:caps w:val="false"/>
          <w:smallCaps w:val="false"/>
          <w:sz w:val="20"/>
        </w:rPr>
        <w:t>. On November 19, 2021, we entered into an amendment to our Credit Agreement with Athyrium Opportunities III Co-Invest 1 LP (“Athyrium” and such agreement, as amended, the “Credit Agreement”), as lender and as administrative agent for the lenders. BioCryst Ireland Limited and BioCryst US Sales Co., LLC, each of which is a wholly-owned subsidiary of ours, and BioCryst UK Limited, a wholly-owned subsidiary of BioCryst Ireland Limited, are guarantors to the Credit Agreement. The amendment amended the original Credit Agreement (i) to permit the Company to enter into the 2021 RPI Royalty Purchase Agreement, the OMERS Royalty Purchase Agreement, and the other definitive documentation related thereto and to perform its obligations thereunder; (ii) to require the Company to pay to Athyrium, for the account of the lenders, a make-whole premium plus certain fees set forth in the Credit Agreement in the event that the Company does not draw the Term B Loan or the Term C Loan available under the Credit Agreement, as applicable, by the end of the applicable period available to draw the Term B Loan or the Term C Loan, subject to certain exceptions set forth in the Credit Agreement; and (iii) to require the Company to pay to Athyrium, for the account of the lenders, a make-whole premium plus certain fees set forth in the Credit Agreement in the event that the Company either (x) terminates the commitments in respect of the Term B Loan or the Term C Loan, as applicable, on or prior to the end of the applicable period available to draw the Term B Loan or the Term C Loan, or (y) prepays or repays, or is required to prepay or repay, voluntarily or pursuant to a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under the Credit Agreement, in each case, subject to certain exceptions set forth in the Credit Agreement. See “Note 9⸻Debt⸻Credit Agreement” in the Notes to Consolidated Financial Statements in Part II, Item 8 of this report for additional information about our obligations under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discussion below presents a summary of our results of operations for fiscal years 2021 and 2020. See Part II, Item 7, “Management’s Discussion and Analysis of Financial Condition and Results of Operations⸻Results of Operations” of our Annual Report on Form 10-K for the fiscal year ended December 31, 2020, filed with the Securities and Exchange Commission on March 1, 2021, for a summary of our results of operations for the fiscal year ended December 31,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Year Ended December 31, 2021 Compared to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For the year ended December 31, 2021, total revenues were $157.2 million as compared to $17.8 million for the year ended December 31, 2020. This increase of $139.4 million was primarily due to an increase of $122.5 million of ORLADEYO net revenue following our commercial launch in December 2020. Additionally, RAPIVAB revenues, primarily from sales to HHS, increased by $6.7 million and peramivir product revenue from inventory sales to our partners increased by $4.6 million. The Company also recognized a $15.0 million milestone payment related to the NHI approval of ORLADEYO in Japan. These increases in revenue were partially offset by a reduction in royalty revenue (excluding those associated with ORLADEYO sales) of $4.2 million, a reduction in contract revenue of $3.3 million and the recognition of $1.9 million of deferred revenue in the prior year period compared to none in the current year period. The decrease in royalty revenue was due to peramivir product replacement under Green Cross’s supply agreement with the Korean government.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Cost of product sales for the years ended December 31, 2021 and 2020 was $7.2 million and $1.6 million, respectively, and was primarily associated with the peramivir product sales to our partners in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R&amp;D expenses increased to $208.8 million for the year ended December 31, 2021 from $123.0 million for the year ended December 31, 2020, primarily due to increased investment in the development of our Factor D program, including BCX9930, as well as other research, preclinical and development costs, which were partially offset by a reduction in spend on the ORLADEYO program following our commercial launch in December 2020.</w:t>
      </w:r>
    </w:p>
    <w:p>
      <w:pPr>
        <w:pStyle w:val="TextBody"/>
        <w:spacing w:before="0" w:after="0"/>
        <w:ind w:left="0" w:right="0" w:firstLine="580"/>
        <w:rPr>
          <w:caps w:val="false"/>
          <w:smallCaps w:val="false"/>
        </w:rPr>
      </w:pPr>
      <w:r>
        <w:rPr>
          <w:caps w:val="false"/>
          <w:smallCaps w:val="false"/>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pStyle w:val="TextBody"/>
        <w:spacing w:before="0" w:after="0"/>
        <w:ind w:left="0" w:right="0" w:hanging="0"/>
        <w:rPr>
          <w:caps w:val="false"/>
          <w:smallCaps w:val="false"/>
        </w:rPr>
      </w:pPr>
      <w:r>
        <w:rPr>
          <w:caps w:val="false"/>
          <w:smallCaps w:val="false"/>
        </w:rPr>
        <w:t> </w:t>
      </w:r>
    </w:p>
    <w:tbl>
      <w:tblPr>
        <w:tblW w:w="6860" w:type="dxa"/>
        <w:jc w:val="left"/>
        <w:tblInd w:w="0" w:type="dxa"/>
        <w:tblCellMar>
          <w:top w:w="0" w:type="dxa"/>
          <w:left w:w="0" w:type="dxa"/>
          <w:bottom w:w="0" w:type="dxa"/>
          <w:right w:w="0" w:type="dxa"/>
        </w:tblCellMar>
      </w:tblPr>
      <w:tblGrid>
        <w:gridCol w:w="4040"/>
        <w:gridCol w:w="60"/>
        <w:gridCol w:w="125"/>
        <w:gridCol w:w="695"/>
        <w:gridCol w:w="60"/>
        <w:gridCol w:w="60"/>
        <w:gridCol w:w="125"/>
        <w:gridCol w:w="695"/>
        <w:gridCol w:w="60"/>
        <w:gridCol w:w="60"/>
        <w:gridCol w:w="125"/>
        <w:gridCol w:w="695"/>
        <w:gridCol w:w="60"/>
      </w:tblGrid>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R&amp;D expenses by program:</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Berotralstat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30,559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44,329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57,059</w:t>
            </w:r>
          </w:p>
        </w:tc>
        <w:tc>
          <w:tcPr>
            <w:tcW w:w="6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Factor D Program</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132,267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26,640</w:t>
            </w:r>
          </w:p>
        </w:tc>
        <w:tc>
          <w:tcPr>
            <w:tcW w:w="6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FOP</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2,583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6,167</w:t>
            </w:r>
          </w:p>
        </w:tc>
        <w:tc>
          <w:tcPr>
            <w:tcW w:w="6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Galidesivir</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4,680</w:t>
            </w:r>
          </w:p>
        </w:tc>
        <w:tc>
          <w:tcPr>
            <w:tcW w:w="60" w:type="dxa"/>
            <w:tcBorders/>
            <w:shd w:fill="CCEEFF" w:val="cle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Peramivir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2,143</w:t>
            </w:r>
          </w:p>
        </w:tc>
        <w:tc>
          <w:tcPr>
            <w:tcW w:w="60" w:type="dxa"/>
            <w:tcBorders/>
            <w:shd w:fill="FFFFFF"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Other research, preclinical and development costs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36,157</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29,469</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10,379</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4040"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Total R&amp;D expenses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208,808</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122,964</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107,068</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R&amp;D expenses include all direct and indirect expenses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R&amp;D personnel and costs of outside parties to conduct laboratory studies, develop manufacturing processes, manufacture the product candidates, conduct and manage clinical trials, as well as other costs related to our clinical and preclinical studies. Indirect R&amp;D expenses consist of lab supplies and services, facility expenses, depreciation of development equipment and other overhead of our research and development efforts. R&amp;D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SG&amp;A expenses for the year ended December 31, 2021 were $118.8 million compared to $67.9 million in the year ended December 31, 2020. The increase was primarily due to increased investment to support the commercial launch of ORLADEYO in the U.S. and elsewhere and our expanded international operations, particularly in the EU. Additionally, SG&amp;A expenses for 2021 included non-cash stock compensation charges of $8.9 million on the accelerated vesting of certain outstanding stock options and severance costs of $1.1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Interest expense for the year ended December 31, 2021 was $59.3 million as compared to $14.5 million for the year ended December 31, 2020. The increase in interest expense was primarily associated with the royalty financing obligations and the $125.0 million Term A Loan under the Credit Agreement. Interest expense for the year ended December 31, 2021 included $37.7 million of non-cash interest expense due to the amortization of interest associated with the royalty financing obligations and $15.5 million of interest expense, net of deferred financing amortization, associated with the Term A Loan under the Credit Agreement. Additionally, we recognized $6.1 million in interest expense on the non-recourse PhaRMA Notes issued in March 2011. Interest expense for the year ended December 31, 2020 consisted of $6.6 million associated with the non-recourse PhaRMA Notes and $4.9 million associated with the borrowings under our secured credit facility with MidCap, which terminated in December 2020 when we repaid the outstanding indebtedness under the facility. Additionally, 2020 interest expense included $2.1 million of non-cash interest expense due to the amortization of interest associated with the royalty financing obligation and $0.9 million of interest expense, net of deferred financing amortization, associated with the Term A Loan under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 gain of $55.8 million on extinguishment of debt was recognized for the year ended December 31, 2021 related to the write-off of the non-recourse PhaRMA Notes and related accrued interest payable. See “Note 8⸻Royalty Monetizations⸻RAPIACTA⸻ Non-Recourse Notes Payable – Debt Extinguishment ” in the Notes to Consolidated Financial Statements in Part II, Item 8 of this report for additional information. This gain compares to a loss on extinguishment of debt of $2.0 million for the year ended December 31, 2020, which is comprised of the write-off of unamortized deferred financing costs and original issue discount of $1.2 million and a prepayment fee of $0.8 million associated with the repayment of the outstanding indebtedness under our secured credit facility with MidCap in December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For the year ended December 31, 2021, other expense of $0.6 million was primarily related to foreign currency losses as compared to other income of $8.4 million for the year ended December 31, 2020. Other income in 2020 consisted of $8.9 million related to recognition of income from the partial arbitration award related to our Seqirus arbitration proceedings and $0.5 million of interest income, partially offset by foreign currency losses of $1.0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For the year ended December 31, 2021, we incurred a tax expense of $2.3 million, primarily related to U.S. state taxes. This liability was driven predominantly by the recognition as upfront taxable income of $300.0 million received from the RPI Royalty Purchase Agreement and the OMERS Royalty Purchase Agreement, increased sales of ORLADEYO and increased nexus in multiple states where historically we had none.</w:t>
      </w:r>
    </w:p>
    <w:p>
      <w:pPr>
        <w:pStyle w:val="TextBody"/>
        <w:spacing w:before="0" w:after="0"/>
        <w:ind w:left="0" w:right="0" w:firstLine="58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operations have principally been funded through public offerings and private placements of equity securities; cash from collaborative and other research and development agreements, including U.S. Government contracts for RAPIVAB and galidesivir; to a lesser extent, the PhaRMA Notes financing and our credit facilities; and more recently, the Royalty Sales. To date, we have been awarded a BARDA/HHS RAPIVAB development contract totaling $234.8 million, which expired on June 30, 2014, a NIAID/HHS galidesivir development contract totaling $47.3 million, which is in the process of being closed out, a second NIAID/HHS galidesivir development contract with a potential value totaling $43.9 million, which is ongoing, and a BARDA/HHS galidesivir development contract totaling $39.1 million, which is also ongoing. The total amount of funding obligated under awarded options under the active NIAID/HHS and BARDA/HHS galidesivir contracts is $53.6 million and $20.6 million, respectively.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On November 19, 2021, we entered into the 2021 RPI Royalty Purchase Agreement, the OMERS Royalty Purchase Agreement, and the Stock Purchase Agreement, pursuant to which we received $350.0 million in new funding for the Company, with all funds immediately available at closing. See “Note 8⸻Royalty Monetizations⸻ORLADEYO and Factor D Inhibitors” in the Notes to Consolidated Financial Statements in Part II, Item 8 of this report for additional information about these financing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Credit Agreement with Athyrium provides for three term loans. We received the proceeds from the $125.0 million Term A Loan in December 2020. We have committed to draw the two additional term loans available under the Credit Agreement, in the respective principal amounts of $25.0 million for the Term B Loan and $50.0 million for the Term C Loan. The maturity date of the Credit Agreement is December 7, 2025. See “Note 9⸻Debt⸻Credit Agreement” in the Notes to Consolidated Financial Statements in Part II, Item 8 of this report for additional information about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360"/>
        <w:rPr>
          <w:rFonts w:ascii="Times New Roman" w:hAnsi="Times New Roman"/>
          <w:caps w:val="false"/>
          <w:smallCaps w:val="false"/>
          <w:sz w:val="20"/>
        </w:rPr>
      </w:pPr>
      <w:r>
        <w:rPr>
          <w:rFonts w:ascii="Times New Roman" w:hAnsi="Times New Roman"/>
          <w:caps w:val="false"/>
          <w:smallCaps w:val="false"/>
          <w:sz w:val="20"/>
        </w:rPr>
        <w:t>As of December 31, 2021, we had net working capital of $462.4 million, an increase of approximately $244.3 million from $218.1 million at December 31, 2020. The increase in working capital was primarily the result of the $300.0 million of new funding associated with the royalty monetization transactions and the related $50.0 million from the sale of common stock in the fourth quarter of 2021.  Working capital was also impacted by the write-off of the non-recourse PhaRMA Notes including associated accrued interest payable, which were previously recorded in current liabilities. Our principal sources of liquidity at December 31, 2021 were approximately $504.4 million in cash and cash equivalents and approximately $10.0 million in investments considered available-for-sale.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plan to finance our needs principally from the following:</w:t>
      </w:r>
    </w:p>
    <w:p>
      <w:pPr>
        <w:pStyle w:val="TextBody"/>
        <w:spacing w:before="0" w:after="0"/>
        <w:ind w:left="0" w:right="0" w:hanging="0"/>
        <w:rPr>
          <w:caps w:val="false"/>
          <w:smallCaps w:val="false"/>
        </w:rPr>
      </w:pPr>
      <w:r>
        <w:rPr>
          <w:caps w:val="false"/>
          <w:smallCaps w:val="false"/>
        </w:rPr>
        <w:t> </w:t>
      </w:r>
    </w:p>
    <w:tbl>
      <w:tblPr>
        <w:tblW w:w="7510" w:type="dxa"/>
        <w:jc w:val="left"/>
        <w:tblInd w:w="0" w:type="dxa"/>
        <w:tblCellMar>
          <w:top w:w="0" w:type="dxa"/>
          <w:left w:w="0" w:type="dxa"/>
          <w:bottom w:w="0" w:type="dxa"/>
          <w:right w:w="0" w:type="dxa"/>
        </w:tblCellMar>
      </w:tblPr>
      <w:tblGrid>
        <w:gridCol w:w="60"/>
        <w:gridCol w:w="170"/>
        <w:gridCol w:w="72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2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 royalty, or loan financing and future public or private equity and/or debt financing;</w:t>
            </w:r>
          </w:p>
        </w:tc>
      </w:tr>
    </w:tbl>
    <w:tbl>
      <w:tblPr>
        <w:tblW w:w="5470" w:type="dxa"/>
        <w:jc w:val="left"/>
        <w:tblInd w:w="0" w:type="dxa"/>
        <w:tblCellMar>
          <w:top w:w="0" w:type="dxa"/>
          <w:left w:w="0" w:type="dxa"/>
          <w:bottom w:w="0" w:type="dxa"/>
          <w:right w:w="0" w:type="dxa"/>
        </w:tblCellMar>
      </w:tblPr>
      <w:tblGrid>
        <w:gridCol w:w="60"/>
        <w:gridCol w:w="170"/>
        <w:gridCol w:w="52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2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existing capital resources and interest earned on that capital;</w:t>
            </w:r>
          </w:p>
        </w:tc>
      </w:tr>
    </w:tbl>
    <w:tbl>
      <w:tblPr>
        <w:tblW w:w="2560" w:type="dxa"/>
        <w:jc w:val="left"/>
        <w:tblInd w:w="0" w:type="dxa"/>
        <w:tblCellMar>
          <w:top w:w="0" w:type="dxa"/>
          <w:left w:w="0" w:type="dxa"/>
          <w:bottom w:w="0" w:type="dxa"/>
          <w:right w:w="0" w:type="dxa"/>
        </w:tblCellMar>
      </w:tblPr>
      <w:tblGrid>
        <w:gridCol w:w="60"/>
        <w:gridCol w:w="170"/>
        <w:gridCol w:w="23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 from product sales;</w:t>
            </w:r>
          </w:p>
        </w:tc>
      </w:tr>
    </w:tbl>
    <w:tbl>
      <w:tblPr>
        <w:tblW w:w="7225" w:type="dxa"/>
        <w:jc w:val="left"/>
        <w:tblInd w:w="0" w:type="dxa"/>
        <w:tblCellMar>
          <w:top w:w="0" w:type="dxa"/>
          <w:left w:w="0" w:type="dxa"/>
          <w:bottom w:w="0" w:type="dxa"/>
          <w:right w:w="0" w:type="dxa"/>
        </w:tblCellMar>
      </w:tblPr>
      <w:tblGrid>
        <w:gridCol w:w="60"/>
        <w:gridCol w:w="170"/>
        <w:gridCol w:w="69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payments under existing, and executing new, contracts with the U.S. Government; and</w:t>
            </w:r>
          </w:p>
        </w:tc>
      </w:tr>
    </w:tbl>
    <w:tbl>
      <w:tblPr>
        <w:tblW w:w="8065" w:type="dxa"/>
        <w:jc w:val="left"/>
        <w:tblInd w:w="0" w:type="dxa"/>
        <w:tblCellMar>
          <w:top w:w="0" w:type="dxa"/>
          <w:left w:w="0" w:type="dxa"/>
          <w:bottom w:w="0" w:type="dxa"/>
          <w:right w:w="0" w:type="dxa"/>
        </w:tblCellMar>
      </w:tblPr>
      <w:tblGrid>
        <w:gridCol w:w="60"/>
        <w:gridCol w:w="170"/>
        <w:gridCol w:w="78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8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payments under current or future collaborative and licensing agreements with corporate partners.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galidesivir, the amount of funding or assistance, if any, we receive from new U.S. Government contracts or other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expenses, revenues, and cash utilization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Based on our expectations for revenue, operating expenses and the additional $75 million available to us under the Credit Agreement, we believe our financial resources will be sufficient to fund our operations for at least the next 12 months. However, we have sustained operating losses for the majority of our corporate history and expect that our 2022 expenses will exceed our 2022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securing or increasing U.S. Government funding of our programs, including obtaining procurement contracts; (2) out-licensing rights to certain of our products or product candidates, pursuant to which we would receive cash milestone payments; (3) raising additional capital through equity or debt financings or from other sources, including royalty or other monetization transactions; (4) obtaining additional product candidate regulatory approvals, which would generate revenue, milestone payments and cash flow; (5) reducing spending on one or more research and development programs, including by discontinuing development; and/or (6) restructuring operations to change our overhead structure.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commercial expenses; and key development and regulatory events and our decisions in the future.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long-term capital requirements and the adequacy of our available funds will depend upon many factors, including:</w:t>
      </w:r>
    </w:p>
    <w:p>
      <w:pPr>
        <w:pStyle w:val="TextBody"/>
        <w:spacing w:before="0" w:after="0"/>
        <w:ind w:left="0" w:right="0" w:hanging="0"/>
        <w:rPr>
          <w:caps w:val="false"/>
          <w:smallCaps w:val="false"/>
        </w:rPr>
      </w:pPr>
      <w:r>
        <w:rPr>
          <w:caps w:val="false"/>
          <w:smallCaps w:val="false"/>
        </w:rPr>
        <w:t> </w:t>
      </w:r>
    </w:p>
    <w:tbl>
      <w:tblPr>
        <w:tblW w:w="9940" w:type="dxa"/>
        <w:jc w:val="left"/>
        <w:tblInd w:w="0" w:type="dxa"/>
        <w:tblCellMar>
          <w:top w:w="0" w:type="dxa"/>
          <w:left w:w="0" w:type="dxa"/>
          <w:bottom w:w="0" w:type="dxa"/>
          <w:right w:w="0" w:type="dxa"/>
        </w:tblCellMar>
      </w:tblPr>
      <w:tblGrid>
        <w:gridCol w:w="60"/>
        <w:gridCol w:w="170"/>
        <w:gridCol w:w="97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7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market acceptance of approved products and successful commercialization of such products by either us or our partners;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perform under our government contracts and to receive reimbursement and stockpiling procurement contracts;</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4765" w:type="dxa"/>
        <w:jc w:val="left"/>
        <w:tblInd w:w="0" w:type="dxa"/>
        <w:tblCellMar>
          <w:top w:w="0" w:type="dxa"/>
          <w:left w:w="0" w:type="dxa"/>
          <w:bottom w:w="0" w:type="dxa"/>
          <w:right w:w="0" w:type="dxa"/>
        </w:tblCellMar>
      </w:tblPr>
      <w:tblGrid>
        <w:gridCol w:w="60"/>
        <w:gridCol w:w="170"/>
        <w:gridCol w:w="453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magnitude of work under our government contracts;</w:t>
            </w:r>
          </w:p>
        </w:tc>
      </w:tr>
    </w:tbl>
    <w:tbl>
      <w:tblPr>
        <w:tblW w:w="7330" w:type="dxa"/>
        <w:jc w:val="left"/>
        <w:tblInd w:w="0" w:type="dxa"/>
        <w:tblCellMar>
          <w:top w:w="0" w:type="dxa"/>
          <w:left w:w="0" w:type="dxa"/>
          <w:bottom w:w="0" w:type="dxa"/>
          <w:right w:w="0" w:type="dxa"/>
        </w:tblCellMar>
      </w:tblPr>
      <w:tblGrid>
        <w:gridCol w:w="60"/>
        <w:gridCol w:w="170"/>
        <w:gridCol w:w="71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1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progress and magnitude of our research, drug discovery and development programs;</w:t>
            </w:r>
          </w:p>
        </w:tc>
      </w:tr>
    </w:tbl>
    <w:tbl>
      <w:tblPr>
        <w:tblW w:w="6115" w:type="dxa"/>
        <w:jc w:val="left"/>
        <w:tblInd w:w="0" w:type="dxa"/>
        <w:tblCellMar>
          <w:top w:w="0" w:type="dxa"/>
          <w:left w:w="0" w:type="dxa"/>
          <w:bottom w:w="0" w:type="dxa"/>
          <w:right w:w="0" w:type="dxa"/>
        </w:tblCellMar>
      </w:tblPr>
      <w:tblGrid>
        <w:gridCol w:w="60"/>
        <w:gridCol w:w="170"/>
        <w:gridCol w:w="58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8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changes in existing collaborative relationships or government contracts;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establish additional collaborative relationships with academic institutions, biotechnology or pharmaceutical companies and governmental agencies or other third parties;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extent to which our partners, including governmental agencies, will share in the costs associated with the development of our programs or run the development programs themselves;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negotiate favorable development and marketing strategic alliances for certain products and product candidates;</w:t>
            </w:r>
          </w:p>
        </w:tc>
      </w:tr>
    </w:tbl>
    <w:tbl>
      <w:tblPr>
        <w:tblW w:w="7000" w:type="dxa"/>
        <w:jc w:val="left"/>
        <w:tblInd w:w="0" w:type="dxa"/>
        <w:tblCellMar>
          <w:top w:w="0" w:type="dxa"/>
          <w:left w:w="0" w:type="dxa"/>
          <w:bottom w:w="0" w:type="dxa"/>
          <w:right w:w="0" w:type="dxa"/>
        </w:tblCellMar>
      </w:tblPr>
      <w:tblGrid>
        <w:gridCol w:w="60"/>
        <w:gridCol w:w="170"/>
        <w:gridCol w:w="67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7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any decision to build or expand internal development and commercial capabilities;</w:t>
            </w:r>
          </w:p>
        </w:tc>
      </w:tr>
    </w:tbl>
    <w:tbl>
      <w:tblPr>
        <w:tblW w:w="8725" w:type="dxa"/>
        <w:jc w:val="left"/>
        <w:tblInd w:w="0" w:type="dxa"/>
        <w:tblCellMar>
          <w:top w:w="0" w:type="dxa"/>
          <w:left w:w="0" w:type="dxa"/>
          <w:bottom w:w="0" w:type="dxa"/>
          <w:right w:w="0" w:type="dxa"/>
        </w:tblCellMar>
      </w:tblPr>
      <w:tblGrid>
        <w:gridCol w:w="60"/>
        <w:gridCol w:w="170"/>
        <w:gridCol w:w="849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4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scope and results of preclinical studies and clinical trials to identify and develop product candidates;</w:t>
            </w:r>
          </w:p>
        </w:tc>
      </w:tr>
    </w:tbl>
    <w:tbl>
      <w:tblPr>
        <w:tblW w:w="5620" w:type="dxa"/>
        <w:jc w:val="left"/>
        <w:tblInd w:w="0" w:type="dxa"/>
        <w:tblCellMar>
          <w:top w:w="0" w:type="dxa"/>
          <w:left w:w="0" w:type="dxa"/>
          <w:bottom w:w="0" w:type="dxa"/>
          <w:right w:w="0" w:type="dxa"/>
        </w:tblCellMar>
      </w:tblPr>
      <w:tblGrid>
        <w:gridCol w:w="60"/>
        <w:gridCol w:w="170"/>
        <w:gridCol w:w="53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3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ability to engage sites and enroll subjects in our clinical trials;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scope of manufacturing of our products to support our commercial operations and of our product candidates to support our preclinical research and clinical trials;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increases in personnel and related costs to support the development and commercialization of our products and product candidates;</w:t>
            </w:r>
          </w:p>
        </w:tc>
      </w:tr>
    </w:tbl>
    <w:tbl>
      <w:tblPr>
        <w:tblW w:w="8770" w:type="dxa"/>
        <w:jc w:val="left"/>
        <w:tblInd w:w="0" w:type="dxa"/>
        <w:tblCellMar>
          <w:top w:w="0" w:type="dxa"/>
          <w:left w:w="0" w:type="dxa"/>
          <w:bottom w:w="0" w:type="dxa"/>
          <w:right w:w="0" w:type="dxa"/>
        </w:tblCellMar>
      </w:tblPr>
      <w:tblGrid>
        <w:gridCol w:w="60"/>
        <w:gridCol w:w="170"/>
        <w:gridCol w:w="85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5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scope of manufacturing of our drug substance and product candidates required for future NDA filings;</w:t>
            </w:r>
          </w:p>
        </w:tc>
      </w:tr>
    </w:tbl>
    <w:tbl>
      <w:tblPr>
        <w:tblW w:w="3595" w:type="dxa"/>
        <w:jc w:val="left"/>
        <w:tblInd w:w="0" w:type="dxa"/>
        <w:tblCellMar>
          <w:top w:w="0" w:type="dxa"/>
          <w:left w:w="0" w:type="dxa"/>
          <w:bottom w:w="0" w:type="dxa"/>
          <w:right w:w="0" w:type="dxa"/>
        </w:tblCellMar>
      </w:tblPr>
      <w:tblGrid>
        <w:gridCol w:w="60"/>
        <w:gridCol w:w="170"/>
        <w:gridCol w:w="33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3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competitive and technological advances;</w:t>
            </w:r>
          </w:p>
        </w:tc>
      </w:tr>
    </w:tbl>
    <w:tbl>
      <w:tblPr>
        <w:tblW w:w="5320" w:type="dxa"/>
        <w:jc w:val="left"/>
        <w:tblInd w:w="0" w:type="dxa"/>
        <w:tblCellMar>
          <w:top w:w="0" w:type="dxa"/>
          <w:left w:w="0" w:type="dxa"/>
          <w:bottom w:w="0" w:type="dxa"/>
          <w:right w:w="0" w:type="dxa"/>
        </w:tblCellMar>
      </w:tblPr>
      <w:tblGrid>
        <w:gridCol w:w="60"/>
        <w:gridCol w:w="170"/>
        <w:gridCol w:w="50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0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time and costs involved in obtaining regulatory approvals;</w:t>
            </w:r>
          </w:p>
        </w:tc>
      </w:tr>
    </w:tbl>
    <w:tbl>
      <w:tblPr>
        <w:tblW w:w="9460" w:type="dxa"/>
        <w:jc w:val="left"/>
        <w:tblInd w:w="0" w:type="dxa"/>
        <w:tblCellMar>
          <w:top w:w="0" w:type="dxa"/>
          <w:left w:w="0" w:type="dxa"/>
          <w:bottom w:w="0" w:type="dxa"/>
          <w:right w:w="0" w:type="dxa"/>
        </w:tblCellMar>
      </w:tblPr>
      <w:tblGrid>
        <w:gridCol w:w="60"/>
        <w:gridCol w:w="170"/>
        <w:gridCol w:w="92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2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post-approval commitments for ORLADEYO, RAPIVAB, and other products that receive regulatory approval;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costs involved in all aspects of intellectual property strategy and protection, including the costs involved in preparing, filing, prosecuting, maintaining, defending, and enforcing patent claims.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expect that we will be required to raise additional capital to complete the development and commercialization of our current products and product candidates, and we may seek to raise capital in the future, including to take advantage of favorable opportunities in the capital markets.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and the commercialization of ORLADEYO, as well as the rate of reimbursement by U.S. Government agencies of our galidesivir expenses and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including accessing additional tranches of debt under the Credit Agreement;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December 31, 2021, we were in compliance with the covenants under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Financial Outlook for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Based on the strength of the ORLADEYO launch, and continued growth from new patient demand anticipated throughout the year, we expect full year 2022 net ORLADEYO revenue to be no less than $250 million. We expect operating expenses for full year 2022, not including non-cash stock compensation, to be in the range of $440 million to $480 million, with the year-over-year increase predominantly driven by additional investment in advancing our Factor D program across multiple indications.  Based on our expectations for revenue, operating expenses, and the additional $75 million available under our existing credit facility, we believe our current cash funds our planned operations for at least the next 12 months.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While our significant accounting policies are more fully described in “Note 1−Significant Accounting Policies and Concentrations of Risk” to the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Product Sales,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principal sources of product sales are sales of ORLADEYO, which we began shipping to patients in December 2020, sales of peramivir to our licensing partners and sales of RAPIVAB to the U.S. Department of Health and Human Services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Government and Managed Care Rebates</w:t>
      </w:r>
      <w:r>
        <w:rPr>
          <w:rFonts w:ascii="Times New Roman" w:hAnsi="Times New Roman"/>
          <w:caps w:val="false"/>
          <w:smallCaps w:val="false"/>
          <w:sz w:val="20"/>
        </w:rPr>
        <w:t>. We contract with government agencies and managed care organizations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Chargebacks</w:t>
      </w:r>
      <w:r>
        <w:rPr>
          <w:rFonts w:ascii="Times New Roman" w:hAnsi="Times New Roman"/>
          <w:caps w:val="false"/>
          <w:smallCaps w:val="false"/>
          <w:sz w:val="20"/>
        </w:rPr>
        <w:t>. Chargebacks are discounts that occur when certain contracted customers, pharmacy benefit managers, insurance companies and government programs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Co-payment assistance and patient assistance programs</w:t>
      </w:r>
      <w:r>
        <w:rPr>
          <w:rFonts w:ascii="Times New Roman" w:hAnsi="Times New Roman"/>
          <w:caps w:val="false"/>
          <w:smallCaps w:val="false"/>
          <w:sz w:val="20"/>
        </w:rPr>
        <w:t>. Patients who have commercial insurance and meet certain eligibility requirements may 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Product returns</w:t>
      </w:r>
      <w:r>
        <w:rPr>
          <w:rFonts w:ascii="Times New Roman" w:hAnsi="Times New Roman"/>
          <w:caps w:val="false"/>
          <w:smallCaps w:val="false"/>
          <w:sz w:val="20"/>
        </w:rPr>
        <w:t>. We do not provide contractual return rights to our customer,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Collaborative and Other Research and Development Arrangements and Royalties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have collaboration and license agreements with a number of third parties as well as research and development agreements with certain government entities.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primary sources of revenue from these collaborative and other research and development arrangements are license, service and royalty revenues.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inventories primarily relate to ORLADEYO. Additionally, our inventory includes RAPIVAB and peramivir, which are manufactured for the Company’s partners.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Accrued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br/>
        <w:br/>
      </w:r>
      <w:r>
        <w:rPr>
          <w:rFonts w:ascii="Times New Roman" w:hAnsi="Times New Roman"/>
          <w:b/>
          <w:i/>
          <w:caps w:val="false"/>
          <w:smallCaps w:val="false"/>
          <w:sz w:val="20"/>
        </w:rPr>
        <w:t>Contract Balances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Contract assets</w:t>
      </w:r>
      <w:r>
        <w:rPr>
          <w:rFonts w:ascii="Times New Roman" w:hAnsi="Times New Roman"/>
          <w:caps w:val="false"/>
          <w:smallCaps w:val="false"/>
          <w:sz w:val="20"/>
        </w:rPr>
        <w:t>. Our long-term contracts are billed as work progresses in accordance with the contract terms and conditions, either at periodic intervals or upon achievement of certain milestones. Often this results in billing occurring subsequent to revenue recognition, resulting in contract assets. Contract assets are generally classified as current assets in the Consolidated Balance Sheets.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i/>
          <w:caps w:val="false"/>
          <w:smallCaps w:val="false"/>
          <w:sz w:val="20"/>
        </w:rPr>
        <w:t>Contract liabilities</w:t>
      </w:r>
      <w:r>
        <w:rPr>
          <w:rFonts w:ascii="Times New Roman" w:hAnsi="Times New Roman"/>
          <w:caps w:val="false"/>
          <w:smallCaps w:val="false"/>
          <w:sz w:val="20"/>
        </w:rPr>
        <w:t>. We often receive cash payments from customers in advance of our performance, resulting in contract liabilities. These contract liabilities are classified as either current or long-term in the Consolidated Balance Sheets based on the timing of when we expect to recognize the revenue.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i/>
          <w:caps w:val="false"/>
          <w:smallCaps w:val="false"/>
          <w:sz w:val="20"/>
        </w:rPr>
      </w:pPr>
      <w:r>
        <w:rPr>
          <w:rFonts w:ascii="Times New Roman" w:hAnsi="Times New Roman"/>
          <w:i/>
          <w:caps w:val="false"/>
          <w:smallCaps w:val="false"/>
          <w:sz w:val="20"/>
        </w:rPr>
        <w:t>Contract Costs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Interest Expense and Royalty Financing Obligations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royalty financing obligations are eligible to be repaid based on royalties from net sales of ORLADEYO, BCX9930, and another earlier stage Factor D inhibitor.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Foreign Currency Hedge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connection with our issuance of the PhaRMA Notes, we entered into a foreign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and therefore mark-to-market adjustments were recognized in our Consolidated Statements of Comprehensive Loss.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Tax</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caps w:val="false"/>
          <w:smallCaps w:val="false"/>
        </w:rPr>
      </w:pPr>
      <w:r>
        <w:rPr>
          <w:caps w:val="false"/>
          <w:smallCaps w:val="false"/>
        </w:rPr>
        <w:t>“</w:t>
      </w:r>
      <w:r>
        <w:rPr>
          <w:rFonts w:ascii="Times New Roman" w:hAnsi="Times New Roman"/>
          <w:caps w:val="false"/>
          <w:smallCaps w:val="false"/>
          <w:sz w:val="20"/>
        </w:rPr>
        <w:t>Note 1⸻Significant Accounting Policies and Concentrations of Risk” to the Consolidated Financial Statements included in Part II, Item 8 of this report discusses accounting pronouncements recently issued or proposed but not yet required to be adopted.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13" w:name="i7a"/>
      <w:bookmarkEnd w:id="13"/>
      <w:r>
        <w:rPr>
          <w:rFonts w:ascii="Times New Roman" w:hAnsi="Times New Roman"/>
          <w:b/>
          <w:caps w:val="false"/>
          <w:smallCaps w:val="false"/>
          <w:sz w:val="20"/>
        </w:rPr>
        <w:t>ITEM 7A.</w:t>
      </w:r>
      <w:r>
        <w:rPr>
          <w:rFonts w:ascii="Times New Roman" w:hAnsi="Times New Roman"/>
          <w:caps w:val="false"/>
          <w:smallCaps w:val="false"/>
          <w:sz w:val="20"/>
        </w:rPr>
        <w:t>         </w:t>
      </w:r>
      <w:r>
        <w:rPr>
          <w:rFonts w:ascii="Times New Roman" w:hAnsi="Times New Roman"/>
          <w:b/>
          <w:i/>
          <w:caps w:val="false"/>
          <w:smallCaps w:val="false"/>
          <w:sz w:val="20"/>
        </w:rPr>
        <w:t>QUANTITATIVE AND QUALITATIVE DISCLOSURES ABOUT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are subject to interest rate risk on our investment portfolio and borrowings under our Credit Agreement. The Term A Loan under the Credit Agreement bears interest each quarter at a rate equal to the three-month LIBOR rate, which is capped to be no less than 1.75% and no more than 3.50% (“LIBOR”), plus 8.25% or, for each quarterly interest period in which a PIK Interest Payment is made, the LIBOR plus 10.25%. Accordingly, increases in interest rates could increase the associated interest payments that we are required to make on the term loans. As of December 31, 2021, interest was accrued at 12.2% on the $125.0 million Term A Loan under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Foreign Currency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Most of our revenues and expenses are denominated in U.S. dollars, and as a result, we have not experienced significant foreign currency transaction gains and losses to date. Our commercial sales in Europe are primarily denominated in Euros and the British Pound. We also had other transactions denominated in foreign currencies during the year ended December 31, 2021,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 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2021; however, we may do so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b/>
        </w:rPr>
      </w:pPr>
      <w:bookmarkStart w:id="14" w:name="i8"/>
      <w:bookmarkEnd w:id="14"/>
      <w:r>
        <w:rPr>
          <w:b/>
        </w:rPr>
        <w:t xml:space="preserve">ITEM 8.        </w:t>
      </w:r>
      <w:r>
        <w:rPr>
          <w:b/>
          <w:i/>
        </w:rPr>
        <w:t>FINANCIAL STATEMENTS AND SUPPLEMENTARY DATA</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865"/>
        <w:gridCol w:w="60"/>
        <w:gridCol w:w="125"/>
        <w:gridCol w:w="905"/>
        <w:gridCol w:w="80"/>
        <w:gridCol w:w="60"/>
        <w:gridCol w:w="125"/>
        <w:gridCol w:w="905"/>
        <w:gridCol w:w="80"/>
      </w:tblGrid>
      <w:tr>
        <w:trPr/>
        <w:tc>
          <w:tcPr>
            <w:tcW w:w="10125" w:type="dxa"/>
            <w:gridSpan w:val="8"/>
            <w:tcBorders/>
            <w:shd w:fill="auto" w:val="clear"/>
            <w:vAlign w:val="center"/>
          </w:tcPr>
          <w:p>
            <w:pPr>
              <w:pStyle w:val="TableContents"/>
              <w:spacing w:before="0" w:after="0"/>
              <w:jc w:val="center"/>
              <w:rPr>
                <w:rFonts w:ascii="Times New Roman" w:hAnsi="Times New Roman"/>
                <w:b/>
                <w:caps w:val="false"/>
                <w:smallCaps w:val="false"/>
                <w:sz w:val="20"/>
              </w:rPr>
            </w:pPr>
            <w:bookmarkStart w:id="15" w:name="bs"/>
            <w:bookmarkEnd w:id="15"/>
            <w:r>
              <w:rPr>
                <w:rFonts w:ascii="Times New Roman" w:hAnsi="Times New Roman"/>
                <w:b/>
                <w:caps w:val="false"/>
                <w:smallCaps w:val="false"/>
                <w:sz w:val="20"/>
              </w:rPr>
              <w:t>BIOCRYST PHARMACEUTICALS, INC.</w:t>
            </w:r>
          </w:p>
        </w:tc>
        <w:tc>
          <w:tcPr>
            <w:tcW w:w="80" w:type="dxa"/>
            <w:tcBorders/>
            <w:shd w:fill="auto" w:val="clear"/>
            <w:vAlign w:val="center"/>
          </w:tcPr>
          <w:p>
            <w:pPr>
              <w:pStyle w:val="TableContents"/>
              <w:spacing w:before="0" w:after="283"/>
              <w:rPr/>
            </w:pPr>
            <w:r>
              <w:rPr/>
              <w:t> </w:t>
            </w:r>
          </w:p>
        </w:tc>
      </w:tr>
      <w:tr>
        <w:trPr/>
        <w:tc>
          <w:tcPr>
            <w:tcW w:w="10125" w:type="dxa"/>
            <w:gridSpan w:val="8"/>
            <w:tcBorders/>
            <w:shd w:fill="auto" w:val="clear"/>
            <w:vAlign w:val="center"/>
          </w:tcPr>
          <w:p>
            <w:pPr>
              <w:pStyle w:val="TableContents"/>
              <w:spacing w:before="0" w:after="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tc>
        <w:tc>
          <w:tcPr>
            <w:tcW w:w="80" w:type="dxa"/>
            <w:tcBorders/>
            <w:shd w:fill="auto" w:val="clear"/>
            <w:vAlign w:val="center"/>
          </w:tcPr>
          <w:p>
            <w:pPr>
              <w:pStyle w:val="TableContents"/>
              <w:spacing w:before="0" w:after="283"/>
              <w:rPr/>
            </w:pPr>
            <w:r>
              <w:rPr/>
              <w:t> </w:t>
            </w:r>
          </w:p>
        </w:tc>
      </w:tr>
      <w:tr>
        <w:trPr/>
        <w:tc>
          <w:tcPr>
            <w:tcW w:w="10125" w:type="dxa"/>
            <w:gridSpan w:val="8"/>
            <w:tcBorders/>
            <w:shd w:fill="auto" w:val="clear"/>
            <w:vAlign w:val="center"/>
          </w:tcPr>
          <w:p>
            <w:pPr>
              <w:pStyle w:val="TableContents"/>
              <w:spacing w:before="0" w:after="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tc>
        <w:tc>
          <w:tcPr>
            <w:tcW w:w="80" w:type="dxa"/>
            <w:tcBorders/>
            <w:shd w:fill="auto" w:val="clear"/>
            <w:vAlign w:val="center"/>
          </w:tcPr>
          <w:p>
            <w:pPr>
              <w:pStyle w:val="TableContents"/>
              <w:spacing w:before="0" w:after="283"/>
              <w:rPr/>
            </w:pPr>
            <w:r>
              <w:rPr/>
              <w:t> </w:t>
            </w:r>
          </w:p>
        </w:tc>
      </w:tr>
      <w:tr>
        <w:trPr/>
        <w:tc>
          <w:tcPr>
            <w:tcW w:w="7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20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7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0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0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504,389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272,127</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2,221</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Investments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3,212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28,239</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Trade receivables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29,413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8,646</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15,791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7,039</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9,986</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5,528</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566,136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323,800</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8,714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7,113</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Long-term investments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6,472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3,802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588,151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334,715</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jc w:val="center"/>
              <w:rPr>
                <w:rFonts w:ascii="Times New Roman" w:hAnsi="Times New Roman"/>
                <w:caps w:val="false"/>
                <w:smallCaps w:val="false"/>
                <w:sz w:val="20"/>
              </w:rPr>
            </w:pPr>
            <w:r>
              <w:rPr>
                <w:rFonts w:ascii="Times New Roman" w:hAnsi="Times New Roman"/>
                <w:b/>
                <w:caps w:val="false"/>
                <w:smallCaps w:val="false"/>
                <w:sz w:val="20"/>
              </w:rPr>
              <w:t>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DEFICIT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0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0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27,808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18,713</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72,670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33,942</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21,670</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Lease financing obligation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1,179</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Non-recourse notes payable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30,000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103,718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105,654</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Royalty financing obligations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449,375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124,717</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Lease financing obligation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3,871</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Secured term loan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136,082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119,735</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Stockholders’ deficit: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0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0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Preferred stock, $0.01 par value; shares authorized — 5,000; no shares outstanding</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Common stock, $0.01 par value; shares authorized — 450,000 Issued and outstanding – 184,350 and 176,883 at December 31, 2021 and 2020, respectively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1,769</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1,098,498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1,002,408</w:t>
            </w:r>
          </w:p>
        </w:tc>
        <w:tc>
          <w:tcPr>
            <w:tcW w:w="80" w:type="dxa"/>
            <w:tcBorders/>
            <w:shd w:fill="CCEEFF" w:val="clear"/>
            <w:vAlign w:val="center"/>
          </w:tcPr>
          <w:p>
            <w:pPr>
              <w:pStyle w:val="TableContents"/>
              <w:spacing w:before="0" w:after="283"/>
              <w:rPr/>
            </w:pPr>
            <w:r>
              <w:rPr/>
              <w:t> </w:t>
            </w:r>
          </w:p>
        </w:tc>
      </w:tr>
      <w:tr>
        <w:trPr/>
        <w:tc>
          <w:tcPr>
            <w:tcW w:w="786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Accumulated other comprehensive income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spacing w:before="0" w:after="283"/>
              <w:rPr/>
            </w:pPr>
            <w:r>
              <w:rPr/>
              <w:t> </w:t>
            </w:r>
          </w:p>
        </w:tc>
      </w:tr>
      <w:tr>
        <w:trPr/>
        <w:tc>
          <w:tcPr>
            <w:tcW w:w="786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(1,207,504</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(1,023,442</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86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Total stockholders’ deficit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(106,986</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(19,262</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865"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Total liabilities and stockholders’ deficit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588,151</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334,715</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6" w:name="cl"/>
      <w:bookmarkEnd w:id="16"/>
      <w:r>
        <w:rPr>
          <w:rFonts w:ascii="Times New Roman" w:hAnsi="Times New Roman"/>
          <w:b/>
          <w:caps w:val="false"/>
          <w:smallCaps w:val="false"/>
          <w:sz w:val="20"/>
        </w:rPr>
        <w:t>BIOCRYST PHARMACEUTICALS,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LOSS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spacing w:before="0" w:after="0"/>
        <w:ind w:left="0" w:right="0" w:hanging="0"/>
        <w:rPr>
          <w:caps w:val="false"/>
          <w:smallCaps w:val="false"/>
        </w:rPr>
      </w:pPr>
      <w:r>
        <w:rPr>
          <w:caps w:val="false"/>
          <w:smallCaps w:val="false"/>
        </w:rPr>
        <w:t> </w:t>
      </w:r>
    </w:p>
    <w:tbl>
      <w:tblPr>
        <w:tblW w:w="7550" w:type="dxa"/>
        <w:jc w:val="left"/>
        <w:tblInd w:w="0" w:type="dxa"/>
        <w:tblCellMar>
          <w:top w:w="0" w:type="dxa"/>
          <w:left w:w="0" w:type="dxa"/>
          <w:bottom w:w="0" w:type="dxa"/>
          <w:right w:w="0" w:type="dxa"/>
        </w:tblCellMar>
      </w:tblPr>
      <w:tblGrid>
        <w:gridCol w:w="4490"/>
        <w:gridCol w:w="60"/>
        <w:gridCol w:w="125"/>
        <w:gridCol w:w="755"/>
        <w:gridCol w:w="80"/>
        <w:gridCol w:w="60"/>
        <w:gridCol w:w="125"/>
        <w:gridCol w:w="755"/>
        <w:gridCol w:w="80"/>
        <w:gridCol w:w="60"/>
        <w:gridCol w:w="125"/>
        <w:gridCol w:w="755"/>
        <w:gridCol w:w="80"/>
      </w:tblGrid>
      <w:tr>
        <w:trPr/>
        <w:tc>
          <w:tcPr>
            <w:tcW w:w="44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92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 Ended December 31,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44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8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449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200" w:right="0" w:hanging="0"/>
              <w:rPr/>
            </w:pPr>
            <w:r>
              <w:rPr/>
              <w:t> </w:t>
            </w:r>
          </w:p>
        </w:tc>
      </w:tr>
      <w:tr>
        <w:trPr/>
        <w:tc>
          <w:tcPr>
            <w:tcW w:w="449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Product sales, net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136,350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3,301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17,533</w:t>
            </w:r>
          </w:p>
        </w:tc>
        <w:tc>
          <w:tcPr>
            <w:tcW w:w="80" w:type="dxa"/>
            <w:tcBorders/>
            <w:shd w:fill="FFFFFF" w:val="clear"/>
            <w:vAlign w:val="center"/>
          </w:tcPr>
          <w:p>
            <w:pPr>
              <w:pStyle w:val="TableContents"/>
              <w:spacing w:before="0" w:after="283"/>
              <w:ind w:left="200" w:right="0" w:hanging="0"/>
              <w:rPr/>
            </w:pPr>
            <w:r>
              <w:rPr/>
              <w:t> </w:t>
            </w:r>
          </w:p>
        </w:tc>
      </w:tr>
      <w:tr>
        <w:trPr/>
        <w:tc>
          <w:tcPr>
            <w:tcW w:w="449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Royalty 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6,303</w:t>
            </w:r>
          </w:p>
        </w:tc>
        <w:tc>
          <w:tcPr>
            <w:tcW w:w="80" w:type="dxa"/>
            <w:tcBorders/>
            <w:shd w:fill="CCEEFF" w:val="clear"/>
            <w:vAlign w:val="center"/>
          </w:tcPr>
          <w:p>
            <w:pPr>
              <w:pStyle w:val="TableContents"/>
              <w:spacing w:before="0" w:after="283"/>
              <w:ind w:left="200" w:right="0" w:hanging="0"/>
              <w:rPr/>
            </w:pPr>
            <w:r>
              <w:rPr/>
              <w:t> </w:t>
            </w:r>
          </w:p>
        </w:tc>
      </w:tr>
      <w:tr>
        <w:trPr/>
        <w:tc>
          <w:tcPr>
            <w:tcW w:w="449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Milestone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ind w:left="200" w:right="0" w:hanging="0"/>
              <w:rPr/>
            </w:pPr>
            <w:r>
              <w:rPr/>
              <w:t> </w:t>
            </w:r>
          </w:p>
        </w:tc>
      </w:tr>
      <w:tr>
        <w:trPr/>
        <w:tc>
          <w:tcPr>
            <w:tcW w:w="449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Collaborative and other research and development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11,130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24,999</w:t>
            </w:r>
          </w:p>
        </w:tc>
        <w:tc>
          <w:tcPr>
            <w:tcW w:w="80" w:type="dxa"/>
            <w:tcBorders>
              <w:bottom w:val="single" w:sz="2" w:space="0" w:color="000000"/>
            </w:tcBorders>
            <w:shd w:fill="CCEEFF" w:val="clear"/>
            <w:tcMar>
              <w:bottom w:w="28" w:type="dxa"/>
            </w:tcMar>
            <w:vAlign w:val="center"/>
          </w:tcPr>
          <w:p>
            <w:pPr>
              <w:pStyle w:val="TableContents"/>
              <w:spacing w:before="0" w:after="283"/>
              <w:ind w:left="400" w:right="0" w:hanging="0"/>
              <w:rPr/>
            </w:pPr>
            <w:r>
              <w:rPr/>
              <w:t> </w:t>
            </w:r>
          </w:p>
        </w:tc>
      </w:tr>
      <w:tr>
        <w:trPr/>
        <w:tc>
          <w:tcPr>
            <w:tcW w:w="4490" w:type="dxa"/>
            <w:tcBorders/>
            <w:shd w:fill="FFFFFF" w:val="clear"/>
            <w:vAlign w:val="center"/>
          </w:tcPr>
          <w:p>
            <w:pPr>
              <w:pStyle w:val="TableContents"/>
              <w:spacing w:before="0" w:after="0"/>
              <w:ind w:left="80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157,170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17,812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48,835</w:t>
            </w:r>
          </w:p>
        </w:tc>
        <w:tc>
          <w:tcPr>
            <w:tcW w:w="80" w:type="dxa"/>
            <w:tcBorders/>
            <w:shd w:fill="FFFFFF" w:val="clear"/>
            <w:vAlign w:val="center"/>
          </w:tcPr>
          <w:p>
            <w:pPr>
              <w:pStyle w:val="TableContents"/>
              <w:spacing w:before="0" w:after="283"/>
              <w:ind w:left="0" w:right="0" w:hanging="0"/>
              <w:rPr/>
            </w:pPr>
            <w:r>
              <w:rPr/>
              <w:t> </w:t>
            </w:r>
          </w:p>
        </w:tc>
      </w:tr>
      <w:tr>
        <w:trPr/>
        <w:tc>
          <w:tcPr>
            <w:tcW w:w="449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200" w:right="0" w:hanging="0"/>
              <w:rPr/>
            </w:pPr>
            <w:r>
              <w:rPr/>
              <w:t> </w:t>
            </w:r>
          </w:p>
        </w:tc>
      </w:tr>
      <w:tr>
        <w:trPr/>
        <w:tc>
          <w:tcPr>
            <w:tcW w:w="449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Cost of products sold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3,726</w:t>
            </w:r>
          </w:p>
        </w:tc>
        <w:tc>
          <w:tcPr>
            <w:tcW w:w="80" w:type="dxa"/>
            <w:tcBorders/>
            <w:shd w:fill="FFFFFF" w:val="clear"/>
            <w:vAlign w:val="center"/>
          </w:tcPr>
          <w:p>
            <w:pPr>
              <w:pStyle w:val="TableContents"/>
              <w:spacing w:before="0" w:after="283"/>
              <w:ind w:left="200" w:right="0" w:hanging="0"/>
              <w:rPr/>
            </w:pPr>
            <w:r>
              <w:rPr/>
              <w:t> </w:t>
            </w:r>
          </w:p>
        </w:tc>
      </w:tr>
      <w:tr>
        <w:trPr/>
        <w:tc>
          <w:tcPr>
            <w:tcW w:w="449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208,808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122,964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107,068</w:t>
            </w:r>
          </w:p>
        </w:tc>
        <w:tc>
          <w:tcPr>
            <w:tcW w:w="80" w:type="dxa"/>
            <w:tcBorders/>
            <w:shd w:fill="CCEEFF" w:val="clear"/>
            <w:vAlign w:val="center"/>
          </w:tcPr>
          <w:p>
            <w:pPr>
              <w:pStyle w:val="TableContents"/>
              <w:spacing w:before="0" w:after="283"/>
              <w:ind w:left="200" w:right="0" w:hanging="0"/>
              <w:rPr/>
            </w:pPr>
            <w:r>
              <w:rPr/>
              <w:t> </w:t>
            </w:r>
          </w:p>
        </w:tc>
      </w:tr>
      <w:tr>
        <w:trPr/>
        <w:tc>
          <w:tcPr>
            <w:tcW w:w="449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118,818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67,929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37,121</w:t>
            </w:r>
          </w:p>
        </w:tc>
        <w:tc>
          <w:tcPr>
            <w:tcW w:w="80" w:type="dxa"/>
            <w:tcBorders/>
            <w:shd w:fill="FFFFFF" w:val="clear"/>
            <w:vAlign w:val="center"/>
          </w:tcPr>
          <w:p>
            <w:pPr>
              <w:pStyle w:val="TableContents"/>
              <w:spacing w:before="0" w:after="283"/>
              <w:ind w:left="200" w:right="0" w:hanging="0"/>
              <w:rPr/>
            </w:pPr>
            <w:r>
              <w:rPr/>
              <w:t> </w:t>
            </w:r>
          </w:p>
        </w:tc>
      </w:tr>
      <w:tr>
        <w:trPr/>
        <w:tc>
          <w:tcPr>
            <w:tcW w:w="449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Royalty</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w:t>
            </w:r>
          </w:p>
        </w:tc>
        <w:tc>
          <w:tcPr>
            <w:tcW w:w="80" w:type="dxa"/>
            <w:tcBorders>
              <w:bottom w:val="single" w:sz="2" w:space="0" w:color="000000"/>
            </w:tcBorders>
            <w:shd w:fill="CCEEFF" w:val="clear"/>
            <w:tcMar>
              <w:bottom w:w="28" w:type="dxa"/>
            </w:tcMar>
            <w:vAlign w:val="center"/>
          </w:tcPr>
          <w:p>
            <w:pPr>
              <w:pStyle w:val="TableContents"/>
              <w:spacing w:before="0" w:after="283"/>
              <w:ind w:left="400" w:right="0" w:hanging="0"/>
              <w:rPr/>
            </w:pPr>
            <w:r>
              <w:rPr/>
              <w:t> </w:t>
            </w:r>
          </w:p>
        </w:tc>
      </w:tr>
      <w:tr>
        <w:trPr/>
        <w:tc>
          <w:tcPr>
            <w:tcW w:w="4490" w:type="dxa"/>
            <w:tcBorders/>
            <w:shd w:fill="FFFFFF" w:val="clear"/>
            <w:vAlign w:val="center"/>
          </w:tcPr>
          <w:p>
            <w:pPr>
              <w:pStyle w:val="TableContents"/>
              <w:spacing w:before="0" w:after="0"/>
              <w:ind w:left="80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334,890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192,569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148,290</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(177,720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(174,757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(99,455</w:t>
            </w:r>
          </w:p>
        </w:tc>
        <w:tc>
          <w:tcPr>
            <w:tcW w:w="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4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Interest and other income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1,933</w:t>
            </w:r>
          </w:p>
        </w:tc>
        <w:tc>
          <w:tcPr>
            <w:tcW w:w="80" w:type="dxa"/>
            <w:tcBorders/>
            <w:shd w:fill="FFFFFF" w:val="clear"/>
            <w:vAlign w:val="center"/>
          </w:tcPr>
          <w:p>
            <w:pPr>
              <w:pStyle w:val="TableContents"/>
              <w:spacing w:before="0" w:after="283"/>
              <w:ind w:left="0" w:right="0" w:hanging="0"/>
              <w:rPr/>
            </w:pPr>
            <w:r>
              <w:rPr/>
              <w:t> </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(59,294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(14,501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(11,892</w:t>
            </w:r>
          </w:p>
        </w:tc>
        <w:tc>
          <w:tcPr>
            <w:tcW w:w="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4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Gain (loss) on extinguishment of debt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55,838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ind w:left="0" w:right="0" w:hanging="0"/>
              <w:rPr/>
            </w:pPr>
            <w:r>
              <w:rPr/>
              <w:t> </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currency (losses) gains, net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(695</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(965</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517</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44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(181,809</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(182,814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(108,897</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2,253</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44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(184,062</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(182,814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(108,897</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currency translation adjustment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ind w:left="0" w:right="0" w:hanging="0"/>
              <w:rPr/>
            </w:pPr>
            <w:r>
              <w:rPr/>
              <w:t> </w:t>
            </w:r>
          </w:p>
        </w:tc>
      </w:tr>
      <w:tr>
        <w:trPr/>
        <w:tc>
          <w:tcPr>
            <w:tcW w:w="44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Unrealized (loss) gain on available for sale investments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comprehensive loss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(183,888</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(182,850</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(108,561</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ind w:left="0" w:right="0" w:hanging="0"/>
              <w:rPr/>
            </w:pPr>
            <w:r>
              <w:rPr/>
              <w:t> </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Basic and diluted net loss per common share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(1.03</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(1.09</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(0.94</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r>
      <w:tr>
        <w:trPr/>
        <w:tc>
          <w:tcPr>
            <w:tcW w:w="44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 average shares outstanding</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179,117</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167,267</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115,600</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7" w:name="cf"/>
      <w:bookmarkEnd w:id="17"/>
      <w:r>
        <w:rPr>
          <w:rFonts w:ascii="Times New Roman" w:hAnsi="Times New Roman"/>
          <w:b/>
          <w:caps w:val="false"/>
          <w:smallCaps w:val="false"/>
          <w:sz w:val="20"/>
        </w:rPr>
        <w:t>BIOCRYST PHARMACEUTICALS,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45"/>
        <w:gridCol w:w="60"/>
        <w:gridCol w:w="125"/>
        <w:gridCol w:w="755"/>
        <w:gridCol w:w="80"/>
        <w:gridCol w:w="60"/>
        <w:gridCol w:w="125"/>
        <w:gridCol w:w="755"/>
        <w:gridCol w:w="80"/>
        <w:gridCol w:w="60"/>
        <w:gridCol w:w="125"/>
        <w:gridCol w:w="755"/>
        <w:gridCol w:w="80"/>
      </w:tblGrid>
      <w:tr>
        <w:trPr/>
        <w:tc>
          <w:tcPr>
            <w:tcW w:w="7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92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 Ended December 31,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7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8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714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0" w:right="0" w:hanging="0"/>
              <w:rPr/>
            </w:pPr>
            <w:r>
              <w:rPr/>
              <w:t> </w:t>
            </w:r>
          </w:p>
        </w:tc>
      </w:tr>
      <w:tr>
        <w:trPr/>
        <w:tc>
          <w:tcPr>
            <w:tcW w:w="71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(184,062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(182,814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(108,897</w:t>
            </w:r>
          </w:p>
        </w:tc>
        <w:tc>
          <w:tcPr>
            <w:tcW w:w="8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71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724</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14,794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17,719</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Non-cash interest expense on royalty financing obligations and secured term loan and amortization of debt issuance costs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54,204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1,278</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Amortization of premium/discount on investments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Change in fair value of foreign currency derivative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(Gain) loss on extinguishment of debt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(55,838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ind w:left="0" w:right="0" w:hanging="0"/>
              <w:rPr/>
            </w:pPr>
            <w:r>
              <w:rPr/>
              <w:t> </w:t>
            </w:r>
          </w:p>
        </w:tc>
      </w:tr>
      <w:tr>
        <w:trPr/>
        <w:tc>
          <w:tcPr>
            <w:tcW w:w="71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Receivables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(20,817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13,903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(17,853</w:t>
            </w:r>
          </w:p>
        </w:tc>
        <w:tc>
          <w:tcPr>
            <w:tcW w:w="80" w:type="dxa"/>
            <w:tcBorders/>
            <w:shd w:fill="CCEEFF" w:val="clear"/>
            <w:vAlign w:val="center"/>
          </w:tcPr>
          <w:p>
            <w:pPr>
              <w:pStyle w:val="TableContents"/>
              <w:spacing w:before="0" w:after="283"/>
              <w:ind w:left="200" w:right="0" w:hanging="0"/>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(8,767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(7,039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1,649</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(7,155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(1,364</w:t>
            </w:r>
          </w:p>
        </w:tc>
        <w:tc>
          <w:tcPr>
            <w:tcW w:w="80" w:type="dxa"/>
            <w:tcBorders/>
            <w:shd w:fill="CCEEFF" w:val="clear"/>
            <w:vAlign w:val="center"/>
          </w:tcPr>
          <w:p>
            <w:pPr>
              <w:pStyle w:val="TableContents"/>
              <w:spacing w:before="0" w:after="283"/>
              <w:ind w:left="200" w:right="0" w:hanging="0"/>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39,412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17,355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11,741</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Interest payable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3,056</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1,283</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(1,970</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1,899</w:t>
            </w:r>
          </w:p>
        </w:tc>
        <w:tc>
          <w:tcPr>
            <w:tcW w:w="80" w:type="dxa"/>
            <w:tcBorders>
              <w:bottom w:val="single" w:sz="2" w:space="0" w:color="000000"/>
            </w:tcBorders>
            <w:shd w:fill="FFFFFF" w:val="clear"/>
            <w:tcMar>
              <w:bottom w:w="28" w:type="dxa"/>
            </w:tcM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(142,157</w:t>
            </w:r>
          </w:p>
        </w:tc>
        <w:tc>
          <w:tcPr>
            <w:tcW w:w="8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(135,108</w:t>
            </w:r>
          </w:p>
        </w:tc>
        <w:tc>
          <w:tcPr>
            <w:tcW w:w="8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(89,584</w:t>
            </w:r>
          </w:p>
        </w:tc>
        <w:tc>
          <w:tcPr>
            <w:tcW w:w="8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r>
      <w:tr>
        <w:trPr/>
        <w:tc>
          <w:tcPr>
            <w:tcW w:w="714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Acquisition of property and equipment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(343</w:t>
            </w:r>
          </w:p>
        </w:tc>
        <w:tc>
          <w:tcPr>
            <w:tcW w:w="80" w:type="dxa"/>
            <w:tcBorders/>
            <w:shd w:fill="CCEEFF" w:val="clear"/>
            <w:vAlign w:val="center"/>
          </w:tcPr>
          <w:p>
            <w:pPr>
              <w:pStyle w:val="TableContents"/>
              <w:spacing w:before="0" w:after="283"/>
              <w:ind w:left="200" w:right="0" w:hanging="0"/>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Purchases of investments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(10,012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(49,818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(3,018</w:t>
            </w:r>
          </w:p>
        </w:tc>
        <w:tc>
          <w:tcPr>
            <w:tcW w:w="80" w:type="dxa"/>
            <w:tcBorders/>
            <w:shd w:fill="FFFFFF" w:val="clear"/>
            <w:vAlign w:val="center"/>
          </w:tcPr>
          <w:p>
            <w:pPr>
              <w:pStyle w:val="TableContents"/>
              <w:spacing w:before="0" w:after="283"/>
              <w:ind w:left="200" w:right="0" w:hanging="0"/>
              <w:rPr>
                <w:rFonts w:ascii="Times New Roman" w:hAnsi="Times New Roman"/>
                <w:sz w:val="20"/>
              </w:rPr>
            </w:pPr>
            <w:r>
              <w:rPr>
                <w:rFonts w:ascii="Times New Roman" w:hAnsi="Times New Roman"/>
                <w:sz w:val="20"/>
              </w:rPr>
              <w:t>)</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Sales and maturities of investments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28,201</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43,476</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81,295</w:t>
            </w:r>
          </w:p>
        </w:tc>
        <w:tc>
          <w:tcPr>
            <w:tcW w:w="80" w:type="dxa"/>
            <w:tcBorders>
              <w:bottom w:val="single" w:sz="2" w:space="0" w:color="000000"/>
            </w:tcBorders>
            <w:shd w:fill="CCEEFF" w:val="clear"/>
            <w:tcMar>
              <w:bottom w:w="28" w:type="dxa"/>
            </w:tcM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b/>
                <w:caps w:val="false"/>
                <w:smallCaps w:val="false"/>
                <w:sz w:val="20"/>
              </w:rPr>
            </w:pPr>
            <w:r>
              <w:rPr>
                <w:rFonts w:ascii="Times New Roman" w:hAnsi="Times New Roman"/>
                <w:b/>
                <w:caps w:val="false"/>
                <w:smallCaps w:val="false"/>
                <w:sz w:val="20"/>
              </w:rPr>
              <w:t>Net cash provided by (used in) investing activities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15,804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(6,856</w:t>
            </w:r>
          </w:p>
        </w:tc>
        <w:tc>
          <w:tcPr>
            <w:tcW w:w="8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77,934</w:t>
            </w:r>
          </w:p>
        </w:tc>
        <w:tc>
          <w:tcPr>
            <w:tcW w:w="80" w:type="dxa"/>
            <w:tcBorders/>
            <w:shd w:fill="FFFFFF" w:val="clear"/>
            <w:vAlign w:val="center"/>
          </w:tcPr>
          <w:p>
            <w:pPr>
              <w:pStyle w:val="TableContents"/>
              <w:spacing w:before="0" w:after="283"/>
              <w:ind w:left="0" w:right="0" w:hanging="0"/>
              <w:rPr/>
            </w:pPr>
            <w:r>
              <w:rPr/>
              <w:t> </w:t>
            </w:r>
          </w:p>
        </w:tc>
      </w:tr>
      <w:tr>
        <w:trPr/>
        <w:tc>
          <w:tcPr>
            <w:tcW w:w="714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Sale of common stock, net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93,279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58,500</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Sale of pre-funded warrants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14,817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19,882</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Net proceeds from common stock issued under stock-based compensation plans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15,794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1,239</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Proceeds from senior credit facility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19,477</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Payment of senior credit facility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(52,420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Net proceeds from secured term loan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119,867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ind w:left="200" w:right="0" w:hanging="0"/>
              <w:rPr/>
            </w:pPr>
            <w:r>
              <w:rPr/>
              <w:t> </w:t>
            </w:r>
          </w:p>
        </w:tc>
      </w:tr>
      <w:tr>
        <w:trPr/>
        <w:tc>
          <w:tcPr>
            <w:tcW w:w="714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Net proceeds from royalty financing obligations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293,874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122,600</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spacing w:before="0" w:after="283"/>
              <w:ind w:left="200" w:right="0" w:hanging="0"/>
              <w:rPr/>
            </w:pPr>
            <w:r>
              <w:rPr/>
              <w:t> </w:t>
            </w:r>
          </w:p>
        </w:tc>
      </w:tr>
      <w:tr>
        <w:trPr/>
        <w:tc>
          <w:tcPr>
            <w:tcW w:w="7145" w:type="dxa"/>
            <w:tcBorders/>
            <w:shd w:fill="CCEEFF" w:val="clear"/>
            <w:vAlign w:val="center"/>
          </w:tcPr>
          <w:p>
            <w:pPr>
              <w:pStyle w:val="TableContents"/>
              <w:spacing w:before="0" w:after="0"/>
              <w:ind w:left="400" w:right="0" w:hanging="0"/>
              <w:rPr>
                <w:rFonts w:ascii="Times New Roman" w:hAnsi="Times New Roman"/>
                <w:b/>
                <w:caps w:val="false"/>
                <w:smallCaps w:val="false"/>
                <w:sz w:val="20"/>
              </w:rPr>
            </w:pPr>
            <w:r>
              <w:rPr>
                <w:rFonts w:ascii="Times New Roman" w:hAnsi="Times New Roman"/>
                <w:b/>
                <w:caps w:val="false"/>
                <w:smallCaps w:val="false"/>
                <w:sz w:val="20"/>
              </w:rPr>
              <w:t>Net cash provided by financing activities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359,668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300,589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99,098</w:t>
            </w:r>
          </w:p>
        </w:tc>
        <w:tc>
          <w:tcPr>
            <w:tcW w:w="80" w:type="dxa"/>
            <w:tcBorders/>
            <w:shd w:fill="CCEEFF" w:val="clear"/>
            <w:vAlign w:val="center"/>
          </w:tcPr>
          <w:p>
            <w:pPr>
              <w:pStyle w:val="TableContents"/>
              <w:spacing w:before="0" w:after="283"/>
              <w:ind w:left="0" w:right="0" w:hanging="0"/>
              <w:rPr/>
            </w:pPr>
            <w:r>
              <w:rPr/>
              <w:t> </w:t>
            </w:r>
          </w:p>
        </w:tc>
      </w:tr>
      <w:tr>
        <w:trPr/>
        <w:tc>
          <w:tcPr>
            <w:tcW w:w="71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Effects of exchange rates on cash, cash equivalents and restricted cash</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r>
      <w:tr>
        <w:trPr/>
        <w:tc>
          <w:tcPr>
            <w:tcW w:w="71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0" w:right="0" w:hanging="0"/>
              <w:rPr/>
            </w:pPr>
            <w:r>
              <w:rPr/>
              <w:t> </w:t>
            </w:r>
          </w:p>
        </w:tc>
      </w:tr>
      <w:tr>
        <w:trPr/>
        <w:tc>
          <w:tcPr>
            <w:tcW w:w="71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Increase in cash, cash equivalents and restricted cash</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233,386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158,625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87,448</w:t>
            </w:r>
          </w:p>
        </w:tc>
        <w:tc>
          <w:tcPr>
            <w:tcW w:w="80" w:type="dxa"/>
            <w:tcBorders/>
            <w:shd w:fill="FFFFFF" w:val="clear"/>
            <w:vAlign w:val="center"/>
          </w:tcPr>
          <w:p>
            <w:pPr>
              <w:pStyle w:val="TableContents"/>
              <w:spacing w:before="0" w:after="283"/>
              <w:ind w:left="0" w:right="0" w:hanging="0"/>
              <w:rPr/>
            </w:pPr>
            <w:r>
              <w:rPr/>
              <w:t> </w:t>
            </w:r>
          </w:p>
        </w:tc>
      </w:tr>
      <w:tr>
        <w:trPr/>
        <w:tc>
          <w:tcPr>
            <w:tcW w:w="71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year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274,348</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115,723</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28,275</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714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cash equivalents and restricted cash at end of year</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507,734</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274,348</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7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115,723</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18" w:name="se"/>
      <w:bookmarkEnd w:id="18"/>
      <w:r>
        <w:rPr>
          <w:rFonts w:ascii="Times New Roman" w:hAnsi="Times New Roman"/>
          <w:b/>
          <w:caps w:val="false"/>
          <w:smallCaps w:val="false"/>
          <w:sz w:val="20"/>
        </w:rPr>
        <w:t>BIOCRYST PHARMACEUTICALS,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(DEFICIT)</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265"/>
        <w:gridCol w:w="60"/>
        <w:gridCol w:w="157"/>
        <w:gridCol w:w="613"/>
        <w:gridCol w:w="60"/>
        <w:gridCol w:w="60"/>
        <w:gridCol w:w="125"/>
        <w:gridCol w:w="845"/>
        <w:gridCol w:w="60"/>
        <w:gridCol w:w="60"/>
        <w:gridCol w:w="310"/>
        <w:gridCol w:w="985"/>
        <w:gridCol w:w="80"/>
        <w:gridCol w:w="60"/>
        <w:gridCol w:w="135"/>
        <w:gridCol w:w="980"/>
        <w:gridCol w:w="80"/>
        <w:gridCol w:w="60"/>
        <w:gridCol w:w="160"/>
        <w:gridCol w:w="969"/>
        <w:gridCol w:w="81"/>
      </w:tblGrid>
      <w:tr>
        <w:trPr/>
        <w:tc>
          <w:tcPr>
            <w:tcW w:w="4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613"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9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2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1" w:type="dxa"/>
            <w:tcBorders/>
            <w:shd w:fill="auto" w:val="clear"/>
            <w:vAlign w:val="center"/>
          </w:tcPr>
          <w:p>
            <w:pPr>
              <w:pStyle w:val="TableContents"/>
              <w:spacing w:before="0" w:after="283"/>
              <w:rPr/>
            </w:pPr>
            <w:r>
              <w:rPr/>
              <w:t> </w:t>
            </w:r>
          </w:p>
        </w:tc>
      </w:tr>
      <w:tr>
        <w:trPr/>
        <w:tc>
          <w:tcPr>
            <w:tcW w:w="4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613"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70"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95"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rStyle w:val="Emphasis"/>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29"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Stockholders</w:t>
            </w:r>
            <w:r>
              <w:rPr>
                <w:rFonts w:ascii="Times New Roman" w:hAnsi="Times New Roman"/>
                <w:b/>
                <w:caps w:val="false"/>
                <w:smallCaps w:val="false"/>
                <w:sz w:val="20"/>
              </w:rPr>
              <w:t>’</w:t>
            </w:r>
          </w:p>
        </w:tc>
        <w:tc>
          <w:tcPr>
            <w:tcW w:w="81" w:type="dxa"/>
            <w:tcBorders/>
            <w:shd w:fill="auto" w:val="clear"/>
            <w:vAlign w:val="center"/>
          </w:tcPr>
          <w:p>
            <w:pPr>
              <w:pStyle w:val="TableContents"/>
              <w:spacing w:before="0" w:after="283"/>
              <w:rPr/>
            </w:pPr>
            <w:r>
              <w:rPr/>
              <w:t> </w:t>
            </w:r>
          </w:p>
        </w:tc>
      </w:tr>
      <w:tr>
        <w:trPr/>
        <w:tc>
          <w:tcPr>
            <w:tcW w:w="4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0"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70"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95"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15" w:type="dxa"/>
            <w:gridSpan w:val="2"/>
            <w:tcBorders/>
            <w:shd w:fill="auto" w:val="clear"/>
            <w:vAlign w:val="center"/>
          </w:tcPr>
          <w:p>
            <w:pPr>
              <w:pStyle w:val="TableContents"/>
              <w:spacing w:before="0" w:after="0"/>
              <w:ind w:left="0" w:right="0" w:hanging="0"/>
              <w:jc w:val="right"/>
              <w:rPr/>
            </w:pPr>
            <w:r>
              <w:rPr>
                <w:rStyle w:val="Emphasis"/>
                <w:rFonts w:ascii="Times New Roman" w:hAnsi="Times New Roman"/>
                <w:b/>
                <w:caps w:val="false"/>
                <w:smallCaps w:val="false"/>
                <w:sz w:val="20"/>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29"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Equity</w:t>
            </w:r>
          </w:p>
        </w:tc>
        <w:tc>
          <w:tcPr>
            <w:tcW w:w="81" w:type="dxa"/>
            <w:tcBorders/>
            <w:shd w:fill="auto" w:val="clear"/>
            <w:vAlign w:val="center"/>
          </w:tcPr>
          <w:p>
            <w:pPr>
              <w:pStyle w:val="TableContents"/>
              <w:spacing w:before="0" w:after="283"/>
              <w:rPr/>
            </w:pPr>
            <w:r>
              <w:rPr/>
              <w:t> </w:t>
            </w:r>
          </w:p>
        </w:tc>
      </w:tr>
      <w:tr>
        <w:trPr/>
        <w:tc>
          <w:tcPr>
            <w:tcW w:w="4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(Loss) Income</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(Deficit)</w:t>
            </w:r>
          </w:p>
        </w:tc>
        <w:tc>
          <w:tcPr>
            <w:tcW w:w="81"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December 31, 2018</w:t>
            </w:r>
          </w:p>
        </w:tc>
        <w:tc>
          <w:tcPr>
            <w:tcW w:w="60" w:type="dxa"/>
            <w:tcBorders/>
            <w:shd w:fill="CCEEFF" w:val="clear"/>
            <w:vAlign w:val="center"/>
          </w:tcPr>
          <w:p>
            <w:pPr>
              <w:pStyle w:val="TableContents"/>
              <w:spacing w:before="0" w:after="283"/>
              <w:ind w:left="0" w:right="0" w:hanging="0"/>
              <w:rPr/>
            </w:pPr>
            <w:r>
              <w:rPr/>
              <w:t> </w:t>
            </w:r>
          </w:p>
        </w:tc>
        <w:tc>
          <w:tcPr>
            <w:tcW w:w="157"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613"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1,101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84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780,400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5"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(297</w:t>
            </w:r>
          </w:p>
        </w:tc>
        <w:tc>
          <w:tcPr>
            <w:tcW w:w="8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spacing w:before="0" w:after="283"/>
              <w:ind w:left="0" w:right="0" w:hanging="0"/>
              <w:rPr/>
            </w:pPr>
            <w:r>
              <w:rPr/>
              <w:t> </w:t>
            </w:r>
          </w:p>
        </w:tc>
        <w:tc>
          <w:tcPr>
            <w:tcW w:w="135"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0"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(731,969</w:t>
            </w:r>
          </w:p>
        </w:tc>
        <w:tc>
          <w:tcPr>
            <w:tcW w:w="8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spacing w:before="0" w:after="283"/>
              <w:ind w:left="0" w:right="0" w:hanging="0"/>
              <w:rPr/>
            </w:pPr>
            <w:r>
              <w:rPr/>
              <w:t> </w:t>
            </w:r>
          </w:p>
        </w:tc>
        <w:tc>
          <w:tcPr>
            <w:tcW w:w="16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69" w:type="dxa"/>
            <w:tcBorders/>
            <w:shd w:fill="CCEEFF" w:val="cle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49,235</w:t>
            </w:r>
          </w:p>
        </w:tc>
        <w:tc>
          <w:tcPr>
            <w:tcW w:w="81" w:type="dxa"/>
            <w:tcBorders/>
            <w:shd w:fill="CCEEFF" w:val="cle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Impact to retained earnings from adoption of ASC 842</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(108,897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(108,897</w:t>
            </w:r>
          </w:p>
        </w:tc>
        <w:tc>
          <w:tcPr>
            <w:tcW w:w="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Exercise of stock options, 283 shares, net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835</w:t>
            </w:r>
          </w:p>
        </w:tc>
        <w:tc>
          <w:tcPr>
            <w:tcW w:w="81" w:type="dxa"/>
            <w:tcBorders/>
            <w:shd w:fill="CCEEFF" w:val="cle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Employee stock purchase plan sales, 115 shares, net</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Issuance of common stock, 43,621 shares, net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58,064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58,500</w:t>
            </w:r>
          </w:p>
        </w:tc>
        <w:tc>
          <w:tcPr>
            <w:tcW w:w="81" w:type="dxa"/>
            <w:tcBorders/>
            <w:shd w:fill="CCEEFF" w:val="cle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Issuance of pre-funded warrants, 11,765 warrants</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19,882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19,882</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17,719</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8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8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17,719</w:t>
            </w:r>
          </w:p>
        </w:tc>
        <w:tc>
          <w:tcPr>
            <w:tcW w:w="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December 31, 2019</w:t>
            </w:r>
          </w:p>
        </w:tc>
        <w:tc>
          <w:tcPr>
            <w:tcW w:w="60" w:type="dxa"/>
            <w:tcBorders/>
            <w:shd w:fill="FFFFFF" w:val="clear"/>
            <w:vAlign w:val="center"/>
          </w:tcPr>
          <w:p>
            <w:pPr>
              <w:pStyle w:val="TableContents"/>
              <w:spacing w:before="0" w:after="283"/>
              <w:ind w:left="0" w:right="0" w:hanging="0"/>
              <w:rPr/>
            </w:pPr>
            <w:r>
              <w:rPr/>
              <w:t> </w:t>
            </w:r>
          </w:p>
        </w:tc>
        <w:tc>
          <w:tcPr>
            <w:tcW w:w="157"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61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1,541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877,300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1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(840,628</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ind w:left="0" w:right="0" w:hanging="0"/>
              <w:rPr/>
            </w:pPr>
            <w:r>
              <w:rPr/>
              <w:t> </w:t>
            </w:r>
          </w:p>
        </w:tc>
        <w:tc>
          <w:tcPr>
            <w:tcW w:w="16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6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38,252</w:t>
            </w:r>
          </w:p>
        </w:tc>
        <w:tc>
          <w:tcPr>
            <w:tcW w:w="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(182,814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(182,814</w:t>
            </w:r>
          </w:p>
        </w:tc>
        <w:tc>
          <w:tcPr>
            <w:tcW w:w="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8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Exercise of stock options, 510 shares, net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1,814</w:t>
            </w:r>
          </w:p>
        </w:tc>
        <w:tc>
          <w:tcPr>
            <w:tcW w:w="81" w:type="dxa"/>
            <w:tcBorders/>
            <w:shd w:fill="CCEEFF" w:val="cle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Employee stock purchase plan sales, 246 shares, net</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632</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Issuance of common stock, 22,044 shares, net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93,059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93,279</w:t>
            </w:r>
          </w:p>
        </w:tc>
        <w:tc>
          <w:tcPr>
            <w:tcW w:w="81" w:type="dxa"/>
            <w:tcBorders/>
            <w:shd w:fill="CCEEFF" w:val="cle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Issuance of pre-funded warrants, 3,511 warrants</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14,817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14,817</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14,794</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8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8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6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14,794</w:t>
            </w:r>
          </w:p>
        </w:tc>
        <w:tc>
          <w:tcPr>
            <w:tcW w:w="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December 31, 2020</w:t>
            </w:r>
          </w:p>
        </w:tc>
        <w:tc>
          <w:tcPr>
            <w:tcW w:w="60" w:type="dxa"/>
            <w:tcBorders/>
            <w:shd w:fill="FFFFFF" w:val="clear"/>
            <w:vAlign w:val="center"/>
          </w:tcPr>
          <w:p>
            <w:pPr>
              <w:pStyle w:val="TableContents"/>
              <w:spacing w:before="0" w:after="283"/>
              <w:ind w:left="0" w:right="0" w:hanging="0"/>
              <w:rPr/>
            </w:pPr>
            <w:r>
              <w:rPr/>
              <w:t> </w:t>
            </w:r>
          </w:p>
        </w:tc>
        <w:tc>
          <w:tcPr>
            <w:tcW w:w="157"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61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1,769</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1,002,408</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1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3</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(1,023,442</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spacing w:before="0" w:after="283"/>
              <w:ind w:left="0" w:right="0" w:hanging="0"/>
              <w:rPr/>
            </w:pPr>
            <w:r>
              <w:rPr/>
              <w:t> </w:t>
            </w:r>
          </w:p>
        </w:tc>
        <w:tc>
          <w:tcPr>
            <w:tcW w:w="16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6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(19,262</w:t>
            </w:r>
          </w:p>
        </w:tc>
        <w:tc>
          <w:tcPr>
            <w:tcW w:w="81"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(184,062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(184,062</w:t>
            </w:r>
          </w:p>
        </w:tc>
        <w:tc>
          <w:tcPr>
            <w:tcW w:w="8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Exercise of stock options, 3,299 shares, net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13,805</w:t>
            </w:r>
          </w:p>
        </w:tc>
        <w:tc>
          <w:tcPr>
            <w:tcW w:w="81" w:type="dxa"/>
            <w:tcBorders/>
            <w:shd w:fill="CCEEFF" w:val="cle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Employee stock purchase plan sales, 321 shares, net</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8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9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1,989</w:t>
            </w:r>
          </w:p>
        </w:tc>
        <w:tc>
          <w:tcPr>
            <w:tcW w:w="81" w:type="dxa"/>
            <w:tcBorders/>
            <w:shd w:fill="FFFFFF" w:val="cle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Issuance of common stock associated with royalty financing agreement, 3,846 shares, net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6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8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45,692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0"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5" w:type="dxa"/>
            <w:tcBorders/>
            <w:shd w:fill="CCEEFF" w:val="clear"/>
            <w:vAlign w:val="center"/>
          </w:tcPr>
          <w:p>
            <w:pPr>
              <w:pStyle w:val="TableContents"/>
              <w:spacing w:before="0" w:after="283"/>
              <w:ind w:left="0" w:right="0" w:hanging="0"/>
              <w:rPr/>
            </w:pPr>
            <w:r>
              <w:rPr/>
              <w:t> </w:t>
            </w:r>
          </w:p>
        </w:tc>
        <w:tc>
          <w:tcPr>
            <w:tcW w:w="980"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9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45,730</w:t>
            </w:r>
          </w:p>
        </w:tc>
        <w:tc>
          <w:tcPr>
            <w:tcW w:w="81" w:type="dxa"/>
            <w:tcBorders/>
            <w:shd w:fill="CCEEFF" w:val="clear"/>
            <w:vAlign w:val="center"/>
          </w:tcPr>
          <w:p>
            <w:pPr>
              <w:pStyle w:val="TableContents"/>
              <w:spacing w:before="0" w:after="283"/>
              <w:ind w:left="0" w:right="0" w:hanging="0"/>
              <w:rPr/>
            </w:pPr>
            <w:r>
              <w:rPr/>
              <w:t> </w:t>
            </w:r>
          </w:p>
        </w:tc>
      </w:tr>
      <w:tr>
        <w:trPr/>
        <w:tc>
          <w:tcPr>
            <w:tcW w:w="42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spacing w:before="0" w:after="283"/>
              <w:rPr/>
            </w:pPr>
            <w:r>
              <w:rPr/>
              <w:t> </w:t>
            </w:r>
          </w:p>
        </w:tc>
        <w:tc>
          <w:tcPr>
            <w:tcW w:w="15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3"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34,640</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8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8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6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34,640</w:t>
            </w:r>
          </w:p>
        </w:tc>
        <w:tc>
          <w:tcPr>
            <w:tcW w:w="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26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December 31, 2021</w:t>
            </w:r>
          </w:p>
        </w:tc>
        <w:tc>
          <w:tcPr>
            <w:tcW w:w="60" w:type="dxa"/>
            <w:tcBorders/>
            <w:shd w:fill="CCEEFF" w:val="clear"/>
            <w:vAlign w:val="center"/>
          </w:tcPr>
          <w:p>
            <w:pPr>
              <w:pStyle w:val="TableContents"/>
              <w:spacing w:before="0" w:after="283"/>
              <w:ind w:left="0" w:right="0" w:hanging="0"/>
              <w:rPr/>
            </w:pPr>
            <w:r>
              <w:rPr/>
              <w:t> </w:t>
            </w:r>
          </w:p>
        </w:tc>
        <w:tc>
          <w:tcPr>
            <w:tcW w:w="15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61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1,843</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8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1,098,498</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177</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(1,207,504</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spacing w:before="0" w:after="283"/>
              <w:ind w:left="0" w:right="0" w:hanging="0"/>
              <w:rPr/>
            </w:pPr>
            <w:r>
              <w:rPr/>
              <w:t> </w:t>
            </w:r>
          </w:p>
        </w:tc>
        <w:tc>
          <w:tcPr>
            <w:tcW w:w="16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96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b/>
                <w:sz w:val="20"/>
              </w:rPr>
            </w:pPr>
            <w:r>
              <w:rPr>
                <w:rFonts w:ascii="Times New Roman" w:hAnsi="Times New Roman"/>
                <w:b/>
                <w:sz w:val="20"/>
              </w:rPr>
              <w:t>(106,986</w:t>
            </w:r>
          </w:p>
        </w:tc>
        <w:tc>
          <w:tcPr>
            <w:tcW w:w="81"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b/>
                <w:sz w:val="20"/>
              </w:rPr>
            </w:pPr>
            <w:r>
              <w:rPr>
                <w:rFonts w:ascii="Times New Roman" w:hAnsi="Times New Roman"/>
                <w:b/>
                <w:sz w:val="20"/>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19" w:name="notes"/>
      <w:bookmarkEnd w:id="19"/>
      <w:r>
        <w:rPr>
          <w:rFonts w:ascii="Times New Roman" w:hAnsi="Times New Roman"/>
          <w:b/>
          <w:caps w:val="false"/>
          <w:smallCaps w:val="false"/>
          <w:sz w:val="20"/>
        </w:rPr>
        <w:t>BIOCRYST PHARMACEUTICALS,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Significant Accounting Policies and Concentrations of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BioCryst Pharmaceuticals, Inc. (the “Company”) is a commercial-stage biotechnology company that discovers novel, oral, small-molecule medicines. The Company focuses on the treatment of rare diseases in which significant unmet medical needs exist and an enzyme plays the key role in the biological pathway of the disease. The Company was founded in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and incorporated in Delaware in </w:t>
      </w:r>
      <w:r>
        <w:rPr>
          <w:rStyle w:val="Emphasis"/>
          <w:rFonts w:ascii="Times New Roman" w:hAnsi="Times New Roman"/>
          <w:caps w:val="false"/>
          <w:smallCaps w:val="false"/>
          <w:sz w:val="20"/>
        </w:rPr>
        <w:t>1991,</w:t>
      </w:r>
      <w:r>
        <w:rPr>
          <w:rFonts w:ascii="Times New Roman" w:hAnsi="Times New Roman"/>
          <w:caps w:val="false"/>
          <w:smallCaps w:val="false"/>
          <w:sz w:val="20"/>
        </w:rPr>
        <w:t xml:space="preserve">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ORLADEYO received regulatory approvals in the European Union, Japan, the United Arab Emirates and the United Kingdom.  The Company is commercializing ORLADEYO in each of these territories directly or through distributors, except in Japan where Torii Pharmaceuticals Co., Ltd. (“Torii”), the Company’s collaborative partner, has the exclusive right to commercialize ORLADEYO for the prevention of HAE attacks in exchange for certain milestone and royalty payments to us.  In addition to its approval in the United States, peramivir injection has received regulatory approvals in Canada, Australia, Japan, Taiwan and Korea. </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Based on the Company’s expectations for revenue, operating expenses, and the additional $75 million available to the Company under its existing credit facility, the Company believes its financial resources available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will be sufficient to fund its operations for at least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The Company has sustained operating losses for the majority of its corporate history and expects that its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expenses will exceed its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w:t>
      </w:r>
      <w:r>
        <w:rPr>
          <w:rStyle w:val="Emphasis"/>
          <w:rFonts w:ascii="Times New Roman" w:hAnsi="Times New Roman"/>
          <w:caps w:val="false"/>
          <w:smallCaps w:val="false"/>
          <w:sz w:val="20"/>
        </w:rPr>
        <w:t>1</w:t>
      </w:r>
      <w:r>
        <w:rPr>
          <w:rFonts w:ascii="Times New Roman" w:hAnsi="Times New Roman"/>
          <w:caps w:val="false"/>
          <w:smallCaps w:val="false"/>
          <w:sz w:val="20"/>
        </w:rPr>
        <w:t>) securing or increasing U.S. Government funding of its programs, including obtaining procurement contracts; (</w:t>
      </w:r>
      <w:r>
        <w:rPr>
          <w:rStyle w:val="Emphasis"/>
          <w:rFonts w:ascii="Times New Roman" w:hAnsi="Times New Roman"/>
          <w:caps w:val="false"/>
          <w:smallCaps w:val="false"/>
          <w:sz w:val="20"/>
        </w:rPr>
        <w:t>2</w:t>
      </w:r>
      <w:r>
        <w:rPr>
          <w:rFonts w:ascii="Times New Roman" w:hAnsi="Times New Roman"/>
          <w:caps w:val="false"/>
          <w:smallCaps w:val="false"/>
          <w:sz w:val="20"/>
        </w:rPr>
        <w:t>) out-licensing rights to certain of its products or product candidates, pursuant to which the Company would receive cash milestone payments; (</w:t>
      </w:r>
      <w:r>
        <w:rPr>
          <w:rStyle w:val="Emphasis"/>
          <w:rFonts w:ascii="Times New Roman" w:hAnsi="Times New Roman"/>
          <w:caps w:val="false"/>
          <w:smallCaps w:val="false"/>
          <w:sz w:val="20"/>
        </w:rPr>
        <w:t>3</w:t>
      </w:r>
      <w:r>
        <w:rPr>
          <w:rFonts w:ascii="Times New Roman" w:hAnsi="Times New Roman"/>
          <w:caps w:val="false"/>
          <w:smallCaps w:val="false"/>
          <w:sz w:val="20"/>
        </w:rPr>
        <w:t>) raising additional capital through equity or debt financings or from other sources, including royalty or other monetization transactions; (</w:t>
      </w:r>
      <w:r>
        <w:rPr>
          <w:rStyle w:val="Emphasis"/>
          <w:rFonts w:ascii="Times New Roman" w:hAnsi="Times New Roman"/>
          <w:caps w:val="false"/>
          <w:smallCaps w:val="false"/>
          <w:sz w:val="20"/>
        </w:rPr>
        <w:t>4</w:t>
      </w:r>
      <w:r>
        <w:rPr>
          <w:rFonts w:ascii="Times New Roman" w:hAnsi="Times New Roman"/>
          <w:caps w:val="false"/>
          <w:smallCaps w:val="false"/>
          <w:sz w:val="20"/>
        </w:rPr>
        <w:t>) obtaining additional product candidate regulatory approvals, which would generate revenue, milestone payments and cash flow;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reducing spending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research and development programs, including by discontinuing development; and/or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restructuring operations to change its overhead structure.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timing, scope and magnitude of its commercial expenses and key development and regulatory events and its decisions in the future.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subsidiaries. All intercompany transactions and balances among the consolidated entities have been eliminated from the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Company’s consolidated financial statements have been prepared in accordance with accounting principles generally accepted in the United States (“U.S. GAAP”). Such consolidated financial statements reflect all adjustments that are, in management’s opinion, necessary to present fairly, in all material respects, the Company’s consolidated financial position, results of operations, and cash flows.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adjustments other than normal recurring adjustments.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Reclassifications/Revisions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has reclassified certain non-cash expense amounts on the Consolidated Statement of Cash Flows for the year ended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to conform with the current year presentation.  Additionally, the Company revised its Consolidated Statement of Cash Flows for the year ended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to reflect an immaterial correction whereby net cash used in operating activities was revised from $(137,216) to $(135,108) and net cash provided by financing activities was revised from $302,697 to $300,589.  The reclassifications and correction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net cash flows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Consolidated Balance Sheet, Consolidated Statement of Comprehensive Loss, Consolidated Statement of Stockholders’ Equity (Deficit), or the net loss or loss per share for the year ended </w:t>
      </w:r>
      <w:r>
        <w:rPr>
          <w:rStyle w:val="Emphasis"/>
          <w:rFonts w:ascii="Times New Roman" w:hAnsi="Times New Roman"/>
          <w:caps w:val="false"/>
          <w:smallCaps w:val="false"/>
          <w:sz w:val="20"/>
        </w:rPr>
        <w:t>December 31, 2020.</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jc w:val="center"/>
        <w:rPr/>
      </w:pPr>
      <w:r>
        <w:rPr>
          <w:rStyle w:val="Emphasis"/>
          <w:rFonts w:ascii="Times New Roman" w:hAnsi="Times New Roman"/>
          <w:sz w:val="20"/>
        </w:rPr>
        <w:t>60</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the ORLADEYO royalty financing obligations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apparent from other sources. Actual results could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Pursuant to Accounting Standards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to depict the transfer of promised goods or services to customers in an amount that reflects the consideration to which the entity expects to be entitled in exchange for those goods or services. To achieve this core principle,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includes provisions within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Product Sales,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The Company’s principal sources of product sales are sales of ORLADEYO, which the Company began shipping to patients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sales of peramivir to the Company’s licensing partners and sales of RAPIVAB to the U.S. Department of Health and Human Services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its product.</w:t>
      </w:r>
    </w:p>
    <w:p>
      <w:pPr>
        <w:pStyle w:val="TextBody"/>
        <w:spacing w:before="0" w:after="0"/>
        <w:ind w:left="0" w:right="0" w:firstLine="58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constrained and is included in the net sales price only to the extent that it is probable that a significant reversal in the amount of the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Actual amounts of consideration ultimately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If actual results in the future vary from estimates, the Company adjusts these estimates, which would affect net product revenue and earnings in the period such variances become known.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i/>
          <w:caps w:val="false"/>
          <w:smallCaps w:val="false"/>
          <w:sz w:val="20"/>
        </w:rPr>
        <w:t>Government and Managed Care Rebates</w:t>
      </w:r>
      <w:r>
        <w:rPr>
          <w:rFonts w:ascii="Times New Roman" w:hAnsi="Times New Roman"/>
          <w:caps w:val="false"/>
          <w:smallCaps w:val="false"/>
          <w:sz w:val="20"/>
        </w:rPr>
        <w:t xml:space="preserve">. The Company contracts with government agencies and managed care organizations or, collectively,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payors, so that ORLADEYO will be eligible for purchase by, or partial or full reimbursement from, such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payors based upon (i) the Company's contracts with these </w:t>
      </w:r>
      <w:r>
        <w:rPr>
          <w:rStyle w:val="Emphasis"/>
          <w:rFonts w:ascii="Times New Roman" w:hAnsi="Times New Roman"/>
          <w:caps w:val="false"/>
          <w:smallCaps w:val="false"/>
          <w:sz w:val="20"/>
        </w:rPr>
        <w:t>third</w:t>
      </w:r>
      <w:r>
        <w:rPr>
          <w:rFonts w:ascii="Times New Roman" w:hAnsi="Times New Roman"/>
          <w:caps w:val="false"/>
          <w:smallCaps w:val="false"/>
          <w:sz w:val="20"/>
        </w:rPr>
        <w:t>-party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i/>
          <w:caps w:val="false"/>
          <w:smallCaps w:val="false"/>
          <w:sz w:val="20"/>
        </w:rPr>
        <w:t>Chargebacks</w:t>
      </w:r>
      <w:r>
        <w:rPr>
          <w:rFonts w:ascii="Times New Roman" w:hAnsi="Times New Roman"/>
          <w:caps w:val="false"/>
          <w:smallCaps w:val="false"/>
          <w:sz w:val="20"/>
        </w:rPr>
        <w:t xml:space="preserve">. Chargebacks are discounts that occur when certain contracted customers, pharmacy benefit managers, insurance companies and 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higher or lower than the specialty pharmacy’s purchase price from the Company. The Company estimates chargebacks and adjusts gross product revenues and accounts receivable based on the estimates at the time revenues are recognized.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720"/>
        <w:rPr/>
      </w:pPr>
      <w:r>
        <w:rPr>
          <w:rFonts w:ascii="Times New Roman" w:hAnsi="Times New Roman"/>
          <w:i/>
          <w:caps w:val="false"/>
          <w:smallCaps w:val="false"/>
          <w:sz w:val="20"/>
        </w:rPr>
        <w:t>Co-payment assistance and patient assistance programs</w:t>
      </w:r>
      <w:r>
        <w:rPr>
          <w:rFonts w:ascii="Times New Roman" w:hAnsi="Times New Roman"/>
          <w:caps w:val="false"/>
          <w:smallCaps w:val="false"/>
          <w:sz w:val="20"/>
        </w:rPr>
        <w:t xml:space="preserve">. Patients who have commercial insurance and meet certain eligibility requirements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i/>
          <w:caps w:val="false"/>
          <w:smallCaps w:val="false"/>
          <w:sz w:val="20"/>
        </w:rPr>
        <w:t>Product returns</w:t>
      </w:r>
      <w:r>
        <w:rPr>
          <w:rFonts w:ascii="Times New Roman" w:hAnsi="Times New Roman"/>
          <w:caps w:val="false"/>
          <w:smallCaps w:val="false"/>
          <w:sz w:val="20"/>
        </w:rPr>
        <w:t xml:space="preserv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contractual return rights to its customer,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Collaborative and Other Research and Development Arrangements and Royalties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rPr/>
      </w:pPr>
      <w:r>
        <w:rPr>
          <w:rFonts w:ascii="Times New Roman" w:hAnsi="Times New Roman"/>
          <w:caps w:val="false"/>
          <w:smallCaps w:val="false"/>
          <w:sz w:val="20"/>
        </w:rPr>
        <w:t xml:space="preserve">The Company has collaboration and license agreements with a number of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as well as research and development agreements with certain government entities. The Company’s primary sources of revenue from these collaborative and other research and development arrangements are license, service and royalty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rPr/>
      </w:pPr>
      <w:r>
        <w:rPr>
          <w:rFonts w:ascii="Times New Roman" w:hAnsi="Times New Roman"/>
          <w:caps w:val="false"/>
          <w:smallCaps w:val="false"/>
          <w:sz w:val="20"/>
        </w:rPr>
        <w:t xml:space="preserve">Revenue from license fees, royalty payments, milestone payments, and research and development fees are recognized as revenue when the earnings process is complete and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continuing performance obligations or the Company has completed the performance obligations under the terms of the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rPr/>
      </w:pPr>
      <w:r>
        <w:rPr>
          <w:rFonts w:ascii="Times New Roman" w:hAnsi="Times New Roman"/>
          <w:caps w:val="false"/>
          <w:smallCaps w:val="false"/>
          <w:sz w:val="20"/>
        </w:rPr>
        <w:t xml:space="preserve">Arrangements that involve the delivery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an obligation to deliver services, a right or license to use an asset, or another performance obligation.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rPr/>
      </w:pPr>
      <w:r>
        <w:rPr>
          <w:rFonts w:ascii="Times New Roman" w:hAnsi="Times New Roman"/>
          <w:caps w:val="false"/>
          <w:smallCaps w:val="false"/>
          <w:sz w:val="20"/>
        </w:rPr>
        <w:t xml:space="preserve">Milestone payments are recognized as licensing revenue upon the achievement of specified milestones if (i) the milestone is substantive in nature and the achievement of the milestone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at the inception of the agreement; and (ii) the Company has a right to payment. Any milestone payments received prior to satisfying these revenue recognition criteria are recorded as deferred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rPr>
          <w:rFonts w:ascii="Times New Roman" w:hAnsi="Times New Roman"/>
          <w:caps w:val="false"/>
          <w:smallCaps w:val="false"/>
          <w:sz w:val="20"/>
        </w:rPr>
      </w:pPr>
      <w:r>
        <w:rPr>
          <w:rFonts w:ascii="Times New Roman" w:hAnsi="Times New Roman"/>
          <w:caps w:val="false"/>
          <w:smallCaps w:val="false"/>
          <w:sz w:val="20"/>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United States Department of Health and Human Services (”BARDA/HHS”) and the National Institute of Allergy and Infectious Diseases (“NIAID/HHS”), revenue is recognized as reimbursable direct and indirect costs are incurred.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rPr>
          <w:rFonts w:ascii="Times New Roman" w:hAnsi="Times New Roman"/>
          <w:caps w:val="false"/>
          <w:smallCaps w:val="false"/>
          <w:sz w:val="20"/>
        </w:rPr>
      </w:pPr>
      <w:r>
        <w:rPr>
          <w:rFonts w:ascii="Times New Roman" w:hAnsi="Times New Roman"/>
          <w:caps w:val="false"/>
          <w:smallCaps w:val="false"/>
          <w:sz w:val="20"/>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62</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generally considers cash equivalents to be all cash held in commercial checking accounts, certificates of deposit, money market accounts or investments in debt instruments with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time of purchase. The carrying value of cash and cash equivalents approximates fair value due to the short-term nature of these items.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Restricted 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Restricted cash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reflects $1,924 and $796, respectively, in royalty revenue paid by Shionogi &amp; Co., Ltd. (“Shionogi”) designated for interest on the PhaRMA Notes (defined in Note </w:t>
      </w:r>
      <w:r>
        <w:rPr>
          <w:rStyle w:val="Emphasis"/>
          <w:rFonts w:ascii="Times New Roman" w:hAnsi="Times New Roman"/>
          <w:caps w:val="false"/>
          <w:smallCaps w:val="false"/>
          <w:sz w:val="20"/>
        </w:rPr>
        <w:t>8</w:t>
      </w:r>
      <w:r>
        <w:rPr>
          <w:rFonts w:ascii="Times New Roman" w:hAnsi="Times New Roman"/>
          <w:caps w:val="false"/>
          <w:smallCaps w:val="false"/>
          <w:sz w:val="20"/>
        </w:rPr>
        <w:t>) and $1,421 and $1,425, respectively, the Company is required to maintain as collateral for a letter of credit associated with the lease execution and build-out of its new Birmingham research facilities.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more than 12 months. Some of the securities the Company invests in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market risk. This means that a change in prevailing interest rates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it has a material exposure to interest rate risk arising from its investments. Generally, the Company’s investments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collateralized.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realized any significant losses from its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which mature at or less than 12 months from the balance sheet date are classified as current. Investments with a maturity beyond 12 months from the balance sheet date are classified as long-term.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Company believes that the cost of its investments is recoverable in all material respects.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Trade Receivables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majority of the Company’s trade receivables arise from product sales and primarily represent amounts due from our specialty pharmacy customer in the U.S.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-party distributors, hospitals and pharmacies in the European Union, United Kingdom and elsewhere and have standard payment terms that generally require payment within </w:t>
      </w:r>
      <w:r>
        <w:rPr>
          <w:rStyle w:val="Emphasis"/>
          <w:rFonts w:ascii="Times New Roman" w:hAnsi="Times New Roman"/>
          <w:caps w:val="false"/>
          <w:smallCaps w:val="false"/>
          <w:sz w:val="20"/>
        </w:rPr>
        <w:t>30</w:t>
      </w:r>
      <w:r>
        <w:rPr>
          <w:rFonts w:ascii="Times New Roman" w:hAnsi="Times New Roman"/>
          <w:caps w:val="false"/>
          <w:smallCaps w:val="false"/>
          <w:sz w:val="20"/>
        </w:rPr>
        <w:t> to </w:t>
      </w:r>
      <w:r>
        <w:rPr>
          <w:rStyle w:val="Emphasis"/>
          <w:rFonts w:ascii="Times New Roman" w:hAnsi="Times New Roman"/>
          <w:caps w:val="false"/>
          <w:smallCaps w:val="false"/>
          <w:sz w:val="20"/>
        </w:rPr>
        <w:t>90</w:t>
      </w:r>
      <w:r>
        <w:rPr>
          <w:rFonts w:ascii="Times New Roman" w:hAnsi="Times New Roman"/>
          <w:caps w:val="false"/>
          <w:smallCaps w:val="false"/>
          <w:sz w:val="20"/>
        </w:rPr>
        <w:t> days.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Receivables from collaborations are recorded for amounts due to the Company related to reimbursable research and development costs from the U.S. Department of Health and Human Services, and royalty receivables from our partners, including Shionogi, Green Cross, and Torii.</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Monthly invoices are submitted to the U.S. Department of Health and Human Services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adjust its receivables for the effects of a significant financing component at contract inception if it expects to collect the receivables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from the time of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provides reserves against trade receivables for estimated losses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63</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values its inventories at the lower of cost or estimated net realizable value. The Company determines the cost of its inventories, which includes amounts related to materials, labor, manufacturing overhead, and shipping and handling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-out (FIFO) basis. Raw materials and work-in-process include all inventory costs prior to packaging and labelling, including raw material, active product ingredient, and the drug product. Finished goods include packaged and labelled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Company’s inventories are subject to expiration dating. The Company regularly evaluates the carrying value of its inventories and provides valuation reserves for any estimated obsolete, short-dated or unmarketable inventories. In addition,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experience spoilage of its raw materials and supplies. The Company’s determination that a valuation reserve might be required, in addition to the quantification of such reserve, requires it to utilize significant judgement.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accordance with U.S. GAAP, the Company periodically reviews its property and equipment for impairment when events or changes in circumstances indicate that the carrying amount of such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Determination of recoverability is based on an estimate of undiscounted future cash flows resulting from the use of the asset and its eventual disposition. In the event that such cash flows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Accrued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generally enters into contractual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the carrying value of accrued expenses approximates their fair value due to their short-term settlement.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Cost of Product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include costs related to excess or obsolete inventory adjustment charges.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w:t>
      </w:r>
      <w:r>
        <w:rPr>
          <w:rStyle w:val="Emphasis"/>
          <w:rFonts w:ascii="Times New Roman" w:hAnsi="Times New Roman"/>
          <w:caps w:val="false"/>
          <w:smallCaps w:val="false"/>
          <w:sz w:val="20"/>
        </w:rPr>
        <w:t>third</w:t>
      </w:r>
      <w:r>
        <w:rPr>
          <w:rFonts w:ascii="Times New Roman" w:hAnsi="Times New Roman"/>
          <w:caps w:val="false"/>
          <w:smallCaps w:val="false"/>
          <w:sz w:val="20"/>
        </w:rPr>
        <w:t>-party CROs. Costs for studies performed by CROs are accrued by the Company over the service periods specified in the contracts, and estimates are adjusted, if required, based upon the Company’s ongoing review of the level of services actually performed.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80"/>
        <w:rPr/>
      </w:pPr>
      <w:r>
        <w:rPr>
          <w:rFonts w:ascii="Times New Roman" w:hAnsi="Times New Roman"/>
          <w:caps w:val="false"/>
          <w:smallCaps w:val="false"/>
          <w:sz w:val="20"/>
        </w:rPr>
        <w:t xml:space="preserve">Additionally, the Company has license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Selling, General and Administrative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rFonts w:ascii="Times New Roman" w:hAnsi="Times New Roman"/>
          <w:caps w:val="false"/>
          <w:smallCaps w:val="false"/>
          <w:sz w:val="20"/>
        </w:rPr>
      </w:pPr>
      <w:r>
        <w:rPr>
          <w:rFonts w:ascii="Times New Roman" w:hAnsi="Times New Roman"/>
          <w:caps w:val="false"/>
          <w:smallCaps w:val="false"/>
          <w:sz w:val="20"/>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Advertising expenses related to ORLADEYO were $5,705 and $6,567 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 The Company did not incur advertising and product promotion expenses in </w:t>
      </w:r>
      <w:r>
        <w:rPr>
          <w:rStyle w:val="Emphasis"/>
          <w:rFonts w:ascii="Times New Roman" w:hAnsi="Times New Roman"/>
          <w:caps w:val="false"/>
          <w:smallCaps w:val="false"/>
          <w:sz w:val="20"/>
        </w:rPr>
        <w:t>2019.</w:t>
      </w:r>
    </w:p>
    <w:p>
      <w:pPr>
        <w:pStyle w:val="TextBody"/>
        <w:spacing w:before="0" w:after="0"/>
        <w:ind w:left="0" w:right="0" w:firstLine="58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 seeks patent protection on all internally developed processes and products. All patent related costs are expensed to selling, general and administrative expenses when incurred as recoverability of such expenditures is uncertain.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leases certain assets under operating leases, which primarily consisted of real estate leases, laboratory equipment leases and office equipment leases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accounts for lease obligations in accordance with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Leases (Topic </w:t>
      </w:r>
      <w:r>
        <w:rPr>
          <w:rStyle w:val="Emphasis"/>
          <w:rFonts w:ascii="Times New Roman" w:hAnsi="Times New Roman"/>
          <w:i/>
          <w:caps w:val="false"/>
          <w:smallCaps w:val="false"/>
          <w:sz w:val="20"/>
        </w:rPr>
        <w:t>842</w:t>
      </w:r>
      <w:r>
        <w:rPr>
          <w:rFonts w:ascii="Times New Roman" w:hAnsi="Times New Roman"/>
          <w:i/>
          <w:caps w:val="false"/>
          <w:smallCaps w:val="false"/>
          <w:sz w:val="20"/>
        </w:rPr>
        <w:t>)</w:t>
      </w:r>
      <w:r>
        <w:rPr>
          <w:rFonts w:ascii="Times New Roman" w:hAnsi="Times New Roman"/>
          <w:caps w:val="false"/>
          <w:smallCaps w:val="false"/>
          <w:sz w:val="20"/>
        </w:rPr>
        <w:t>, which requires a lessee to recognize a right-of-use asset and a lease liability on its balance sheet for most operating 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Certain of the Company’s operating leases provide for renewal options, which can vary by lease. The right-of-use asset and lease liabilities on the Company’s Consolidated Balance Sheet represent payments over the lease term, which includes renewal options for certain real estate leases that we are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or less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discount rate used in the calculation of the Company’s right-of-use asset and lease liability was determined based on the stated rate within each contract when available, or the Company’s collateralized borrowing rate from lending institutions.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made any residual value guarantees related to its operating leases; therefore,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corresponding liability recorded on its Consolidated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we have outstanding performance-based stock options for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compensation expense is recognized until “performance” is deemed to have occurred.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65</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Interest Expense and Deferred Financing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Interest expense for the years ended </w:t>
      </w:r>
      <w:r>
        <w:rPr>
          <w:rStyle w:val="Emphasis"/>
          <w:rFonts w:ascii="Times New Roman" w:hAnsi="Times New Roman"/>
          <w:caps w:val="false"/>
          <w:smallCaps w:val="false"/>
          <w:sz w:val="20"/>
        </w:rPr>
        <w:t>December 31, 2021, 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was $59,294, $14,501 and $11,892, respectively, and primarily relates to the royalty financing obligations and PhaRMA Notes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the secured term loan borrowing from the Credit Agreement and the senior credit facility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included in interest expense was $(531), $1,217 and $1,278 for the years ended </w:t>
      </w:r>
      <w:r>
        <w:rPr>
          <w:rStyle w:val="Emphasis"/>
          <w:rFonts w:ascii="Times New Roman" w:hAnsi="Times New Roman"/>
          <w:caps w:val="false"/>
          <w:smallCaps w:val="false"/>
          <w:sz w:val="20"/>
        </w:rPr>
        <w:t>December 31, 2021, 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w:t>
      </w:r>
    </w:p>
    <w:p>
      <w:pPr>
        <w:pStyle w:val="TextBody"/>
        <w:spacing w:before="0" w:after="0"/>
        <w:ind w:left="0" w:right="0" w:firstLine="58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the PhaRMA Notes and associated accrued interest payable was written-off into other income as a debt extinguishment (Refer to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Non-Recourse Notes Payable – Debt Extinguishment for additional information regarding the debt extinguishment). 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the outstanding principal balance of the senior credit facility was repaid and related unamortized deferred financing costs and original issue discount of $1,211 were fully expensed as part of loss on debt extinguishment.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Interest Expense and Royalty Financing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The royalty financing obligations are eligible to be repaid based on royalties from net sales of ORLADEYO, </w:t>
      </w:r>
      <w:r>
        <w:rPr>
          <w:rStyle w:val="Emphasis"/>
          <w:rFonts w:ascii="Times New Roman" w:hAnsi="Times New Roman"/>
          <w:caps w:val="false"/>
          <w:smallCaps w:val="false"/>
          <w:sz w:val="20"/>
        </w:rPr>
        <w:t>BCX9930,</w:t>
      </w:r>
      <w:r>
        <w:rPr>
          <w:rFonts w:ascii="Times New Roman" w:hAnsi="Times New Roman"/>
          <w:caps w:val="false"/>
          <w:smallCaps w:val="false"/>
          <w:sz w:val="20"/>
        </w:rPr>
        <w:t xml:space="preserve"> and another earlier stage Factor D inhibitor.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requires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Currency Hedge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In connection with the issuance by JPR Royalty Sub LLC of the PhaRMA Notes, the Company entered into a Currency Hedge Agreement to hedge certain risks associated with changes in the value of the Japanese yen relative to the U.S. dollar. The final tranche of the options under the Currency Hedge Agreement expired in </w:t>
      </w:r>
      <w:r>
        <w:rPr>
          <w:rStyle w:val="Emphasis"/>
          <w:rFonts w:ascii="Times New Roman" w:hAnsi="Times New Roman"/>
          <w:caps w:val="false"/>
          <w:smallCaps w:val="false"/>
          <w:sz w:val="20"/>
        </w:rPr>
        <w:t xml:space="preserve">November 2020. </w:t>
      </w:r>
      <w:r>
        <w:rPr>
          <w:rFonts w:ascii="Times New Roman" w:hAnsi="Times New Roman"/>
          <w:caps w:val="false"/>
          <w:smallCaps w:val="false"/>
          <w:sz w:val="20"/>
        </w:rPr>
        <w:t xml:space="preserve">The Currency Hedge Agreement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hedge accounting treatment; therefore mark-to-market adjustments were recognized in the Company’s Consolidated Statements of Comprehensive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Cumulative mark-to-market adjustments for the years ended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resulted in losses of $632 and $347, respectively. Mark-to-market adjustments were determined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pricing model which uses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actively traded and for which significant inputs are observable directly or indirectly, representing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the fair value hierarchy as defined by U.S. GAAP. In addition, realized currency exchange gains of $662 and $863 were recognized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 related to the exercise of a U.S. dollar/Japanese yen currency option under the Company’s foreign currency hedge.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for the years ended </w:t>
      </w:r>
      <w:r>
        <w:rPr>
          <w:rStyle w:val="Emphasis"/>
          <w:rFonts w:ascii="Times New Roman" w:hAnsi="Times New Roman"/>
          <w:caps w:val="false"/>
          <w:smallCaps w:val="false"/>
          <w:sz w:val="20"/>
        </w:rPr>
        <w:t>December 31, 2021, 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26,034, 14,957, and 2,805, respectively, of potential common shares as their impact would be anti-dilutive.</w:t>
      </w:r>
    </w:p>
    <w:p>
      <w:pPr>
        <w:pStyle w:val="TextBody"/>
        <w:spacing w:before="0" w:after="0"/>
        <w:ind w:left="0" w:right="0" w:firstLine="58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Accumulated Other Comprehensive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80"/>
        <w:rPr/>
      </w:pPr>
      <w:r>
        <w:rPr>
          <w:rFonts w:ascii="Times New Roman" w:hAnsi="Times New Roman"/>
          <w:caps w:val="false"/>
          <w:smallCaps w:val="false"/>
          <w:sz w:val="20"/>
        </w:rPr>
        <w:t xml:space="preserve">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loss and recorded as interest and other income on the Consolidated Statements of Comprehensive Loss. For both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realized gains of $1 were reclassified out of accumulated other comprehensive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66</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Significant Customers and Other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Significant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Company’s primary sources of revenue and cash flow are the sales of ORLADEYO to a specialty pharmacy, the reimbursement of galidesivir (formerly </w:t>
      </w:r>
      <w:r>
        <w:rPr>
          <w:rStyle w:val="Emphasis"/>
          <w:rFonts w:ascii="Times New Roman" w:hAnsi="Times New Roman"/>
          <w:caps w:val="false"/>
          <w:smallCaps w:val="false"/>
          <w:sz w:val="20"/>
        </w:rPr>
        <w:t>BCX4430</w:t>
      </w:r>
      <w:r>
        <w:rPr>
          <w:rFonts w:ascii="Times New Roman" w:hAnsi="Times New Roman"/>
          <w:caps w:val="false"/>
          <w:smallCaps w:val="false"/>
          <w:sz w:val="20"/>
        </w:rPr>
        <w:t>) development expenses earned under cost-plus-fixed-fee contracts with BARDA/HHS and NIAID/HHS and sales of RAPIVAB (peramivir injection) under our procurement contract with the Assistant Secretary for Preparedness and Response within the United States Department of Health and Human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ORLADEYO is distributed through an arrangement with a single specialty pharmacy in the U.S.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 relies on BARDA/HHS and NIAID/HHS to reimburse predominantly all of the development costs for its galidesivir program and stockpiling sales of RAPIVAB to HHS. Accordingly, reimbursement of these expenses represents a significant portion of the Company’s collaborative and other research and development revenues. Additionally, HHS is the primary customer for RABIVAB. The completion or termination of the NIAID/HHS and BARDA/HHS galidesivir contracts or the reduction or stoppage of purchases of RAPIVAB by HHS could adversely impact the Company’s business, 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Further, the Company’s drug development activities are performed by a limited group of </w:t>
      </w:r>
      <w:r>
        <w:rPr>
          <w:rStyle w:val="Emphasis"/>
          <w:rFonts w:ascii="Times New Roman" w:hAnsi="Times New Roman"/>
          <w:caps w:val="false"/>
          <w:smallCaps w:val="false"/>
          <w:sz w:val="20"/>
        </w:rPr>
        <w:t>third</w:t>
      </w:r>
      <w:r>
        <w:rPr>
          <w:rFonts w:ascii="Times New Roman" w:hAnsi="Times New Roman"/>
          <w:caps w:val="false"/>
          <w:smallCaps w:val="false"/>
          <w:sz w:val="20"/>
        </w:rPr>
        <w:t>-party vendors. If any of these vendors were unable to perform its services, this could significantly impact the Company’s ability to complete its drug development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Risks from Third-Party Manufacturing and Distribution Concentration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 relies on single source manufacturers for active pharmaceutical ingredient and finished drug product manufacturing of product candidates in development and on a single specialty pharmacy for distribution of approved drug product in the US. Delays in the manufacture or distribution of any product could adversely impact the commercial revenue and future procurement stockpiling of the Company’s product candidates.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Credit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Cash equivalents and investments are financial instruments that potentially subject the Company to concentration of risk to the extent recorded on the Consolidated Balance Sheets. The Company deposits excess cash with major financial institutions in the United States. Balances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Company’s receivables from sales of ORLADEYO are primarily due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customer, resulting in a concentration of credit risk. Sales of ORLADEYO from the Company to the specialty pharmacy only occur once an order of product has been received by the specialty pharmacy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its customers, which include pharmacy benefit managers, insurance companies, government programs and group purchasing organizations.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majority of the Company’s receivables from collaborations are due from the U.S. Government, for which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assumed credit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Recently Adopted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2019</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Simplifying the Accounting for Income Taxes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2019</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simplifies accounting for income taxes by removing certain exceptions to the general principles and clarifying existing guidance. This standard is effective for fiscal years, and interim periods within those years, beginning after </w:t>
      </w:r>
      <w:r>
        <w:rPr>
          <w:rStyle w:val="Emphasis"/>
          <w:rFonts w:ascii="Times New Roman" w:hAnsi="Times New Roman"/>
          <w:caps w:val="false"/>
          <w:smallCaps w:val="false"/>
          <w:sz w:val="20"/>
        </w:rPr>
        <w:t xml:space="preserve">December 15, 2020. </w:t>
      </w:r>
      <w:r>
        <w:rPr>
          <w:rFonts w:ascii="Times New Roman" w:hAnsi="Times New Roman"/>
          <w:caps w:val="false"/>
          <w:smallCaps w:val="false"/>
          <w:sz w:val="20"/>
        </w:rPr>
        <w:t xml:space="preserve">The adoption of this standard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to the Company’s financial position, results of operations or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has reviewed other new accounting pronouncements that were issued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these pronouncements are either applicable to the Company, or that they will have a material impact on its financial position or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rStyle w:val="Emphasis"/>
          <w:rFonts w:ascii="Times New Roman" w:hAnsi="Times New Roman"/>
          <w:sz w:val="20"/>
        </w:rPr>
        <w:t>67</w:t>
      </w:r>
      <w:r>
        <w:rPr>
          <w:rFonts w:ascii="Times New Roman" w:hAnsi="Times New Roman"/>
          <w:sz w:val="20"/>
        </w:rPr>
        <w:t xml:space="preserve">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i/>
          <w:caps w:val="false"/>
          <w:smallCaps w:val="false"/>
          <w:sz w:val="20"/>
        </w:rPr>
        <w:t>2</w:t>
      </w:r>
      <w:r>
        <w:rPr>
          <w:rFonts w:ascii="Times New Roman" w:hAnsi="Times New Roman"/>
          <w:b/>
          <w:i/>
          <w:caps w:val="false"/>
          <w:smallCaps w:val="false"/>
          <w:sz w:val="20"/>
        </w:rPr>
        <w:t xml:space="preserve"> -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280" w:right="0" w:hanging="0"/>
        <w:rPr/>
      </w:pPr>
      <w:r>
        <w:rPr>
          <w:rFonts w:ascii="Times New Roman" w:hAnsi="Times New Roman"/>
          <w:caps w:val="false"/>
          <w:smallCaps w:val="false"/>
          <w:sz w:val="20"/>
        </w:rPr>
        <w:t xml:space="preserve">The Company recorded the following revenues for the years ended </w:t>
      </w:r>
      <w:r>
        <w:rPr>
          <w:rStyle w:val="Emphasis"/>
          <w:rFonts w:ascii="Times New Roman" w:hAnsi="Times New Roman"/>
          <w:caps w:val="false"/>
          <w:smallCaps w:val="false"/>
          <w:sz w:val="20"/>
        </w:rPr>
        <w:t>December 31:</w:t>
      </w:r>
    </w:p>
    <w:p>
      <w:pPr>
        <w:pStyle w:val="TextBody"/>
        <w:spacing w:before="0" w:after="0"/>
        <w:ind w:left="0" w:right="0" w:hanging="0"/>
        <w:rPr>
          <w:caps w:val="false"/>
          <w:smallCaps w:val="false"/>
        </w:rPr>
      </w:pPr>
      <w:r>
        <w:rPr>
          <w:caps w:val="false"/>
          <w:smallCaps w:val="false"/>
        </w:rPr>
        <w:t> </w:t>
      </w:r>
    </w:p>
    <w:tbl>
      <w:tblPr>
        <w:tblW w:w="7945" w:type="dxa"/>
        <w:jc w:val="left"/>
        <w:tblInd w:w="0" w:type="dxa"/>
        <w:tblCellMar>
          <w:top w:w="0" w:type="dxa"/>
          <w:left w:w="0" w:type="dxa"/>
          <w:bottom w:w="0" w:type="dxa"/>
          <w:right w:w="0" w:type="dxa"/>
        </w:tblCellMar>
      </w:tblPr>
      <w:tblGrid>
        <w:gridCol w:w="5315"/>
        <w:gridCol w:w="60"/>
        <w:gridCol w:w="125"/>
        <w:gridCol w:w="695"/>
        <w:gridCol w:w="80"/>
        <w:gridCol w:w="60"/>
        <w:gridCol w:w="125"/>
        <w:gridCol w:w="590"/>
        <w:gridCol w:w="60"/>
        <w:gridCol w:w="60"/>
        <w:gridCol w:w="125"/>
        <w:gridCol w:w="590"/>
        <w:gridCol w:w="60"/>
      </w:tblGrid>
      <w:tr>
        <w:trPr/>
        <w:tc>
          <w:tcPr>
            <w:tcW w:w="5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 sales,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r>
      <w:tr>
        <w:trPr/>
        <w:tc>
          <w:tcPr>
            <w:tcW w:w="531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ORLADEYO</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121,865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ind w:left="0" w:right="0" w:hanging="0"/>
              <w:rPr/>
            </w:pPr>
            <w:r>
              <w:rPr/>
              <w:t> </w:t>
            </w:r>
          </w:p>
        </w:tc>
      </w:tr>
      <w:tr>
        <w:trPr/>
        <w:tc>
          <w:tcPr>
            <w:tcW w:w="5315"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RAPIVAB</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7,231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13,864</w:t>
            </w:r>
          </w:p>
        </w:tc>
        <w:tc>
          <w:tcPr>
            <w:tcW w:w="60" w:type="dxa"/>
            <w:tcBorders/>
            <w:shd w:fill="CCEEFF" w:val="clear"/>
            <w:vAlign w:val="center"/>
          </w:tcPr>
          <w:p>
            <w:pPr>
              <w:pStyle w:val="TableContents"/>
              <w:spacing w:before="0" w:after="283"/>
              <w:ind w:left="0" w:right="0" w:hanging="0"/>
              <w:rPr/>
            </w:pPr>
            <w:r>
              <w:rPr/>
              <w:t> </w:t>
            </w:r>
          </w:p>
        </w:tc>
      </w:tr>
      <w:tr>
        <w:trPr/>
        <w:tc>
          <w:tcPr>
            <w:tcW w:w="531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Peramivir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7,254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2,685</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3,669</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product sales, net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136,350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3,301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17,533</w:t>
            </w:r>
          </w:p>
        </w:tc>
        <w:tc>
          <w:tcPr>
            <w:tcW w:w="60" w:type="dxa"/>
            <w:tcBorders/>
            <w:shd w:fill="CCEEFF" w:val="clear"/>
            <w:vAlign w:val="center"/>
          </w:tcPr>
          <w:p>
            <w:pPr>
              <w:pStyle w:val="TableContents"/>
              <w:spacing w:before="0" w:after="283"/>
              <w:ind w:left="0" w:right="0" w:hanging="0"/>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Royalty revenue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6,303</w:t>
            </w:r>
          </w:p>
        </w:tc>
        <w:tc>
          <w:tcPr>
            <w:tcW w:w="60" w:type="dxa"/>
            <w:tcBorders/>
            <w:shd w:fill="FFFFFF" w:val="clear"/>
            <w:vAlign w:val="center"/>
          </w:tcPr>
          <w:p>
            <w:pPr>
              <w:pStyle w:val="TableContents"/>
              <w:spacing w:before="0" w:after="283"/>
              <w:ind w:left="0" w:right="0" w:hanging="0"/>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Milestone 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ind w:left="0" w:right="0" w:hanging="0"/>
              <w:rPr/>
            </w:pPr>
            <w:r>
              <w:rPr/>
              <w:t> </w:t>
            </w:r>
          </w:p>
        </w:tc>
      </w:tr>
      <w:tr>
        <w:trPr/>
        <w:tc>
          <w:tcPr>
            <w:tcW w:w="5315" w:type="dxa"/>
            <w:tcBorders/>
            <w:shd w:fill="FFFF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Collaborative and other research and development revenues: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r>
      <w:tr>
        <w:trPr/>
        <w:tc>
          <w:tcPr>
            <w:tcW w:w="5315"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U.S. Department of Health and Human Services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9,231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4,898</w:t>
            </w:r>
          </w:p>
        </w:tc>
        <w:tc>
          <w:tcPr>
            <w:tcW w:w="60" w:type="dxa"/>
            <w:tcBorders/>
            <w:shd w:fill="CCEEFF" w:val="clear"/>
            <w:vAlign w:val="center"/>
          </w:tcPr>
          <w:p>
            <w:pPr>
              <w:pStyle w:val="TableContents"/>
              <w:spacing w:before="0" w:after="283"/>
              <w:ind w:left="0" w:right="0" w:hanging="0"/>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Torii Pharmaceutical Co., Ltd.</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1,899</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20,101</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5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collaborative and other research and development revenues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5,920</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11,130</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24,999</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5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157,170</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17,812</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48,835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 Investments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following tables summarize the fair value of the Company’s investments by type. The estimated fair values of the Company’s fixed income investments are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the fair value hierarchy as defined in U.S. GAAP. These valuations are based on observable direct and indirect inputs, primarily quoted prices of similar,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identical, instruments in active markets or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These fair values are obtained from independent pricing services which utilize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w:t>
      </w:r>
    </w:p>
    <w:p>
      <w:pPr>
        <w:pStyle w:val="TextBody"/>
        <w:spacing w:before="0" w:after="0"/>
        <w:ind w:left="0" w:right="0" w:firstLine="54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704"/>
        <w:gridCol w:w="60"/>
        <w:gridCol w:w="236"/>
        <w:gridCol w:w="923"/>
        <w:gridCol w:w="60"/>
        <w:gridCol w:w="60"/>
        <w:gridCol w:w="393"/>
        <w:gridCol w:w="726"/>
        <w:gridCol w:w="60"/>
        <w:gridCol w:w="60"/>
        <w:gridCol w:w="956"/>
        <w:gridCol w:w="612"/>
        <w:gridCol w:w="60"/>
        <w:gridCol w:w="60"/>
        <w:gridCol w:w="482"/>
        <w:gridCol w:w="1121"/>
        <w:gridCol w:w="80"/>
        <w:gridCol w:w="60"/>
        <w:gridCol w:w="247"/>
        <w:gridCol w:w="1178"/>
        <w:gridCol w:w="67"/>
      </w:tblGrid>
      <w:tr>
        <w:trPr/>
        <w:tc>
          <w:tcPr>
            <w:tcW w:w="270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374"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2021</w:t>
            </w:r>
          </w:p>
        </w:tc>
        <w:tc>
          <w:tcPr>
            <w:tcW w:w="67"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270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 Cost</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Accrued Interest</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6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Unrealized Gains</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6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Unrealized Losses</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 Fair Value</w:t>
            </w:r>
          </w:p>
        </w:tc>
        <w:tc>
          <w:tcPr>
            <w:tcW w:w="67"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270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Obligations of U.S. Government and its agencies</w:t>
            </w:r>
          </w:p>
        </w:tc>
        <w:tc>
          <w:tcPr>
            <w:tcW w:w="60" w:type="dxa"/>
            <w:tcBorders/>
            <w:shd w:fill="CCEEFF" w:val="clear"/>
            <w:vAlign w:val="center"/>
          </w:tcPr>
          <w:p>
            <w:pPr>
              <w:pStyle w:val="TableContents"/>
              <w:spacing w:before="0" w:after="283"/>
              <w:ind w:left="0" w:right="0" w:hanging="0"/>
              <w:rPr/>
            </w:pPr>
            <w:r>
              <w:rPr/>
              <w:t> </w:t>
            </w:r>
          </w:p>
        </w:tc>
        <w:tc>
          <w:tcPr>
            <w:tcW w:w="23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2"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2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4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4,053</w:t>
            </w:r>
          </w:p>
        </w:tc>
        <w:tc>
          <w:tcPr>
            <w:tcW w:w="67" w:type="dxa"/>
            <w:tcBorders/>
            <w:shd w:fill="CCEEFF" w:val="clear"/>
            <w:vAlign w:val="center"/>
          </w:tcPr>
          <w:p>
            <w:pPr>
              <w:pStyle w:val="TableContents"/>
              <w:spacing w:before="0" w:after="283"/>
              <w:ind w:left="0" w:right="0" w:hanging="0"/>
              <w:rPr/>
            </w:pPr>
            <w:r>
              <w:rPr/>
              <w:t> </w:t>
            </w:r>
          </w:p>
        </w:tc>
      </w:tr>
      <w:tr>
        <w:trPr/>
        <w:tc>
          <w:tcPr>
            <w:tcW w:w="270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Corporate debt securities</w:t>
            </w:r>
          </w:p>
        </w:tc>
        <w:tc>
          <w:tcPr>
            <w:tcW w:w="60" w:type="dxa"/>
            <w:tcBorders/>
            <w:shd w:fill="FFFFFF" w:val="clear"/>
            <w:vAlign w:val="center"/>
          </w:tcPr>
          <w:p>
            <w:pPr>
              <w:pStyle w:val="TableContents"/>
              <w:spacing w:before="0" w:after="283"/>
              <w:rPr/>
            </w:pPr>
            <w:r>
              <w:rPr/>
              <w:t> </w:t>
            </w:r>
          </w:p>
        </w:tc>
        <w:tc>
          <w:tcPr>
            <w:tcW w:w="236" w:type="dxa"/>
            <w:tcBorders/>
            <w:shd w:fill="FFFFFF" w:val="clear"/>
            <w:vAlign w:val="center"/>
          </w:tcPr>
          <w:p>
            <w:pPr>
              <w:pStyle w:val="TableContents"/>
              <w:spacing w:before="0" w:after="283"/>
              <w:ind w:left="0" w:right="0" w:hanging="0"/>
              <w:rPr/>
            </w:pPr>
            <w:r>
              <w:rPr/>
              <w:t> </w:t>
            </w:r>
          </w:p>
        </w:tc>
        <w:tc>
          <w:tcPr>
            <w:tcW w:w="9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4,294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3" w:type="dxa"/>
            <w:tcBorders/>
            <w:shd w:fill="FFFFFF" w:val="clear"/>
            <w:vAlign w:val="center"/>
          </w:tcPr>
          <w:p>
            <w:pPr>
              <w:pStyle w:val="TableContents"/>
              <w:spacing w:before="0" w:after="283"/>
              <w:ind w:left="0" w:right="0" w:hanging="0"/>
              <w:rPr/>
            </w:pPr>
            <w:r>
              <w:rPr/>
              <w:t> </w:t>
            </w:r>
          </w:p>
        </w:tc>
        <w:tc>
          <w:tcPr>
            <w:tcW w:w="7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6" w:type="dxa"/>
            <w:tcBorders/>
            <w:shd w:fill="FFFFFF" w:val="clear"/>
            <w:vAlign w:val="center"/>
          </w:tcPr>
          <w:p>
            <w:pPr>
              <w:pStyle w:val="TableContents"/>
              <w:spacing w:before="0" w:after="283"/>
              <w:ind w:left="0" w:right="0" w:hanging="0"/>
              <w:rPr/>
            </w:pPr>
            <w:r>
              <w:rPr/>
              <w:t> </w:t>
            </w:r>
          </w:p>
        </w:tc>
        <w:tc>
          <w:tcPr>
            <w:tcW w:w="612" w:type="dxa"/>
            <w:tcBorders/>
            <w:shd w:fill="FFFF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82" w:type="dxa"/>
            <w:tcBorders/>
            <w:shd w:fill="FFFFFF" w:val="clear"/>
            <w:vAlign w:val="center"/>
          </w:tcPr>
          <w:p>
            <w:pPr>
              <w:pStyle w:val="TableContents"/>
              <w:spacing w:before="0" w:after="283"/>
              <w:ind w:left="0" w:right="0" w:hanging="0"/>
              <w:rPr/>
            </w:pPr>
            <w:r>
              <w:rPr/>
              <w:t> </w:t>
            </w:r>
          </w:p>
        </w:tc>
        <w:tc>
          <w:tcPr>
            <w:tcW w:w="112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47" w:type="dxa"/>
            <w:tcBorders/>
            <w:shd w:fill="FFFFFF" w:val="clear"/>
            <w:vAlign w:val="center"/>
          </w:tcPr>
          <w:p>
            <w:pPr>
              <w:pStyle w:val="TableContents"/>
              <w:spacing w:before="0" w:after="283"/>
              <w:ind w:left="0" w:right="0" w:hanging="0"/>
              <w:rPr/>
            </w:pPr>
            <w:r>
              <w:rPr/>
              <w:t> </w:t>
            </w:r>
          </w:p>
        </w:tc>
        <w:tc>
          <w:tcPr>
            <w:tcW w:w="117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4,329</w:t>
            </w:r>
          </w:p>
        </w:tc>
        <w:tc>
          <w:tcPr>
            <w:tcW w:w="67" w:type="dxa"/>
            <w:tcBorders/>
            <w:shd w:fill="FFFFFF" w:val="clear"/>
            <w:vAlign w:val="center"/>
          </w:tcPr>
          <w:p>
            <w:pPr>
              <w:pStyle w:val="TableContents"/>
              <w:spacing w:before="0" w:after="283"/>
              <w:ind w:left="0" w:right="0" w:hanging="0"/>
              <w:rPr/>
            </w:pPr>
            <w:r>
              <w:rPr/>
              <w:t> </w:t>
            </w:r>
          </w:p>
        </w:tc>
      </w:tr>
      <w:tr>
        <w:trPr/>
        <w:tc>
          <w:tcPr>
            <w:tcW w:w="270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60" w:type="dxa"/>
            <w:tcBorders/>
            <w:shd w:fill="CCEEFF" w:val="clear"/>
            <w:vAlign w:val="center"/>
          </w:tcPr>
          <w:p>
            <w:pPr>
              <w:pStyle w:val="TableContents"/>
              <w:spacing w:before="0" w:after="283"/>
              <w:rPr/>
            </w:pPr>
            <w:r>
              <w:rPr/>
              <w:t> </w:t>
            </w:r>
          </w:p>
        </w:tc>
        <w:tc>
          <w:tcPr>
            <w:tcW w:w="23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2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1,652</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9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2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2"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2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4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7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1,659</w:t>
            </w:r>
          </w:p>
        </w:tc>
        <w:tc>
          <w:tcPr>
            <w:tcW w:w="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270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FFFFFF" w:val="clear"/>
            <w:vAlign w:val="center"/>
          </w:tcPr>
          <w:p>
            <w:pPr>
              <w:pStyle w:val="TableContents"/>
              <w:spacing w:before="0" w:after="283"/>
              <w:ind w:left="0" w:right="0" w:hanging="0"/>
              <w:rPr/>
            </w:pPr>
            <w:r>
              <w:rPr/>
              <w:t> </w:t>
            </w:r>
          </w:p>
        </w:tc>
        <w:tc>
          <w:tcPr>
            <w:tcW w:w="23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9.989</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2"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Times New Roman" w:hAnsi="Times New Roman"/>
                <w:sz w:val="20"/>
              </w:rPr>
              <w:t>-</w:t>
            </w:r>
          </w:p>
        </w:tc>
        <w:tc>
          <w:tcPr>
            <w:tcW w:w="6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2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bottom w:val="double" w:sz="6"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24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10,041</w:t>
            </w:r>
          </w:p>
        </w:tc>
        <w:tc>
          <w:tcPr>
            <w:tcW w:w="67"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704"/>
        <w:gridCol w:w="60"/>
        <w:gridCol w:w="201"/>
        <w:gridCol w:w="958"/>
        <w:gridCol w:w="60"/>
        <w:gridCol w:w="60"/>
        <w:gridCol w:w="393"/>
        <w:gridCol w:w="726"/>
        <w:gridCol w:w="60"/>
        <w:gridCol w:w="60"/>
        <w:gridCol w:w="785"/>
        <w:gridCol w:w="785"/>
        <w:gridCol w:w="60"/>
        <w:gridCol w:w="60"/>
        <w:gridCol w:w="646"/>
        <w:gridCol w:w="957"/>
        <w:gridCol w:w="80"/>
        <w:gridCol w:w="60"/>
        <w:gridCol w:w="247"/>
        <w:gridCol w:w="1178"/>
        <w:gridCol w:w="65"/>
      </w:tblGrid>
      <w:tr>
        <w:trPr/>
        <w:tc>
          <w:tcPr>
            <w:tcW w:w="270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376"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2020</w:t>
            </w:r>
          </w:p>
        </w:tc>
        <w:tc>
          <w:tcPr>
            <w:tcW w:w="6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270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 Cost</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Accrued Interest</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Unrealized Gains</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6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 Unrealized Losses</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Estimated Fair Value</w:t>
            </w:r>
          </w:p>
        </w:tc>
        <w:tc>
          <w:tcPr>
            <w:tcW w:w="65"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270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Obligations of U.S. Government and its agencies</w:t>
            </w:r>
          </w:p>
        </w:tc>
        <w:tc>
          <w:tcPr>
            <w:tcW w:w="60" w:type="dxa"/>
            <w:tcBorders/>
            <w:shd w:fill="CCEEFF" w:val="clear"/>
            <w:vAlign w:val="center"/>
          </w:tcPr>
          <w:p>
            <w:pPr>
              <w:pStyle w:val="TableContents"/>
              <w:spacing w:before="0" w:after="283"/>
              <w:ind w:left="0" w:right="0" w:hanging="0"/>
              <w:rPr/>
            </w:pPr>
            <w:r>
              <w:rPr/>
              <w:t> </w:t>
            </w:r>
          </w:p>
        </w:tc>
        <w:tc>
          <w:tcPr>
            <w:tcW w:w="20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24,986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78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4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4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25,000</w:t>
            </w:r>
          </w:p>
        </w:tc>
        <w:tc>
          <w:tcPr>
            <w:tcW w:w="65" w:type="dxa"/>
            <w:tcBorders/>
            <w:shd w:fill="CCEEFF" w:val="clear"/>
            <w:vAlign w:val="center"/>
          </w:tcPr>
          <w:p>
            <w:pPr>
              <w:pStyle w:val="TableContents"/>
              <w:spacing w:before="0" w:after="283"/>
              <w:ind w:left="0" w:right="0" w:hanging="0"/>
              <w:rPr/>
            </w:pPr>
            <w:r>
              <w:rPr/>
              <w:t> </w:t>
            </w:r>
          </w:p>
        </w:tc>
      </w:tr>
      <w:tr>
        <w:trPr/>
        <w:tc>
          <w:tcPr>
            <w:tcW w:w="2704"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60" w:type="dxa"/>
            <w:tcBorders/>
            <w:shd w:fill="FFFFFF" w:val="clear"/>
            <w:vAlign w:val="center"/>
          </w:tcPr>
          <w:p>
            <w:pPr>
              <w:pStyle w:val="TableContents"/>
              <w:spacing w:before="0" w:after="283"/>
              <w:rPr/>
            </w:pPr>
            <w:r>
              <w:rPr/>
              <w:t> </w:t>
            </w:r>
          </w:p>
        </w:tc>
        <w:tc>
          <w:tcPr>
            <w:tcW w:w="20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3,225</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9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4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7"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7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3,239</w:t>
            </w:r>
          </w:p>
        </w:tc>
        <w:tc>
          <w:tcPr>
            <w:tcW w:w="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2704"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CCEEFF" w:val="clear"/>
            <w:vAlign w:val="center"/>
          </w:tcPr>
          <w:p>
            <w:pPr>
              <w:pStyle w:val="TableContents"/>
              <w:spacing w:before="0" w:after="283"/>
              <w:ind w:left="0" w:right="0" w:hanging="0"/>
              <w:rPr/>
            </w:pPr>
            <w:r>
              <w:rPr/>
              <w:t> </w:t>
            </w:r>
          </w:p>
        </w:tc>
        <w:tc>
          <w:tcPr>
            <w:tcW w:w="20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28,211</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78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4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4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7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28,239</w:t>
            </w:r>
          </w:p>
        </w:tc>
        <w:tc>
          <w:tcPr>
            <w:tcW w:w="65"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following table summarizes the scheduled maturity for the Company’s investments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p>
    <w:p>
      <w:pPr>
        <w:pStyle w:val="TextBody"/>
        <w:spacing w:before="0" w:after="0"/>
        <w:ind w:left="0" w:right="0" w:hanging="0"/>
        <w:rPr>
          <w:caps w:val="false"/>
          <w:smallCaps w:val="false"/>
        </w:rPr>
      </w:pPr>
      <w:r>
        <w:rPr>
          <w:caps w:val="false"/>
          <w:smallCaps w:val="false"/>
        </w:rPr>
        <w:t> </w:t>
      </w:r>
    </w:p>
    <w:tbl>
      <w:tblPr>
        <w:tblW w:w="5095" w:type="dxa"/>
        <w:jc w:val="left"/>
        <w:tblInd w:w="0" w:type="dxa"/>
        <w:tblCellMar>
          <w:top w:w="0" w:type="dxa"/>
          <w:left w:w="0" w:type="dxa"/>
          <w:bottom w:w="0" w:type="dxa"/>
          <w:right w:w="0" w:type="dxa"/>
        </w:tblCellMar>
      </w:tblPr>
      <w:tblGrid>
        <w:gridCol w:w="3425"/>
        <w:gridCol w:w="60"/>
        <w:gridCol w:w="125"/>
        <w:gridCol w:w="590"/>
        <w:gridCol w:w="60"/>
        <w:gridCol w:w="60"/>
        <w:gridCol w:w="125"/>
        <w:gridCol w:w="590"/>
        <w:gridCol w:w="60"/>
      </w:tblGrid>
      <w:tr>
        <w:trPr/>
        <w:tc>
          <w:tcPr>
            <w:tcW w:w="34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34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Maturing in one year or less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28,239</w:t>
            </w:r>
          </w:p>
        </w:tc>
        <w:tc>
          <w:tcPr>
            <w:tcW w:w="60" w:type="dxa"/>
            <w:tcBorders/>
            <w:shd w:fill="CCEEFF" w:val="clear"/>
            <w:vAlign w:val="center"/>
          </w:tcPr>
          <w:p>
            <w:pPr>
              <w:pStyle w:val="TableContents"/>
              <w:spacing w:before="0" w:after="283"/>
              <w:ind w:left="0" w:right="0" w:hanging="0"/>
              <w:rPr/>
            </w:pPr>
            <w:r>
              <w:rPr/>
              <w:t> </w:t>
            </w:r>
          </w:p>
        </w:tc>
      </w:tr>
      <w:tr>
        <w:trPr/>
        <w:tc>
          <w:tcPr>
            <w:tcW w:w="34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Maturing after one year through two years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6,829</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34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investments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10,041</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28,239</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r>
    </w:tbl>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Trade Receivables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b/>
          <w:i/>
          <w:caps w:val="false"/>
          <w:smallCaps w:val="false"/>
          <w:sz w:val="20"/>
        </w:rPr>
      </w:pPr>
      <w:r>
        <w:rPr>
          <w:rFonts w:ascii="Times New Roman" w:hAnsi="Times New Roman"/>
          <w:b/>
          <w:i/>
          <w:caps w:val="false"/>
          <w:smallCaps w:val="false"/>
          <w:sz w:val="20"/>
        </w:rPr>
        <w:t>Product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Receivables from product sales are recorded for amounts due to the Company related to sales of ORLADEYO® and RAPIVAB®.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receivables related to sales of ORLADEYO were $27,384 and $149, respectively.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receivables related to sales of RAPIVAB were $49 and $254, respectively. No reserve or allowance amounts were recorded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respectively.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rFonts w:ascii="Times New Roman" w:hAnsi="Times New Roman"/>
          <w:b/>
          <w:i/>
          <w:caps w:val="false"/>
          <w:smallCaps w:val="false"/>
          <w:sz w:val="20"/>
        </w:rPr>
      </w:pPr>
      <w:r>
        <w:rPr>
          <w:rFonts w:ascii="Times New Roman" w:hAnsi="Times New Roman"/>
          <w:b/>
          <w:i/>
          <w:caps w:val="false"/>
          <w:smallCaps w:val="false"/>
          <w:sz w:val="20"/>
        </w:rPr>
        <w:t>Collaborations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had the following receivables from collaborations:</w:t>
      </w:r>
    </w:p>
    <w:p>
      <w:pPr>
        <w:pStyle w:val="TextBody"/>
        <w:spacing w:before="0" w:after="0"/>
        <w:ind w:left="0" w:right="0" w:hanging="0"/>
        <w:rPr>
          <w:caps w:val="false"/>
          <w:smallCaps w:val="false"/>
        </w:rPr>
      </w:pPr>
      <w:r>
        <w:rPr>
          <w:caps w:val="false"/>
          <w:smallCaps w:val="false"/>
        </w:rPr>
        <w:t> </w:t>
      </w:r>
    </w:p>
    <w:tbl>
      <w:tblPr>
        <w:tblW w:w="6415" w:type="dxa"/>
        <w:jc w:val="left"/>
        <w:tblInd w:w="0" w:type="dxa"/>
        <w:tblCellMar>
          <w:top w:w="0" w:type="dxa"/>
          <w:left w:w="0" w:type="dxa"/>
          <w:bottom w:w="0" w:type="dxa"/>
          <w:right w:w="0" w:type="dxa"/>
        </w:tblCellMar>
      </w:tblPr>
      <w:tblGrid>
        <w:gridCol w:w="4175"/>
        <w:gridCol w:w="60"/>
        <w:gridCol w:w="144"/>
        <w:gridCol w:w="386"/>
        <w:gridCol w:w="60"/>
        <w:gridCol w:w="60"/>
        <w:gridCol w:w="151"/>
        <w:gridCol w:w="589"/>
        <w:gridCol w:w="60"/>
        <w:gridCol w:w="60"/>
        <w:gridCol w:w="125"/>
        <w:gridCol w:w="485"/>
        <w:gridCol w:w="60"/>
      </w:tblGrid>
      <w:tr>
        <w:trPr/>
        <w:tc>
          <w:tcPr>
            <w:tcW w:w="4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120" w:type="dxa"/>
            <w:gridSpan w:val="10"/>
            <w:tcBorders>
              <w:bottom w:val="single" w:sz="2" w:space="0" w:color="000000"/>
            </w:tcBorders>
            <w:shd w:fill="auto" w:val="clear"/>
            <w:tcMar>
              <w:bottom w:w="28" w:type="dxa"/>
            </w:tcMar>
            <w:vAlign w:val="center"/>
          </w:tcPr>
          <w:p>
            <w:pPr>
              <w:pStyle w:val="TableContents"/>
              <w:spacing w:before="0" w:after="283"/>
              <w:jc w:val="center"/>
              <w:rPr>
                <w:rFonts w:ascii="Times New Roman" w:hAnsi="Times New Roman"/>
                <w:b/>
                <w:sz w:val="20"/>
              </w:rPr>
            </w:pPr>
            <w:r>
              <w:rPr>
                <w:rFonts w:ascii="Times New Roman" w:hAnsi="Times New Roman"/>
                <w:b/>
                <w:sz w:val="20"/>
              </w:rPr>
              <w:t>December 31, 2021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5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Billed</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Unbilled</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6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4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Department of Health and Human Services, net</w:t>
            </w:r>
          </w:p>
        </w:tc>
        <w:tc>
          <w:tcPr>
            <w:tcW w:w="60" w:type="dxa"/>
            <w:tcBorders/>
            <w:shd w:fill="CCEEFF" w:val="clear"/>
            <w:vAlign w:val="center"/>
          </w:tcPr>
          <w:p>
            <w:pPr>
              <w:pStyle w:val="TableContents"/>
              <w:spacing w:before="0" w:after="283"/>
              <w:ind w:left="0" w:right="0" w:hanging="0"/>
              <w:rPr/>
            </w:pPr>
            <w:r>
              <w:rPr/>
              <w:t> </w:t>
            </w:r>
          </w:p>
        </w:tc>
        <w:tc>
          <w:tcPr>
            <w:tcW w:w="14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8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5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1,675</w:t>
            </w:r>
          </w:p>
        </w:tc>
        <w:tc>
          <w:tcPr>
            <w:tcW w:w="60" w:type="dxa"/>
            <w:tcBorders/>
            <w:shd w:fill="CCEEFF" w:val="clear"/>
            <w:vAlign w:val="center"/>
          </w:tcPr>
          <w:p>
            <w:pPr>
              <w:pStyle w:val="TableContents"/>
              <w:spacing w:before="0" w:after="283"/>
              <w:ind w:left="0" w:right="0" w:hanging="0"/>
              <w:rPr/>
            </w:pPr>
            <w:r>
              <w:rPr/>
              <w:t> </w:t>
            </w:r>
          </w:p>
        </w:tc>
      </w:tr>
      <w:tr>
        <w:trPr/>
        <w:tc>
          <w:tcPr>
            <w:tcW w:w="41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Royalty receivables from partners</w:t>
            </w:r>
          </w:p>
        </w:tc>
        <w:tc>
          <w:tcPr>
            <w:tcW w:w="60" w:type="dxa"/>
            <w:tcBorders/>
            <w:shd w:fill="FFFFFF" w:val="clear"/>
            <w:vAlign w:val="center"/>
          </w:tcPr>
          <w:p>
            <w:pPr>
              <w:pStyle w:val="TableContents"/>
              <w:spacing w:before="0" w:after="283"/>
              <w:rPr/>
            </w:pPr>
            <w:r>
              <w:rPr/>
              <w:t> </w:t>
            </w:r>
          </w:p>
        </w:tc>
        <w:tc>
          <w:tcPr>
            <w:tcW w:w="1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8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8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receivables from collaborators</w:t>
            </w:r>
          </w:p>
        </w:tc>
        <w:tc>
          <w:tcPr>
            <w:tcW w:w="60" w:type="dxa"/>
            <w:tcBorders/>
            <w:shd w:fill="CCEEFF" w:val="clear"/>
            <w:vAlign w:val="center"/>
          </w:tcPr>
          <w:p>
            <w:pPr>
              <w:pStyle w:val="TableContents"/>
              <w:spacing w:before="0" w:after="283"/>
              <w:ind w:left="0" w:right="0" w:hanging="0"/>
              <w:rPr/>
            </w:pPr>
            <w:r>
              <w:rPr/>
              <w:t> </w:t>
            </w:r>
          </w:p>
        </w:tc>
        <w:tc>
          <w:tcPr>
            <w:tcW w:w="14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8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1,980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pPr>
      <w:r>
        <w:rPr/>
        <w:t> </w:t>
      </w:r>
    </w:p>
    <w:tbl>
      <w:tblPr>
        <w:tblW w:w="6495" w:type="dxa"/>
        <w:jc w:val="left"/>
        <w:tblInd w:w="0" w:type="dxa"/>
        <w:tblCellMar>
          <w:top w:w="0" w:type="dxa"/>
          <w:left w:w="0" w:type="dxa"/>
          <w:bottom w:w="0" w:type="dxa"/>
          <w:right w:w="0" w:type="dxa"/>
        </w:tblCellMar>
      </w:tblPr>
      <w:tblGrid>
        <w:gridCol w:w="4175"/>
        <w:gridCol w:w="60"/>
        <w:gridCol w:w="125"/>
        <w:gridCol w:w="485"/>
        <w:gridCol w:w="60"/>
        <w:gridCol w:w="60"/>
        <w:gridCol w:w="151"/>
        <w:gridCol w:w="589"/>
        <w:gridCol w:w="60"/>
        <w:gridCol w:w="60"/>
        <w:gridCol w:w="125"/>
        <w:gridCol w:w="485"/>
        <w:gridCol w:w="60"/>
      </w:tblGrid>
      <w:tr>
        <w:trPr/>
        <w:tc>
          <w:tcPr>
            <w:tcW w:w="4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60" w:type="dxa"/>
            <w:gridSpan w:val="11"/>
            <w:tcBorders>
              <w:bottom w:val="single" w:sz="2" w:space="0" w:color="000000"/>
            </w:tcBorders>
            <w:shd w:fill="auto" w:val="clear"/>
            <w:tcMar>
              <w:bottom w:w="28" w:type="dxa"/>
            </w:tcMar>
            <w:vAlign w:val="center"/>
          </w:tcPr>
          <w:p>
            <w:pPr>
              <w:pStyle w:val="TableContents"/>
              <w:spacing w:before="0" w:after="283"/>
              <w:jc w:val="center"/>
              <w:rPr>
                <w:rFonts w:ascii="Times New Roman" w:hAnsi="Times New Roman"/>
                <w:sz w:val="20"/>
              </w:rPr>
            </w:pPr>
            <w:r>
              <w:rPr>
                <w:rFonts w:ascii="Times New Roman" w:hAnsi="Times New Roman"/>
                <w:b/>
                <w:sz w:val="20"/>
              </w:rPr>
              <w:t>December 31, 2020  </w:t>
            </w:r>
            <w:r>
              <w:rPr>
                <w:rFonts w:ascii="Times New Roman" w:hAnsi="Times New Roman"/>
                <w:sz w:val="20"/>
              </w:rPr>
              <w:t xml:space="preserve"> </w:t>
            </w:r>
          </w:p>
        </w:tc>
      </w:tr>
      <w:tr>
        <w:trPr/>
        <w:tc>
          <w:tcPr>
            <w:tcW w:w="4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Billed</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Unbilled</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6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4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Department of Health and Human Services, net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5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5,402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5,402</w:t>
            </w:r>
          </w:p>
        </w:tc>
        <w:tc>
          <w:tcPr>
            <w:tcW w:w="60" w:type="dxa"/>
            <w:tcBorders/>
            <w:shd w:fill="CCEEFF" w:val="clear"/>
            <w:vAlign w:val="center"/>
          </w:tcPr>
          <w:p>
            <w:pPr>
              <w:pStyle w:val="TableContents"/>
              <w:spacing w:before="0" w:after="283"/>
              <w:ind w:left="0" w:right="0" w:hanging="0"/>
              <w:rPr/>
            </w:pPr>
            <w:r>
              <w:rPr/>
              <w:t> </w:t>
            </w:r>
          </w:p>
        </w:tc>
      </w:tr>
      <w:tr>
        <w:trPr/>
        <w:tc>
          <w:tcPr>
            <w:tcW w:w="417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Royalty receivables from partners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2,816</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8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2,841</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17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receivables from collaborators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2,816</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5,427</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8,243</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maintained a reserve of $701 related to royalties associated with Green Cross. No reserve was recorded at </w:t>
      </w:r>
      <w:r>
        <w:rPr>
          <w:rStyle w:val="Emphasis"/>
          <w:rFonts w:ascii="Times New Roman" w:hAnsi="Times New Roman"/>
          <w:caps w:val="false"/>
          <w:smallCaps w:val="false"/>
          <w:sz w:val="20"/>
        </w:rPr>
        <w:t>December 31, 2020.</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Inventory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Company’s inventory primarily related to ORLADEYO. Additionally, inventory included RAPIVAB and peramivir, which is manufactured for the Company’s partners.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Company’s inventories consisted of the following:</w:t>
      </w:r>
    </w:p>
    <w:p>
      <w:pPr>
        <w:pStyle w:val="TextBody"/>
        <w:spacing w:before="0" w:after="0"/>
        <w:ind w:left="0" w:right="0" w:firstLine="540"/>
        <w:rPr>
          <w:caps w:val="false"/>
          <w:smallCaps w:val="false"/>
        </w:rPr>
      </w:pPr>
      <w:r>
        <w:rPr>
          <w:caps w:val="false"/>
          <w:smallCaps w:val="false"/>
        </w:rPr>
        <w:t> </w:t>
      </w:r>
    </w:p>
    <w:tbl>
      <w:tblPr>
        <w:tblW w:w="3245" w:type="dxa"/>
        <w:jc w:val="left"/>
        <w:tblInd w:w="0" w:type="dxa"/>
        <w:tblCellMar>
          <w:top w:w="0" w:type="dxa"/>
          <w:left w:w="0" w:type="dxa"/>
          <w:bottom w:w="0" w:type="dxa"/>
          <w:right w:w="0" w:type="dxa"/>
        </w:tblCellMar>
      </w:tblPr>
      <w:tblGrid>
        <w:gridCol w:w="1640"/>
        <w:gridCol w:w="60"/>
        <w:gridCol w:w="125"/>
        <w:gridCol w:w="590"/>
        <w:gridCol w:w="80"/>
        <w:gridCol w:w="60"/>
        <w:gridCol w:w="125"/>
        <w:gridCol w:w="485"/>
        <w:gridCol w:w="80"/>
      </w:tblGrid>
      <w:tr>
        <w:trPr/>
        <w:tc>
          <w:tcPr>
            <w:tcW w:w="16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6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16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5,658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shd w:fill="CCEEFF" w:val="clear"/>
            <w:vAlign w:val="center"/>
          </w:tcPr>
          <w:p>
            <w:pPr>
              <w:pStyle w:val="TableContents"/>
              <w:spacing w:before="0" w:after="283"/>
              <w:ind w:left="0" w:right="0" w:hanging="0"/>
              <w:rPr/>
            </w:pPr>
            <w:r>
              <w:rPr/>
              <w:t> </w:t>
            </w:r>
          </w:p>
        </w:tc>
      </w:tr>
      <w:tr>
        <w:trPr/>
        <w:tc>
          <w:tcPr>
            <w:tcW w:w="16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Work-in-process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2,555</w:t>
            </w:r>
          </w:p>
        </w:tc>
        <w:tc>
          <w:tcPr>
            <w:tcW w:w="80" w:type="dxa"/>
            <w:tcBorders/>
            <w:shd w:fill="FFFFFF" w:val="clear"/>
            <w:vAlign w:val="center"/>
          </w:tcPr>
          <w:p>
            <w:pPr>
              <w:pStyle w:val="TableContents"/>
              <w:spacing w:before="0" w:after="283"/>
              <w:ind w:left="0" w:right="0" w:hanging="0"/>
              <w:rPr/>
            </w:pPr>
            <w:r>
              <w:rPr/>
              <w:t> </w:t>
            </w:r>
          </w:p>
        </w:tc>
      </w:tr>
      <w:tr>
        <w:trPr/>
        <w:tc>
          <w:tcPr>
            <w:tcW w:w="16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4,548</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16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inventory</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16,036</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7,309</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16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Reserves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16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inventory, net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15,791</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7,039</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Property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Property and equipment consisted of the following at </w:t>
      </w:r>
      <w:r>
        <w:rPr>
          <w:rStyle w:val="Emphasis"/>
          <w:rFonts w:ascii="Times New Roman" w:hAnsi="Times New Roman"/>
          <w:caps w:val="false"/>
          <w:smallCaps w:val="false"/>
          <w:sz w:val="20"/>
        </w:rPr>
        <w:t>December 31:</w:t>
      </w:r>
    </w:p>
    <w:p>
      <w:pPr>
        <w:pStyle w:val="TextBody"/>
        <w:spacing w:before="0" w:after="0"/>
        <w:ind w:left="0" w:right="0" w:hanging="0"/>
        <w:rPr>
          <w:caps w:val="false"/>
          <w:smallCaps w:val="false"/>
        </w:rPr>
      </w:pPr>
      <w:r>
        <w:rPr>
          <w:caps w:val="false"/>
          <w:smallCaps w:val="false"/>
        </w:rPr>
        <w:t> </w:t>
      </w:r>
    </w:p>
    <w:tbl>
      <w:tblPr>
        <w:tblW w:w="5660" w:type="dxa"/>
        <w:jc w:val="left"/>
        <w:tblInd w:w="0" w:type="dxa"/>
        <w:tblCellMar>
          <w:top w:w="0" w:type="dxa"/>
          <w:left w:w="0" w:type="dxa"/>
          <w:bottom w:w="0" w:type="dxa"/>
          <w:right w:w="0" w:type="dxa"/>
        </w:tblCellMar>
      </w:tblPr>
      <w:tblGrid>
        <w:gridCol w:w="3950"/>
        <w:gridCol w:w="60"/>
        <w:gridCol w:w="125"/>
        <w:gridCol w:w="590"/>
        <w:gridCol w:w="80"/>
        <w:gridCol w:w="60"/>
        <w:gridCol w:w="125"/>
        <w:gridCol w:w="590"/>
        <w:gridCol w:w="80"/>
      </w:tblGrid>
      <w:tr>
        <w:trPr/>
        <w:tc>
          <w:tcPr>
            <w:tcW w:w="39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70" w:type="dxa"/>
            <w:gridSpan w:val="6"/>
            <w:tcBorders>
              <w:bottom w:val="single" w:sz="2" w:space="0" w:color="000000"/>
            </w:tcBorders>
            <w:shd w:fill="auto" w:val="clear"/>
            <w:tcMar>
              <w:bottom w:w="28" w:type="dxa"/>
            </w:tcMar>
            <w:vAlign w:val="center"/>
          </w:tcPr>
          <w:p>
            <w:pPr>
              <w:pStyle w:val="TableContents"/>
              <w:spacing w:before="0" w:after="283"/>
              <w:jc w:val="center"/>
              <w:rPr>
                <w:rFonts w:ascii="Times New Roman" w:hAnsi="Times New Roman"/>
                <w:b/>
                <w:sz w:val="20"/>
              </w:rPr>
            </w:pPr>
            <w:r>
              <w:rPr>
                <w:rFonts w:ascii="Times New Roman" w:hAnsi="Times New Roman"/>
                <w:b/>
                <w:sz w:val="20"/>
              </w:rPr>
              <w:t>December 31,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3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722</w:t>
            </w:r>
          </w:p>
        </w:tc>
        <w:tc>
          <w:tcPr>
            <w:tcW w:w="80" w:type="dxa"/>
            <w:tcBorders/>
            <w:shd w:fill="CCEEFF" w:val="clear"/>
            <w:vAlign w:val="center"/>
          </w:tcPr>
          <w:p>
            <w:pPr>
              <w:pStyle w:val="TableContents"/>
              <w:spacing w:before="0" w:after="283"/>
              <w:ind w:left="0" w:right="0" w:hanging="0"/>
              <w:rPr/>
            </w:pPr>
            <w:r>
              <w:rPr/>
              <w:t> </w:t>
            </w:r>
          </w:p>
        </w:tc>
      </w:tr>
      <w:tr>
        <w:trPr/>
        <w:tc>
          <w:tcPr>
            <w:tcW w:w="3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Office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w:t>
            </w:r>
          </w:p>
        </w:tc>
        <w:tc>
          <w:tcPr>
            <w:tcW w:w="80" w:type="dxa"/>
            <w:tcBorders/>
            <w:shd w:fill="FFFFFF" w:val="clear"/>
            <w:vAlign w:val="center"/>
          </w:tcPr>
          <w:p>
            <w:pPr>
              <w:pStyle w:val="TableContents"/>
              <w:spacing w:before="0" w:after="283"/>
              <w:ind w:left="0" w:right="0" w:hanging="0"/>
              <w:rPr/>
            </w:pPr>
            <w:r>
              <w:rPr/>
              <w:t> </w:t>
            </w:r>
          </w:p>
        </w:tc>
      </w:tr>
      <w:tr>
        <w:trPr/>
        <w:tc>
          <w:tcPr>
            <w:tcW w:w="3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1,159</w:t>
            </w:r>
          </w:p>
        </w:tc>
        <w:tc>
          <w:tcPr>
            <w:tcW w:w="80" w:type="dxa"/>
            <w:tcBorders/>
            <w:shd w:fill="CCEEFF" w:val="clear"/>
            <w:vAlign w:val="center"/>
          </w:tcPr>
          <w:p>
            <w:pPr>
              <w:pStyle w:val="TableContents"/>
              <w:spacing w:before="0" w:after="283"/>
              <w:ind w:left="0" w:right="0" w:hanging="0"/>
              <w:rPr/>
            </w:pPr>
            <w:r>
              <w:rPr/>
              <w:t> </w:t>
            </w:r>
          </w:p>
        </w:tc>
      </w:tr>
      <w:tr>
        <w:trPr/>
        <w:tc>
          <w:tcPr>
            <w:tcW w:w="3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3,774</w:t>
            </w:r>
          </w:p>
        </w:tc>
        <w:tc>
          <w:tcPr>
            <w:tcW w:w="80" w:type="dxa"/>
            <w:tcBorders/>
            <w:shd w:fill="FFFFFF" w:val="clear"/>
            <w:vAlign w:val="center"/>
          </w:tcPr>
          <w:p>
            <w:pPr>
              <w:pStyle w:val="TableContents"/>
              <w:spacing w:before="0" w:after="283"/>
              <w:ind w:left="0" w:right="0" w:hanging="0"/>
              <w:rPr/>
            </w:pPr>
            <w:r>
              <w:rPr/>
              <w:t> </w:t>
            </w:r>
          </w:p>
        </w:tc>
      </w:tr>
      <w:tr>
        <w:trPr/>
        <w:tc>
          <w:tcPr>
            <w:tcW w:w="3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9,832</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8,583</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3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16,827</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14,449</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39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(8,113</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(7,336</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8,714</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7,113</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Depreciation and amortization expense for the years ended </w:t>
      </w:r>
      <w:r>
        <w:rPr>
          <w:rStyle w:val="Emphasis"/>
          <w:rFonts w:ascii="Times New Roman" w:hAnsi="Times New Roman"/>
          <w:caps w:val="false"/>
          <w:smallCaps w:val="false"/>
          <w:sz w:val="20"/>
        </w:rPr>
        <w:t>December 31, 2021, 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was $777, $748, and $724, respectively.</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Accrued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Accrued expenses consisted of the following:</w:t>
      </w:r>
    </w:p>
    <w:p>
      <w:pPr>
        <w:pStyle w:val="TextBody"/>
        <w:spacing w:before="0" w:after="0"/>
        <w:ind w:left="0" w:right="0" w:hanging="0"/>
        <w:rPr>
          <w:caps w:val="false"/>
          <w:smallCaps w:val="false"/>
        </w:rPr>
      </w:pPr>
      <w:r>
        <w:rPr>
          <w:caps w:val="false"/>
          <w:smallCaps w:val="false"/>
        </w:rPr>
        <w:t> </w:t>
      </w:r>
    </w:p>
    <w:tbl>
      <w:tblPr>
        <w:tblW w:w="6100" w:type="dxa"/>
        <w:jc w:val="left"/>
        <w:tblInd w:w="0" w:type="dxa"/>
        <w:tblCellMar>
          <w:top w:w="0" w:type="dxa"/>
          <w:left w:w="0" w:type="dxa"/>
          <w:bottom w:w="0" w:type="dxa"/>
          <w:right w:w="0" w:type="dxa"/>
        </w:tblCellMar>
      </w:tblPr>
      <w:tblGrid>
        <w:gridCol w:w="4430"/>
        <w:gridCol w:w="60"/>
        <w:gridCol w:w="125"/>
        <w:gridCol w:w="590"/>
        <w:gridCol w:w="60"/>
        <w:gridCol w:w="60"/>
        <w:gridCol w:w="125"/>
        <w:gridCol w:w="590"/>
        <w:gridCol w:w="60"/>
      </w:tblGrid>
      <w:tr>
        <w:trPr/>
        <w:tc>
          <w:tcPr>
            <w:tcW w:w="44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5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44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44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Compensation and benefits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20,674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11,030</w:t>
            </w:r>
          </w:p>
        </w:tc>
        <w:tc>
          <w:tcPr>
            <w:tcW w:w="60" w:type="dxa"/>
            <w:tcBorders/>
            <w:shd w:fill="CCEEFF" w:val="clear"/>
            <w:vAlign w:val="center"/>
          </w:tcPr>
          <w:p>
            <w:pPr>
              <w:pStyle w:val="TableContents"/>
              <w:spacing w:before="0" w:after="283"/>
              <w:ind w:left="0" w:right="0" w:hanging="0"/>
              <w:rPr/>
            </w:pPr>
            <w:r>
              <w:rPr/>
              <w:t> </w:t>
            </w:r>
          </w:p>
        </w:tc>
      </w:tr>
      <w:tr>
        <w:trPr/>
        <w:tc>
          <w:tcPr>
            <w:tcW w:w="44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Development costs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15,150</w:t>
            </w:r>
          </w:p>
        </w:tc>
        <w:tc>
          <w:tcPr>
            <w:tcW w:w="60" w:type="dxa"/>
            <w:tcBorders/>
            <w:shd w:fill="FFFFFF" w:val="clear"/>
            <w:vAlign w:val="center"/>
          </w:tcPr>
          <w:p>
            <w:pPr>
              <w:pStyle w:val="TableContents"/>
              <w:spacing w:before="0" w:after="283"/>
              <w:ind w:left="0" w:right="0" w:hanging="0"/>
              <w:rPr/>
            </w:pPr>
            <w:r>
              <w:rPr/>
              <w:t> </w:t>
            </w:r>
          </w:p>
        </w:tc>
      </w:tr>
      <w:tr>
        <w:trPr/>
        <w:tc>
          <w:tcPr>
            <w:tcW w:w="44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Revenue-related reserves for discounts and allowances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5,957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2</w:t>
            </w:r>
          </w:p>
        </w:tc>
        <w:tc>
          <w:tcPr>
            <w:tcW w:w="60" w:type="dxa"/>
            <w:tcBorders/>
            <w:shd w:fill="CCEEFF" w:val="clear"/>
            <w:vAlign w:val="center"/>
          </w:tcPr>
          <w:p>
            <w:pPr>
              <w:pStyle w:val="TableContents"/>
              <w:spacing w:before="0" w:after="283"/>
              <w:ind w:left="0" w:right="0" w:hanging="0"/>
              <w:rPr/>
            </w:pPr>
            <w:r>
              <w:rPr/>
              <w:t> </w:t>
            </w:r>
          </w:p>
        </w:tc>
      </w:tr>
      <w:tr>
        <w:trPr/>
        <w:tc>
          <w:tcPr>
            <w:tcW w:w="44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Royalties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4,426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ind w:left="0" w:right="0" w:hanging="0"/>
              <w:rPr/>
            </w:pPr>
            <w:r>
              <w:rPr/>
              <w:t> </w:t>
            </w:r>
          </w:p>
        </w:tc>
      </w:tr>
      <w:tr>
        <w:trPr/>
        <w:tc>
          <w:tcPr>
            <w:tcW w:w="44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2,453</w:t>
            </w:r>
          </w:p>
        </w:tc>
        <w:tc>
          <w:tcPr>
            <w:tcW w:w="60" w:type="dxa"/>
            <w:tcBorders/>
            <w:shd w:fill="CCEEFF" w:val="clear"/>
            <w:vAlign w:val="center"/>
          </w:tcPr>
          <w:p>
            <w:pPr>
              <w:pStyle w:val="TableContents"/>
              <w:spacing w:before="0" w:after="283"/>
              <w:ind w:left="0" w:right="0" w:hanging="0"/>
              <w:rPr/>
            </w:pPr>
            <w:r>
              <w:rPr/>
              <w:t> </w:t>
            </w:r>
          </w:p>
        </w:tc>
      </w:tr>
      <w:tr>
        <w:trPr/>
        <w:tc>
          <w:tcPr>
            <w:tcW w:w="44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w:t>
            </w:r>
          </w:p>
        </w:tc>
        <w:tc>
          <w:tcPr>
            <w:tcW w:w="60" w:type="dxa"/>
            <w:tcBorders/>
            <w:shd w:fill="FFFFFF" w:val="clear"/>
            <w:vAlign w:val="center"/>
          </w:tcPr>
          <w:p>
            <w:pPr>
              <w:pStyle w:val="TableContents"/>
              <w:spacing w:before="0" w:after="283"/>
              <w:ind w:left="0" w:right="0" w:hanging="0"/>
              <w:rPr/>
            </w:pPr>
            <w:r>
              <w:rPr/>
              <w:t> </w:t>
            </w:r>
          </w:p>
        </w:tc>
      </w:tr>
      <w:tr>
        <w:trPr/>
        <w:tc>
          <w:tcPr>
            <w:tcW w:w="44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Duties and taxes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w:t>
            </w:r>
          </w:p>
        </w:tc>
        <w:tc>
          <w:tcPr>
            <w:tcW w:w="60" w:type="dxa"/>
            <w:tcBorders/>
            <w:shd w:fill="CCEEFF" w:val="clear"/>
            <w:vAlign w:val="center"/>
          </w:tcPr>
          <w:p>
            <w:pPr>
              <w:pStyle w:val="TableContents"/>
              <w:spacing w:before="0" w:after="283"/>
              <w:ind w:left="0" w:right="0" w:hanging="0"/>
              <w:rPr/>
            </w:pPr>
            <w:r>
              <w:rPr/>
              <w:t> </w:t>
            </w:r>
          </w:p>
        </w:tc>
      </w:tr>
      <w:tr>
        <w:trPr/>
        <w:tc>
          <w:tcPr>
            <w:tcW w:w="44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3,678</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4,894</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44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accrued expenses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72,670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33,942</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Royalty Monetizations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RAPIACTA </w:t>
      </w:r>
    </w:p>
    <w:p>
      <w:pPr>
        <w:pStyle w:val="TextBody"/>
        <w:spacing w:before="0" w:after="0"/>
        <w:ind w:left="0" w:right="0" w:hanging="0"/>
        <w:rPr>
          <w:caps w:val="false"/>
          <w:smallCaps w:val="false"/>
        </w:rPr>
      </w:pPr>
      <w:r>
        <w:rPr>
          <w:caps w:val="false"/>
          <w:smallCaps w:val="false"/>
        </w:rPr>
        <w:t> </w:t>
      </w:r>
    </w:p>
    <w:p>
      <w:pPr>
        <w:pStyle w:val="TextBody"/>
        <w:spacing w:before="0" w:after="0"/>
        <w:ind w:left="280" w:right="0" w:hanging="0"/>
        <w:rPr>
          <w:rFonts w:ascii="Times New Roman" w:hAnsi="Times New Roman"/>
          <w:i/>
          <w:caps w:val="false"/>
          <w:smallCaps w:val="false"/>
          <w:sz w:val="20"/>
        </w:rPr>
      </w:pPr>
      <w:r>
        <w:rPr>
          <w:rFonts w:ascii="Times New Roman" w:hAnsi="Times New Roman"/>
          <w:i/>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9, 2011, </w:t>
      </w:r>
      <w:r>
        <w:rPr>
          <w:rFonts w:ascii="Times New Roman" w:hAnsi="Times New Roman"/>
          <w:caps w:val="false"/>
          <w:smallCaps w:val="false"/>
          <w:sz w:val="20"/>
        </w:rPr>
        <w:t xml:space="preserve">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Royalty Sub, available to help cover interest shortfalls in the future. All of the interest reserve account has been fully utilized with the </w:t>
      </w:r>
      <w:r>
        <w:rPr>
          <w:rStyle w:val="Emphasis"/>
          <w:rFonts w:ascii="Times New Roman" w:hAnsi="Times New Roman"/>
          <w:caps w:val="false"/>
          <w:smallCaps w:val="false"/>
          <w:sz w:val="20"/>
        </w:rPr>
        <w:t xml:space="preserve">September 2012 </w:t>
      </w:r>
      <w:r>
        <w:rPr>
          <w:rFonts w:ascii="Times New Roman" w:hAnsi="Times New Roman"/>
          <w:caps w:val="false"/>
          <w:smallCaps w:val="false"/>
          <w:sz w:val="20"/>
        </w:rPr>
        <w:t>interest 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part of the transaction, the Company entered into a purchase and sale agreement dated as of </w:t>
      </w:r>
      <w:r>
        <w:rPr>
          <w:rStyle w:val="Emphasis"/>
          <w:rFonts w:ascii="Times New Roman" w:hAnsi="Times New Roman"/>
          <w:caps w:val="false"/>
          <w:smallCaps w:val="false"/>
          <w:sz w:val="20"/>
        </w:rPr>
        <w:t xml:space="preserve">March 9, 2011 </w:t>
      </w:r>
      <w:r>
        <w:rPr>
          <w:rFonts w:ascii="Times New Roman" w:hAnsi="Times New Roman"/>
          <w:caps w:val="false"/>
          <w:smallCaps w:val="false"/>
          <w:sz w:val="20"/>
        </w:rPr>
        <w:t xml:space="preserve">with JPR Royalty Sub, LLC, a wholly-owned subsidiary of the Company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impacted as a result of this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280" w:right="0" w:hanging="0"/>
        <w:rPr>
          <w:rFonts w:ascii="Times New Roman" w:hAnsi="Times New Roman"/>
          <w:i/>
          <w:caps w:val="false"/>
          <w:smallCaps w:val="false"/>
          <w:sz w:val="20"/>
        </w:rPr>
      </w:pPr>
      <w:r>
        <w:rPr>
          <w:rFonts w:ascii="Times New Roman" w:hAnsi="Times New Roman"/>
          <w:i/>
          <w:caps w:val="false"/>
          <w:smallCaps w:val="false"/>
          <w:sz w:val="20"/>
        </w:rPr>
        <w:t>Non-Recourse Notes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9, 2011, </w:t>
      </w:r>
      <w:r>
        <w:rPr>
          <w:rFonts w:ascii="Times New Roman" w:hAnsi="Times New Roman"/>
          <w:caps w:val="false"/>
          <w:smallCaps w:val="false"/>
          <w:sz w:val="20"/>
        </w:rPr>
        <w:t xml:space="preserve">Royalty Sub completed a private placement to institutional investors of $30,000 in aggregate principal amount of its PhaRMA Senior Secured 14.0% Notes due on </w:t>
      </w:r>
      <w:r>
        <w:rPr>
          <w:rStyle w:val="Emphasis"/>
          <w:rFonts w:ascii="Times New Roman" w:hAnsi="Times New Roman"/>
          <w:caps w:val="false"/>
          <w:smallCaps w:val="false"/>
          <w:sz w:val="20"/>
        </w:rPr>
        <w:t>December 1, 2020 (</w:t>
      </w:r>
      <w:r>
        <w:rPr>
          <w:rFonts w:ascii="Times New Roman" w:hAnsi="Times New Roman"/>
          <w:caps w:val="false"/>
          <w:smallCaps w:val="false"/>
          <w:sz w:val="20"/>
        </w:rPr>
        <w:t xml:space="preserve">the “PhaRMA Notes”). The PhaRMA Notes were issued by Royalty Sub under an Indenture, dated as of </w:t>
      </w:r>
      <w:r>
        <w:rPr>
          <w:rStyle w:val="Emphasis"/>
          <w:rFonts w:ascii="Times New Roman" w:hAnsi="Times New Roman"/>
          <w:caps w:val="false"/>
          <w:smallCaps w:val="false"/>
          <w:sz w:val="20"/>
        </w:rPr>
        <w:t>March 9, 2011 (</w:t>
      </w:r>
      <w:r>
        <w:rPr>
          <w:rFonts w:ascii="Times New Roman" w:hAnsi="Times New Roman"/>
          <w:caps w:val="false"/>
          <w:smallCaps w:val="false"/>
          <w:sz w:val="20"/>
        </w:rPr>
        <w:t xml:space="preserve">the “Indenture”), by and between Royalty Sub and U.S. Bank National Association, as Trustee. Principal and interest on the PhaRMA Notes issued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w:t>
      </w:r>
      <w:r>
        <w:rPr>
          <w:rStyle w:val="Emphasis"/>
          <w:rFonts w:ascii="Times New Roman" w:hAnsi="Times New Roman"/>
          <w:caps w:val="false"/>
          <w:smallCaps w:val="false"/>
          <w:sz w:val="20"/>
        </w:rPr>
        <w:t>September 1st</w:t>
      </w:r>
      <w:r>
        <w:rPr>
          <w:rFonts w:ascii="Times New Roman" w:hAnsi="Times New Roman"/>
          <w:caps w:val="false"/>
          <w:smallCaps w:val="false"/>
          <w:sz w:val="20"/>
        </w:rPr>
        <w:t xml:space="preserve"> of each year. The Company remains entitled to receive any royalties and milestone payments related to sales of peramivir by Shionogi following repayment of the PhaRMA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but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make capital contributions to a capital account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to redeem, or on up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occasion pay any interest shortfall on, the PhaRMA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2014, </w:t>
      </w:r>
      <w:r>
        <w:rPr>
          <w:rFonts w:ascii="Times New Roman" w:hAnsi="Times New Roman"/>
          <w:caps w:val="false"/>
          <w:smallCaps w:val="false"/>
          <w:sz w:val="20"/>
        </w:rPr>
        <w:t xml:space="preserve">Royalty Sub was unable to pay the accrued interest obligation due </w:t>
      </w:r>
      <w:r>
        <w:rPr>
          <w:rStyle w:val="Emphasis"/>
          <w:rFonts w:ascii="Times New Roman" w:hAnsi="Times New Roman"/>
          <w:caps w:val="false"/>
          <w:smallCaps w:val="false"/>
          <w:sz w:val="20"/>
        </w:rPr>
        <w:t xml:space="preserve">September 3, 2013. </w:t>
      </w:r>
      <w:r>
        <w:rPr>
          <w:rFonts w:ascii="Times New Roman" w:hAnsi="Times New Roman"/>
          <w:caps w:val="false"/>
          <w:smallCaps w:val="false"/>
          <w:sz w:val="20"/>
        </w:rPr>
        <w:t xml:space="preserve">Under the terms of the Indenture, Royalty Sub’s inability to pay the full amount of interest payable in </w:t>
      </w:r>
      <w:r>
        <w:rPr>
          <w:rStyle w:val="Emphasis"/>
          <w:rFonts w:ascii="Times New Roman" w:hAnsi="Times New Roman"/>
          <w:caps w:val="false"/>
          <w:smallCaps w:val="false"/>
          <w:sz w:val="20"/>
        </w:rPr>
        <w:t xml:space="preserve">September 2013 </w:t>
      </w:r>
      <w:r>
        <w:rPr>
          <w:rFonts w:ascii="Times New Roman" w:hAnsi="Times New Roman"/>
          <w:caps w:val="false"/>
          <w:smallCaps w:val="false"/>
          <w:sz w:val="20"/>
        </w:rPr>
        <w:t xml:space="preserve">by the next succeeding payment date for the PhaRMA Notes, which was </w:t>
      </w:r>
      <w:r>
        <w:rPr>
          <w:rStyle w:val="Emphasis"/>
          <w:rFonts w:ascii="Times New Roman" w:hAnsi="Times New Roman"/>
          <w:caps w:val="false"/>
          <w:smallCaps w:val="false"/>
          <w:sz w:val="20"/>
        </w:rPr>
        <w:t xml:space="preserve">September 1, 2014, </w:t>
      </w:r>
      <w:r>
        <w:rPr>
          <w:rFonts w:ascii="Times New Roman" w:hAnsi="Times New Roman"/>
          <w:caps w:val="false"/>
          <w:smallCaps w:val="false"/>
          <w:sz w:val="20"/>
        </w:rPr>
        <w:t xml:space="preserve">constituted an event of default. Accordingly, the PhaRMA Notes and related accrued interest have been classified as current liabilities on the </w:t>
      </w:r>
      <w:r>
        <w:rPr>
          <w:rStyle w:val="Emphasis"/>
          <w:rFonts w:ascii="Times New Roman" w:hAnsi="Times New Roman"/>
          <w:caps w:val="false"/>
          <w:smallCaps w:val="false"/>
          <w:sz w:val="20"/>
        </w:rPr>
        <w:t xml:space="preserve">December 31, 2014 </w:t>
      </w:r>
      <w:r>
        <w:rPr>
          <w:rFonts w:ascii="Times New Roman" w:hAnsi="Times New Roman"/>
          <w:caps w:val="false"/>
          <w:smallCaps w:val="false"/>
          <w:sz w:val="20"/>
        </w:rPr>
        <w:t xml:space="preserve">balance sheet, and thereafter. As a result of the event of default under the PhaRMA Notes, the holders of the PhaRMA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foreclose on the collateral securing the PhaRMA Notes and the equity interest in Royalty Sub and exercise other remedies available to them under the Indenture in respect of the PhaRMA Notes. In such event,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if any, from Shionogi and legal costs associated with retiring the PhaRMA Notes. The PhaRMA Notes had a final legal maturity date of </w:t>
      </w:r>
      <w:r>
        <w:rPr>
          <w:rStyle w:val="Emphasis"/>
          <w:rFonts w:ascii="Times New Roman" w:hAnsi="Times New Roman"/>
          <w:caps w:val="false"/>
          <w:smallCaps w:val="false"/>
          <w:sz w:val="20"/>
        </w:rPr>
        <w:t xml:space="preserve">December 1, 2020, </w:t>
      </w:r>
      <w:r>
        <w:rPr>
          <w:rFonts w:ascii="Times New Roman" w:hAnsi="Times New Roman"/>
          <w:caps w:val="false"/>
          <w:smallCaps w:val="false"/>
          <w:sz w:val="20"/>
        </w:rPr>
        <w:t>at which time the outstanding principal amount of the PhaRMA Notes of $30,000, together with accrued and unpaid interest of $20,614, was due in full.</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70</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 xml:space="preserve">Non-Recourse Notes Payable </w:t>
      </w:r>
      <w:r>
        <w:rPr>
          <w:rFonts w:ascii="Times New Roman" w:hAnsi="Times New Roman"/>
          <w:caps w:val="false"/>
          <w:smallCaps w:val="false"/>
          <w:sz w:val="20"/>
        </w:rPr>
        <w:t xml:space="preserve">– </w:t>
      </w:r>
      <w:r>
        <w:rPr>
          <w:rFonts w:ascii="Times New Roman" w:hAnsi="Times New Roman"/>
          <w:i/>
          <w:caps w:val="false"/>
          <w:smallCaps w:val="false"/>
          <w:sz w:val="20"/>
        </w:rPr>
        <w:t>Debt Extinguishment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royalty-bearing patents associated with RAPIACTA in Japan expired.  Accordingly, the Company evaluated the current circumstances of the PhaRMA Notes, including (i) their non-recourse nature relative to the Company, (ii) the current state of default since </w:t>
      </w:r>
      <w:r>
        <w:rPr>
          <w:rStyle w:val="Emphasis"/>
          <w:rFonts w:ascii="Times New Roman" w:hAnsi="Times New Roman"/>
          <w:caps w:val="false"/>
          <w:smallCaps w:val="false"/>
          <w:sz w:val="20"/>
        </w:rPr>
        <w:t xml:space="preserve">September 1, 2014 </w:t>
      </w:r>
      <w:r>
        <w:rPr>
          <w:rFonts w:ascii="Times New Roman" w:hAnsi="Times New Roman"/>
          <w:caps w:val="false"/>
          <w:smallCaps w:val="false"/>
          <w:sz w:val="20"/>
        </w:rPr>
        <w:t xml:space="preserve">and the legal maturity on </w:t>
      </w:r>
      <w:r>
        <w:rPr>
          <w:rStyle w:val="Emphasis"/>
          <w:rFonts w:ascii="Times New Roman" w:hAnsi="Times New Roman"/>
          <w:caps w:val="false"/>
          <w:smallCaps w:val="false"/>
          <w:sz w:val="20"/>
        </w:rPr>
        <w:t xml:space="preserve">December 1, 2020 </w:t>
      </w:r>
      <w:r>
        <w:rPr>
          <w:rFonts w:ascii="Times New Roman" w:hAnsi="Times New Roman"/>
          <w:caps w:val="false"/>
          <w:smallCaps w:val="false"/>
          <w:sz w:val="20"/>
        </w:rPr>
        <w:t xml:space="preserve">and (iii) the loss of patent protection relative to RAPIACTA in Japan, upon which any significant repayment of the PhaRMA Notes is predicated.  As a result, the Company determined that it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the financial obligor, and as a result, the principal balance of $30,000 and associated accrued interest payable balance of $25,838 were written off, resulting in a gain on extinguishment recorded in other income (expense) for the year ended </w:t>
      </w:r>
      <w:r>
        <w:rPr>
          <w:rStyle w:val="Emphasis"/>
          <w:rFonts w:ascii="Times New Roman" w:hAnsi="Times New Roman"/>
          <w:caps w:val="false"/>
          <w:smallCaps w:val="false"/>
          <w:sz w:val="20"/>
        </w:rPr>
        <w:t>December 31, 2021.</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u w:val="single"/>
        </w:rPr>
      </w:pPr>
      <w:r>
        <w:rPr>
          <w:rFonts w:ascii="Times New Roman" w:hAnsi="Times New Roman"/>
          <w:b/>
          <w:i/>
          <w:caps w:val="false"/>
          <w:smallCaps w:val="false"/>
          <w:sz w:val="20"/>
          <w:u w:val="single"/>
        </w:rPr>
        <w:t>ORLADEYO and Factor D Inhibitors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7, 2020, </w:t>
      </w:r>
      <w:r>
        <w:rPr>
          <w:rFonts w:ascii="Times New Roman" w:hAnsi="Times New Roman"/>
          <w:caps w:val="false"/>
          <w:smallCaps w:val="false"/>
          <w:sz w:val="20"/>
        </w:rPr>
        <w:t xml:space="preserve">the Company and RPI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Intermediate Finance Trust (“RPI”) entered into a Purchase and Sale Agreement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RPI Royalty Purchase Agreement”), pursuant to which the Company sold to RPI the right to receive certain royalty payments from the Company for a purchase price of $125,000 in cash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RPI Royalty Sale”).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(ii) 2.75% of annual net sales for annual net sales between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$550,000.</w:t>
      </w:r>
      <w:r>
        <w:rPr>
          <w:rFonts w:ascii="Times New Roman" w:hAnsi="Times New Roman"/>
          <w:caps w:val="false"/>
          <w:smallCaps w:val="false"/>
          <w:sz w:val="20"/>
        </w:rPr>
        <w:t xml:space="preserve"> No royalty payments are payable on annual Direct Sales over </w:t>
      </w:r>
      <w:r>
        <w:rPr>
          <w:rStyle w:val="Emphasis"/>
          <w:rFonts w:ascii="Times New Roman" w:hAnsi="Times New Roman"/>
          <w:caps w:val="false"/>
          <w:smallCaps w:val="false"/>
          <w:sz w:val="20"/>
        </w:rPr>
        <w:t>$550,000.</w:t>
      </w:r>
      <w:r>
        <w:rPr>
          <w:rFonts w:ascii="Times New Roman" w:hAnsi="Times New Roman"/>
          <w:caps w:val="false"/>
          <w:smallCaps w:val="false"/>
          <w:sz w:val="20"/>
        </w:rPr>
        <w:t xml:space="preserve">  In addition, RPI will be entitled to receive 1.0% of global net sales, if any, of </w:t>
      </w:r>
      <w:r>
        <w:rPr>
          <w:rStyle w:val="Emphasis"/>
          <w:rFonts w:ascii="Times New Roman" w:hAnsi="Times New Roman"/>
          <w:caps w:val="false"/>
          <w:smallCaps w:val="false"/>
          <w:sz w:val="20"/>
        </w:rPr>
        <w:t>BCX9930.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in the Other Markets; and (iii) 10% of proceeds received by the Company on annual net sales between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$230,000</w:t>
      </w:r>
      <w:r>
        <w:rPr>
          <w:rFonts w:ascii="Times New Roman" w:hAnsi="Times New Roman"/>
          <w:caps w:val="false"/>
          <w:smallCaps w:val="false"/>
          <w:sz w:val="20"/>
        </w:rPr>
        <w:t xml:space="preserve"> in the Other Markets. No royalty payments are payable on annual net sales above </w:t>
      </w:r>
      <w:r>
        <w:rPr>
          <w:rStyle w:val="Emphasis"/>
          <w:rFonts w:ascii="Times New Roman" w:hAnsi="Times New Roman"/>
          <w:caps w:val="false"/>
          <w:smallCaps w:val="false"/>
          <w:sz w:val="20"/>
        </w:rPr>
        <w:t>$230,000</w:t>
      </w:r>
      <w:r>
        <w:rPr>
          <w:rFonts w:ascii="Times New Roman" w:hAnsi="Times New Roman"/>
          <w:caps w:val="false"/>
          <w:smallCaps w:val="false"/>
          <w:sz w:val="20"/>
        </w:rPr>
        <w:t xml:space="preserve"> in the Other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19, 2021, </w:t>
      </w:r>
      <w:r>
        <w:rPr>
          <w:rFonts w:ascii="Times New Roman" w:hAnsi="Times New Roman"/>
          <w:caps w:val="false"/>
          <w:smallCaps w:val="false"/>
          <w:sz w:val="20"/>
        </w:rPr>
        <w:t xml:space="preserve">the Company and RPI entered into (i) a Purchase and Sale Agreement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and together with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in 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RPI is entitled to receive tiered, sales-based royalties on Direct Sales in an amount equal to: (i) 0.75% of aggregate annual net sales of ORLADEYO for annual net sales up to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(ii) 1.75% of annual net sales of ORLADEYO for annual net sales between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$550,000.</w:t>
      </w:r>
      <w:r>
        <w:rPr>
          <w:rFonts w:ascii="Times New Roman" w:hAnsi="Times New Roman"/>
          <w:caps w:val="false"/>
          <w:smallCaps w:val="false"/>
          <w:sz w:val="20"/>
        </w:rPr>
        <w:t xml:space="preserve"> No royalty payments are payable on Direct Sales over </w:t>
      </w:r>
      <w:r>
        <w:rPr>
          <w:rStyle w:val="Emphasis"/>
          <w:rFonts w:ascii="Times New Roman" w:hAnsi="Times New Roman"/>
          <w:caps w:val="false"/>
          <w:smallCaps w:val="false"/>
          <w:sz w:val="20"/>
        </w:rPr>
        <w:t>$550,000.</w:t>
      </w:r>
      <w:r>
        <w:rPr>
          <w:rFonts w:ascii="Times New Roman" w:hAnsi="Times New Roman"/>
          <w:caps w:val="false"/>
          <w:smallCaps w:val="false"/>
          <w:sz w:val="20"/>
        </w:rPr>
        <w:t xml:space="preserve"> RPI is also entitled to receive a tiered revenue share on ORLADEYO sublicence revenue or net sales by licensees in the Other Markets in an amount equal to 3.0% of proceeds received by the Company on annual net sales of up to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in the Other Markets, and (iii) 2.0% of proceeds received by the Company on annual net sales between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$230,000</w:t>
      </w:r>
      <w:r>
        <w:rPr>
          <w:rFonts w:ascii="Times New Roman" w:hAnsi="Times New Roman"/>
          <w:caps w:val="false"/>
          <w:smallCaps w:val="false"/>
          <w:sz w:val="20"/>
        </w:rPr>
        <w:t xml:space="preserve"> in the Other Markets.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royalty payments are payable on annual net sales above </w:t>
      </w:r>
      <w:r>
        <w:rPr>
          <w:rStyle w:val="Emphasis"/>
          <w:rFonts w:ascii="Times New Roman" w:hAnsi="Times New Roman"/>
          <w:caps w:val="false"/>
          <w:smallCaps w:val="false"/>
          <w:sz w:val="20"/>
        </w:rPr>
        <w:t>$230,000</w:t>
      </w:r>
      <w:r>
        <w:rPr>
          <w:rFonts w:ascii="Times New Roman" w:hAnsi="Times New Roman"/>
          <w:caps w:val="false"/>
          <w:smallCaps w:val="false"/>
          <w:sz w:val="20"/>
        </w:rPr>
        <w:t xml:space="preserve"> in the Other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RPI is also entitled to receive tiered, sales-based royalties on net product sales of </w:t>
      </w:r>
      <w:r>
        <w:rPr>
          <w:rStyle w:val="Emphasis"/>
          <w:rFonts w:ascii="Times New Roman" w:hAnsi="Times New Roman"/>
          <w:caps w:val="false"/>
          <w:smallCaps w:val="false"/>
          <w:sz w:val="20"/>
        </w:rPr>
        <w:t>BCX9930</w:t>
      </w:r>
      <w:r>
        <w:rPr>
          <w:rFonts w:ascii="Times New Roman" w:hAnsi="Times New Roman"/>
          <w:caps w:val="false"/>
          <w:smallCaps w:val="false"/>
          <w:sz w:val="20"/>
        </w:rPr>
        <w:t xml:space="preserve"> and another earlier stage Factor D inhibitor in an amount equal to: (i) 3.0% of worldwide aggregate annual net sales up to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billion and (ii) 2.0% of worldwide aggregate annual net sales between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billion and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No royalty payments are payable on annual net sales above $3.0 billion. RPI is also entitled to receive tiered profit share amounts of up to 3.0% from certain other permitted sales in certain other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royalties payable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are in addition to the royalties payable to RPI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RPI Royalty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Under the OMERS Royalty Purchase Agreement, commencing with the calendar quarter beginning </w:t>
      </w:r>
      <w:r>
        <w:rPr>
          <w:rStyle w:val="Emphasis"/>
          <w:rFonts w:ascii="Times New Roman" w:hAnsi="Times New Roman"/>
          <w:caps w:val="false"/>
          <w:smallCaps w:val="false"/>
          <w:sz w:val="20"/>
        </w:rPr>
        <w:t xml:space="preserve">October 1, 2023, </w:t>
      </w:r>
      <w:r>
        <w:rPr>
          <w:rFonts w:ascii="Times New Roman" w:hAnsi="Times New Roman"/>
          <w:caps w:val="false"/>
          <w:smallCaps w:val="false"/>
          <w:sz w:val="20"/>
        </w:rPr>
        <w:t xml:space="preserve">OMERS will be entitled to receive tiered, sales-based royalties on Direct Sales in an amount equal to: (i) 7.5% of aggregate annual net sales of ORLADEYO for annual net sales up to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(ii) 6.0% of annual net sales of ORLADEYO for annual net sales between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$550,000</w:t>
      </w:r>
      <w:r>
        <w:rPr>
          <w:rFonts w:ascii="Times New Roman" w:hAnsi="Times New Roman"/>
          <w:caps w:val="false"/>
          <w:smallCaps w:val="false"/>
          <w:sz w:val="20"/>
        </w:rPr>
        <w:t xml:space="preserve"> (with no royalty payments payable on annual Direct Sales over </w:t>
      </w:r>
      <w:r>
        <w:rPr>
          <w:rStyle w:val="Emphasis"/>
          <w:rFonts w:ascii="Times New Roman" w:hAnsi="Times New Roman"/>
          <w:caps w:val="false"/>
          <w:smallCaps w:val="false"/>
          <w:sz w:val="20"/>
        </w:rPr>
        <w:t>$550,000</w:t>
      </w:r>
      <w:r>
        <w:rPr>
          <w:rFonts w:ascii="Times New Roman" w:hAnsi="Times New Roman"/>
          <w:caps w:val="false"/>
          <w:smallCaps w:val="false"/>
          <w:sz w:val="20"/>
        </w:rPr>
        <w:t xml:space="preserve">) (the “Regime A Royalty Rate”). If annual Direct Sales for calendar year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reach a specified amount set forth in the OMERS Royalty Purchase Agreement, then for each calendar quarter beginning on or after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OMERS will be entitled to receive the Regime A Royalty Rate. If annual Direct Sales for calendar year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are less than the specified amount, OMERS will be entitled to receive tiered, sales-based royalties on Direct Sales in an amount equal to: (i) 10.0% of aggregate annual net sales of ORLADEYO for annual net sales up to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(ii) 3.0% of annual net sales of ORLADEYO for annual net sales between </w:t>
      </w:r>
      <w:r>
        <w:rPr>
          <w:rStyle w:val="Emphasis"/>
          <w:rFonts w:ascii="Times New Roman" w:hAnsi="Times New Roman"/>
          <w:caps w:val="false"/>
          <w:smallCaps w:val="false"/>
          <w:sz w:val="20"/>
        </w:rPr>
        <w:t>$350,000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$550,000</w:t>
      </w:r>
      <w:r>
        <w:rPr>
          <w:rFonts w:ascii="Times New Roman" w:hAnsi="Times New Roman"/>
          <w:caps w:val="false"/>
          <w:smallCaps w:val="false"/>
          <w:sz w:val="20"/>
        </w:rPr>
        <w:t xml:space="preserve"> (with no royalty payments payable on annual Direct Sales over </w:t>
      </w:r>
      <w:r>
        <w:rPr>
          <w:rStyle w:val="Emphasis"/>
          <w:rFonts w:ascii="Times New Roman" w:hAnsi="Times New Roman"/>
          <w:caps w:val="false"/>
          <w:smallCaps w:val="false"/>
          <w:sz w:val="20"/>
        </w:rPr>
        <w:t>$550,000</w:t>
      </w:r>
      <w:r>
        <w:rPr>
          <w:rFonts w:ascii="Times New Roman" w:hAnsi="Times New Roman"/>
          <w:caps w:val="false"/>
          <w:smallCaps w:val="false"/>
          <w:sz w:val="20"/>
        </w:rPr>
        <w:t>) (the “Regime B Royalty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71</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pPr>
      <w:r>
        <w:rPr>
          <w:rFonts w:ascii="Times New Roman" w:hAnsi="Times New Roman"/>
          <w:caps w:val="false"/>
          <w:smallCaps w:val="false"/>
          <w:sz w:val="20"/>
        </w:rPr>
        <w:t xml:space="preserve">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in the Other Markets, and (iii) 10.0% of proceeds received by the Company on annual net sales between </w:t>
      </w:r>
      <w:r>
        <w:rPr>
          <w:rStyle w:val="Emphasis"/>
          <w:rFonts w:ascii="Times New Roman" w:hAnsi="Times New Roman"/>
          <w:caps w:val="false"/>
          <w:smallCaps w:val="false"/>
          <w:sz w:val="20"/>
        </w:rPr>
        <w:t>$150,000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$230,000</w:t>
      </w:r>
      <w:r>
        <w:rPr>
          <w:rFonts w:ascii="Times New Roman" w:hAnsi="Times New Roman"/>
          <w:caps w:val="false"/>
          <w:smallCaps w:val="false"/>
          <w:sz w:val="20"/>
        </w:rPr>
        <w:t xml:space="preserve"> in the Other Markets. No royalty payments are payable on annual net sales above </w:t>
      </w:r>
      <w:r>
        <w:rPr>
          <w:rStyle w:val="Emphasis"/>
          <w:rFonts w:ascii="Times New Roman" w:hAnsi="Times New Roman"/>
          <w:caps w:val="false"/>
          <w:smallCaps w:val="false"/>
          <w:sz w:val="20"/>
        </w:rPr>
        <w:t>$230,000</w:t>
      </w:r>
      <w:r>
        <w:rPr>
          <w:rFonts w:ascii="Times New Roman" w:hAnsi="Times New Roman"/>
          <w:caps w:val="false"/>
          <w:smallCaps w:val="false"/>
          <w:sz w:val="20"/>
        </w:rPr>
        <w:t xml:space="preserve"> in the Other Markets. OMERS is also entitled to receive profit share amounts of up to 10% from certain other permitted sales in certain other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RPI Royalty Purchase Agreement, the Company is required to make royalty payments of amounts owed to RPI each calendar quarter following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ORLADEYO in any country.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the Company is required to make payments to RPI in respect of net sales or sublicense revenue in each calendar quarter from and after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Under the OMERS Royalty Purchase Agreement, the Company will be required to make payments to OMERS is respect of net sales or sublicense revenue in each calendar quarter from and after </w:t>
      </w:r>
      <w:r>
        <w:rPr>
          <w:rStyle w:val="Emphasis"/>
          <w:rFonts w:ascii="Times New Roman" w:hAnsi="Times New Roman"/>
          <w:caps w:val="false"/>
          <w:smallCaps w:val="false"/>
          <w:sz w:val="20"/>
        </w:rPr>
        <w:t xml:space="preserve">October 1, 2023. </w:t>
      </w:r>
      <w:r>
        <w:rPr>
          <w:rFonts w:ascii="Times New Roman" w:hAnsi="Times New Roman"/>
          <w:caps w:val="false"/>
          <w:smallCaps w:val="false"/>
          <w:sz w:val="20"/>
        </w:rPr>
        <w:t xml:space="preserve">OMERS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entitled to receive any payments on the date in which aggregate payments actually received by OMERS equals either 142.5% or 155.0% of the $150,000 purchase price, depending on sales levels in calendar year </w:t>
      </w:r>
      <w:r>
        <w:rPr>
          <w:rStyle w:val="Emphasis"/>
          <w:rFonts w:ascii="Times New Roman" w:hAnsi="Times New Roman"/>
          <w:caps w:val="false"/>
          <w:smallCaps w:val="false"/>
          <w:sz w:val="20"/>
        </w:rPr>
        <w:t>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transactions contemplated by each of the Royalty Purchase Agreements are referred to herein as the “Royalty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Under the Royalty Purchase Agreements, the Company has agreed to specified affirmative and negative covenants, including covenants regarding periodic reporting of information by the Company to RPI and OMERS,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audits of royalties paid under the Royalty Purchase Agreements, and restrictions on the ability of the Company or any of its subsidiaries to incur indebtedness other than certain royalty sales and as is permitted to be incurred under the terms of the Company’s Credit Agreement with Athyrium Opportunities III Co-Invest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LP. Refer to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further details on the Credit Agreement. The restrictions on the ability of the Company or any of its subsidiaries to incur indebtedness are eliminated after the achievement of certain specified milestones in the Royalty Purchase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cash consideration obtained pursuant to the Royalty Purchase Agreements is recorded in “Royalty financing obligations” on the Company’s consolidated balance sheet. The fair value for the royalty financing obligations at the time of the transactions was based on the Company’s estimates of future royalties expected to be paid to the counterparty over the life of the arrangement. The Company subsequently records the obligations at its carrying value using the effective interest method. In order to amortize the royalty financing obligation,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following table shows the activity within the Royalty financing obligations account (in thousands) as well as the effective interest rate as of </w:t>
      </w:r>
      <w:r>
        <w:rPr>
          <w:rStyle w:val="Emphasis"/>
          <w:rFonts w:ascii="Times New Roman" w:hAnsi="Times New Roman"/>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326"/>
        <w:gridCol w:w="60"/>
        <w:gridCol w:w="264"/>
        <w:gridCol w:w="1479"/>
        <w:gridCol w:w="185"/>
        <w:gridCol w:w="60"/>
        <w:gridCol w:w="264"/>
        <w:gridCol w:w="1479"/>
        <w:gridCol w:w="185"/>
        <w:gridCol w:w="60"/>
        <w:gridCol w:w="256"/>
        <w:gridCol w:w="1440"/>
        <w:gridCol w:w="185"/>
        <w:gridCol w:w="60"/>
        <w:gridCol w:w="125"/>
        <w:gridCol w:w="695"/>
        <w:gridCol w:w="82"/>
      </w:tblGrid>
      <w:tr>
        <w:trPr/>
        <w:tc>
          <w:tcPr>
            <w:tcW w:w="332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74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 RPI Royalty Agreement</w:t>
            </w:r>
          </w:p>
        </w:tc>
        <w:tc>
          <w:tcPr>
            <w:tcW w:w="1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74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 RPI Royalty Agreement</w:t>
            </w:r>
          </w:p>
        </w:tc>
        <w:tc>
          <w:tcPr>
            <w:tcW w:w="1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6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OMERS Royalty Agreement</w:t>
            </w:r>
          </w:p>
        </w:tc>
        <w:tc>
          <w:tcPr>
            <w:tcW w:w="1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2" w:type="dxa"/>
            <w:tcBorders>
              <w:bottom w:val="single" w:sz="2" w:space="0" w:color="000000"/>
            </w:tcBorders>
            <w:shd w:fill="auto" w:val="clear"/>
            <w:tcMar>
              <w:bottom w:w="28" w:type="dxa"/>
            </w:tcMar>
            <w:vAlign w:val="center"/>
          </w:tcPr>
          <w:p>
            <w:pPr>
              <w:pStyle w:val="TableContents"/>
              <w:spacing w:before="0" w:after="283"/>
              <w:ind w:left="240" w:right="0" w:hanging="0"/>
              <w:rPr/>
            </w:pPr>
            <w:r>
              <w:rPr/>
              <w:t> </w:t>
            </w:r>
          </w:p>
        </w:tc>
      </w:tr>
      <w:tr>
        <w:trPr/>
        <w:tc>
          <w:tcPr>
            <w:tcW w:w="3326" w:type="dxa"/>
            <w:tcBorders/>
            <w:shd w:fill="CCEE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2020 Royalty sale: Royalty financing obligation, net of issuance costs</w:t>
            </w:r>
          </w:p>
        </w:tc>
        <w:tc>
          <w:tcPr>
            <w:tcW w:w="60" w:type="dxa"/>
            <w:tcBorders/>
            <w:shd w:fill="CCEEFF" w:val="clear"/>
            <w:vAlign w:val="center"/>
          </w:tcPr>
          <w:p>
            <w:pPr>
              <w:pStyle w:val="TableContents"/>
              <w:spacing w:before="0" w:after="283"/>
              <w:ind w:left="0" w:right="0" w:hanging="0"/>
              <w:rPr/>
            </w:pPr>
            <w:r>
              <w:rPr/>
              <w:t> </w:t>
            </w:r>
          </w:p>
        </w:tc>
        <w:tc>
          <w:tcPr>
            <w:tcW w:w="26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122,609</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79" w:type="dxa"/>
            <w:tcBorders/>
            <w:shd w:fill="CCEEFF" w:val="clear"/>
            <w:vAlign w:val="center"/>
          </w:tcPr>
          <w:p>
            <w:pPr>
              <w:pStyle w:val="TableContents"/>
              <w:spacing w:before="0" w:after="283"/>
              <w:ind w:left="0" w:right="0" w:hanging="0"/>
              <w:jc w:val="right"/>
              <w:rPr/>
            </w:pPr>
            <w:r>
              <w:rPr>
                <w:rStyle w:val="Emphasis"/>
              </w:rPr>
              <w:t>−</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40" w:type="dxa"/>
            <w:tcBorders/>
            <w:shd w:fill="CCEEFF" w:val="clear"/>
            <w:vAlign w:val="center"/>
          </w:tcPr>
          <w:p>
            <w:pPr>
              <w:pStyle w:val="TableContents"/>
              <w:spacing w:before="0" w:after="283"/>
              <w:ind w:left="0" w:right="0" w:hanging="0"/>
              <w:jc w:val="right"/>
              <w:rPr/>
            </w:pPr>
            <w:r>
              <w:rPr>
                <w:rStyle w:val="Emphasis"/>
              </w:rPr>
              <w:t>−</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122,609</w:t>
            </w:r>
          </w:p>
        </w:tc>
        <w:tc>
          <w:tcPr>
            <w:tcW w:w="82" w:type="dxa"/>
            <w:tcBorders/>
            <w:shd w:fill="CCEEFF" w:val="clear"/>
            <w:vAlign w:val="center"/>
          </w:tcPr>
          <w:p>
            <w:pPr>
              <w:pStyle w:val="TableContents"/>
              <w:spacing w:before="0" w:after="283"/>
              <w:ind w:left="240" w:right="0" w:hanging="0"/>
              <w:rPr/>
            </w:pPr>
            <w:r>
              <w:rPr/>
              <w:t> </w:t>
            </w:r>
          </w:p>
        </w:tc>
      </w:tr>
      <w:tr>
        <w:trPr/>
        <w:tc>
          <w:tcPr>
            <w:tcW w:w="3326" w:type="dxa"/>
            <w:tcBorders/>
            <w:shd w:fill="FFFF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Non-cash Interest expense on Royalty financing obligation</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2,108</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7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4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2,108</w:t>
            </w:r>
          </w:p>
        </w:tc>
        <w:tc>
          <w:tcPr>
            <w:tcW w:w="82" w:type="dxa"/>
            <w:tcBorders>
              <w:bottom w:val="single" w:sz="2" w:space="0" w:color="000000"/>
            </w:tcBorders>
            <w:shd w:fill="FFFFFF" w:val="clear"/>
            <w:tcMar>
              <w:bottom w:w="28" w:type="dxa"/>
            </w:tcMar>
            <w:vAlign w:val="center"/>
          </w:tcPr>
          <w:p>
            <w:pPr>
              <w:pStyle w:val="TableContents"/>
              <w:spacing w:before="0" w:after="283"/>
              <w:ind w:left="240" w:right="0" w:hanging="0"/>
              <w:rPr/>
            </w:pPr>
            <w:r>
              <w:rPr/>
              <w:t> </w:t>
            </w:r>
          </w:p>
        </w:tc>
      </w:tr>
      <w:tr>
        <w:trPr/>
        <w:tc>
          <w:tcPr>
            <w:tcW w:w="3326" w:type="dxa"/>
            <w:tcBorders/>
            <w:shd w:fill="CCEE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Balance as of December 31, 2020</w:t>
            </w:r>
          </w:p>
        </w:tc>
        <w:tc>
          <w:tcPr>
            <w:tcW w:w="60" w:type="dxa"/>
            <w:tcBorders/>
            <w:shd w:fill="CCEEFF" w:val="clear"/>
            <w:vAlign w:val="center"/>
          </w:tcPr>
          <w:p>
            <w:pPr>
              <w:pStyle w:val="TableContents"/>
              <w:spacing w:before="0" w:after="283"/>
              <w:ind w:left="0" w:right="0" w:hanging="0"/>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7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124,717</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7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6"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4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124,717</w:t>
            </w:r>
          </w:p>
        </w:tc>
        <w:tc>
          <w:tcPr>
            <w:tcW w:w="82" w:type="dxa"/>
            <w:tcBorders>
              <w:bottom w:val="single" w:sz="2" w:space="0" w:color="000000"/>
            </w:tcBorders>
            <w:shd w:fill="CCEEFF" w:val="clear"/>
            <w:tcMar>
              <w:bottom w:w="28" w:type="dxa"/>
            </w:tcMar>
            <w:vAlign w:val="center"/>
          </w:tcPr>
          <w:p>
            <w:pPr>
              <w:pStyle w:val="TableContents"/>
              <w:spacing w:before="0" w:after="283"/>
              <w:ind w:left="240" w:right="0" w:hanging="0"/>
              <w:rPr/>
            </w:pPr>
            <w:r>
              <w:rPr/>
              <w:t> </w:t>
            </w:r>
          </w:p>
        </w:tc>
      </w:tr>
      <w:tr>
        <w:trPr/>
        <w:tc>
          <w:tcPr>
            <w:tcW w:w="3326" w:type="dxa"/>
            <w:tcBorders/>
            <w:shd w:fill="FFFF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2021 Royalty sale: Royalty financing obligations, net of issuance costs</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ind w:left="0" w:right="0" w:hanging="0"/>
              <w:rPr/>
            </w:pPr>
            <w:r>
              <w:rPr/>
              <w:t> </w:t>
            </w:r>
          </w:p>
        </w:tc>
        <w:tc>
          <w:tcPr>
            <w:tcW w:w="1479" w:type="dxa"/>
            <w:tcBorders/>
            <w:shd w:fill="FFFFFF" w:val="clear"/>
            <w:vAlign w:val="center"/>
          </w:tcPr>
          <w:p>
            <w:pPr>
              <w:pStyle w:val="TableContents"/>
              <w:spacing w:before="0" w:after="283"/>
              <w:ind w:left="0" w:right="0" w:hanging="0"/>
              <w:jc w:val="right"/>
              <w:rPr/>
            </w:pPr>
            <w:r>
              <w:rPr>
                <w:rStyle w:val="Emphasis"/>
              </w:rPr>
              <w:t>−</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ind w:left="0" w:right="0" w:hanging="0"/>
              <w:rPr/>
            </w:pPr>
            <w:r>
              <w:rPr/>
              <w:t> </w:t>
            </w:r>
          </w:p>
        </w:tc>
        <w:tc>
          <w:tcPr>
            <w:tcW w:w="147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150,833</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ind w:left="0" w:right="0" w:hanging="0"/>
              <w:rPr/>
            </w:pPr>
            <w:r>
              <w:rPr/>
              <w:t> </w:t>
            </w:r>
          </w:p>
        </w:tc>
        <w:tc>
          <w:tcPr>
            <w:tcW w:w="14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147,309</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298,142</w:t>
            </w:r>
          </w:p>
        </w:tc>
        <w:tc>
          <w:tcPr>
            <w:tcW w:w="82" w:type="dxa"/>
            <w:tcBorders/>
            <w:shd w:fill="FFFFFF" w:val="clear"/>
            <w:vAlign w:val="center"/>
          </w:tcPr>
          <w:p>
            <w:pPr>
              <w:pStyle w:val="TableContents"/>
              <w:spacing w:before="0" w:after="283"/>
              <w:ind w:left="240" w:right="0" w:hanging="0"/>
              <w:rPr/>
            </w:pPr>
            <w:r>
              <w:rPr/>
              <w:t> </w:t>
            </w:r>
          </w:p>
        </w:tc>
      </w:tr>
      <w:tr>
        <w:trPr/>
        <w:tc>
          <w:tcPr>
            <w:tcW w:w="3326" w:type="dxa"/>
            <w:tcBorders/>
            <w:shd w:fill="CCEE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Non-cash Interest expense on Royalty financing obligations</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14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33,308</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14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2,897</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ind w:left="0" w:right="0" w:hanging="0"/>
              <w:rPr/>
            </w:pPr>
            <w:r>
              <w:rPr/>
              <w:t> </w:t>
            </w:r>
          </w:p>
        </w:tc>
        <w:tc>
          <w:tcPr>
            <w:tcW w:w="14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1,465</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37,670</w:t>
            </w:r>
          </w:p>
        </w:tc>
        <w:tc>
          <w:tcPr>
            <w:tcW w:w="82" w:type="dxa"/>
            <w:tcBorders/>
            <w:shd w:fill="CCEEFF" w:val="clear"/>
            <w:vAlign w:val="center"/>
          </w:tcPr>
          <w:p>
            <w:pPr>
              <w:pStyle w:val="TableContents"/>
              <w:spacing w:before="0" w:after="283"/>
              <w:ind w:left="240" w:right="0" w:hanging="0"/>
              <w:rPr/>
            </w:pPr>
            <w:r>
              <w:rPr/>
              <w:t> </w:t>
            </w:r>
          </w:p>
        </w:tc>
      </w:tr>
      <w:tr>
        <w:trPr/>
        <w:tc>
          <w:tcPr>
            <w:tcW w:w="3326" w:type="dxa"/>
            <w:tcBorders/>
            <w:shd w:fill="FFFF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Royalty revenues paid and payable</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(10,801</w:t>
            </w:r>
          </w:p>
        </w:tc>
        <w:tc>
          <w:tcPr>
            <w:tcW w:w="185"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7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(353</w:t>
            </w:r>
          </w:p>
        </w:tc>
        <w:tc>
          <w:tcPr>
            <w:tcW w:w="185"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5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4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Pr>
              <w:t>−</w:t>
            </w:r>
          </w:p>
        </w:tc>
        <w:tc>
          <w:tcPr>
            <w:tcW w:w="18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(11,154</w:t>
            </w:r>
          </w:p>
        </w:tc>
        <w:tc>
          <w:tcPr>
            <w:tcW w:w="82" w:type="dxa"/>
            <w:tcBorders>
              <w:bottom w:val="single" w:sz="2" w:space="0" w:color="000000"/>
            </w:tcBorders>
            <w:shd w:fill="FFFFFF" w:val="clear"/>
            <w:tcMar>
              <w:bottom w:w="28" w:type="dxa"/>
            </w:tcMar>
            <w:vAlign w:val="center"/>
          </w:tcPr>
          <w:p>
            <w:pPr>
              <w:pStyle w:val="TableContents"/>
              <w:spacing w:before="0" w:after="283"/>
              <w:ind w:left="240" w:right="0" w:hanging="0"/>
              <w:rPr>
                <w:rFonts w:ascii="Times New Roman" w:hAnsi="Times New Roman"/>
                <w:sz w:val="20"/>
              </w:rPr>
            </w:pPr>
            <w:r>
              <w:rPr>
                <w:rFonts w:ascii="Times New Roman" w:hAnsi="Times New Roman"/>
                <w:sz w:val="20"/>
              </w:rPr>
              <w:t>)</w:t>
            </w:r>
          </w:p>
        </w:tc>
      </w:tr>
      <w:tr>
        <w:trPr/>
        <w:tc>
          <w:tcPr>
            <w:tcW w:w="3326" w:type="dxa"/>
            <w:tcBorders/>
            <w:shd w:fill="CCEE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Balance as of December 31, 2021</w:t>
            </w:r>
          </w:p>
        </w:tc>
        <w:tc>
          <w:tcPr>
            <w:tcW w:w="60" w:type="dxa"/>
            <w:tcBorders/>
            <w:shd w:fill="CCEEFF" w:val="clear"/>
            <w:vAlign w:val="center"/>
          </w:tcPr>
          <w:p>
            <w:pPr>
              <w:pStyle w:val="TableContents"/>
              <w:spacing w:before="0" w:after="283"/>
              <w:ind w:left="0" w:right="0" w:hanging="0"/>
              <w:rPr/>
            </w:pPr>
            <w:r>
              <w:rPr/>
              <w:t> </w:t>
            </w:r>
          </w:p>
        </w:tc>
        <w:tc>
          <w:tcPr>
            <w:tcW w:w="26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147,224</w:t>
            </w:r>
          </w:p>
        </w:tc>
        <w:tc>
          <w:tcPr>
            <w:tcW w:w="185"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7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153,377</w:t>
            </w:r>
          </w:p>
        </w:tc>
        <w:tc>
          <w:tcPr>
            <w:tcW w:w="185"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4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148,774</w:t>
            </w:r>
          </w:p>
        </w:tc>
        <w:tc>
          <w:tcPr>
            <w:tcW w:w="185"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449,375</w:t>
            </w:r>
          </w:p>
        </w:tc>
        <w:tc>
          <w:tcPr>
            <w:tcW w:w="82" w:type="dxa"/>
            <w:tcBorders>
              <w:bottom w:val="double" w:sz="6" w:space="0" w:color="000000"/>
            </w:tcBorders>
            <w:shd w:fill="CCEEFF" w:val="clear"/>
            <w:tcMar>
              <w:bottom w:w="28" w:type="dxa"/>
            </w:tcMar>
            <w:vAlign w:val="center"/>
          </w:tcPr>
          <w:p>
            <w:pPr>
              <w:pStyle w:val="TableContents"/>
              <w:spacing w:before="0" w:after="283"/>
              <w:rPr/>
            </w:pPr>
            <w:r>
              <w:rPr/>
              <w:t> </w:t>
            </w:r>
          </w:p>
        </w:tc>
      </w:tr>
      <w:tr>
        <w:trPr/>
        <w:tc>
          <w:tcPr>
            <w:tcW w:w="332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479"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479"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rPr/>
            </w:pPr>
            <w:r>
              <w:rPr/>
              <w:t> </w:t>
            </w:r>
          </w:p>
        </w:tc>
        <w:tc>
          <w:tcPr>
            <w:tcW w:w="144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240" w:right="0" w:hanging="0"/>
              <w:rPr/>
            </w:pPr>
            <w:r>
              <w:rPr/>
              <w:t> </w:t>
            </w:r>
          </w:p>
        </w:tc>
      </w:tr>
      <w:tr>
        <w:trPr/>
        <w:tc>
          <w:tcPr>
            <w:tcW w:w="3326" w:type="dxa"/>
            <w:tcBorders/>
            <w:shd w:fill="CCEEFF" w:val="clear"/>
            <w:vAlign w:val="center"/>
          </w:tcPr>
          <w:p>
            <w:pPr>
              <w:pStyle w:val="TableContents"/>
              <w:spacing w:before="0" w:after="0"/>
              <w:ind w:left="480" w:right="0" w:hanging="240"/>
              <w:rPr>
                <w:rFonts w:ascii="Times New Roman" w:hAnsi="Times New Roman"/>
                <w:caps w:val="false"/>
                <w:smallCaps w:val="false"/>
                <w:sz w:val="20"/>
              </w:rPr>
            </w:pPr>
            <w:r>
              <w:rPr>
                <w:rFonts w:ascii="Times New Roman" w:hAnsi="Times New Roman"/>
                <w:caps w:val="false"/>
                <w:smallCaps w:val="false"/>
                <w:sz w:val="20"/>
              </w:rPr>
              <w:t>Effective interest rate</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14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27.3</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147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ind w:left="0" w:right="0" w:hanging="0"/>
              <w:rPr/>
            </w:pPr>
            <w:r>
              <w:rPr/>
              <w:t> </w:t>
            </w:r>
          </w:p>
        </w:tc>
        <w:tc>
          <w:tcPr>
            <w:tcW w:w="14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pPr>
            <w:r>
              <w:rPr>
                <w:rStyle w:val="Emphasis"/>
              </w:rPr>
              <w:t> </w:t>
            </w:r>
          </w:p>
        </w:tc>
        <w:tc>
          <w:tcPr>
            <w:tcW w:w="82"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Deferred issuance costs pursuant to the Royalty financing obligations, which consist primarily of advisory and legal fees, totaled </w:t>
      </w:r>
      <w:r>
        <w:rPr>
          <w:rStyle w:val="Emphasis"/>
          <w:rFonts w:ascii="Times New Roman" w:hAnsi="Times New Roman"/>
          <w:caps w:val="false"/>
          <w:smallCaps w:val="false"/>
          <w:sz w:val="20"/>
        </w:rPr>
        <w:t>$8,497</w:t>
      </w:r>
      <w:r>
        <w:rPr>
          <w:rFonts w:ascii="Times New Roman" w:hAnsi="Times New Roman"/>
          <w:caps w:val="false"/>
          <w:smallCaps w:val="false"/>
          <w:sz w:val="20"/>
        </w:rPr>
        <w:t xml:space="preserve"> and $2,370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   The Royalty financing obligation liabilities and the associated deferred issuance costs are amortized using the effective interest method over the term of the arrangement, in accordance with the respective guidance.  Concurrent with entering into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the Company and RPI entered into a Common Stock Purchase Agreement, pursuant to which the Company sold common stock to RPI for a premium of $4,269.  This premium has been deferred and is being amortized using the effective interest method over the term of the applicable arrangement.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for further details on the common stock sale premium.</w:t>
      </w:r>
    </w:p>
    <w:p>
      <w:pPr>
        <w:pStyle w:val="TextBody"/>
        <w:spacing w:before="0" w:after="0"/>
        <w:ind w:left="0" w:right="0" w:firstLine="54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7, 2020, </w:t>
      </w:r>
      <w:r>
        <w:rPr>
          <w:rFonts w:ascii="Times New Roman" w:hAnsi="Times New Roman"/>
          <w:caps w:val="false"/>
          <w:smallCaps w:val="false"/>
          <w:sz w:val="20"/>
        </w:rPr>
        <w:t xml:space="preserve">the Company entered into a $200,000 Credit Agreement with Athyrium Opportunities III Co-Invest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LP (“Athyrium”), as lender and as administrative agent for the lenders. BioCryst Ireland Limited and BioCryst US Sales Co., LLC, each of which is a wholly-owned subsidiary of the Company, and BioCryst UK Limited, a wholly-owned subsidiary of BioCryst Ireland Limited, are guarantors to the Credit Agreement. The Credit Agreement provides for an initial term loan in the principal amount of $125,000 (the “Term A Loan”), which was received by the Company on </w:t>
      </w:r>
      <w:r>
        <w:rPr>
          <w:rStyle w:val="Emphasis"/>
          <w:rFonts w:ascii="Times New Roman" w:hAnsi="Times New Roman"/>
          <w:caps w:val="false"/>
          <w:smallCaps w:val="false"/>
          <w:sz w:val="20"/>
        </w:rPr>
        <w:t xml:space="preserve">December 7, 2020 </w:t>
      </w:r>
      <w:r>
        <w:rPr>
          <w:rFonts w:ascii="Times New Roman" w:hAnsi="Times New Roman"/>
          <w:caps w:val="false"/>
          <w:smallCaps w:val="false"/>
          <w:sz w:val="20"/>
        </w:rPr>
        <w:t xml:space="preserve">and is recorded in “Secured term loan” on the Company’s balance sheet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Company used a portion of the proceeds from the Term A Loan to repay $43,298 of outstanding indebtedness, including accrued interest, under its existing credit facility with MidCap Financial Trust.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Credit Agreement also provides for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additional term loans, at the Company's option, in the respective principal amounts of $25,000 (the “Term B Loan”) and $50,000 (the “Term C Loan”).  The Term B Loan and the Term C Loan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drawn upon if, among other conditions, the Company reaches defined revenue milestones and, with respect to a draw on the Term C Loan, the Term B Loan has been funded prior to or contemporaneously with the Term C Loan.  The maturity date of the Credit Agreement is </w:t>
      </w:r>
      <w:r>
        <w:rPr>
          <w:rStyle w:val="Emphasis"/>
          <w:rFonts w:ascii="Times New Roman" w:hAnsi="Times New Roman"/>
          <w:caps w:val="false"/>
          <w:smallCaps w:val="false"/>
          <w:sz w:val="20"/>
        </w:rPr>
        <w:t>December 7, 2025.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19, 2021, </w:t>
      </w:r>
      <w:r>
        <w:rPr>
          <w:rFonts w:ascii="Times New Roman" w:hAnsi="Times New Roman"/>
          <w:caps w:val="false"/>
          <w:smallCaps w:val="false"/>
          <w:sz w:val="20"/>
        </w:rPr>
        <w:t xml:space="preserve">the Company entered into an amendment to the Credit Agreement (i) to permit the Company to enter into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the OMERS Royalty Purchase Agreement, and the other definitive documentation related thereto and to perform its obligations thereunder; (ii) to require the Company to pay to Athyrium, for the account of the lenders, a make-whole premium plus certain fees set forth in the Credit Agreement in the event that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draw the Term B Loan or the Term C Loan, as applicable, by the end of the applicable period available to draw the Term B Loan or the Term C Loan, subject to certain exceptions set forth in the Credit Agreement; and (iii) to require the Company to pay to Athyrium, for the account of the lenders, a make-whole premium plus certain fees set forth in the Credit Agreement in the event that the Company either (</w:t>
      </w:r>
      <w:r>
        <w:rPr>
          <w:rStyle w:val="Emphasis"/>
          <w:rFonts w:ascii="Times New Roman" w:hAnsi="Times New Roman"/>
          <w:caps w:val="false"/>
          <w:smallCaps w:val="false"/>
          <w:sz w:val="20"/>
        </w:rPr>
        <w:t>x</w:t>
      </w:r>
      <w:r>
        <w:rPr>
          <w:rFonts w:ascii="Times New Roman" w:hAnsi="Times New Roman"/>
          <w:caps w:val="false"/>
          <w:smallCaps w:val="false"/>
          <w:sz w:val="20"/>
        </w:rPr>
        <w:t>) terminates the commitments in respect of the Term B Loan or the Term C Loan, as applicable, on or prior to the end of the applicable period available to draw the Term B Loan or the Term C Loan, or (y) prepays or repays, or is required to prepay or repay, voluntarily or pursuant to mandatory prepayment obligation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in each case, subject to certain exceptions set forth in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Credit Agreement provides for quarterly interest-only payments until the maturity date, with the unpaid principal amount of the outstanding Term Loans due and payable on the maturity date.  For each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full fiscal quarters following </w:t>
      </w:r>
      <w:r>
        <w:rPr>
          <w:rStyle w:val="Emphasis"/>
          <w:rFonts w:ascii="Times New Roman" w:hAnsi="Times New Roman"/>
          <w:caps w:val="false"/>
          <w:smallCaps w:val="false"/>
          <w:sz w:val="20"/>
        </w:rPr>
        <w:t xml:space="preserve">December 7, 2020, </w:t>
      </w:r>
      <w:r>
        <w:rPr>
          <w:rFonts w:ascii="Times New Roman" w:hAnsi="Times New Roman"/>
          <w:caps w:val="false"/>
          <w:smallCaps w:val="false"/>
          <w:sz w:val="20"/>
        </w:rPr>
        <w:t xml:space="preserve">the Company has the option to make the applicable interest payment-in-kind (a “PIK Interest Payment”) by capitalizing the entire amount of interest accrued during the applicable interest period with the unpaid original principal amount outstanding on the last day of such period. The Term Loans will bear interest at a rate equal to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LIBOR rate, which shall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1.75%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more than 3.50% (“LIBOR”), plus 8.25%, or for each interest period in which a PIK Interest Payment is made, the LIBOR plus 10.25%.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Subject to certain exceptions, the Company is required to make mandatory prepayments of the Term Loans with the proceeds of certain asset sales, certain ORLADEYO out-licensing or royalty monetization transactions (excluding the Royalty Sale), extraordinary receipts, debt issuances, or upon a change of control of the Company and specified other events, subject to certain exceptions.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voluntary prepayments in whole or in part. Prepayments are subject to a premium equal to, (i) with respect to any voluntary prepayment and certain mandatory prepayments paid on or prior to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anniversary of the applicable Term Loan borrowing date, the amount, if any, by which (a) the sum of (</w:t>
      </w:r>
      <w:r>
        <w:rPr>
          <w:rStyle w:val="Emphasis"/>
          <w:rFonts w:ascii="Times New Roman" w:hAnsi="Times New Roman"/>
          <w:caps w:val="false"/>
          <w:smallCaps w:val="false"/>
          <w:sz w:val="20"/>
        </w:rPr>
        <w:t>1</w:t>
      </w:r>
      <w:r>
        <w:rPr>
          <w:rFonts w:ascii="Times New Roman" w:hAnsi="Times New Roman"/>
          <w:caps w:val="false"/>
          <w:smallCaps w:val="false"/>
          <w:sz w:val="20"/>
        </w:rPr>
        <w:t>) 102.00% of the principal amount of the Term Loan being prepaid plus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present value of all interest that would have accrued on the principal amount of the Term Loan being prepaid through and including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anniversary of the date of the borrowing of such Term Loan, plus 0.50%, exceeds (b) the principal amount of the Term Loan being prepaid; (ii) with respect to any prepayment made between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anniversaries of the applicable Term Loan borrowing date, 2.00% of the principal amount of the Term Loan being prepaid; (iii) with respect to any prepayment made between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anniversaries of the applicable Term Loan borrowing date, 1.00% of the principal amount of the Term Loan being prepaid; and (iv) with respect to any prepayment made after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Credit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business, engage in transactions with affiliates and insiders, prepay other indebtedness, or engage in sale and leaseback transactions, subject to certain exceptions.  Additionally, as of the last day of each fiscal quarter (a “Test Date”), beginning with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Test Date occurring immediately after the Term C Loan is drawn, if applicable,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permit consolidated net revenues from ORLADEYO sales in the United States for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-fiscal quarter period ending on such Test Date to be less than the specified amounts set forth in the Credit Agreement (collectively, the “Revenue Tests”).  If the Company fails to satisfy the Revenue Tests as of any Test Date, it will have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right (the “Cure Right”) to repay in full the entire amount of the Term C Loans outstanding at such time together with all accrued and unpaid interest thereon plus the prepayment premium, exit fee, and any other fees or amounts payable under the Credit Agreement at such time.  In addition, the Credit Agreement contains a minimum liquidity covenant requiring the Company to maintain at all times, as applicable, at least $15,000 of unrestricted cash and cash equivalents if only the Term A Loan has been drawn; at least $20,000 of unrestricted cash and cash equivalents if the Term B Loan has been drawn but the Term C Loan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drawn; and at least $15,000 (or, if the Cure Right has been exercised, $20,000) of unrestricted cash and cash equivalents if the Term C Loan has been drawn, subject to certain exceptions.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 failure to comply with the covenants in the Credit Agreement could permit the Lenders under the Credit Agreement to declare the outstanding principal as well as accrued interest and fees, to be immediately due and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Company's obligations under the Credit Agreement are secured by a security interest in, subject to certain exceptions, substantially all of the Company's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had borrowings of $125,000 under the Credit Agreement. Quarterly interest payments under the Credit Agreement 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totaled $16,009 and $1,056, respectively, and have been designated and accounted for as PIK Interest Payments and added to the outstanding principal balance of the borrowing.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borrowings, including the PIK Interest Payments totaled $142,065.  The principal balance of the borrowing, including PIK amounts are accruing interest at a rate of 12.17%. The fair value of the debt approximates its carrying value based on prevailing interest rates as of the balance sheet date and is considered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 the fair value hierarchy.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deferred debt fees and issuance costs totaled $8,483 and $7,764, respectively and are being amortized as interest expense on an effective interest rate method over the term of the Term A Loan. When utilizing the effective interest method, in periods in which PIK interest is designated and those amounts are added to the outstanding principal balance of the borrowing, the amortization of the deferred debt fees and issuance costs is accretive. Deferred financing amortization of ($531) and ($131), was recognized 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Credit Agreement contains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provisions that, if deemed probable, would create the recognition of an embedded feature; however, at this time,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either provision is probable.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Senior Credit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5, 2019, </w:t>
      </w:r>
      <w:r>
        <w:rPr>
          <w:rFonts w:ascii="Times New Roman" w:hAnsi="Times New Roman"/>
          <w:caps w:val="false"/>
          <w:smallCaps w:val="false"/>
          <w:sz w:val="20"/>
        </w:rPr>
        <w:t xml:space="preserve">the Company entered into a $100,000 Senior Credit Facility with an affiliate of MidCap Financial Services, LLC, as administrative agent (the “Second Amended and Restated Senior Credit Facility”). Borrowings under the Second Amended and Restated Senior Credit Facility were available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tranches, with (i)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tranche comprised of $50,000 funded at closing, which included $30,000 of proceeds that were deemed rolled over from the outstanding principal amount under the Company’s prior credit agreement, (ii)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tranche comprised of $30,000, and (iii)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tranche comprised of $20,000, with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tranches to have been funded upon the completion of certain contingencies related to the Company’s development activities of its product candidates and the establishment of certain financial covenants. On </w:t>
      </w:r>
      <w:r>
        <w:rPr>
          <w:rStyle w:val="Emphasis"/>
          <w:rFonts w:ascii="Times New Roman" w:hAnsi="Times New Roman"/>
          <w:caps w:val="false"/>
          <w:smallCaps w:val="false"/>
          <w:sz w:val="20"/>
        </w:rPr>
        <w:t xml:space="preserve">September 10, 2019 </w:t>
      </w:r>
      <w:r>
        <w:rPr>
          <w:rFonts w:ascii="Times New Roman" w:hAnsi="Times New Roman"/>
          <w:caps w:val="false"/>
          <w:smallCaps w:val="false"/>
          <w:sz w:val="20"/>
        </w:rPr>
        <w:t xml:space="preserve">the Company executed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to the Second Amended and Restated Credit Facility which extended the commitment termination date for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tranche to </w:t>
      </w:r>
      <w:r>
        <w:rPr>
          <w:rStyle w:val="Emphasis"/>
          <w:rFonts w:ascii="Times New Roman" w:hAnsi="Times New Roman"/>
          <w:caps w:val="false"/>
          <w:smallCaps w:val="false"/>
          <w:sz w:val="20"/>
        </w:rPr>
        <w:t xml:space="preserve">November 30, 2019.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30, 2019, </w:t>
      </w:r>
      <w:r>
        <w:rPr>
          <w:rFonts w:ascii="Times New Roman" w:hAnsi="Times New Roman"/>
          <w:caps w:val="false"/>
          <w:smallCaps w:val="false"/>
          <w:sz w:val="20"/>
        </w:rPr>
        <w:t xml:space="preserve">the Company’s access to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tranche expired.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Second Amended and Restated Senior Credit Facility refinanced and replaced the Amended and Restated Senior Credit Facility dated as of </w:t>
      </w:r>
      <w:r>
        <w:rPr>
          <w:rStyle w:val="Emphasis"/>
          <w:rFonts w:ascii="Times New Roman" w:hAnsi="Times New Roman"/>
          <w:caps w:val="false"/>
          <w:smallCaps w:val="false"/>
          <w:sz w:val="20"/>
        </w:rPr>
        <w:t>July 20, 2018 (</w:t>
      </w:r>
      <w:r>
        <w:rPr>
          <w:rFonts w:ascii="Times New Roman" w:hAnsi="Times New Roman"/>
          <w:caps w:val="false"/>
          <w:smallCaps w:val="false"/>
          <w:sz w:val="20"/>
        </w:rPr>
        <w:t xml:space="preserve">the “Amended and Restated Senior Credit Facility”). The Second Amended and Restated Senior Credit Facility had a variable interest rate of LIBOR (which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be less than 0.5%) plus 8%. The Second Amended and Restated Senior Credit Facility included an interest-only payment period through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and scheduled monthly principal and interest payments for the subsequent 30 months. The Company used a portion of the proceeds of the Second Amended and Restated Senior Credit Facility to pay off outstanding amounts under the Amended and Restated Senior Credit Facility and the remainder was used for general corporate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2020, </w:t>
      </w:r>
      <w:r>
        <w:rPr>
          <w:rFonts w:ascii="Times New Roman" w:hAnsi="Times New Roman"/>
          <w:caps w:val="false"/>
          <w:smallCaps w:val="false"/>
          <w:sz w:val="20"/>
        </w:rPr>
        <w:t>the Company repaid the outstanding principal of the Second Amended and Restated Senior Credit Facility of $40,000 along with exit fees and accrued interest through the payoff date that totaled $3,298. The unamortized deferred financing cost and original issue discount of $1,211 was expensed as a loss on debt extinguishment.</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Lease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leases certain assets under operating leases, which primarily consisted of real estate leases, laboratory equipment leases and office equipment leases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Renewal options for our leases range from 1 to 5 years in length and begin from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weighted average lease term for the Company’s operating leases was 9.2 years. The weighted average discount rate for the Company’s operating leases was 11.2%.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Aggregate lease expense under operating leases was $1,795 and $1,754 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w:t>
      </w:r>
    </w:p>
    <w:p>
      <w:pPr>
        <w:pStyle w:val="TextBody"/>
        <w:spacing w:before="0" w:after="0"/>
        <w:ind w:left="0" w:right="0" w:firstLine="54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74</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All of the Company’s leases qualify as operating leases. The following table summarizes the presentation in the consolidated balance sheets of the Company’s operating leases:</w:t>
      </w:r>
    </w:p>
    <w:p>
      <w:pPr>
        <w:pStyle w:val="TextBody"/>
        <w:spacing w:before="0" w:after="0"/>
        <w:ind w:left="0" w:right="0" w:hanging="0"/>
        <w:rPr>
          <w:caps w:val="false"/>
          <w:smallCaps w:val="false"/>
        </w:rPr>
      </w:pPr>
      <w:r>
        <w:rPr>
          <w:caps w:val="false"/>
          <w:smallCaps w:val="false"/>
        </w:rPr>
        <w:t> </w:t>
      </w:r>
    </w:p>
    <w:tbl>
      <w:tblPr>
        <w:tblW w:w="8625" w:type="dxa"/>
        <w:jc w:val="left"/>
        <w:tblInd w:w="0" w:type="dxa"/>
        <w:tblCellMar>
          <w:top w:w="0" w:type="dxa"/>
          <w:left w:w="0" w:type="dxa"/>
          <w:bottom w:w="28" w:type="dxa"/>
          <w:right w:w="0" w:type="dxa"/>
        </w:tblCellMar>
      </w:tblPr>
      <w:tblGrid>
        <w:gridCol w:w="3095"/>
        <w:gridCol w:w="4070"/>
        <w:gridCol w:w="60"/>
        <w:gridCol w:w="125"/>
        <w:gridCol w:w="485"/>
        <w:gridCol w:w="60"/>
        <w:gridCol w:w="60"/>
        <w:gridCol w:w="125"/>
        <w:gridCol w:w="485"/>
        <w:gridCol w:w="60"/>
      </w:tblGrid>
      <w:tr>
        <w:trPr/>
        <w:tc>
          <w:tcPr>
            <w:tcW w:w="3095" w:type="dxa"/>
            <w:tcBorders>
              <w:bottom w:val="single" w:sz="2" w:space="0" w:color="000000"/>
            </w:tcBorders>
            <w:shd w:fill="auto" w:val="clear"/>
            <w:vAlign w:val="center"/>
          </w:tcPr>
          <w:p>
            <w:pPr>
              <w:pStyle w:val="TableContents"/>
              <w:spacing w:before="0" w:after="283"/>
              <w:ind w:left="0" w:right="0" w:hanging="0"/>
              <w:rPr/>
            </w:pPr>
            <w:r>
              <w:rPr/>
              <w:t> </w:t>
            </w:r>
          </w:p>
        </w:tc>
        <w:tc>
          <w:tcPr>
            <w:tcW w:w="4070" w:type="dxa"/>
            <w:tcBorders>
              <w:bottom w:val="single" w:sz="2" w:space="0" w:color="000000"/>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Sheet Location</w:t>
            </w:r>
          </w:p>
        </w:tc>
        <w:tc>
          <w:tcPr>
            <w:tcW w:w="60" w:type="dxa"/>
            <w:tcBorders/>
            <w:shd w:fill="auto" w:val="clear"/>
            <w:tcMar>
              <w:bottom w:w="0" w:type="dxa"/>
            </w:tcMar>
            <w:vAlign w:val="center"/>
          </w:tcPr>
          <w:p>
            <w:pPr>
              <w:pStyle w:val="TableContents"/>
              <w:spacing w:before="0" w:after="283"/>
              <w:ind w:left="0" w:right="0" w:hanging="0"/>
              <w:rPr/>
            </w:pPr>
            <w:r>
              <w:rPr/>
              <w:t> </w:t>
            </w:r>
          </w:p>
        </w:tc>
        <w:tc>
          <w:tcPr>
            <w:tcW w:w="61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ind w:left="0" w:right="0" w:hanging="0"/>
              <w:jc w:val="center"/>
              <w:rPr/>
            </w:pPr>
            <w:r>
              <w:rPr/>
              <w:t> </w:t>
            </w:r>
          </w:p>
        </w:tc>
        <w:tc>
          <w:tcPr>
            <w:tcW w:w="610" w:type="dxa"/>
            <w:gridSpan w:val="2"/>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bottom w:val="single" w:sz="2" w:space="0" w:color="000000"/>
            </w:tcBorders>
            <w:shd w:fill="auto" w:val="clear"/>
            <w:vAlign w:val="center"/>
          </w:tcPr>
          <w:p>
            <w:pPr>
              <w:pStyle w:val="TableContents"/>
              <w:spacing w:before="0" w:after="283"/>
              <w:ind w:left="0" w:right="0" w:hanging="0"/>
              <w:rPr/>
            </w:pPr>
            <w:r>
              <w:rPr/>
              <w:t> </w:t>
            </w:r>
          </w:p>
        </w:tc>
      </w:tr>
      <w:tr>
        <w:trPr/>
        <w:tc>
          <w:tcPr>
            <w:tcW w:w="309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Assets:</w:t>
            </w:r>
          </w:p>
        </w:tc>
        <w:tc>
          <w:tcPr>
            <w:tcW w:w="407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48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48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r>
      <w:tr>
        <w:trPr/>
        <w:tc>
          <w:tcPr>
            <w:tcW w:w="3095"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assets, net</w:t>
            </w:r>
          </w:p>
        </w:tc>
        <w:tc>
          <w:tcPr>
            <w:tcW w:w="4070" w:type="dxa"/>
            <w:tcBorders/>
            <w:shd w:fill="FFFFFF" w:val="clear"/>
            <w:tcMar>
              <w:bottom w:w="0" w:type="dxa"/>
            </w:tcMar>
            <w:vAlign w:val="center"/>
          </w:tcPr>
          <w:p>
            <w:pPr>
              <w:pStyle w:val="TableContents"/>
              <w:spacing w:before="0" w:after="0"/>
              <w:ind w:left="0" w:right="0" w:hanging="0"/>
              <w:rPr/>
            </w:pPr>
            <w:r>
              <w:rPr>
                <w:rStyle w:val="Emphasis"/>
                <w:rFonts w:ascii="Times New Roman" w:hAnsi="Times New Roman"/>
                <w:caps w:val="false"/>
                <w:smallCaps w:val="false"/>
                <w:sz w:val="20"/>
              </w:rPr>
              <w:t>Other Assets</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6,472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3,802</w:t>
            </w:r>
          </w:p>
        </w:tc>
        <w:tc>
          <w:tcPr>
            <w:tcW w:w="60" w:type="dxa"/>
            <w:tcBorders/>
            <w:shd w:fill="FFFFFF" w:val="clear"/>
            <w:tcMar>
              <w:bottom w:w="0" w:type="dxa"/>
            </w:tcMar>
            <w:vAlign w:val="center"/>
          </w:tcPr>
          <w:p>
            <w:pPr>
              <w:pStyle w:val="TableContents"/>
              <w:spacing w:before="0" w:after="283"/>
              <w:ind w:left="0" w:right="0" w:hanging="0"/>
              <w:rPr/>
            </w:pPr>
            <w:r>
              <w:rPr/>
              <w:t> </w:t>
            </w:r>
          </w:p>
        </w:tc>
      </w:tr>
      <w:tr>
        <w:trPr/>
        <w:tc>
          <w:tcPr>
            <w:tcW w:w="309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Liabilities:</w:t>
            </w:r>
          </w:p>
        </w:tc>
        <w:tc>
          <w:tcPr>
            <w:tcW w:w="407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48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48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ind w:left="0" w:right="0" w:hanging="0"/>
              <w:rPr/>
            </w:pPr>
            <w:r>
              <w:rPr/>
              <w:t> </w:t>
            </w:r>
          </w:p>
        </w:tc>
      </w:tr>
      <w:tr>
        <w:trPr/>
        <w:tc>
          <w:tcPr>
            <w:tcW w:w="3095"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operating lease liabilities</w:t>
            </w:r>
          </w:p>
        </w:tc>
        <w:tc>
          <w:tcPr>
            <w:tcW w:w="4070" w:type="dxa"/>
            <w:tcBorders/>
            <w:shd w:fill="FFFFFF" w:val="clear"/>
            <w:tcMar>
              <w:bottom w:w="0" w:type="dxa"/>
            </w:tcMar>
            <w:vAlign w:val="center"/>
          </w:tcPr>
          <w:p>
            <w:pPr>
              <w:pStyle w:val="TableContents"/>
              <w:spacing w:before="0" w:after="0"/>
              <w:ind w:left="0" w:right="0" w:hanging="0"/>
              <w:rPr/>
            </w:pPr>
            <w:r>
              <w:rPr>
                <w:rStyle w:val="Emphasis"/>
                <w:rFonts w:ascii="Times New Roman" w:hAnsi="Times New Roman"/>
                <w:caps w:val="false"/>
                <w:smallCaps w:val="false"/>
                <w:sz w:val="20"/>
              </w:rPr>
              <w:t>Lease financing obligation – current liabilities</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1,819</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shd w:fill="FFFFFF" w:val="clear"/>
            <w:tcMar>
              <w:bottom w:w="0"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1,179</w:t>
            </w:r>
          </w:p>
        </w:tc>
        <w:tc>
          <w:tcPr>
            <w:tcW w:w="60" w:type="dxa"/>
            <w:tcBorders/>
            <w:shd w:fill="FFFFFF" w:val="clear"/>
            <w:tcMar>
              <w:bottom w:w="0" w:type="dxa"/>
            </w:tcMar>
            <w:vAlign w:val="center"/>
          </w:tcPr>
          <w:p>
            <w:pPr>
              <w:pStyle w:val="TableContents"/>
              <w:spacing w:before="0" w:after="283"/>
              <w:ind w:left="0" w:right="0" w:hanging="0"/>
              <w:rPr/>
            </w:pPr>
            <w:r>
              <w:rPr/>
              <w:t> </w:t>
            </w:r>
          </w:p>
        </w:tc>
      </w:tr>
      <w:tr>
        <w:trPr/>
        <w:tc>
          <w:tcPr>
            <w:tcW w:w="309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Non-current operating lease liabilities</w:t>
            </w:r>
          </w:p>
        </w:tc>
        <w:tc>
          <w:tcPr>
            <w:tcW w:w="4070" w:type="dxa"/>
            <w:tcBorders/>
            <w:shd w:fill="CCEEFF" w:val="clear"/>
            <w:tcMar>
              <w:bottom w:w="0" w:type="dxa"/>
            </w:tcMar>
            <w:vAlign w:val="center"/>
          </w:tcPr>
          <w:p>
            <w:pPr>
              <w:pStyle w:val="TableContents"/>
              <w:spacing w:before="0" w:after="0"/>
              <w:ind w:left="0" w:right="0" w:hanging="0"/>
              <w:rPr/>
            </w:pPr>
            <w:r>
              <w:rPr>
                <w:rStyle w:val="Emphasis"/>
                <w:rFonts w:ascii="Times New Roman" w:hAnsi="Times New Roman"/>
                <w:caps w:val="false"/>
                <w:smallCaps w:val="false"/>
                <w:sz w:val="20"/>
              </w:rPr>
              <w:t>Lease financing obligation – long-term liabilities</w:t>
            </w:r>
          </w:p>
        </w:tc>
        <w:tc>
          <w:tcPr>
            <w:tcW w:w="60" w:type="dxa"/>
            <w:tcBorders/>
            <w:shd w:fill="CCEEFF" w:val="clear"/>
            <w:tcMar>
              <w:bottom w:w="0" w:type="dxa"/>
            </w:tcMar>
            <w:vAlign w:val="center"/>
          </w:tcPr>
          <w:p>
            <w:pPr>
              <w:pStyle w:val="TableContents"/>
              <w:spacing w:before="0" w:after="283"/>
              <w:rPr/>
            </w:pPr>
            <w:r>
              <w:rPr/>
              <w:t> </w:t>
            </w:r>
          </w:p>
        </w:tc>
        <w:tc>
          <w:tcPr>
            <w:tcW w:w="125" w:type="dxa"/>
            <w:tcBorders>
              <w:bottom w:val="single" w:sz="2" w:space="0" w:color="000000"/>
            </w:tcBorders>
            <w:shd w:fill="CCEEFF" w:val="clear"/>
            <w:vAlign w:val="center"/>
          </w:tcPr>
          <w:p>
            <w:pPr>
              <w:pStyle w:val="TableContents"/>
              <w:spacing w:before="0" w:after="283"/>
              <w:ind w:left="0" w:right="0" w:hanging="0"/>
              <w:rPr/>
            </w:pPr>
            <w:r>
              <w:rPr/>
              <w:t> </w:t>
            </w:r>
          </w:p>
        </w:tc>
        <w:tc>
          <w:tcPr>
            <w:tcW w:w="485"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5,962</w:t>
            </w:r>
          </w:p>
        </w:tc>
        <w:tc>
          <w:tcPr>
            <w:tcW w:w="60" w:type="dxa"/>
            <w:tcBorders>
              <w:bottom w:val="single" w:sz="2" w:space="0" w:color="000000"/>
            </w:tcBorders>
            <w:shd w:fill="CCEEFF" w:val="cle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bottom w:val="single" w:sz="2" w:space="0" w:color="000000"/>
            </w:tcBorders>
            <w:shd w:fill="CCEEFF" w:val="clear"/>
            <w:vAlign w:val="center"/>
          </w:tcPr>
          <w:p>
            <w:pPr>
              <w:pStyle w:val="TableContents"/>
              <w:spacing w:before="0" w:after="283"/>
              <w:ind w:left="0" w:right="0" w:hanging="0"/>
              <w:rPr/>
            </w:pPr>
            <w:r>
              <w:rPr/>
              <w:t> </w:t>
            </w:r>
          </w:p>
        </w:tc>
        <w:tc>
          <w:tcPr>
            <w:tcW w:w="485"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3,871</w:t>
            </w:r>
          </w:p>
        </w:tc>
        <w:tc>
          <w:tcPr>
            <w:tcW w:w="60" w:type="dxa"/>
            <w:tcBorders>
              <w:bottom w:val="single" w:sz="2" w:space="0" w:color="000000"/>
            </w:tcBorders>
            <w:shd w:fill="CCEEFF" w:val="clear"/>
            <w:vAlign w:val="center"/>
          </w:tcPr>
          <w:p>
            <w:pPr>
              <w:pStyle w:val="TableContents"/>
              <w:spacing w:before="0" w:after="283"/>
              <w:ind w:left="0" w:right="0" w:hanging="0"/>
              <w:rPr/>
            </w:pPr>
            <w:r>
              <w:rPr/>
              <w:t> </w:t>
            </w:r>
          </w:p>
        </w:tc>
      </w:tr>
      <w:tr>
        <w:trPr/>
        <w:tc>
          <w:tcPr>
            <w:tcW w:w="7165" w:type="dxa"/>
            <w:gridSpan w:val="2"/>
            <w:tcBorders/>
            <w:shd w:fill="FFFFFF" w:val="clear"/>
            <w:tcMar>
              <w:bottom w:w="0" w:type="dxa"/>
            </w:tcMar>
            <w:vAlign w:val="center"/>
          </w:tcPr>
          <w:p>
            <w:pPr>
              <w:pStyle w:val="TableContents"/>
              <w:spacing w:before="0" w:after="0"/>
              <w:ind w:left="0" w:right="0" w:hanging="0"/>
              <w:rPr/>
            </w:pPr>
            <w:r>
              <w:rPr>
                <w:rStyle w:val="Emphasis"/>
                <w:rFonts w:ascii="Times New Roman" w:hAnsi="Times New Roman"/>
                <w:caps w:val="false"/>
                <w:smallCaps w:val="false"/>
                <w:sz w:val="20"/>
              </w:rPr>
              <w:t>Total operating lease liabilities</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bottom w:val="double" w:sz="6" w:space="0" w:color="000000"/>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7,781</w:t>
            </w:r>
          </w:p>
        </w:tc>
        <w:tc>
          <w:tcPr>
            <w:tcW w:w="60" w:type="dxa"/>
            <w:tcBorders>
              <w:bottom w:val="double" w:sz="6" w:space="0" w:color="000000"/>
            </w:tcBorders>
            <w:shd w:fill="FFFFFF" w:val="cle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bottom w:val="double" w:sz="6" w:space="0" w:color="000000"/>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5,050</w:t>
            </w:r>
          </w:p>
        </w:tc>
        <w:tc>
          <w:tcPr>
            <w:tcW w:w="60" w:type="dxa"/>
            <w:tcBorders>
              <w:bottom w:val="double" w:sz="6" w:space="0" w:color="000000"/>
            </w:tcBorders>
            <w:shd w:fill="FFFFFF" w:val="clear"/>
            <w:vAlign w:val="center"/>
          </w:tcPr>
          <w:p>
            <w:pPr>
              <w:pStyle w:val="TableContents"/>
              <w:spacing w:before="0" w:after="283"/>
              <w:rPr/>
            </w:pPr>
            <w:r>
              <w:rPr/>
              <w:t> </w:t>
            </w:r>
          </w:p>
        </w:tc>
      </w:tr>
    </w:tbl>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Operating lease assets are recorded net of accumulated amortization of $2,626 and $2,641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 Cash paid for amounts included in the measurement of lease liabilities was $1,615 and $1,696 for the years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respectively.</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Maturities of operating lease liabilities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are as follows (in thousands):</w:t>
      </w:r>
    </w:p>
    <w:p>
      <w:pPr>
        <w:pStyle w:val="TextBody"/>
        <w:spacing w:before="0" w:after="0"/>
        <w:ind w:left="0" w:right="0" w:hanging="0"/>
        <w:rPr>
          <w:caps w:val="false"/>
          <w:smallCaps w:val="false"/>
        </w:rPr>
      </w:pPr>
      <w:r>
        <w:rPr>
          <w:caps w:val="false"/>
          <w:smallCaps w:val="false"/>
        </w:rPr>
        <w:t> </w:t>
      </w:r>
    </w:p>
    <w:tbl>
      <w:tblPr>
        <w:tblW w:w="2600" w:type="dxa"/>
        <w:jc w:val="left"/>
        <w:tblInd w:w="0" w:type="dxa"/>
        <w:tblCellMar>
          <w:top w:w="0" w:type="dxa"/>
          <w:left w:w="0" w:type="dxa"/>
          <w:bottom w:w="0" w:type="dxa"/>
          <w:right w:w="0" w:type="dxa"/>
        </w:tblCellMar>
      </w:tblPr>
      <w:tblGrid>
        <w:gridCol w:w="1745"/>
        <w:gridCol w:w="60"/>
        <w:gridCol w:w="125"/>
        <w:gridCol w:w="590"/>
        <w:gridCol w:w="80"/>
      </w:tblGrid>
      <w:tr>
        <w:trPr/>
        <w:tc>
          <w:tcPr>
            <w:tcW w:w="17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2,099</w:t>
            </w:r>
          </w:p>
        </w:tc>
        <w:tc>
          <w:tcPr>
            <w:tcW w:w="80" w:type="dxa"/>
            <w:tcBorders/>
            <w:shd w:fill="CCEEFF" w:val="clear"/>
            <w:vAlign w:val="center"/>
          </w:tcPr>
          <w:p>
            <w:pPr>
              <w:pStyle w:val="TableContents"/>
              <w:spacing w:before="0" w:after="283"/>
              <w:ind w:left="0" w:right="0" w:hanging="0"/>
              <w:rPr/>
            </w:pPr>
            <w:r>
              <w:rPr/>
              <w:t> </w:t>
            </w:r>
          </w:p>
        </w:tc>
      </w:tr>
      <w:tr>
        <w:trPr/>
        <w:tc>
          <w:tcPr>
            <w:tcW w:w="17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1,870</w:t>
            </w:r>
          </w:p>
        </w:tc>
        <w:tc>
          <w:tcPr>
            <w:tcW w:w="80" w:type="dxa"/>
            <w:tcBorders/>
            <w:shd w:fill="FFFFFF" w:val="clear"/>
            <w:vAlign w:val="center"/>
          </w:tcPr>
          <w:p>
            <w:pPr>
              <w:pStyle w:val="TableContents"/>
              <w:spacing w:before="0" w:after="283"/>
              <w:ind w:left="0" w:right="0" w:hanging="0"/>
              <w:rPr/>
            </w:pPr>
            <w:r>
              <w:rPr/>
              <w:t> </w:t>
            </w:r>
          </w:p>
        </w:tc>
      </w:tr>
      <w:tr>
        <w:trPr/>
        <w:tc>
          <w:tcPr>
            <w:tcW w:w="17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1,321</w:t>
            </w:r>
          </w:p>
        </w:tc>
        <w:tc>
          <w:tcPr>
            <w:tcW w:w="80" w:type="dxa"/>
            <w:tcBorders/>
            <w:shd w:fill="CCEEFF" w:val="clear"/>
            <w:vAlign w:val="center"/>
          </w:tcPr>
          <w:p>
            <w:pPr>
              <w:pStyle w:val="TableContents"/>
              <w:spacing w:before="0" w:after="283"/>
              <w:ind w:left="0" w:right="0" w:hanging="0"/>
              <w:rPr/>
            </w:pPr>
            <w:r>
              <w:rPr/>
              <w:t> </w:t>
            </w:r>
          </w:p>
        </w:tc>
      </w:tr>
      <w:tr>
        <w:trPr/>
        <w:tc>
          <w:tcPr>
            <w:tcW w:w="17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1,060</w:t>
            </w:r>
          </w:p>
        </w:tc>
        <w:tc>
          <w:tcPr>
            <w:tcW w:w="80" w:type="dxa"/>
            <w:tcBorders/>
            <w:shd w:fill="FFFFFF" w:val="clear"/>
            <w:vAlign w:val="center"/>
          </w:tcPr>
          <w:p>
            <w:pPr>
              <w:pStyle w:val="TableContents"/>
              <w:spacing w:before="0" w:after="283"/>
              <w:ind w:left="0" w:right="0" w:hanging="0"/>
              <w:rPr/>
            </w:pPr>
            <w:r>
              <w:rPr/>
              <w:t> </w:t>
            </w:r>
          </w:p>
        </w:tc>
      </w:tr>
      <w:tr>
        <w:trPr/>
        <w:tc>
          <w:tcPr>
            <w:tcW w:w="17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593</w:t>
            </w:r>
          </w:p>
        </w:tc>
        <w:tc>
          <w:tcPr>
            <w:tcW w:w="80" w:type="dxa"/>
            <w:tcBorders/>
            <w:shd w:fill="CCEEFF" w:val="clear"/>
            <w:vAlign w:val="center"/>
          </w:tcPr>
          <w:p>
            <w:pPr>
              <w:pStyle w:val="TableContents"/>
              <w:spacing w:before="0" w:after="283"/>
              <w:ind w:left="0" w:right="0" w:hanging="0"/>
              <w:rPr/>
            </w:pPr>
            <w:r>
              <w:rPr/>
              <w:t> </w:t>
            </w:r>
          </w:p>
        </w:tc>
      </w:tr>
      <w:tr>
        <w:trPr/>
        <w:tc>
          <w:tcPr>
            <w:tcW w:w="17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6,734</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17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13,677</w:t>
            </w:r>
          </w:p>
        </w:tc>
        <w:tc>
          <w:tcPr>
            <w:tcW w:w="80" w:type="dxa"/>
            <w:tcBorders/>
            <w:shd w:fill="CCEEFF" w:val="clear"/>
            <w:vAlign w:val="center"/>
          </w:tcPr>
          <w:p>
            <w:pPr>
              <w:pStyle w:val="TableContents"/>
              <w:spacing w:before="0" w:after="283"/>
              <w:ind w:left="0" w:right="0" w:hanging="0"/>
              <w:rPr/>
            </w:pPr>
            <w:r>
              <w:rPr/>
              <w:t> </w:t>
            </w:r>
          </w:p>
        </w:tc>
      </w:tr>
      <w:tr>
        <w:trPr/>
        <w:tc>
          <w:tcPr>
            <w:tcW w:w="17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(5,896</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7,781</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spacing w:before="0" w:after="0"/>
        <w:ind w:left="0" w:right="0" w:hanging="0"/>
        <w:rPr>
          <w:caps w:val="false"/>
          <w:smallCaps w:val="false"/>
        </w:rPr>
      </w:pPr>
      <w:r>
        <w:rPr>
          <w:caps w:val="false"/>
          <w:smallCaps w:val="false"/>
        </w:rPr>
        <w:t> </w:t>
      </w:r>
    </w:p>
    <w:p>
      <w:pPr>
        <w:pStyle w:val="TextBody"/>
        <w:spacing w:before="0" w:after="0"/>
        <w:ind w:left="220" w:right="0" w:hanging="0"/>
        <w:rPr>
          <w:rFonts w:ascii="Times New Roman" w:hAnsi="Times New Roman"/>
          <w:b/>
          <w:i/>
          <w:caps w:val="false"/>
          <w:smallCaps w:val="false"/>
          <w:sz w:val="20"/>
        </w:rPr>
      </w:pPr>
      <w:r>
        <w:rPr>
          <w:rFonts w:ascii="Times New Roman" w:hAnsi="Times New Roman"/>
          <w:b/>
          <w:i/>
          <w:caps w:val="false"/>
          <w:smallCaps w:val="false"/>
          <w:sz w:val="20"/>
        </w:rPr>
        <w:t>Sales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18, 2019, </w:t>
      </w:r>
      <w:r>
        <w:rPr>
          <w:rFonts w:ascii="Times New Roman" w:hAnsi="Times New Roman"/>
          <w:caps w:val="false"/>
          <w:smallCaps w:val="false"/>
          <w:sz w:val="20"/>
        </w:rPr>
        <w:t xml:space="preserve">the Company completed an underwritten public offering of 43,621 shares of its common stock, offered at a price to the public of $1.45 per share, including shares issued pursuant to the underwriters’ </w:t>
      </w:r>
      <w:r>
        <w:rPr>
          <w:rStyle w:val="Emphasis"/>
          <w:rFonts w:ascii="Times New Roman" w:hAnsi="Times New Roman"/>
          <w:caps w:val="false"/>
          <w:smallCaps w:val="false"/>
          <w:sz w:val="20"/>
        </w:rPr>
        <w:t>30</w:t>
      </w:r>
      <w:r>
        <w:rPr>
          <w:rFonts w:ascii="Times New Roman" w:hAnsi="Times New Roman"/>
          <w:caps w:val="false"/>
          <w:smallCaps w:val="false"/>
          <w:sz w:val="20"/>
        </w:rPr>
        <w:t>-day option to purchase additional shares, which was exercised in full. The net proceeds from this offering were approximately $58,500 after deducting underwriting discounts and commissions and estimated offering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21, 2019, </w:t>
      </w:r>
      <w:r>
        <w:rPr>
          <w:rFonts w:ascii="Times New Roman" w:hAnsi="Times New Roman"/>
          <w:caps w:val="false"/>
          <w:smallCaps w:val="false"/>
          <w:sz w:val="20"/>
        </w:rPr>
        <w:t xml:space="preserve">the Company completed an offering of pre-funded warrants to purchase up to 11,765 shares of its common stock at a price of $1.69 per warrant. Each pre-funded warrant is exercisable subject to conditions in the warrant agreement into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share of common stock at an exercise price of $0.01 per share. The net proceeds from this offering were $19,882, excluding any proceeds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receive upon the subsequent exercise of the pre-funded warrants. All warrants issued in this offering remain outstanding at </w:t>
      </w:r>
      <w:r>
        <w:rPr>
          <w:rStyle w:val="Emphasis"/>
          <w:rFonts w:ascii="Times New Roman" w:hAnsi="Times New Roman"/>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24, 2020, </w:t>
      </w:r>
      <w:r>
        <w:rPr>
          <w:rFonts w:ascii="Times New Roman" w:hAnsi="Times New Roman"/>
          <w:caps w:val="false"/>
          <w:smallCaps w:val="false"/>
          <w:sz w:val="20"/>
        </w:rPr>
        <w:t>the Company filed a $500,000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 the SEC. This shelf registration statement became effective on </w:t>
      </w:r>
      <w:r>
        <w:rPr>
          <w:rStyle w:val="Emphasis"/>
          <w:rFonts w:ascii="Times New Roman" w:hAnsi="Times New Roman"/>
          <w:caps w:val="false"/>
          <w:smallCaps w:val="false"/>
          <w:sz w:val="20"/>
        </w:rPr>
        <w:t xml:space="preserve">May 14, 2020 </w:t>
      </w:r>
      <w:r>
        <w:rPr>
          <w:rFonts w:ascii="Times New Roman" w:hAnsi="Times New Roman"/>
          <w:caps w:val="false"/>
          <w:smallCaps w:val="false"/>
          <w:sz w:val="20"/>
        </w:rPr>
        <w:t>and allows the Company to sell securities, including common stock, preferred stock, depositary shares, purchase contracts, warrants, debt securities, and units, from time to time at prices and on terms to be determined at the time of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 2020, </w:t>
      </w:r>
      <w:r>
        <w:rPr>
          <w:rFonts w:ascii="Times New Roman" w:hAnsi="Times New Roman"/>
          <w:caps w:val="false"/>
          <w:smallCaps w:val="false"/>
          <w:sz w:val="20"/>
        </w:rPr>
        <w:t xml:space="preserve">the Company issued 22,044 shares of common stock to the public at a purchase price of $4.50 per share and pre-funded warrants to purchase 3,511 shares of common stock at a purchase of $4.49 per pre-funded warrant, for total net proceeds to the Company of $108,096 million after deducting underwriting discounts and commissions and other offering expenses. Each pre-funded warrant is exercisable subject to conditions in the warrant agreement into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share of common stock at an exercise price of $0.01 per share. All warrants issued in this offering remain outstanding at </w:t>
      </w:r>
      <w:r>
        <w:rPr>
          <w:rStyle w:val="Emphasis"/>
          <w:rFonts w:ascii="Times New Roman" w:hAnsi="Times New Roman"/>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2021, </w:t>
      </w:r>
      <w:r>
        <w:rPr>
          <w:rFonts w:ascii="Times New Roman" w:hAnsi="Times New Roman"/>
          <w:caps w:val="false"/>
          <w:smallCaps w:val="false"/>
          <w:sz w:val="20"/>
        </w:rPr>
        <w:t>the Company filed an automatic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19, 2021, </w:t>
      </w:r>
      <w:r>
        <w:rPr>
          <w:rFonts w:ascii="Times New Roman" w:hAnsi="Times New Roman"/>
          <w:caps w:val="false"/>
          <w:smallCaps w:val="false"/>
          <w:sz w:val="20"/>
        </w:rPr>
        <w:t xml:space="preserve">concurrent with the Company entering into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Purchase Agreement, the Company and RPI entered into a Common Stock Purchase Agreement, pursuant to which the Company issued 3,846,154 shares of the Company’s common stock to RPI for an aggregate purchase price of $50,000, at a price of $13.00 per share, calculated based on the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-day volume weighted average price. The $13.00 per share price represents a premium of $1.11 over the closing price of $11.89 of the Company’s common stock on </w:t>
      </w:r>
      <w:r>
        <w:rPr>
          <w:rStyle w:val="Emphasis"/>
          <w:rFonts w:ascii="Times New Roman" w:hAnsi="Times New Roman"/>
          <w:caps w:val="false"/>
          <w:smallCaps w:val="false"/>
          <w:sz w:val="20"/>
        </w:rPr>
        <w:t xml:space="preserve">November 17, 2021, </w:t>
      </w:r>
      <w:r>
        <w:rPr>
          <w:rFonts w:ascii="Times New Roman" w:hAnsi="Times New Roman"/>
          <w:caps w:val="false"/>
          <w:smallCaps w:val="false"/>
          <w:sz w:val="20"/>
        </w:rPr>
        <w:t xml:space="preserve">the last trading day prior to the execution of the Common Stock Purchase Agreement. The premium of $4,269 paid by RPI on the purchase of the Company’s common stock has been deferred and is being amortized as a component of interest expense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RPI royalty financing obligation.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had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stock-based employee compensation plans, the Amended and Restated Stock Incentive Plan (“Incentive Plan”), the Amended and Restated Inducement Equity Incentive Plan (“Inducement Plan”) and the Employee Stock Purchase Plan (“ESPP”). The Incentive Plan was most recently amended and restated on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and approved by the Company’s stockholders on </w:t>
      </w:r>
      <w:r>
        <w:rPr>
          <w:rStyle w:val="Emphasis"/>
          <w:rFonts w:ascii="Times New Roman" w:hAnsi="Times New Roman"/>
          <w:caps w:val="false"/>
          <w:smallCaps w:val="false"/>
          <w:sz w:val="20"/>
        </w:rPr>
        <w:t xml:space="preserve">May 25, 2021. </w:t>
      </w:r>
      <w:r>
        <w:rPr>
          <w:rFonts w:ascii="Times New Roman" w:hAnsi="Times New Roman"/>
          <w:caps w:val="false"/>
          <w:smallCaps w:val="false"/>
          <w:sz w:val="20"/>
        </w:rPr>
        <w:t xml:space="preserve">The Inducement Plan was adopted by the Board of Directors on </w:t>
      </w:r>
      <w:r>
        <w:rPr>
          <w:rStyle w:val="Emphasis"/>
          <w:rFonts w:ascii="Times New Roman" w:hAnsi="Times New Roman"/>
          <w:caps w:val="false"/>
          <w:smallCaps w:val="false"/>
          <w:sz w:val="20"/>
        </w:rPr>
        <w:t xml:space="preserve">April 24, 2019 </w:t>
      </w:r>
      <w:r>
        <w:rPr>
          <w:rFonts w:ascii="Times New Roman" w:hAnsi="Times New Roman"/>
          <w:caps w:val="false"/>
          <w:smallCaps w:val="false"/>
          <w:sz w:val="20"/>
        </w:rPr>
        <w:t xml:space="preserve">and was most recently amended and restated by the Board of Directors on </w:t>
      </w:r>
      <w:r>
        <w:rPr>
          <w:rStyle w:val="Emphasis"/>
          <w:rFonts w:ascii="Times New Roman" w:hAnsi="Times New Roman"/>
          <w:caps w:val="false"/>
          <w:smallCaps w:val="false"/>
          <w:sz w:val="20"/>
        </w:rPr>
        <w:t xml:space="preserve">July 23, 2021. </w:t>
      </w:r>
      <w:r>
        <w:rPr>
          <w:rFonts w:ascii="Times New Roman" w:hAnsi="Times New Roman"/>
          <w:caps w:val="false"/>
          <w:smallCaps w:val="false"/>
          <w:sz w:val="20"/>
        </w:rPr>
        <w:t xml:space="preserve">The ESPP was most recently amended and restated on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and approved by the Company’s stockholders on </w:t>
      </w:r>
      <w:r>
        <w:rPr>
          <w:rStyle w:val="Emphasis"/>
          <w:rFonts w:ascii="Times New Roman" w:hAnsi="Times New Roman"/>
          <w:caps w:val="false"/>
          <w:smallCaps w:val="false"/>
          <w:sz w:val="20"/>
        </w:rPr>
        <w:t>May 25,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Stock-based compensation expense of $34,640 ($27,062 of expense related to the Incentive Plan, $6,055 of expense related to the Inducement Plan, $1,523 of expense related to the ESPP) was recognized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while $14,794 ($12,938 of expense related to the Incentive Plan, $1,494 of expense related to the Inducement Plan, $362 of expense related to the ESPP) was recognized during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$17,719 ($17,164 of expense related to the Incentive Plan, $323 of expense related to the Inducement Plan, $232 of expense related to the ESPP) was recognized during </w:t>
      </w:r>
      <w:r>
        <w:rPr>
          <w:rStyle w:val="Emphasis"/>
          <w:rFonts w:ascii="Times New Roman" w:hAnsi="Times New Roman"/>
          <w:caps w:val="false"/>
          <w:smallCaps w:val="false"/>
          <w:sz w:val="20"/>
        </w:rPr>
        <w:t>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 accounts for stock-based compensation in accordance with FASB authoritative guidance regarding share-based payments. Total stock-based compensation was allocated as follows:</w:t>
      </w:r>
    </w:p>
    <w:p>
      <w:pPr>
        <w:pStyle w:val="TextBody"/>
        <w:spacing w:before="0" w:after="0"/>
        <w:ind w:left="0" w:right="0" w:hanging="0"/>
        <w:rPr>
          <w:caps w:val="false"/>
          <w:smallCaps w:val="false"/>
        </w:rPr>
      </w:pPr>
      <w:r>
        <w:rPr>
          <w:caps w:val="false"/>
          <w:smallCaps w:val="false"/>
        </w:rPr>
        <w:t> </w:t>
      </w:r>
    </w:p>
    <w:tbl>
      <w:tblPr>
        <w:tblW w:w="5855" w:type="dxa"/>
        <w:jc w:val="left"/>
        <w:tblInd w:w="0" w:type="dxa"/>
        <w:tblCellMar>
          <w:top w:w="0" w:type="dxa"/>
          <w:left w:w="0" w:type="dxa"/>
          <w:bottom w:w="0" w:type="dxa"/>
          <w:right w:w="0" w:type="dxa"/>
        </w:tblCellMar>
      </w:tblPr>
      <w:tblGrid>
        <w:gridCol w:w="3350"/>
        <w:gridCol w:w="60"/>
        <w:gridCol w:w="125"/>
        <w:gridCol w:w="590"/>
        <w:gridCol w:w="60"/>
        <w:gridCol w:w="60"/>
        <w:gridCol w:w="125"/>
        <w:gridCol w:w="590"/>
        <w:gridCol w:w="60"/>
        <w:gridCol w:w="60"/>
        <w:gridCol w:w="125"/>
        <w:gridCol w:w="590"/>
        <w:gridCol w:w="60"/>
      </w:tblGrid>
      <w:tr>
        <w:trPr/>
        <w:tc>
          <w:tcPr>
            <w:tcW w:w="3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38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 Ended December 31,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bottom w:val="single" w:sz="2" w:space="0" w:color="000000"/>
            </w:tcBorders>
            <w:shd w:fill="auto" w:val="clear"/>
            <w:tcMar>
              <w:bottom w:w="28" w:type="dxa"/>
            </w:tcM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ind w:left="0" w:right="0" w:hanging="0"/>
              <w:jc w:val="center"/>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33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20,179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13,977</w:t>
            </w:r>
          </w:p>
        </w:tc>
        <w:tc>
          <w:tcPr>
            <w:tcW w:w="60" w:type="dxa"/>
            <w:tcBorders/>
            <w:shd w:fill="CCEEFF" w:val="clear"/>
            <w:vAlign w:val="center"/>
          </w:tcPr>
          <w:p>
            <w:pPr>
              <w:pStyle w:val="TableContents"/>
              <w:spacing w:before="0" w:after="283"/>
              <w:ind w:left="0" w:right="0" w:hanging="0"/>
              <w:rPr/>
            </w:pPr>
            <w:r>
              <w:rPr/>
              <w:t> </w:t>
            </w:r>
          </w:p>
        </w:tc>
      </w:tr>
      <w:tr>
        <w:trPr/>
        <w:tc>
          <w:tcPr>
            <w:tcW w:w="33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14,461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4,572</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3,742</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33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34,640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14,794</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17,719</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20" w:right="0" w:hanging="0"/>
        <w:rPr>
          <w:rFonts w:ascii="Times New Roman" w:hAnsi="Times New Roman"/>
          <w:b/>
          <w:i/>
          <w:caps w:val="false"/>
          <w:smallCaps w:val="false"/>
          <w:sz w:val="20"/>
        </w:rPr>
      </w:pPr>
      <w:r>
        <w:rPr>
          <w:rFonts w:ascii="Times New Roman" w:hAnsi="Times New Roman"/>
          <w:b/>
          <w:i/>
          <w:caps w:val="false"/>
          <w:smallCaps w:val="false"/>
          <w:sz w:val="20"/>
        </w:rPr>
        <w:t>Stock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grants stock option awards, restricted stock and restricted stock units to its employees, directors, and consultants under the Incentive Plan. Under the Incentive Plan, stock option awards are granted with an exercise price equal to the market price of the Company’s stock at the date of grant. Commencing </w:t>
      </w:r>
      <w:r>
        <w:rPr>
          <w:rStyle w:val="Emphasis"/>
          <w:rFonts w:ascii="Times New Roman" w:hAnsi="Times New Roman"/>
          <w:caps w:val="false"/>
          <w:smallCaps w:val="false"/>
          <w:sz w:val="20"/>
        </w:rPr>
        <w:t xml:space="preserve">March 1, 2011, </w:t>
      </w:r>
      <w:r>
        <w:rPr>
          <w:rFonts w:ascii="Times New Roman" w:hAnsi="Times New Roman"/>
          <w:caps w:val="false"/>
          <w:smallCaps w:val="false"/>
          <w:sz w:val="20"/>
        </w:rPr>
        <w:t>stock option awards and restricted stock units granted to employees generally vest 25% each year until fully vested after four years.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2013, December 2014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the Company issued 1,032, 1,250 and 315 performance-based stock options, respectively. These awards vest upon successful completion of specific development milestones.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100%, 85% and 100% of the </w:t>
      </w:r>
      <w:r>
        <w:rPr>
          <w:rStyle w:val="Emphasis"/>
          <w:rFonts w:ascii="Times New Roman" w:hAnsi="Times New Roman"/>
          <w:caps w:val="false"/>
          <w:smallCaps w:val="false"/>
          <w:sz w:val="20"/>
        </w:rPr>
        <w:t xml:space="preserve">August 2013, December 2014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 xml:space="preserve">grants, respectively, have vested. During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recognized $1,768 and $684 of stock compensation expense related to milestones within the </w:t>
      </w:r>
      <w:r>
        <w:rPr>
          <w:rStyle w:val="Emphasis"/>
          <w:rFonts w:ascii="Times New Roman" w:hAnsi="Times New Roman"/>
          <w:caps w:val="false"/>
          <w:smallCaps w:val="false"/>
          <w:sz w:val="20"/>
        </w:rPr>
        <w:t xml:space="preserve">August 2013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2019 </w:t>
      </w:r>
      <w:r>
        <w:rPr>
          <w:rFonts w:ascii="Times New Roman" w:hAnsi="Times New Roman"/>
          <w:caps w:val="false"/>
          <w:smallCaps w:val="false"/>
          <w:sz w:val="20"/>
        </w:rPr>
        <w:t>grants for which achievement became probable.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Stock option awards granted to non-employee directors of the Company generally vest over one year. Stock option awards granted to new non-employee directors when they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join the Company’s Board of Directors generally vest, subject to the terms of the Incentive Plan, in </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equal monthly installments over a three-year period measured from the grant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All stock option awards have contractual terms of 10 years. The vesting exercise provisions of all awards granted under the Incentive Plan are subject to acceleration in the event of certain stockholder-approved transactions, or upon the occurrence of a change in control as defined in the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Related activity under the Incentive Plan is as follows:</w:t>
      </w:r>
    </w:p>
    <w:p>
      <w:pPr>
        <w:pStyle w:val="TextBody"/>
        <w:spacing w:before="0" w:after="0"/>
        <w:ind w:left="0" w:right="0" w:firstLine="540"/>
        <w:rPr>
          <w:caps w:val="false"/>
          <w:smallCaps w:val="false"/>
        </w:rPr>
      </w:pPr>
      <w:r>
        <w:rPr>
          <w:caps w:val="false"/>
          <w:smallCaps w:val="false"/>
        </w:rPr>
        <w:t> </w:t>
      </w:r>
    </w:p>
    <w:tbl>
      <w:tblPr>
        <w:tblW w:w="5685" w:type="dxa"/>
        <w:jc w:val="left"/>
        <w:tblInd w:w="0" w:type="dxa"/>
        <w:tblCellMar>
          <w:top w:w="0" w:type="dxa"/>
          <w:left w:w="0" w:type="dxa"/>
          <w:bottom w:w="0" w:type="dxa"/>
          <w:right w:w="0" w:type="dxa"/>
        </w:tblCellMar>
      </w:tblPr>
      <w:tblGrid>
        <w:gridCol w:w="2585"/>
        <w:gridCol w:w="60"/>
        <w:gridCol w:w="81"/>
        <w:gridCol w:w="749"/>
        <w:gridCol w:w="80"/>
        <w:gridCol w:w="60"/>
        <w:gridCol w:w="95"/>
        <w:gridCol w:w="945"/>
        <w:gridCol w:w="80"/>
        <w:gridCol w:w="60"/>
        <w:gridCol w:w="205"/>
        <w:gridCol w:w="625"/>
        <w:gridCol w:w="60"/>
      </w:tblGrid>
      <w:tr>
        <w:trPr/>
        <w:tc>
          <w:tcPr>
            <w:tcW w:w="2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auto" w:val="clear"/>
            <w:vAlign w:val="center"/>
          </w:tcPr>
          <w:p>
            <w:pPr>
              <w:pStyle w:val="TableContents"/>
              <w:spacing w:before="0" w:after="283"/>
              <w:rPr/>
            </w:pPr>
            <w:r>
              <w:rPr/>
              <w:t> </w:t>
            </w:r>
          </w:p>
        </w:tc>
      </w:tr>
      <w:tr>
        <w:trPr/>
        <w:tc>
          <w:tcPr>
            <w:tcW w:w="2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auto" w:val="clear"/>
            <w:vAlign w:val="center"/>
          </w:tcPr>
          <w:p>
            <w:pPr>
              <w:pStyle w:val="TableContents"/>
              <w:spacing w:before="0" w:after="283"/>
              <w:rPr/>
            </w:pPr>
            <w:r>
              <w:rPr/>
              <w:t> </w:t>
            </w:r>
          </w:p>
        </w:tc>
      </w:tr>
      <w:tr>
        <w:trPr/>
        <w:tc>
          <w:tcPr>
            <w:tcW w:w="2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80" w:right="0" w:hanging="0"/>
              <w:rPr/>
            </w:pPr>
            <w:r>
              <w:rPr/>
              <w:t> </w:t>
            </w:r>
          </w:p>
        </w:tc>
        <w:tc>
          <w:tcPr>
            <w:tcW w:w="830" w:type="dxa"/>
            <w:gridSpan w:val="2"/>
            <w:tcBorders/>
            <w:shd w:fill="auto" w:val="clear"/>
            <w:vAlign w:val="center"/>
          </w:tcPr>
          <w:p>
            <w:pPr>
              <w:pStyle w:val="TableContents"/>
              <w:spacing w:before="0" w:after="0"/>
              <w:ind w:left="960" w:right="0" w:hanging="0"/>
              <w:rPr/>
            </w:pPr>
            <w:r>
              <w:rPr>
                <w:rStyle w:val="Emphasis"/>
                <w:rFonts w:ascii="Times New Roman" w:hAnsi="Times New Roman"/>
                <w:b/>
                <w:caps w:val="false"/>
                <w:smallCaps w:val="false"/>
                <w:sz w:val="20"/>
              </w:rPr>
              <w:t>Awards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40"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auto" w:val="clear"/>
            <w:vAlign w:val="center"/>
          </w:tcPr>
          <w:p>
            <w:pPr>
              <w:pStyle w:val="TableContents"/>
              <w:spacing w:before="0" w:after="283"/>
              <w:rPr/>
            </w:pPr>
            <w:r>
              <w:rPr/>
              <w:t> </w:t>
            </w:r>
          </w:p>
        </w:tc>
      </w:tr>
      <w:tr>
        <w:trPr/>
        <w:tc>
          <w:tcPr>
            <w:tcW w:w="2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40" w:right="0" w:hanging="0"/>
              <w:rPr/>
            </w:pPr>
            <w:r>
              <w:rPr/>
              <w:t> </w:t>
            </w:r>
          </w:p>
        </w:tc>
        <w:tc>
          <w:tcPr>
            <w:tcW w:w="830" w:type="dxa"/>
            <w:gridSpan w:val="2"/>
            <w:tcBorders>
              <w:bottom w:val="single" w:sz="2" w:space="0" w:color="000000"/>
            </w:tcBorders>
            <w:shd w:fill="auto" w:val="clear"/>
            <w:tcMar>
              <w:bottom w:w="28" w:type="dxa"/>
            </w:tcMar>
            <w:vAlign w:val="center"/>
          </w:tcPr>
          <w:p>
            <w:pPr>
              <w:pStyle w:val="TableContents"/>
              <w:spacing w:before="0" w:after="0"/>
              <w:ind w:left="880" w:right="0" w:hanging="0"/>
              <w:rPr/>
            </w:pPr>
            <w:r>
              <w:rPr>
                <w:rStyle w:val="Emphasis"/>
                <w:rFonts w:ascii="Times New Roman" w:hAnsi="Times New Roman"/>
                <w:b/>
                <w:caps w:val="false"/>
                <w:smallCaps w:val="false"/>
                <w:sz w:val="20"/>
              </w:rPr>
              <w:t>Available</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Outstanding</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December 31, 2018</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6.49</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Plan amendment</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ind w:left="200" w:right="0" w:hanging="0"/>
              <w:rPr/>
            </w:pPr>
            <w:r>
              <w:rPr/>
              <w:t> </w:t>
            </w:r>
          </w:p>
        </w:tc>
      </w:tr>
      <w:tr>
        <w:trPr/>
        <w:tc>
          <w:tcPr>
            <w:tcW w:w="258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Restricted stock awards granted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ind w:left="0" w:right="0" w:hanging="0"/>
              <w:rPr/>
            </w:pPr>
            <w:r>
              <w:rPr/>
              <w:t> </w:t>
            </w:r>
          </w:p>
        </w:tc>
        <w:tc>
          <w:tcPr>
            <w:tcW w:w="62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granted</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3.91</w:t>
            </w:r>
          </w:p>
        </w:tc>
        <w:tc>
          <w:tcPr>
            <w:tcW w:w="60" w:type="dxa"/>
            <w:tcBorders/>
            <w:shd w:fill="FFFFFF" w:val="clear"/>
            <w:vAlign w:val="center"/>
          </w:tcPr>
          <w:p>
            <w:pPr>
              <w:pStyle w:val="TableContents"/>
              <w:spacing w:before="0" w:after="283"/>
              <w:ind w:left="200" w:right="0" w:hanging="0"/>
              <w:rPr/>
            </w:pPr>
            <w:r>
              <w:rPr/>
              <w:t> </w:t>
            </w:r>
          </w:p>
        </w:tc>
      </w:tr>
      <w:tr>
        <w:trPr/>
        <w:tc>
          <w:tcPr>
            <w:tcW w:w="258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exercised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ind w:left="0" w:right="0" w:hanging="0"/>
              <w:rPr/>
            </w:pPr>
            <w:r>
              <w:rPr/>
              <w:t> </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cancelled</w:t>
            </w:r>
          </w:p>
        </w:tc>
        <w:tc>
          <w:tcPr>
            <w:tcW w:w="60" w:type="dxa"/>
            <w:tcBorders/>
            <w:shd w:fill="FFFFFF" w:val="clear"/>
            <w:vAlign w:val="center"/>
          </w:tcPr>
          <w:p>
            <w:pPr>
              <w:pStyle w:val="TableContents"/>
              <w:spacing w:before="0" w:after="283"/>
              <w:rPr/>
            </w:pPr>
            <w:r>
              <w:rPr/>
              <w:t> </w:t>
            </w:r>
          </w:p>
        </w:tc>
        <w:tc>
          <w:tcPr>
            <w:tcW w:w="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4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6.82</w:t>
            </w:r>
          </w:p>
        </w:tc>
        <w:tc>
          <w:tcPr>
            <w:tcW w:w="60" w:type="dxa"/>
            <w:tcBorders/>
            <w:shd w:fill="FFFFFF" w:val="clear"/>
            <w:vAlign w:val="center"/>
          </w:tcPr>
          <w:p>
            <w:pPr>
              <w:pStyle w:val="TableContents"/>
              <w:spacing w:before="0" w:after="283"/>
              <w:ind w:left="0" w:right="0" w:hanging="0"/>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December 31, 2019</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21,050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5.96</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Plan amendment</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ind w:left="200" w:right="0" w:hanging="0"/>
              <w:rPr/>
            </w:pPr>
            <w:r>
              <w:rPr/>
              <w:t> </w:t>
            </w:r>
          </w:p>
        </w:tc>
      </w:tr>
      <w:tr>
        <w:trPr/>
        <w:tc>
          <w:tcPr>
            <w:tcW w:w="258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Restricted stock awards granted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ind w:left="0" w:right="0" w:hanging="0"/>
              <w:rPr/>
            </w:pPr>
            <w:r>
              <w:rPr/>
              <w:t> </w:t>
            </w:r>
          </w:p>
        </w:tc>
        <w:tc>
          <w:tcPr>
            <w:tcW w:w="62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granted</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(7,469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8.06</w:t>
            </w:r>
          </w:p>
        </w:tc>
        <w:tc>
          <w:tcPr>
            <w:tcW w:w="60" w:type="dxa"/>
            <w:tcBorders/>
            <w:shd w:fill="FFFFFF" w:val="clear"/>
            <w:vAlign w:val="center"/>
          </w:tcPr>
          <w:p>
            <w:pPr>
              <w:pStyle w:val="TableContents"/>
              <w:spacing w:before="0" w:after="283"/>
              <w:ind w:left="200" w:right="0" w:hanging="0"/>
              <w:rPr/>
            </w:pPr>
            <w:r>
              <w:rPr/>
              <w:t> </w:t>
            </w:r>
          </w:p>
        </w:tc>
      </w:tr>
      <w:tr>
        <w:trPr/>
        <w:tc>
          <w:tcPr>
            <w:tcW w:w="258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exercised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ind w:left="0" w:right="0" w:hanging="0"/>
              <w:rPr/>
            </w:pPr>
            <w:r>
              <w:rPr/>
              <w:t> </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3.56</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cancelled</w:t>
            </w:r>
          </w:p>
        </w:tc>
        <w:tc>
          <w:tcPr>
            <w:tcW w:w="60" w:type="dxa"/>
            <w:tcBorders/>
            <w:shd w:fill="FFFFFF" w:val="clear"/>
            <w:vAlign w:val="center"/>
          </w:tcPr>
          <w:p>
            <w:pPr>
              <w:pStyle w:val="TableContents"/>
              <w:spacing w:before="0" w:after="283"/>
              <w:rPr/>
            </w:pPr>
            <w:r>
              <w:rPr/>
              <w:t> </w:t>
            </w:r>
          </w:p>
        </w:tc>
        <w:tc>
          <w:tcPr>
            <w:tcW w:w="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4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3,124</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(3,124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6.93</w:t>
            </w:r>
          </w:p>
        </w:tc>
        <w:tc>
          <w:tcPr>
            <w:tcW w:w="60" w:type="dxa"/>
            <w:tcBorders/>
            <w:shd w:fill="FFFFFF" w:val="clear"/>
            <w:vAlign w:val="center"/>
          </w:tcPr>
          <w:p>
            <w:pPr>
              <w:pStyle w:val="TableContents"/>
              <w:spacing w:before="0" w:after="283"/>
              <w:ind w:left="0" w:right="0" w:hanging="0"/>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December 31, 2020</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4,592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24,885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6.52</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Plan amendment</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ind w:left="200" w:right="0" w:hanging="0"/>
              <w:rPr/>
            </w:pPr>
            <w:r>
              <w:rPr/>
              <w:t> </w:t>
            </w:r>
          </w:p>
        </w:tc>
      </w:tr>
      <w:tr>
        <w:trPr/>
        <w:tc>
          <w:tcPr>
            <w:tcW w:w="258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Restricted stock units granted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ind w:left="0" w:right="0" w:hanging="0"/>
              <w:rPr/>
            </w:pPr>
            <w:r>
              <w:rPr/>
              <w:t> </w:t>
            </w:r>
          </w:p>
        </w:tc>
        <w:tc>
          <w:tcPr>
            <w:tcW w:w="625" w:type="dxa"/>
            <w:tcBorders/>
            <w:shd w:fill="CCEEFF" w:val="clear"/>
            <w:vAlign w:val="center"/>
          </w:tcPr>
          <w:p>
            <w:pPr>
              <w:pStyle w:val="TableContents"/>
              <w:spacing w:before="0" w:after="283"/>
              <w:ind w:left="0" w:right="0" w:hanging="0"/>
              <w:jc w:val="right"/>
              <w:rPr/>
            </w:pPr>
            <w:r>
              <w:rPr>
                <w:rStyle w:val="Emphasis"/>
              </w:rPr>
              <w:t>−</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granted</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9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pPr>
            <w:r>
              <w:rPr/>
              <w:t> </w:t>
            </w:r>
          </w:p>
        </w:tc>
        <w:tc>
          <w:tcPr>
            <w:tcW w:w="625" w:type="dxa"/>
            <w:tcBorders/>
            <w:shd w:fill="FFFFFF" w:val="clear"/>
            <w:vAlign w:val="center"/>
          </w:tcPr>
          <w:p>
            <w:pPr>
              <w:pStyle w:val="TableContents"/>
              <w:spacing w:before="0" w:after="283"/>
              <w:jc w:val="right"/>
              <w:rPr/>
            </w:pPr>
            <w:r>
              <w:rPr>
                <w:rStyle w:val="Emphasis"/>
              </w:rPr>
              <w:t> </w:t>
            </w:r>
          </w:p>
        </w:tc>
        <w:tc>
          <w:tcPr>
            <w:tcW w:w="60" w:type="dxa"/>
            <w:tcBorders/>
            <w:shd w:fill="FFFFFF" w:val="clear"/>
            <w:vAlign w:val="center"/>
          </w:tcPr>
          <w:p>
            <w:pPr>
              <w:pStyle w:val="TableContents"/>
              <w:spacing w:before="0" w:after="283"/>
              <w:ind w:left="200" w:right="0" w:hanging="0"/>
              <w:rPr/>
            </w:pPr>
            <w:r>
              <w:rPr/>
              <w:t> </w:t>
            </w:r>
          </w:p>
        </w:tc>
      </w:tr>
      <w:tr>
        <w:trPr/>
        <w:tc>
          <w:tcPr>
            <w:tcW w:w="258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exercised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pPr>
            <w:r>
              <w:rPr>
                <w:rStyle w:val="Emphasis"/>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ind w:left="0" w:right="0" w:hanging="0"/>
              <w:rPr/>
            </w:pPr>
            <w:r>
              <w:rPr/>
              <w:t> </w:t>
            </w:r>
          </w:p>
        </w:tc>
        <w:tc>
          <w:tcPr>
            <w:tcW w:w="9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ind w:left="0" w:right="0" w:hanging="0"/>
              <w:rPr/>
            </w:pPr>
            <w:r>
              <w:rPr/>
              <w:t> </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4.36</w:t>
            </w:r>
          </w:p>
        </w:tc>
        <w:tc>
          <w:tcPr>
            <w:tcW w:w="60" w:type="dxa"/>
            <w:tcBorders/>
            <w:shd w:fill="CCEEFF" w:val="clear"/>
            <w:vAlign w:val="center"/>
          </w:tcPr>
          <w:p>
            <w:pPr>
              <w:pStyle w:val="TableContents"/>
              <w:spacing w:before="0" w:after="283"/>
              <w:ind w:left="200" w:right="0" w:hanging="0"/>
              <w:rPr/>
            </w:pPr>
            <w:r>
              <w:rPr/>
              <w:t> </w:t>
            </w:r>
          </w:p>
        </w:tc>
      </w:tr>
      <w:tr>
        <w:trPr/>
        <w:tc>
          <w:tcPr>
            <w:tcW w:w="258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cancelled</w:t>
            </w:r>
          </w:p>
        </w:tc>
        <w:tc>
          <w:tcPr>
            <w:tcW w:w="60" w:type="dxa"/>
            <w:tcBorders/>
            <w:shd w:fill="FFFFFF" w:val="clear"/>
            <w:vAlign w:val="center"/>
          </w:tcPr>
          <w:p>
            <w:pPr>
              <w:pStyle w:val="TableContents"/>
              <w:spacing w:before="0" w:after="283"/>
              <w:rPr/>
            </w:pPr>
            <w:r>
              <w:rPr/>
              <w:t> </w:t>
            </w:r>
          </w:p>
        </w:tc>
        <w:tc>
          <w:tcPr>
            <w:tcW w:w="8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4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(248</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ind w:left="0" w:right="0" w:hanging="0"/>
              <w:rPr/>
            </w:pPr>
            <w:r>
              <w:rPr/>
              <w:t> </w:t>
            </w:r>
          </w:p>
        </w:tc>
        <w:tc>
          <w:tcPr>
            <w:tcW w:w="6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7.62</w:t>
            </w:r>
          </w:p>
        </w:tc>
        <w:tc>
          <w:tcPr>
            <w:tcW w:w="60" w:type="dxa"/>
            <w:tcBorders/>
            <w:shd w:fill="FFFFFF" w:val="clear"/>
            <w:vAlign w:val="center"/>
          </w:tcPr>
          <w:p>
            <w:pPr>
              <w:pStyle w:val="TableContents"/>
              <w:spacing w:before="0" w:after="283"/>
              <w:ind w:left="0" w:right="0" w:hanging="0"/>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CCEEFF" w:val="clear"/>
            <w:vAlign w:val="center"/>
          </w:tcPr>
          <w:p>
            <w:pPr>
              <w:pStyle w:val="TableContents"/>
              <w:spacing w:before="0" w:after="283"/>
              <w:rPr/>
            </w:pPr>
            <w:r>
              <w:rPr/>
              <w:t> </w:t>
            </w:r>
          </w:p>
        </w:tc>
        <w:tc>
          <w:tcPr>
            <w:tcW w:w="8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74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3,651</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28,685</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76</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pPr>
      <w:r>
        <w:rPr>
          <w:rFonts w:ascii="Times New Roman" w:hAnsi="Times New Roman"/>
          <w:caps w:val="false"/>
          <w:smallCaps w:val="false"/>
          <w:sz w:val="20"/>
        </w:rPr>
        <w:t xml:space="preserve">For stock option awards granted under the Incentive Plan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fair value was estimated on the date of grant using a Black-Scholes option pricing model and the assumptions noted in the table below. The weighted average grant date fair value of these awards granted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was $7.93, $5.48, and $2.63, respectively. The fair value of the stock option awards is amortized to expense over the vesting periods using a straight-line expense attribution method. For restricted stock units granted under the Incentive Plan, the fair value of the awards was determined based on the market value of the Company’s shares on the grant date. The weighted average grant date fair value of these awards was $11.36. The fair value of the restricted stock unit awards is amortized to expense over the vesting periods using a straight-line expense attribution method.</w:t>
      </w:r>
    </w:p>
    <w:p>
      <w:pPr>
        <w:pStyle w:val="TextBody"/>
        <w:spacing w:before="0" w:after="0"/>
        <w:ind w:left="0" w:right="0" w:firstLine="540"/>
        <w:rPr>
          <w:caps w:val="false"/>
          <w:smallCaps w:val="false"/>
        </w:rPr>
      </w:pPr>
      <w:r>
        <w:rPr>
          <w:caps w:val="false"/>
          <w:smallCaps w:val="false"/>
        </w:rPr>
        <w:t> </w:t>
      </w:r>
    </w:p>
    <w:p>
      <w:pPr>
        <w:pStyle w:val="TextBody"/>
        <w:spacing w:before="0" w:after="0"/>
        <w:ind w:left="260" w:right="0" w:hanging="0"/>
        <w:rPr>
          <w:rFonts w:ascii="Times New Roman" w:hAnsi="Times New Roman"/>
          <w:b/>
          <w:i/>
          <w:caps w:val="false"/>
          <w:smallCaps w:val="false"/>
          <w:sz w:val="20"/>
        </w:rPr>
      </w:pPr>
      <w:r>
        <w:rPr>
          <w:rFonts w:ascii="Times New Roman" w:hAnsi="Times New Roman"/>
          <w:b/>
          <w:i/>
          <w:caps w:val="false"/>
          <w:smallCaps w:val="false"/>
          <w:sz w:val="20"/>
        </w:rPr>
        <w:t>Inducement 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Company has the ability to grant stock option awards to newly-hired employees as inducements material to each employee entering employment with the Company. Stock option awards granted to newly hired employees generally vest 25% each year until fully vested after four years. Each stock option has a term of 10 years and is subject to the terms and conditions of the Inducement Plan. The vesting and exercise provisions of all awards granted under the Inducement Plan are subject to acceleration in the event of certain stockholder-approved transactions, or upon the occurrence of a change in control as defined in the Inducement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Related activity under the Inducement Plan is as follows:</w:t>
      </w:r>
    </w:p>
    <w:p>
      <w:pPr>
        <w:pStyle w:val="TextBody"/>
        <w:spacing w:before="0" w:after="0"/>
        <w:ind w:left="0" w:right="0" w:firstLine="540"/>
        <w:rPr>
          <w:caps w:val="false"/>
          <w:smallCaps w:val="false"/>
        </w:rPr>
      </w:pPr>
      <w:r>
        <w:rPr>
          <w:caps w:val="false"/>
          <w:smallCaps w:val="false"/>
        </w:rPr>
        <w:t> </w:t>
      </w:r>
    </w:p>
    <w:tbl>
      <w:tblPr>
        <w:tblW w:w="5595" w:type="dxa"/>
        <w:jc w:val="left"/>
        <w:tblInd w:w="0" w:type="dxa"/>
        <w:tblCellMar>
          <w:top w:w="0" w:type="dxa"/>
          <w:left w:w="0" w:type="dxa"/>
          <w:bottom w:w="0" w:type="dxa"/>
          <w:right w:w="0" w:type="dxa"/>
        </w:tblCellMar>
      </w:tblPr>
      <w:tblGrid>
        <w:gridCol w:w="2495"/>
        <w:gridCol w:w="60"/>
        <w:gridCol w:w="81"/>
        <w:gridCol w:w="749"/>
        <w:gridCol w:w="80"/>
        <w:gridCol w:w="60"/>
        <w:gridCol w:w="114"/>
        <w:gridCol w:w="926"/>
        <w:gridCol w:w="80"/>
        <w:gridCol w:w="60"/>
        <w:gridCol w:w="170"/>
        <w:gridCol w:w="660"/>
        <w:gridCol w:w="60"/>
      </w:tblGrid>
      <w:tr>
        <w:trPr/>
        <w:tc>
          <w:tcPr>
            <w:tcW w:w="2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auto"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926"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auto"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80" w:right="0" w:hanging="0"/>
              <w:rPr/>
            </w:pPr>
            <w:r>
              <w:rPr/>
              <w:t> </w:t>
            </w:r>
          </w:p>
        </w:tc>
        <w:tc>
          <w:tcPr>
            <w:tcW w:w="830" w:type="dxa"/>
            <w:gridSpan w:val="2"/>
            <w:tcBorders/>
            <w:shd w:fill="auto" w:val="clear"/>
            <w:vAlign w:val="center"/>
          </w:tcPr>
          <w:p>
            <w:pPr>
              <w:pStyle w:val="TableContents"/>
              <w:spacing w:before="0" w:after="0"/>
              <w:ind w:left="960" w:right="0" w:hanging="0"/>
              <w:jc w:val="center"/>
              <w:rPr/>
            </w:pPr>
            <w:r>
              <w:rPr>
                <w:rStyle w:val="Emphasis"/>
                <w:rFonts w:ascii="Times New Roman" w:hAnsi="Times New Roman"/>
                <w:b/>
                <w:caps w:val="false"/>
                <w:smallCaps w:val="false"/>
                <w:sz w:val="20"/>
              </w:rPr>
              <w:t>Awards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40"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auto" w:val="clear"/>
            <w:vAlign w:val="center"/>
          </w:tcPr>
          <w:p>
            <w:pPr>
              <w:pStyle w:val="TableContents"/>
              <w:spacing w:before="0" w:after="283"/>
              <w:rPr/>
            </w:pPr>
            <w:r>
              <w:rPr/>
              <w:t> </w:t>
            </w:r>
          </w:p>
        </w:tc>
      </w:tr>
      <w:tr>
        <w:trPr/>
        <w:tc>
          <w:tcPr>
            <w:tcW w:w="24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40" w:right="0" w:hanging="0"/>
              <w:rPr/>
            </w:pPr>
            <w:r>
              <w:rPr/>
              <w:t> </w:t>
            </w:r>
          </w:p>
        </w:tc>
        <w:tc>
          <w:tcPr>
            <w:tcW w:w="830" w:type="dxa"/>
            <w:gridSpan w:val="2"/>
            <w:tcBorders>
              <w:bottom w:val="single" w:sz="2" w:space="0" w:color="000000"/>
            </w:tcBorders>
            <w:shd w:fill="auto" w:val="clear"/>
            <w:tcMar>
              <w:bottom w:w="28" w:type="dxa"/>
            </w:tcMar>
            <w:vAlign w:val="center"/>
          </w:tcPr>
          <w:p>
            <w:pPr>
              <w:pStyle w:val="TableContents"/>
              <w:spacing w:before="0" w:after="0"/>
              <w:ind w:left="880" w:right="0" w:hanging="0"/>
              <w:jc w:val="center"/>
              <w:rPr/>
            </w:pPr>
            <w:r>
              <w:rPr>
                <w:rStyle w:val="Emphasis"/>
                <w:rFonts w:ascii="Times New Roman" w:hAnsi="Times New Roman"/>
                <w:b/>
                <w:caps w:val="false"/>
                <w:smallCaps w:val="false"/>
                <w:sz w:val="20"/>
              </w:rPr>
              <w:t>Available</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Outstanding</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24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December 31, 2020</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ind w:left="0" w:right="0" w:hanging="0"/>
              <w:rPr/>
            </w:pPr>
            <w:r>
              <w:rPr/>
              <w:t> </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4,171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3.88</w:t>
            </w:r>
          </w:p>
        </w:tc>
        <w:tc>
          <w:tcPr>
            <w:tcW w:w="60" w:type="dxa"/>
            <w:tcBorders/>
            <w:shd w:fill="CCEEFF" w:val="clear"/>
            <w:vAlign w:val="center"/>
          </w:tcPr>
          <w:p>
            <w:pPr>
              <w:pStyle w:val="TableContents"/>
              <w:spacing w:before="0" w:after="283"/>
              <w:ind w:left="200" w:right="0" w:hanging="0"/>
              <w:rPr/>
            </w:pPr>
            <w:r>
              <w:rPr/>
              <w:t> </w:t>
            </w:r>
          </w:p>
        </w:tc>
      </w:tr>
      <w:tr>
        <w:trPr/>
        <w:tc>
          <w:tcPr>
            <w:tcW w:w="249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Plan amendment</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926"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pPr>
            <w:r>
              <w:rPr>
                <w:rStyle w:val="Emphasis"/>
              </w:rPr>
              <w:t>−</w:t>
            </w:r>
          </w:p>
        </w:tc>
        <w:tc>
          <w:tcPr>
            <w:tcW w:w="60" w:type="dxa"/>
            <w:tcBorders/>
            <w:shd w:fill="FFFFFF" w:val="clear"/>
            <w:vAlign w:val="center"/>
          </w:tcPr>
          <w:p>
            <w:pPr>
              <w:pStyle w:val="TableContents"/>
              <w:spacing w:before="0" w:after="283"/>
              <w:ind w:left="200" w:right="0" w:hanging="0"/>
              <w:rPr/>
            </w:pPr>
            <w:r>
              <w:rPr/>
              <w:t> </w:t>
            </w:r>
          </w:p>
        </w:tc>
      </w:tr>
      <w:tr>
        <w:trPr/>
        <w:tc>
          <w:tcPr>
            <w:tcW w:w="249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granted</w:t>
            </w:r>
          </w:p>
        </w:tc>
        <w:tc>
          <w:tcPr>
            <w:tcW w:w="60"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ind w:left="0" w:right="0" w:hanging="0"/>
              <w:rPr/>
            </w:pPr>
            <w:r>
              <w:rPr/>
              <w:t> </w:t>
            </w:r>
          </w:p>
        </w:tc>
        <w:tc>
          <w:tcPr>
            <w:tcW w:w="74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ind w:left="0" w:right="0" w:hanging="0"/>
              <w:rPr/>
            </w:pPr>
            <w:r>
              <w:rPr/>
              <w:t> </w:t>
            </w:r>
          </w:p>
        </w:tc>
        <w:tc>
          <w:tcPr>
            <w:tcW w:w="9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13.91</w:t>
            </w:r>
          </w:p>
        </w:tc>
        <w:tc>
          <w:tcPr>
            <w:tcW w:w="60" w:type="dxa"/>
            <w:tcBorders/>
            <w:shd w:fill="CCEEFF" w:val="clear"/>
            <w:vAlign w:val="center"/>
          </w:tcPr>
          <w:p>
            <w:pPr>
              <w:pStyle w:val="TableContents"/>
              <w:spacing w:before="0" w:after="283"/>
              <w:ind w:left="200" w:right="0" w:hanging="0"/>
              <w:rPr/>
            </w:pPr>
            <w:r>
              <w:rPr/>
              <w:t> </w:t>
            </w:r>
          </w:p>
        </w:tc>
      </w:tr>
      <w:tr>
        <w:trPr/>
        <w:tc>
          <w:tcPr>
            <w:tcW w:w="2495"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exercised</w:t>
            </w:r>
          </w:p>
        </w:tc>
        <w:tc>
          <w:tcPr>
            <w:tcW w:w="60"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ind w:left="0" w:right="0" w:hanging="0"/>
              <w:rPr/>
            </w:pPr>
            <w:r>
              <w:rPr/>
              <w:t> </w:t>
            </w:r>
          </w:p>
        </w:tc>
        <w:tc>
          <w:tcPr>
            <w:tcW w:w="749"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92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3.63</w:t>
            </w:r>
          </w:p>
        </w:tc>
        <w:tc>
          <w:tcPr>
            <w:tcW w:w="60" w:type="dxa"/>
            <w:tcBorders/>
            <w:shd w:fill="FFFFFF" w:val="clear"/>
            <w:vAlign w:val="center"/>
          </w:tcPr>
          <w:p>
            <w:pPr>
              <w:pStyle w:val="TableContents"/>
              <w:spacing w:before="0" w:after="283"/>
              <w:ind w:left="200" w:right="0" w:hanging="0"/>
              <w:rPr/>
            </w:pPr>
            <w:r>
              <w:rPr/>
              <w:t> </w:t>
            </w:r>
          </w:p>
        </w:tc>
      </w:tr>
      <w:tr>
        <w:trPr/>
        <w:tc>
          <w:tcPr>
            <w:tcW w:w="2495"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 option awards cancelled</w:t>
            </w:r>
          </w:p>
        </w:tc>
        <w:tc>
          <w:tcPr>
            <w:tcW w:w="60" w:type="dxa"/>
            <w:tcBorders/>
            <w:shd w:fill="CCEEFF" w:val="clear"/>
            <w:vAlign w:val="center"/>
          </w:tcPr>
          <w:p>
            <w:pPr>
              <w:pStyle w:val="TableContents"/>
              <w:spacing w:before="0" w:after="283"/>
              <w:rPr/>
            </w:pPr>
            <w:r>
              <w:rPr/>
              <w:t> </w:t>
            </w:r>
          </w:p>
        </w:tc>
        <w:tc>
          <w:tcPr>
            <w:tcW w:w="8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4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2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3.67</w:t>
            </w:r>
          </w:p>
        </w:tc>
        <w:tc>
          <w:tcPr>
            <w:tcW w:w="60" w:type="dxa"/>
            <w:tcBorders/>
            <w:shd w:fill="CCEEFF" w:val="clear"/>
            <w:vAlign w:val="center"/>
          </w:tcPr>
          <w:p>
            <w:pPr>
              <w:pStyle w:val="TableContents"/>
              <w:spacing w:before="0" w:after="283"/>
              <w:ind w:left="0" w:right="0" w:hanging="0"/>
              <w:rPr/>
            </w:pPr>
            <w:r>
              <w:rPr/>
              <w:t> </w:t>
            </w:r>
          </w:p>
        </w:tc>
      </w:tr>
      <w:tr>
        <w:trPr/>
        <w:tc>
          <w:tcPr>
            <w:tcW w:w="24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FFFFFF" w:val="clear"/>
            <w:vAlign w:val="center"/>
          </w:tcPr>
          <w:p>
            <w:pPr>
              <w:pStyle w:val="TableContents"/>
              <w:spacing w:before="0" w:after="283"/>
              <w:rPr/>
            </w:pPr>
            <w:r>
              <w:rPr/>
              <w:t> </w:t>
            </w:r>
          </w:p>
        </w:tc>
        <w:tc>
          <w:tcPr>
            <w:tcW w:w="8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4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900</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2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4,408</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6.20</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For stock option awards granted under the Inducement Plan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fair value was estimated on the date of grant using a Black-Scholes option pricing model and the assumptions noted in the table below. The weighted average grant date fair value of these awards granted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was $9.65, $2.73, and $2.41, respectively. The fair value of the stock option awards is amortized to expense over the vesting periods using a straight-line expense attribution method.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following table summarizes the key assumptions used by the Company to value the stock option awards granted under all plans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vested) and the full contractual term. The expected volatility represents the historical volatility on the Company’s publicly traded common stock. The Company has assumed no expected dividend yield, as dividends have never been paid to stock or option holders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paid for the foreseeable future. The weighted average risk-free interest rate is the implied yield currently available on </w:t>
      </w:r>
      <w:r>
        <w:rPr>
          <w:rStyle w:val="Emphasis"/>
          <w:rFonts w:ascii="Times New Roman" w:hAnsi="Times New Roman"/>
          <w:caps w:val="false"/>
          <w:smallCaps w:val="false"/>
          <w:sz w:val="20"/>
        </w:rPr>
        <w:t>zero</w:t>
      </w:r>
      <w:r>
        <w:rPr>
          <w:rFonts w:ascii="Times New Roman" w:hAnsi="Times New Roman"/>
          <w:caps w:val="false"/>
          <w:smallCaps w:val="false"/>
          <w:sz w:val="20"/>
        </w:rPr>
        <w:t>-coupon government issues with a remaining term equal to the expected term.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77</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Weighted Average Assumptions for Stock Option Awards Granted to Employees and Directors under the Plans</w:t>
      </w:r>
    </w:p>
    <w:p>
      <w:pPr>
        <w:pStyle w:val="TextBody"/>
        <w:spacing w:before="0" w:after="0"/>
        <w:ind w:left="0" w:right="0" w:hanging="0"/>
        <w:rPr>
          <w:caps w:val="false"/>
          <w:smallCaps w:val="false"/>
        </w:rPr>
      </w:pPr>
      <w:r>
        <w:rPr>
          <w:caps w:val="false"/>
          <w:smallCaps w:val="false"/>
        </w:rPr>
        <w:t> </w:t>
      </w:r>
    </w:p>
    <w:tbl>
      <w:tblPr>
        <w:tblW w:w="4205" w:type="dxa"/>
        <w:jc w:val="left"/>
        <w:tblInd w:w="0" w:type="dxa"/>
        <w:tblCellMar>
          <w:top w:w="0" w:type="dxa"/>
          <w:left w:w="0" w:type="dxa"/>
          <w:bottom w:w="0" w:type="dxa"/>
          <w:right w:w="0" w:type="dxa"/>
        </w:tblCellMar>
      </w:tblPr>
      <w:tblGrid>
        <w:gridCol w:w="2090"/>
        <w:gridCol w:w="60"/>
        <w:gridCol w:w="89"/>
        <w:gridCol w:w="411"/>
        <w:gridCol w:w="185"/>
        <w:gridCol w:w="60"/>
        <w:gridCol w:w="78"/>
        <w:gridCol w:w="362"/>
        <w:gridCol w:w="185"/>
        <w:gridCol w:w="60"/>
        <w:gridCol w:w="78"/>
        <w:gridCol w:w="362"/>
        <w:gridCol w:w="185"/>
      </w:tblGrid>
      <w:tr>
        <w:trPr/>
        <w:tc>
          <w:tcPr>
            <w:tcW w:w="20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2021</w:t>
            </w:r>
          </w:p>
        </w:tc>
        <w:tc>
          <w:tcPr>
            <w:tcW w:w="1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18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4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185"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20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Life</w:t>
            </w:r>
          </w:p>
        </w:tc>
        <w:tc>
          <w:tcPr>
            <w:tcW w:w="6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ind w:left="0" w:right="0" w:hanging="0"/>
              <w:rPr/>
            </w:pPr>
            <w:r>
              <w:rPr/>
              <w:t> </w:t>
            </w:r>
          </w:p>
        </w:tc>
        <w:tc>
          <w:tcPr>
            <w:tcW w:w="4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ind w:left="0" w:right="0" w:hanging="0"/>
              <w:rPr/>
            </w:pPr>
            <w:r>
              <w:rPr/>
              <w:t> </w:t>
            </w:r>
          </w:p>
        </w:tc>
        <w:tc>
          <w:tcPr>
            <w:tcW w:w="3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ind w:left="0" w:right="0" w:hanging="0"/>
              <w:rPr/>
            </w:pPr>
            <w:r>
              <w:rPr/>
              <w:t> </w:t>
            </w:r>
          </w:p>
        </w:tc>
        <w:tc>
          <w:tcPr>
            <w:tcW w:w="3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w:t>
            </w:r>
          </w:p>
        </w:tc>
        <w:tc>
          <w:tcPr>
            <w:tcW w:w="185" w:type="dxa"/>
            <w:tcBorders/>
            <w:shd w:fill="CCEEFF" w:val="clear"/>
            <w:vAlign w:val="center"/>
          </w:tcPr>
          <w:p>
            <w:pPr>
              <w:pStyle w:val="TableContents"/>
              <w:spacing w:before="0" w:after="283"/>
              <w:ind w:left="0" w:right="0" w:hanging="0"/>
              <w:rPr/>
            </w:pPr>
            <w:r>
              <w:rPr/>
              <w:t> </w:t>
            </w:r>
          </w:p>
        </w:tc>
      </w:tr>
      <w:tr>
        <w:trPr/>
        <w:tc>
          <w:tcPr>
            <w:tcW w:w="20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ind w:left="0" w:right="0" w:hanging="0"/>
              <w:rPr/>
            </w:pPr>
            <w:r>
              <w:rPr/>
              <w:t> </w:t>
            </w:r>
          </w:p>
        </w:tc>
        <w:tc>
          <w:tcPr>
            <w:tcW w:w="41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ind w:left="0" w:right="0" w:hanging="0"/>
              <w:rPr/>
            </w:pPr>
            <w:r>
              <w:rPr/>
              <w:t> </w:t>
            </w:r>
          </w:p>
        </w:tc>
        <w:tc>
          <w:tcPr>
            <w:tcW w:w="3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ind w:left="0" w:right="0" w:hanging="0"/>
              <w:rPr/>
            </w:pPr>
            <w:r>
              <w:rPr/>
              <w:t> </w:t>
            </w:r>
          </w:p>
        </w:tc>
        <w:tc>
          <w:tcPr>
            <w:tcW w:w="3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w:t>
            </w:r>
          </w:p>
        </w:tc>
        <w:tc>
          <w:tcPr>
            <w:tcW w:w="18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20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Dividend Yield</w:t>
            </w:r>
          </w:p>
        </w:tc>
        <w:tc>
          <w:tcPr>
            <w:tcW w:w="6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ind w:left="0" w:right="0" w:hanging="0"/>
              <w:rPr/>
            </w:pPr>
            <w:r>
              <w:rPr/>
              <w:t> </w:t>
            </w:r>
          </w:p>
        </w:tc>
        <w:tc>
          <w:tcPr>
            <w:tcW w:w="4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ind w:left="0" w:right="0" w:hanging="0"/>
              <w:rPr/>
            </w:pPr>
            <w:r>
              <w:rPr/>
              <w:t> </w:t>
            </w:r>
          </w:p>
        </w:tc>
        <w:tc>
          <w:tcPr>
            <w:tcW w:w="3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ind w:left="0" w:right="0" w:hanging="0"/>
              <w:rPr/>
            </w:pPr>
            <w:r>
              <w:rPr/>
              <w:t> </w:t>
            </w:r>
          </w:p>
        </w:tc>
        <w:tc>
          <w:tcPr>
            <w:tcW w:w="36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20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ind w:left="0" w:right="0" w:hanging="0"/>
              <w:rPr/>
            </w:pPr>
            <w:r>
              <w:rPr/>
              <w:t> </w:t>
            </w:r>
          </w:p>
        </w:tc>
        <w:tc>
          <w:tcPr>
            <w:tcW w:w="41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ind w:left="0" w:right="0" w:hanging="0"/>
              <w:rPr/>
            </w:pPr>
            <w:r>
              <w:rPr/>
              <w:t> </w:t>
            </w:r>
          </w:p>
        </w:tc>
        <w:tc>
          <w:tcPr>
            <w:tcW w:w="3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ind w:left="0" w:right="0" w:hanging="0"/>
              <w:rPr/>
            </w:pPr>
            <w:r>
              <w:rPr/>
              <w:t> </w:t>
            </w:r>
          </w:p>
        </w:tc>
        <w:tc>
          <w:tcPr>
            <w:tcW w:w="36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total intrinsic value of stock option awards exercised under the Incentive Plan was $25,484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$1,562 during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$1,127 during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The intrinsic value represents the total proceeds (fair market value at the date of exercise, less the exercise price, times the number of stock option awards exercised) received by all individuals who exercised stock option awards during the period. The total intrinsic value of stock option awards exercised under the Inducement Plan was $6,700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 stock option awards were exercised under the Inducement Plan in </w:t>
      </w:r>
      <w:r>
        <w:rPr>
          <w:rStyle w:val="Emphasis"/>
          <w:rFonts w:ascii="Times New Roman" w:hAnsi="Times New Roman"/>
          <w:caps w:val="false"/>
          <w:smallCaps w:val="false"/>
          <w:sz w:val="20"/>
        </w:rPr>
        <w:t>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The following table summarizes,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by price range: (</w:t>
      </w:r>
      <w:r>
        <w:rPr>
          <w:rStyle w:val="Emphasis"/>
          <w:rFonts w:ascii="Times New Roman" w:hAnsi="Times New Roman"/>
          <w:caps w:val="false"/>
          <w:smallCaps w:val="false"/>
          <w:sz w:val="20"/>
        </w:rPr>
        <w:t>1</w:t>
      </w:r>
      <w:r>
        <w:rPr>
          <w:rFonts w:ascii="Times New Roman" w:hAnsi="Times New Roman"/>
          <w:caps w:val="false"/>
          <w:smallCaps w:val="false"/>
          <w:sz w:val="20"/>
        </w:rPr>
        <w:t>) for stock option awards outstanding under the Incentive Plan, the number of stock option awards outstanding, their weighted average remaining life and their weighted average exercise price; and (</w:t>
      </w:r>
      <w:r>
        <w:rPr>
          <w:rStyle w:val="Emphasis"/>
          <w:rFonts w:ascii="Times New Roman" w:hAnsi="Times New Roman"/>
          <w:caps w:val="false"/>
          <w:smallCaps w:val="false"/>
          <w:sz w:val="20"/>
        </w:rPr>
        <w:t>2</w:t>
      </w:r>
      <w:r>
        <w:rPr>
          <w:rFonts w:ascii="Times New Roman" w:hAnsi="Times New Roman"/>
          <w:caps w:val="false"/>
          <w:smallCaps w:val="false"/>
          <w:sz w:val="20"/>
        </w:rPr>
        <w:t>) for stock option awards exercisable under the Plan, the number of stock option awards exercisable and their weighted average exercise price:</w:t>
      </w:r>
    </w:p>
    <w:p>
      <w:pPr>
        <w:pStyle w:val="TextBody"/>
        <w:spacing w:before="0" w:after="0"/>
        <w:ind w:left="0" w:right="0" w:hanging="0"/>
        <w:rPr>
          <w:caps w:val="false"/>
          <w:smallCaps w:val="false"/>
        </w:rPr>
      </w:pPr>
      <w:r>
        <w:rPr>
          <w:caps w:val="false"/>
          <w:smallCaps w:val="false"/>
        </w:rPr>
        <w:t> </w:t>
      </w:r>
    </w:p>
    <w:tbl>
      <w:tblPr>
        <w:tblW w:w="5460" w:type="dxa"/>
        <w:jc w:val="left"/>
        <w:tblInd w:w="0" w:type="dxa"/>
        <w:tblCellMar>
          <w:top w:w="0" w:type="dxa"/>
          <w:left w:w="0" w:type="dxa"/>
          <w:bottom w:w="0" w:type="dxa"/>
          <w:right w:w="0" w:type="dxa"/>
        </w:tblCellMar>
      </w:tblPr>
      <w:tblGrid>
        <w:gridCol w:w="125"/>
        <w:gridCol w:w="230"/>
        <w:gridCol w:w="185"/>
        <w:gridCol w:w="230"/>
        <w:gridCol w:w="60"/>
        <w:gridCol w:w="60"/>
        <w:gridCol w:w="65"/>
        <w:gridCol w:w="645"/>
        <w:gridCol w:w="60"/>
        <w:gridCol w:w="60"/>
        <w:gridCol w:w="169"/>
        <w:gridCol w:w="781"/>
        <w:gridCol w:w="60"/>
        <w:gridCol w:w="60"/>
        <w:gridCol w:w="170"/>
        <w:gridCol w:w="660"/>
        <w:gridCol w:w="60"/>
        <w:gridCol w:w="60"/>
        <w:gridCol w:w="65"/>
        <w:gridCol w:w="645"/>
        <w:gridCol w:w="60"/>
        <w:gridCol w:w="60"/>
        <w:gridCol w:w="170"/>
        <w:gridCol w:w="660"/>
        <w:gridCol w:w="60"/>
      </w:tblGrid>
      <w:tr>
        <w:trPr/>
        <w:tc>
          <w:tcPr>
            <w:tcW w:w="12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right"/>
              <w:rPr/>
            </w:pPr>
            <w:r>
              <w:rPr/>
              <w:t> </w:t>
            </w:r>
          </w:p>
        </w:tc>
        <w:tc>
          <w:tcPr>
            <w:tcW w:w="185" w:type="dxa"/>
            <w:tcBorders/>
            <w:shd w:fill="auto" w:val="cle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bottom w:val="single" w:sz="2" w:space="0" w:color="000000"/>
            </w:tcBorders>
            <w:shd w:fill="auto" w:val="clear"/>
            <w:tcMar>
              <w:bottom w:w="28" w:type="dxa"/>
            </w:tcMar>
            <w:vAlign w:val="center"/>
          </w:tcPr>
          <w:p>
            <w:pPr>
              <w:pStyle w:val="TableContents"/>
              <w:spacing w:before="0" w:after="283"/>
              <w:rPr/>
            </w:pPr>
            <w:r>
              <w:rPr/>
              <w:t> </w:t>
            </w:r>
          </w:p>
        </w:tc>
        <w:tc>
          <w:tcPr>
            <w:tcW w:w="2665" w:type="dxa"/>
            <w:gridSpan w:val="9"/>
            <w:tcBorders>
              <w:bottom w:val="single" w:sz="2" w:space="0" w:color="000000"/>
            </w:tcBorders>
            <w:shd w:fill="auto" w:val="clear"/>
            <w:tcMar>
              <w:bottom w:w="28" w:type="dxa"/>
            </w:tcMar>
            <w:vAlign w:val="center"/>
          </w:tcPr>
          <w:p>
            <w:pPr>
              <w:pStyle w:val="TableContents"/>
              <w:spacing w:before="0" w:after="283"/>
              <w:jc w:val="center"/>
              <w:rPr>
                <w:rFonts w:ascii="Times New Roman" w:hAnsi="Times New Roman"/>
                <w:sz w:val="20"/>
              </w:rPr>
            </w:pPr>
            <w:r>
              <w:rPr>
                <w:rFonts w:ascii="Times New Roman" w:hAnsi="Times New Roman"/>
                <w:b/>
                <w:sz w:val="20"/>
              </w:rPr>
              <w:t>Outstanding </w:t>
            </w:r>
            <w:r>
              <w:rPr>
                <w:rFonts w:ascii="Times New Roman" w:hAnsi="Times New Roman"/>
                <w:sz w:val="20"/>
              </w:rPr>
              <w:t xml:space="preserve"> </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66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2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t> </w:t>
            </w:r>
          </w:p>
        </w:tc>
        <w:tc>
          <w:tcPr>
            <w:tcW w:w="185" w:type="dxa"/>
            <w:tcBorders/>
            <w:shd w:fill="auto" w:val="clear"/>
            <w:vAlign w:val="center"/>
          </w:tcPr>
          <w:p>
            <w:pPr>
              <w:pStyle w:val="TableContents"/>
              <w:spacing w:before="0" w:after="283"/>
              <w:jc w:val="center"/>
              <w:rPr/>
            </w:pPr>
            <w:r>
              <w:rPr/>
              <w:t> </w:t>
            </w:r>
          </w:p>
        </w:tc>
        <w:tc>
          <w:tcPr>
            <w:tcW w:w="2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00" w:right="0" w:hanging="0"/>
              <w:rPr/>
            </w:pPr>
            <w:r>
              <w:rPr/>
              <w:t> </w:t>
            </w:r>
          </w:p>
        </w:tc>
        <w:tc>
          <w:tcPr>
            <w:tcW w:w="950" w:type="dxa"/>
            <w:gridSpan w:val="2"/>
            <w:tcBorders/>
            <w:shd w:fill="auto" w:val="clear"/>
            <w:vAlign w:val="center"/>
          </w:tcPr>
          <w:p>
            <w:pPr>
              <w:pStyle w:val="TableContents"/>
              <w:spacing w:before="0" w:after="0"/>
              <w:ind w:left="80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640" w:right="0" w:hanging="0"/>
              <w:rPr/>
            </w:pPr>
            <w:r>
              <w:rPr/>
              <w:t> </w:t>
            </w:r>
          </w:p>
        </w:tc>
        <w:tc>
          <w:tcPr>
            <w:tcW w:w="830" w:type="dxa"/>
            <w:gridSpan w:val="2"/>
            <w:tcBorders/>
            <w:shd w:fill="auto" w:val="clear"/>
            <w:vAlign w:val="center"/>
          </w:tcPr>
          <w:p>
            <w:pPr>
              <w:pStyle w:val="TableContents"/>
              <w:spacing w:before="0" w:after="0"/>
              <w:ind w:left="128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shd w:fill="auto" w:val="clear"/>
            <w:vAlign w:val="center"/>
          </w:tcPr>
          <w:p>
            <w:pPr>
              <w:pStyle w:val="TableContents"/>
              <w:spacing w:before="0" w:after="283"/>
              <w:rPr/>
            </w:pPr>
            <w:r>
              <w:rPr/>
              <w:t> </w:t>
            </w:r>
          </w:p>
        </w:tc>
      </w:tr>
      <w:tr>
        <w:trPr/>
        <w:tc>
          <w:tcPr>
            <w:tcW w:w="12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t> </w:t>
            </w:r>
          </w:p>
        </w:tc>
        <w:tc>
          <w:tcPr>
            <w:tcW w:w="185" w:type="dxa"/>
            <w:tcBorders/>
            <w:shd w:fill="auto" w:val="clear"/>
            <w:vAlign w:val="center"/>
          </w:tcPr>
          <w:p>
            <w:pPr>
              <w:pStyle w:val="TableContents"/>
              <w:spacing w:before="0" w:after="283"/>
              <w:jc w:val="center"/>
              <w:rPr/>
            </w:pPr>
            <w:r>
              <w:rPr/>
              <w:t> </w:t>
            </w:r>
          </w:p>
        </w:tc>
        <w:tc>
          <w:tcPr>
            <w:tcW w:w="2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00" w:right="0" w:hanging="0"/>
              <w:rPr/>
            </w:pPr>
            <w:r>
              <w:rPr/>
              <w:t> </w:t>
            </w:r>
          </w:p>
        </w:tc>
        <w:tc>
          <w:tcPr>
            <w:tcW w:w="950" w:type="dxa"/>
            <w:gridSpan w:val="2"/>
            <w:tcBorders/>
            <w:shd w:fill="auto" w:val="clear"/>
            <w:vAlign w:val="center"/>
          </w:tcPr>
          <w:p>
            <w:pPr>
              <w:pStyle w:val="TableContents"/>
              <w:spacing w:before="0" w:after="0"/>
              <w:ind w:left="80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640" w:right="0" w:hanging="0"/>
              <w:rPr/>
            </w:pPr>
            <w:r>
              <w:rPr/>
              <w:t> </w:t>
            </w:r>
          </w:p>
        </w:tc>
        <w:tc>
          <w:tcPr>
            <w:tcW w:w="830" w:type="dxa"/>
            <w:gridSpan w:val="2"/>
            <w:tcBorders/>
            <w:shd w:fill="auto" w:val="clear"/>
            <w:vAlign w:val="center"/>
          </w:tcPr>
          <w:p>
            <w:pPr>
              <w:pStyle w:val="TableContents"/>
              <w:spacing w:before="0" w:after="0"/>
              <w:ind w:left="128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auto" w:val="clear"/>
            <w:vAlign w:val="center"/>
          </w:tcPr>
          <w:p>
            <w:pPr>
              <w:pStyle w:val="TableContents"/>
              <w:spacing w:before="0" w:after="283"/>
              <w:rPr/>
            </w:pPr>
            <w:r>
              <w:rPr/>
              <w:t> </w:t>
            </w:r>
          </w:p>
        </w:tc>
      </w:tr>
      <w:tr>
        <w:trPr/>
        <w:tc>
          <w:tcPr>
            <w:tcW w:w="12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center"/>
              <w:rPr/>
            </w:pPr>
            <w:r>
              <w:rPr/>
              <w:t> </w:t>
            </w:r>
          </w:p>
        </w:tc>
        <w:tc>
          <w:tcPr>
            <w:tcW w:w="185" w:type="dxa"/>
            <w:tcBorders/>
            <w:shd w:fill="auto" w:val="clear"/>
            <w:vAlign w:val="center"/>
          </w:tcPr>
          <w:p>
            <w:pPr>
              <w:pStyle w:val="TableContents"/>
              <w:spacing w:before="0" w:after="283"/>
              <w:jc w:val="center"/>
              <w:rPr/>
            </w:pPr>
            <w:r>
              <w:rPr/>
              <w:t> </w:t>
            </w:r>
          </w:p>
        </w:tc>
        <w:tc>
          <w:tcPr>
            <w:tcW w:w="2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20" w:right="0" w:hanging="0"/>
              <w:rPr/>
            </w:pPr>
            <w:r>
              <w:rPr/>
              <w:t> </w:t>
            </w:r>
          </w:p>
        </w:tc>
        <w:tc>
          <w:tcPr>
            <w:tcW w:w="950" w:type="dxa"/>
            <w:gridSpan w:val="2"/>
            <w:tcBorders/>
            <w:shd w:fill="auto" w:val="clear"/>
            <w:vAlign w:val="center"/>
          </w:tcPr>
          <w:p>
            <w:pPr>
              <w:pStyle w:val="TableContents"/>
              <w:spacing w:before="0" w:after="0"/>
              <w:ind w:left="84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660" w:right="0" w:hanging="0"/>
              <w:rPr/>
            </w:pPr>
            <w:r>
              <w:rPr/>
              <w:t> </w:t>
            </w:r>
          </w:p>
        </w:tc>
        <w:tc>
          <w:tcPr>
            <w:tcW w:w="830" w:type="dxa"/>
            <w:gridSpan w:val="2"/>
            <w:tcBorders/>
            <w:shd w:fill="auto" w:val="clear"/>
            <w:vAlign w:val="center"/>
          </w:tcPr>
          <w:p>
            <w:pPr>
              <w:pStyle w:val="TableContents"/>
              <w:spacing w:before="0" w:after="0"/>
              <w:ind w:left="132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shd w:fill="auto" w:val="clear"/>
            <w:vAlign w:val="center"/>
          </w:tcPr>
          <w:p>
            <w:pPr>
              <w:pStyle w:val="TableContents"/>
              <w:spacing w:before="0" w:after="283"/>
              <w:ind w:left="0" w:right="0" w:hanging="0"/>
              <w:rPr/>
            </w:pPr>
            <w:r>
              <w:rPr/>
              <w:t> </w:t>
            </w:r>
          </w:p>
        </w:tc>
      </w:tr>
      <w:tr>
        <w:trPr/>
        <w:tc>
          <w:tcPr>
            <w:tcW w:w="770" w:type="dxa"/>
            <w:gridSpan w:val="4"/>
            <w:tcBorders>
              <w:bottom w:val="single" w:sz="2" w:space="0" w:color="000000"/>
            </w:tcBorders>
            <w:shd w:fill="auto" w:val="clear"/>
            <w:tcMar>
              <w:bottom w:w="28" w:type="dxa"/>
            </w:tcMar>
            <w:vAlign w:val="center"/>
          </w:tcPr>
          <w:p>
            <w:pPr>
              <w:pStyle w:val="TableContents"/>
              <w:spacing w:before="0" w:after="283"/>
              <w:jc w:val="center"/>
              <w:rPr>
                <w:rFonts w:ascii="Times New Roman" w:hAnsi="Times New Roman"/>
                <w:b/>
                <w:sz w:val="20"/>
              </w:rPr>
            </w:pPr>
            <w:r>
              <w:rPr>
                <w:rFonts w:ascii="Times New Roman" w:hAnsi="Times New Roman"/>
                <w:b/>
                <w:sz w:val="20"/>
              </w:rPr>
              <w:t>Range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300" w:right="0" w:hanging="0"/>
              <w:rPr/>
            </w:pPr>
            <w:r>
              <w:rPr/>
              <w:t> </w:t>
            </w:r>
          </w:p>
        </w:tc>
        <w:tc>
          <w:tcPr>
            <w:tcW w:w="710" w:type="dxa"/>
            <w:gridSpan w:val="2"/>
            <w:tcBorders>
              <w:bottom w:val="single" w:sz="2" w:space="0" w:color="000000"/>
            </w:tcBorders>
            <w:shd w:fill="auto" w:val="clear"/>
            <w:tcMar>
              <w:bottom w:w="28" w:type="dxa"/>
            </w:tcMar>
            <w:vAlign w:val="center"/>
          </w:tcPr>
          <w:p>
            <w:pPr>
              <w:pStyle w:val="TableContents"/>
              <w:spacing w:before="0" w:after="0"/>
              <w:ind w:left="60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40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800" w:right="0" w:hanging="0"/>
              <w:jc w:val="center"/>
              <w:rPr>
                <w:rFonts w:ascii="Times New Roman" w:hAnsi="Times New Roman"/>
                <w:b/>
                <w:caps w:val="false"/>
                <w:smallCaps w:val="false"/>
                <w:sz w:val="20"/>
              </w:rPr>
            </w:pPr>
            <w:r>
              <w:rPr>
                <w:rFonts w:ascii="Times New Roman" w:hAnsi="Times New Roman"/>
                <w:b/>
                <w:caps w:val="false"/>
                <w:smallCaps w:val="false"/>
                <w:sz w:val="20"/>
              </w:rPr>
              <w:t>Life</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660" w:right="0" w:hanging="0"/>
              <w:rPr/>
            </w:pPr>
            <w:r>
              <w:rPr/>
              <w:t> </w:t>
            </w:r>
          </w:p>
        </w:tc>
        <w:tc>
          <w:tcPr>
            <w:tcW w:w="830" w:type="dxa"/>
            <w:gridSpan w:val="2"/>
            <w:tcBorders>
              <w:bottom w:val="single" w:sz="2" w:space="0" w:color="000000"/>
            </w:tcBorders>
            <w:shd w:fill="auto" w:val="clear"/>
            <w:tcMar>
              <w:bottom w:w="28" w:type="dxa"/>
            </w:tcMar>
            <w:vAlign w:val="center"/>
          </w:tcPr>
          <w:p>
            <w:pPr>
              <w:pStyle w:val="TableContents"/>
              <w:spacing w:before="0" w:after="0"/>
              <w:ind w:left="132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0"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12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r>
      <w:tr>
        <w:trPr/>
        <w:tc>
          <w:tcPr>
            <w:tcW w:w="125"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230" w:type="dxa"/>
            <w:tcBorders/>
            <w:shd w:fill="CCEEFF" w:val="clear"/>
            <w:vAlign w:val="center"/>
          </w:tcPr>
          <w:p>
            <w:pPr>
              <w:pStyle w:val="TableContents"/>
              <w:spacing w:before="0" w:after="283"/>
              <w:ind w:left="100" w:right="0" w:hanging="0"/>
              <w:jc w:val="right"/>
              <w:rPr>
                <w:rFonts w:ascii="Times New Roman" w:hAnsi="Times New Roman"/>
                <w:b/>
                <w:sz w:val="20"/>
              </w:rPr>
            </w:pPr>
            <w:r>
              <w:rPr>
                <w:rFonts w:ascii="Times New Roman" w:hAnsi="Times New Roman"/>
                <w:b/>
                <w:sz w:val="20"/>
              </w:rPr>
              <w:t>0</w:t>
            </w:r>
          </w:p>
        </w:tc>
        <w:tc>
          <w:tcPr>
            <w:tcW w:w="185" w:type="dxa"/>
            <w:tcBorders/>
            <w:shd w:fill="CCEEFF" w:val="clear"/>
            <w:vAlign w:val="center"/>
          </w:tcPr>
          <w:p>
            <w:pPr>
              <w:pStyle w:val="TableContents"/>
              <w:spacing w:before="0" w:after="283"/>
              <w:ind w:left="0" w:right="0" w:hanging="0"/>
              <w:jc w:val="center"/>
              <w:rPr/>
            </w:pPr>
            <w:r>
              <w:rPr>
                <w:rStyle w:val="Emphasis"/>
                <w:rFonts w:ascii="Times New Roman" w:hAnsi="Times New Roman"/>
                <w:b/>
                <w:sz w:val="20"/>
              </w:rPr>
              <w:t>to</w:t>
            </w:r>
          </w:p>
        </w:tc>
        <w:tc>
          <w:tcPr>
            <w:tcW w:w="23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6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ind w:left="0" w:right="0" w:hanging="0"/>
              <w:rPr/>
            </w:pPr>
            <w:r>
              <w:rPr/>
              <w:t> </w:t>
            </w:r>
          </w:p>
        </w:tc>
        <w:tc>
          <w:tcPr>
            <w:tcW w:w="7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6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w:t>
            </w:r>
          </w:p>
        </w:tc>
        <w:tc>
          <w:tcPr>
            <w:tcW w:w="60" w:type="dxa"/>
            <w:tcBorders/>
            <w:shd w:fill="CCEEFF" w:val="clear"/>
            <w:vAlign w:val="center"/>
          </w:tcPr>
          <w:p>
            <w:pPr>
              <w:pStyle w:val="TableContents"/>
              <w:spacing w:before="0" w:after="283"/>
              <w:rPr/>
            </w:pPr>
            <w:r>
              <w:rPr/>
              <w:t> </w:t>
            </w:r>
          </w:p>
        </w:tc>
      </w:tr>
      <w:tr>
        <w:trPr/>
        <w:tc>
          <w:tcPr>
            <w:tcW w:w="125" w:type="dxa"/>
            <w:tcBorders/>
            <w:shd w:fill="FFFFFF" w:val="clear"/>
            <w:vAlign w:val="center"/>
          </w:tcPr>
          <w:p>
            <w:pPr>
              <w:pStyle w:val="TableContents"/>
              <w:spacing w:before="0" w:after="283"/>
              <w:ind w:left="0" w:right="0" w:hanging="0"/>
              <w:rPr/>
            </w:pPr>
            <w:r>
              <w:rPr/>
              <w:t> </w:t>
            </w:r>
          </w:p>
        </w:tc>
        <w:tc>
          <w:tcPr>
            <w:tcW w:w="230" w:type="dxa"/>
            <w:tcBorders/>
            <w:shd w:fill="FFFFFF" w:val="clear"/>
            <w:vAlign w:val="center"/>
          </w:tcPr>
          <w:p>
            <w:pPr>
              <w:pStyle w:val="TableContents"/>
              <w:spacing w:before="0" w:after="283"/>
              <w:ind w:left="100" w:right="0" w:hanging="0"/>
              <w:jc w:val="right"/>
              <w:rPr>
                <w:rFonts w:ascii="Times New Roman" w:hAnsi="Times New Roman"/>
                <w:b/>
                <w:sz w:val="20"/>
              </w:rPr>
            </w:pPr>
            <w:r>
              <w:rPr>
                <w:rFonts w:ascii="Times New Roman" w:hAnsi="Times New Roman"/>
                <w:b/>
                <w:sz w:val="20"/>
              </w:rPr>
              <w:t>3</w:t>
            </w:r>
          </w:p>
        </w:tc>
        <w:tc>
          <w:tcPr>
            <w:tcW w:w="185" w:type="dxa"/>
            <w:tcBorders/>
            <w:shd w:fill="FFFFFF" w:val="clear"/>
            <w:vAlign w:val="center"/>
          </w:tcPr>
          <w:p>
            <w:pPr>
              <w:pStyle w:val="TableContents"/>
              <w:spacing w:before="0" w:after="283"/>
              <w:ind w:left="0" w:right="0" w:hanging="0"/>
              <w:jc w:val="center"/>
              <w:rPr/>
            </w:pPr>
            <w:r>
              <w:rPr>
                <w:rStyle w:val="Emphasis"/>
                <w:rFonts w:ascii="Times New Roman" w:hAnsi="Times New Roman"/>
                <w:b/>
                <w:sz w:val="20"/>
              </w:rPr>
              <w:t>to</w:t>
            </w:r>
          </w:p>
        </w:tc>
        <w:tc>
          <w:tcPr>
            <w:tcW w:w="230" w:type="dxa"/>
            <w:tcBorders/>
            <w:shd w:fill="FFFF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6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10,190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ind w:left="0" w:right="0" w:hanging="0"/>
              <w:rPr/>
            </w:pPr>
            <w:r>
              <w:rPr/>
              <w:t> </w:t>
            </w:r>
          </w:p>
        </w:tc>
        <w:tc>
          <w:tcPr>
            <w:tcW w:w="78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6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7,317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4.41</w:t>
            </w:r>
          </w:p>
        </w:tc>
        <w:tc>
          <w:tcPr>
            <w:tcW w:w="60" w:type="dxa"/>
            <w:tcBorders/>
            <w:shd w:fill="FFFFFF" w:val="clear"/>
            <w:vAlign w:val="center"/>
          </w:tcPr>
          <w:p>
            <w:pPr>
              <w:pStyle w:val="TableContents"/>
              <w:spacing w:before="0" w:after="283"/>
              <w:rPr/>
            </w:pPr>
            <w:r>
              <w:rPr/>
              <w:t> </w:t>
            </w:r>
          </w:p>
        </w:tc>
      </w:tr>
      <w:tr>
        <w:trPr/>
        <w:tc>
          <w:tcPr>
            <w:tcW w:w="125"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100" w:right="0" w:hanging="0"/>
              <w:jc w:val="right"/>
              <w:rPr>
                <w:rFonts w:ascii="Times New Roman" w:hAnsi="Times New Roman"/>
                <w:b/>
                <w:sz w:val="20"/>
              </w:rPr>
            </w:pPr>
            <w:r>
              <w:rPr>
                <w:rFonts w:ascii="Times New Roman" w:hAnsi="Times New Roman"/>
                <w:b/>
                <w:sz w:val="20"/>
              </w:rPr>
              <w:t>6</w:t>
            </w:r>
          </w:p>
        </w:tc>
        <w:tc>
          <w:tcPr>
            <w:tcW w:w="185" w:type="dxa"/>
            <w:tcBorders/>
            <w:shd w:fill="CCEEFF" w:val="clear"/>
            <w:vAlign w:val="center"/>
          </w:tcPr>
          <w:p>
            <w:pPr>
              <w:pStyle w:val="TableContents"/>
              <w:spacing w:before="0" w:after="283"/>
              <w:ind w:left="0" w:right="0" w:hanging="0"/>
              <w:jc w:val="center"/>
              <w:rPr/>
            </w:pPr>
            <w:r>
              <w:rPr>
                <w:rStyle w:val="Emphasis"/>
                <w:rFonts w:ascii="Times New Roman" w:hAnsi="Times New Roman"/>
                <w:b/>
                <w:sz w:val="20"/>
              </w:rPr>
              <w:t>to</w:t>
            </w:r>
          </w:p>
        </w:tc>
        <w:tc>
          <w:tcPr>
            <w:tcW w:w="23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6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10,599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ind w:left="0" w:right="0" w:hanging="0"/>
              <w:rPr/>
            </w:pPr>
            <w:r>
              <w:rPr/>
              <w:t> </w:t>
            </w:r>
          </w:p>
        </w:tc>
        <w:tc>
          <w:tcPr>
            <w:tcW w:w="7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6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7.56</w:t>
            </w:r>
          </w:p>
        </w:tc>
        <w:tc>
          <w:tcPr>
            <w:tcW w:w="60" w:type="dxa"/>
            <w:tcBorders/>
            <w:shd w:fill="CCEEFF" w:val="clear"/>
            <w:vAlign w:val="center"/>
          </w:tcPr>
          <w:p>
            <w:pPr>
              <w:pStyle w:val="TableContents"/>
              <w:spacing w:before="0" w:after="283"/>
              <w:rPr/>
            </w:pPr>
            <w:r>
              <w:rPr/>
              <w:t> </w:t>
            </w:r>
          </w:p>
        </w:tc>
      </w:tr>
      <w:tr>
        <w:trPr/>
        <w:tc>
          <w:tcPr>
            <w:tcW w:w="125" w:type="dxa"/>
            <w:tcBorders/>
            <w:shd w:fill="FFFFFF" w:val="clear"/>
            <w:vAlign w:val="center"/>
          </w:tcPr>
          <w:p>
            <w:pPr>
              <w:pStyle w:val="TableContents"/>
              <w:spacing w:before="0" w:after="283"/>
              <w:ind w:left="0" w:right="0" w:hanging="0"/>
              <w:rPr/>
            </w:pPr>
            <w:r>
              <w:rPr/>
              <w:t> </w:t>
            </w:r>
          </w:p>
        </w:tc>
        <w:tc>
          <w:tcPr>
            <w:tcW w:w="230" w:type="dxa"/>
            <w:tcBorders/>
            <w:shd w:fill="FFFFFF" w:val="clear"/>
            <w:vAlign w:val="center"/>
          </w:tcPr>
          <w:p>
            <w:pPr>
              <w:pStyle w:val="TableContents"/>
              <w:spacing w:before="0" w:after="283"/>
              <w:ind w:left="100" w:right="0" w:hanging="0"/>
              <w:jc w:val="right"/>
              <w:rPr>
                <w:rFonts w:ascii="Times New Roman" w:hAnsi="Times New Roman"/>
                <w:b/>
                <w:sz w:val="20"/>
              </w:rPr>
            </w:pPr>
            <w:r>
              <w:rPr>
                <w:rFonts w:ascii="Times New Roman" w:hAnsi="Times New Roman"/>
                <w:b/>
                <w:sz w:val="20"/>
              </w:rPr>
              <w:t>9</w:t>
            </w:r>
          </w:p>
        </w:tc>
        <w:tc>
          <w:tcPr>
            <w:tcW w:w="185" w:type="dxa"/>
            <w:tcBorders/>
            <w:shd w:fill="FFFFFF" w:val="clear"/>
            <w:vAlign w:val="center"/>
          </w:tcPr>
          <w:p>
            <w:pPr>
              <w:pStyle w:val="TableContents"/>
              <w:spacing w:before="0" w:after="283"/>
              <w:ind w:left="0" w:right="0" w:hanging="0"/>
              <w:jc w:val="center"/>
              <w:rPr/>
            </w:pPr>
            <w:r>
              <w:rPr>
                <w:rStyle w:val="Emphasis"/>
                <w:rFonts w:ascii="Times New Roman" w:hAnsi="Times New Roman"/>
                <w:b/>
                <w:sz w:val="20"/>
              </w:rPr>
              <w:t>to</w:t>
            </w:r>
          </w:p>
        </w:tc>
        <w:tc>
          <w:tcPr>
            <w:tcW w:w="230" w:type="dxa"/>
            <w:tcBorders/>
            <w:shd w:fill="FFFF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6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8,228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ind w:left="0" w:right="0" w:hanging="0"/>
              <w:rPr/>
            </w:pPr>
            <w:r>
              <w:rPr/>
              <w:t> </w:t>
            </w:r>
          </w:p>
        </w:tc>
        <w:tc>
          <w:tcPr>
            <w:tcW w:w="78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ind w:left="0" w:right="0" w:hanging="0"/>
              <w:rPr/>
            </w:pPr>
            <w:r>
              <w:rPr/>
              <w:t> </w:t>
            </w:r>
          </w:p>
        </w:tc>
        <w:tc>
          <w:tcPr>
            <w:tcW w:w="6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10.86</w:t>
            </w:r>
          </w:p>
        </w:tc>
        <w:tc>
          <w:tcPr>
            <w:tcW w:w="60" w:type="dxa"/>
            <w:tcBorders/>
            <w:shd w:fill="FFFFFF" w:val="clear"/>
            <w:vAlign w:val="center"/>
          </w:tcPr>
          <w:p>
            <w:pPr>
              <w:pStyle w:val="TableContents"/>
              <w:spacing w:before="0" w:after="283"/>
              <w:rPr/>
            </w:pPr>
            <w:r>
              <w:rPr/>
              <w:t> </w:t>
            </w:r>
          </w:p>
        </w:tc>
      </w:tr>
      <w:tr>
        <w:trPr/>
        <w:tc>
          <w:tcPr>
            <w:tcW w:w="125" w:type="dxa"/>
            <w:tcBorders/>
            <w:shd w:fill="CCEEFF" w:val="clear"/>
            <w:vAlign w:val="center"/>
          </w:tcPr>
          <w:p>
            <w:pPr>
              <w:pStyle w:val="TableContents"/>
              <w:spacing w:before="0" w:after="283"/>
              <w:ind w:left="0" w:right="0" w:hanging="0"/>
              <w:rPr/>
            </w:pPr>
            <w:r>
              <w:rPr/>
              <w:t> </w:t>
            </w:r>
          </w:p>
        </w:tc>
        <w:tc>
          <w:tcPr>
            <w:tcW w:w="230" w:type="dxa"/>
            <w:tcBorders/>
            <w:shd w:fill="CCEEFF" w:val="clear"/>
            <w:vAlign w:val="center"/>
          </w:tcPr>
          <w:p>
            <w:pPr>
              <w:pStyle w:val="TableContents"/>
              <w:spacing w:before="0" w:after="283"/>
              <w:ind w:left="100" w:right="0" w:hanging="0"/>
              <w:jc w:val="right"/>
              <w:rPr>
                <w:rFonts w:ascii="Times New Roman" w:hAnsi="Times New Roman"/>
                <w:b/>
                <w:sz w:val="20"/>
              </w:rPr>
            </w:pPr>
            <w:r>
              <w:rPr>
                <w:rFonts w:ascii="Times New Roman" w:hAnsi="Times New Roman"/>
                <w:b/>
                <w:sz w:val="20"/>
              </w:rPr>
              <w:t>12</w:t>
            </w:r>
          </w:p>
        </w:tc>
        <w:tc>
          <w:tcPr>
            <w:tcW w:w="185" w:type="dxa"/>
            <w:tcBorders/>
            <w:shd w:fill="CCEEFF" w:val="clear"/>
            <w:vAlign w:val="center"/>
          </w:tcPr>
          <w:p>
            <w:pPr>
              <w:pStyle w:val="TableContents"/>
              <w:spacing w:before="0" w:after="283"/>
              <w:ind w:left="0" w:right="0" w:hanging="0"/>
              <w:jc w:val="center"/>
              <w:rPr/>
            </w:pPr>
            <w:r>
              <w:rPr>
                <w:rStyle w:val="Emphasis"/>
                <w:rFonts w:ascii="Times New Roman" w:hAnsi="Times New Roman"/>
                <w:b/>
                <w:sz w:val="20"/>
              </w:rPr>
              <w:t>to</w:t>
            </w:r>
          </w:p>
        </w:tc>
        <w:tc>
          <w:tcPr>
            <w:tcW w:w="23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6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ind w:left="0" w:right="0" w:hanging="0"/>
              <w:rPr/>
            </w:pPr>
            <w:r>
              <w:rPr/>
              <w:t> </w:t>
            </w:r>
          </w:p>
        </w:tc>
        <w:tc>
          <w:tcPr>
            <w:tcW w:w="7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ind w:left="0" w:right="0" w:hanging="0"/>
              <w:rPr/>
            </w:pPr>
            <w:r>
              <w:rPr/>
              <w:t> </w:t>
            </w:r>
          </w:p>
        </w:tc>
        <w:tc>
          <w:tcPr>
            <w:tcW w:w="6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ind w:left="0" w:right="0" w:hanging="0"/>
              <w:rPr/>
            </w:pPr>
            <w:r>
              <w:rPr/>
              <w:t> </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12.31</w:t>
            </w:r>
          </w:p>
        </w:tc>
        <w:tc>
          <w:tcPr>
            <w:tcW w:w="60" w:type="dxa"/>
            <w:tcBorders/>
            <w:shd w:fill="CCEEFF" w:val="clear"/>
            <w:vAlign w:val="center"/>
          </w:tcPr>
          <w:p>
            <w:pPr>
              <w:pStyle w:val="TableContents"/>
              <w:spacing w:before="0" w:after="283"/>
              <w:rPr/>
            </w:pPr>
            <w:r>
              <w:rPr/>
              <w:t> </w:t>
            </w:r>
          </w:p>
        </w:tc>
      </w:tr>
      <w:tr>
        <w:trPr/>
        <w:tc>
          <w:tcPr>
            <w:tcW w:w="125" w:type="dxa"/>
            <w:tcBorders/>
            <w:shd w:fill="FFFFFF" w:val="clear"/>
            <w:vAlign w:val="center"/>
          </w:tcPr>
          <w:p>
            <w:pPr>
              <w:pStyle w:val="TableContents"/>
              <w:spacing w:before="0" w:after="283"/>
              <w:ind w:left="0" w:right="0" w:hanging="0"/>
              <w:rPr/>
            </w:pPr>
            <w:r>
              <w:rPr/>
              <w:t> </w:t>
            </w:r>
          </w:p>
        </w:tc>
        <w:tc>
          <w:tcPr>
            <w:tcW w:w="230" w:type="dxa"/>
            <w:tcBorders/>
            <w:shd w:fill="FFFFFF" w:val="clear"/>
            <w:vAlign w:val="center"/>
          </w:tcPr>
          <w:p>
            <w:pPr>
              <w:pStyle w:val="TableContents"/>
              <w:spacing w:before="0" w:after="283"/>
              <w:ind w:left="100" w:right="0" w:hanging="0"/>
              <w:jc w:val="right"/>
              <w:rPr>
                <w:rFonts w:ascii="Times New Roman" w:hAnsi="Times New Roman"/>
                <w:b/>
                <w:sz w:val="20"/>
              </w:rPr>
            </w:pPr>
            <w:r>
              <w:rPr>
                <w:rFonts w:ascii="Times New Roman" w:hAnsi="Times New Roman"/>
                <w:b/>
                <w:sz w:val="20"/>
              </w:rPr>
              <w:t>15</w:t>
            </w:r>
          </w:p>
        </w:tc>
        <w:tc>
          <w:tcPr>
            <w:tcW w:w="185" w:type="dxa"/>
            <w:tcBorders/>
            <w:shd w:fill="FFFFFF" w:val="clear"/>
            <w:vAlign w:val="center"/>
          </w:tcPr>
          <w:p>
            <w:pPr>
              <w:pStyle w:val="TableContents"/>
              <w:spacing w:before="0" w:after="283"/>
              <w:ind w:left="0" w:right="0" w:hanging="0"/>
              <w:jc w:val="center"/>
              <w:rPr/>
            </w:pPr>
            <w:r>
              <w:rPr>
                <w:rStyle w:val="Emphasis"/>
                <w:rFonts w:ascii="Times New Roman" w:hAnsi="Times New Roman"/>
                <w:b/>
                <w:sz w:val="20"/>
              </w:rPr>
              <w:t>to</w:t>
            </w:r>
          </w:p>
        </w:tc>
        <w:tc>
          <w:tcPr>
            <w:tcW w:w="230" w:type="dxa"/>
            <w:tcBorders/>
            <w:shd w:fill="FFFF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18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911</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ind w:left="0" w:right="0" w:hanging="0"/>
              <w:rPr/>
            </w:pPr>
            <w:r>
              <w:rPr/>
              <w:t> </w:t>
            </w:r>
          </w:p>
        </w:tc>
        <w:tc>
          <w:tcPr>
            <w:tcW w:w="78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ind w:left="0" w:right="0" w:hanging="0"/>
              <w:rPr/>
            </w:pPr>
            <w:r>
              <w:rPr/>
              <w:t> </w:t>
            </w:r>
          </w:p>
        </w:tc>
        <w:tc>
          <w:tcPr>
            <w:tcW w:w="6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15.56</w:t>
            </w:r>
          </w:p>
        </w:tc>
        <w:tc>
          <w:tcPr>
            <w:tcW w:w="60" w:type="dxa"/>
            <w:tcBorders/>
            <w:shd w:fill="FFFFFF" w:val="clear"/>
            <w:vAlign w:val="center"/>
          </w:tcPr>
          <w:p>
            <w:pPr>
              <w:pStyle w:val="TableContents"/>
              <w:spacing w:before="0" w:after="283"/>
              <w:ind w:left="0" w:right="0" w:hanging="0"/>
              <w:rPr/>
            </w:pPr>
            <w:r>
              <w:rPr/>
              <w:t> </w:t>
            </w:r>
          </w:p>
        </w:tc>
      </w:tr>
      <w:tr>
        <w:trPr/>
        <w:tc>
          <w:tcPr>
            <w:tcW w:w="125"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w:t>
            </w:r>
          </w:p>
        </w:tc>
        <w:tc>
          <w:tcPr>
            <w:tcW w:w="230" w:type="dxa"/>
            <w:tcBorders/>
            <w:shd w:fill="CCEEFF" w:val="clear"/>
            <w:vAlign w:val="center"/>
          </w:tcPr>
          <w:p>
            <w:pPr>
              <w:pStyle w:val="TableContents"/>
              <w:spacing w:before="0" w:after="283"/>
              <w:ind w:left="100" w:right="0" w:hanging="0"/>
              <w:jc w:val="right"/>
              <w:rPr>
                <w:rFonts w:ascii="Times New Roman" w:hAnsi="Times New Roman"/>
                <w:b/>
                <w:sz w:val="20"/>
              </w:rPr>
            </w:pPr>
            <w:r>
              <w:rPr>
                <w:rFonts w:ascii="Times New Roman" w:hAnsi="Times New Roman"/>
                <w:b/>
                <w:sz w:val="20"/>
              </w:rPr>
              <w:t>0</w:t>
            </w:r>
          </w:p>
        </w:tc>
        <w:tc>
          <w:tcPr>
            <w:tcW w:w="185" w:type="dxa"/>
            <w:tcBorders/>
            <w:shd w:fill="CCEEFF" w:val="clear"/>
            <w:vAlign w:val="center"/>
          </w:tcPr>
          <w:p>
            <w:pPr>
              <w:pStyle w:val="TableContents"/>
              <w:spacing w:before="0" w:after="283"/>
              <w:ind w:left="0" w:right="0" w:hanging="0"/>
              <w:jc w:val="center"/>
              <w:rPr/>
            </w:pPr>
            <w:r>
              <w:rPr>
                <w:rStyle w:val="Emphasis"/>
                <w:rFonts w:ascii="Times New Roman" w:hAnsi="Times New Roman"/>
                <w:b/>
                <w:sz w:val="20"/>
              </w:rPr>
              <w:t>to</w:t>
            </w:r>
          </w:p>
        </w:tc>
        <w:tc>
          <w:tcPr>
            <w:tcW w:w="230" w:type="dxa"/>
            <w:tcBorders/>
            <w:shd w:fill="CCEEFF" w:val="clear"/>
            <w:vAlign w:val="center"/>
          </w:tcPr>
          <w:p>
            <w:pPr>
              <w:pStyle w:val="TableContents"/>
              <w:spacing w:before="0" w:after="283"/>
              <w:ind w:left="0" w:right="0" w:hanging="0"/>
              <w:rPr>
                <w:rFonts w:ascii="Times New Roman" w:hAnsi="Times New Roman"/>
                <w:b/>
                <w:sz w:val="20"/>
              </w:rPr>
            </w:pPr>
            <w:r>
              <w:rPr>
                <w:rFonts w:ascii="Times New Roman" w:hAnsi="Times New Roman"/>
                <w:b/>
                <w:sz w:val="20"/>
              </w:rPr>
              <w:t>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33,093</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ind w:left="0" w:right="0" w:hanging="0"/>
              <w:rPr/>
            </w:pPr>
            <w:r>
              <w:rPr/>
              <w:t> </w:t>
            </w:r>
          </w:p>
        </w:tc>
        <w:tc>
          <w:tcPr>
            <w:tcW w:w="78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4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15,561</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6.34</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weighted average remaining contractual life of stock option awards exercisable under the plans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was 5.7 years.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jc w:val="both"/>
        <w:rPr/>
      </w:pPr>
      <w:r>
        <w:rPr>
          <w:rFonts w:ascii="Times New Roman" w:hAnsi="Times New Roman"/>
          <w:caps w:val="false"/>
          <w:smallCaps w:val="false"/>
          <w:sz w:val="20"/>
        </w:rPr>
        <w:t xml:space="preserve">The aggregate intrinsic value of stock option awards outstanding and exercisable under the plans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was $116,811. The aggregate intrinsic value represents the value (the period’s closing market price, less the exercise price, times the number of in-the-money stock option awards) that would have been received by all stock option award holders under the plans had they exercised their stock option awards at the end of the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total fair value of the stock option awards vested under the plans was $23,395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$18,739 during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$12,499 during </w:t>
      </w:r>
      <w:r>
        <w:rPr>
          <w:rStyle w:val="Emphasis"/>
          <w:rFonts w:ascii="Times New Roman" w:hAnsi="Times New Roman"/>
          <w:caps w:val="false"/>
          <w:smallCaps w:val="false"/>
          <w:sz w:val="20"/>
        </w:rPr>
        <w:t>2019.</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number of stock option awards vested and expected to vest under the plans is 30,268. The weighted average exercise price of these stock option awards is $7.64 and their weighted average remaining contractual life is 7.4 years.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following table summarizes the changes in the number and weighted-average grant-date fair value of non-vested stock option awards during </w:t>
      </w:r>
      <w:r>
        <w:rPr>
          <w:rStyle w:val="Emphasis"/>
          <w:rFonts w:ascii="Times New Roman" w:hAnsi="Times New Roman"/>
          <w:caps w:val="false"/>
          <w:smallCaps w:val="false"/>
          <w:sz w:val="20"/>
        </w:rPr>
        <w:t>2021:</w:t>
      </w:r>
    </w:p>
    <w:p>
      <w:pPr>
        <w:pStyle w:val="TextBody"/>
        <w:spacing w:before="0" w:after="0"/>
        <w:ind w:left="0" w:right="0" w:hanging="0"/>
        <w:rPr>
          <w:caps w:val="false"/>
          <w:smallCaps w:val="false"/>
        </w:rPr>
      </w:pPr>
      <w:r>
        <w:rPr>
          <w:caps w:val="false"/>
          <w:smallCaps w:val="false"/>
        </w:rPr>
        <w:t> </w:t>
      </w:r>
    </w:p>
    <w:tbl>
      <w:tblPr>
        <w:tblW w:w="9033" w:type="dxa"/>
        <w:jc w:val="left"/>
        <w:tblInd w:w="0" w:type="dxa"/>
        <w:tblCellMar>
          <w:top w:w="0" w:type="dxa"/>
          <w:left w:w="0" w:type="dxa"/>
          <w:bottom w:w="0" w:type="dxa"/>
          <w:right w:w="0" w:type="dxa"/>
        </w:tblCellMar>
      </w:tblPr>
      <w:tblGrid>
        <w:gridCol w:w="2405"/>
        <w:gridCol w:w="60"/>
        <w:gridCol w:w="258"/>
        <w:gridCol w:w="2551"/>
        <w:gridCol w:w="80"/>
        <w:gridCol w:w="60"/>
        <w:gridCol w:w="879"/>
        <w:gridCol w:w="2680"/>
        <w:gridCol w:w="60"/>
      </w:tblGrid>
      <w:tr>
        <w:trPr/>
        <w:tc>
          <w:tcPr>
            <w:tcW w:w="2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8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Non-Vested Stock Option Awards</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5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Grant-Date Fair Value</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24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December 31, 2020</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ind w:left="0" w:right="0" w:hanging="0"/>
              <w:rPr/>
            </w:pPr>
            <w:r>
              <w:rPr/>
              <w:t> </w:t>
            </w:r>
          </w:p>
        </w:tc>
        <w:tc>
          <w:tcPr>
            <w:tcW w:w="25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4.25</w:t>
            </w:r>
          </w:p>
        </w:tc>
        <w:tc>
          <w:tcPr>
            <w:tcW w:w="60" w:type="dxa"/>
            <w:tcBorders/>
            <w:shd w:fill="CCEEFF" w:val="clear"/>
            <w:vAlign w:val="center"/>
          </w:tcPr>
          <w:p>
            <w:pPr>
              <w:pStyle w:val="TableContents"/>
              <w:spacing w:before="0" w:after="283"/>
              <w:ind w:left="0" w:right="0" w:hanging="0"/>
              <w:rPr/>
            </w:pPr>
            <w:r>
              <w:rPr/>
              <w:t> </w:t>
            </w:r>
          </w:p>
        </w:tc>
      </w:tr>
      <w:tr>
        <w:trPr/>
        <w:tc>
          <w:tcPr>
            <w:tcW w:w="24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 awards granted</w:t>
            </w:r>
          </w:p>
        </w:tc>
        <w:tc>
          <w:tcPr>
            <w:tcW w:w="6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ind w:left="0" w:right="0" w:hanging="0"/>
              <w:rPr/>
            </w:pPr>
            <w:r>
              <w:rPr/>
              <w:t> </w:t>
            </w:r>
          </w:p>
        </w:tc>
        <w:tc>
          <w:tcPr>
            <w:tcW w:w="25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7,756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79" w:type="dxa"/>
            <w:tcBorders/>
            <w:shd w:fill="FFFFFF" w:val="clear"/>
            <w:vAlign w:val="center"/>
          </w:tcPr>
          <w:p>
            <w:pPr>
              <w:pStyle w:val="TableContents"/>
              <w:spacing w:before="0" w:after="283"/>
              <w:ind w:left="0" w:right="0" w:hanging="0"/>
              <w:rPr/>
            </w:pPr>
            <w:r>
              <w:rPr/>
              <w:t> </w:t>
            </w:r>
          </w:p>
        </w:tc>
        <w:tc>
          <w:tcPr>
            <w:tcW w:w="26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3.31</w:t>
            </w:r>
          </w:p>
        </w:tc>
        <w:tc>
          <w:tcPr>
            <w:tcW w:w="60" w:type="dxa"/>
            <w:tcBorders/>
            <w:shd w:fill="FFFFFF" w:val="clear"/>
            <w:vAlign w:val="center"/>
          </w:tcPr>
          <w:p>
            <w:pPr>
              <w:pStyle w:val="TableContents"/>
              <w:spacing w:before="0" w:after="283"/>
              <w:ind w:left="0" w:right="0" w:hanging="0"/>
              <w:rPr/>
            </w:pPr>
            <w:r>
              <w:rPr/>
              <w:t> </w:t>
            </w:r>
          </w:p>
        </w:tc>
      </w:tr>
      <w:tr>
        <w:trPr/>
        <w:tc>
          <w:tcPr>
            <w:tcW w:w="24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 awards vested</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ind w:left="0" w:right="0" w:hanging="0"/>
              <w:rPr/>
            </w:pPr>
            <w:r>
              <w:rPr/>
              <w:t> </w:t>
            </w:r>
          </w:p>
        </w:tc>
        <w:tc>
          <w:tcPr>
            <w:tcW w:w="25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(5,837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879" w:type="dxa"/>
            <w:tcBorders/>
            <w:shd w:fill="CCEEFF" w:val="clear"/>
            <w:vAlign w:val="center"/>
          </w:tcPr>
          <w:p>
            <w:pPr>
              <w:pStyle w:val="TableContents"/>
              <w:spacing w:before="0" w:after="283"/>
              <w:ind w:left="0" w:right="0" w:hanging="0"/>
              <w:rPr/>
            </w:pPr>
            <w:r>
              <w:rPr/>
              <w:t> </w:t>
            </w:r>
          </w:p>
        </w:tc>
        <w:tc>
          <w:tcPr>
            <w:tcW w:w="26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3.97</w:t>
            </w:r>
          </w:p>
        </w:tc>
        <w:tc>
          <w:tcPr>
            <w:tcW w:w="60" w:type="dxa"/>
            <w:tcBorders/>
            <w:shd w:fill="CCEEFF" w:val="clear"/>
            <w:vAlign w:val="center"/>
          </w:tcPr>
          <w:p>
            <w:pPr>
              <w:pStyle w:val="TableContents"/>
              <w:spacing w:before="0" w:after="283"/>
              <w:ind w:left="0" w:right="0" w:hanging="0"/>
              <w:rPr/>
            </w:pPr>
            <w:r>
              <w:rPr/>
              <w:t> </w:t>
            </w:r>
          </w:p>
        </w:tc>
      </w:tr>
      <w:tr>
        <w:trPr/>
        <w:tc>
          <w:tcPr>
            <w:tcW w:w="24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 awards forfeited</w:t>
            </w:r>
          </w:p>
        </w:tc>
        <w:tc>
          <w:tcPr>
            <w:tcW w:w="60" w:type="dxa"/>
            <w:tcBorders/>
            <w:shd w:fill="FFFFFF" w:val="clear"/>
            <w:vAlign w:val="center"/>
          </w:tcPr>
          <w:p>
            <w:pPr>
              <w:pStyle w:val="TableContents"/>
              <w:spacing w:before="0" w:after="283"/>
              <w:rPr/>
            </w:pPr>
            <w:r>
              <w:rPr/>
              <w:t> </w:t>
            </w:r>
          </w:p>
        </w:tc>
        <w:tc>
          <w:tcPr>
            <w:tcW w:w="25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879" w:type="dxa"/>
            <w:tcBorders/>
            <w:shd w:fill="FFFFFF" w:val="clear"/>
            <w:vAlign w:val="center"/>
          </w:tcPr>
          <w:p>
            <w:pPr>
              <w:pStyle w:val="TableContents"/>
              <w:spacing w:before="0" w:after="283"/>
              <w:ind w:left="0" w:right="0" w:hanging="0"/>
              <w:rPr/>
            </w:pPr>
            <w:r>
              <w:rPr/>
              <w:t> </w:t>
            </w:r>
          </w:p>
        </w:tc>
        <w:tc>
          <w:tcPr>
            <w:tcW w:w="26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4.14</w:t>
            </w:r>
          </w:p>
        </w:tc>
        <w:tc>
          <w:tcPr>
            <w:tcW w:w="60" w:type="dxa"/>
            <w:tcBorders/>
            <w:shd w:fill="FFFFFF" w:val="clear"/>
            <w:vAlign w:val="center"/>
          </w:tcPr>
          <w:p>
            <w:pPr>
              <w:pStyle w:val="TableContents"/>
              <w:spacing w:before="0" w:after="283"/>
              <w:ind w:left="0" w:right="0" w:hanging="0"/>
              <w:rPr/>
            </w:pPr>
            <w:r>
              <w:rPr/>
              <w:t> </w:t>
            </w:r>
          </w:p>
        </w:tc>
      </w:tr>
      <w:tr>
        <w:trPr/>
        <w:tc>
          <w:tcPr>
            <w:tcW w:w="24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December 31, 2021</w:t>
            </w:r>
          </w:p>
        </w:tc>
        <w:tc>
          <w:tcPr>
            <w:tcW w:w="60" w:type="dxa"/>
            <w:tcBorders/>
            <w:shd w:fill="CCEEFF" w:val="clear"/>
            <w:vAlign w:val="center"/>
          </w:tcPr>
          <w:p>
            <w:pPr>
              <w:pStyle w:val="TableContents"/>
              <w:spacing w:before="0" w:after="283"/>
              <w:rPr/>
            </w:pPr>
            <w:r>
              <w:rPr/>
              <w:t> </w:t>
            </w:r>
          </w:p>
        </w:tc>
        <w:tc>
          <w:tcPr>
            <w:tcW w:w="258"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255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17,532</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87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6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3.86</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there was approximately $107,852 of total unrecognized compensation cost related to non-vested employee stock option awards granted by the Company. That cost is expected to be recognized as follows: $35,060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$30,375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$27,607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$14,810 in </w:t>
      </w:r>
      <w:r>
        <w:rPr>
          <w:rStyle w:val="Emphasis"/>
          <w:rFonts w:ascii="Times New Roman" w:hAnsi="Times New Roman"/>
          <w:caps w:val="false"/>
          <w:smallCaps w:val="false"/>
          <w:sz w:val="20"/>
        </w:rPr>
        <w:t>2025.</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78</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220" w:right="0" w:hanging="0"/>
        <w:rPr>
          <w:rFonts w:ascii="Times New Roman" w:hAnsi="Times New Roman"/>
          <w:b/>
          <w:i/>
          <w:caps w:val="false"/>
          <w:smallCaps w:val="false"/>
          <w:sz w:val="20"/>
        </w:rPr>
      </w:pPr>
      <w:r>
        <w:rPr>
          <w:rFonts w:ascii="Times New Roman" w:hAnsi="Times New Roman"/>
          <w:b/>
          <w:i/>
          <w:caps w:val="false"/>
          <w:smallCaps w:val="false"/>
          <w:sz w:val="20"/>
        </w:rPr>
        <w:t>Employee Stock Purchase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has reserved a total of 7,975 shares of common stock to be purchased under the ESPP, of which 6,052 shares remain available for purchase at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Eligible employees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authorize up to 15% of their salary to purchase common stock at the lower of 85% of the beginning or 85% of the ending price during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purchase intervals.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more than 3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purchased by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employee at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purchase dates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employee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stock having a fair market value at the commencement date of $25 or more in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calendar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There were 321, 246, and 115 shares of common stock purchased under the ESPP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 at a weighted average price per share of $6.20, $2.56, and $3.51, respectively. Expense of $1,523, $362, and $232 related to the ESPP was recognized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 Compensation expense for shares purchased under the ESPP related to the purchase discount and the “look-back” option were determined using a Black-Scholes option pricing model. The weighted average grant date fair values of shares granted under the ESPP during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were $2.80, $1.47, and $2.01, respectively.</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has incurred net losses since inception and, consequently,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U.S. Federal and state income tax expense or benefit.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components of loss before provision for income taxes were as follows:</w:t>
      </w:r>
    </w:p>
    <w:p>
      <w:pPr>
        <w:pStyle w:val="TextBody"/>
        <w:spacing w:before="0" w:after="0"/>
        <w:ind w:left="0" w:right="0" w:hanging="0"/>
        <w:rPr>
          <w:caps w:val="false"/>
          <w:smallCaps w:val="false"/>
        </w:rPr>
      </w:pPr>
      <w:r>
        <w:rPr>
          <w:caps w:val="false"/>
          <w:smallCaps w:val="false"/>
        </w:rPr>
        <w:t> </w:t>
      </w:r>
    </w:p>
    <w:tbl>
      <w:tblPr>
        <w:tblW w:w="5591" w:type="dxa"/>
        <w:jc w:val="left"/>
        <w:tblInd w:w="0" w:type="dxa"/>
        <w:tblCellMar>
          <w:top w:w="0" w:type="dxa"/>
          <w:left w:w="0" w:type="dxa"/>
          <w:bottom w:w="0" w:type="dxa"/>
          <w:right w:w="0" w:type="dxa"/>
        </w:tblCellMar>
      </w:tblPr>
      <w:tblGrid>
        <w:gridCol w:w="3155"/>
        <w:gridCol w:w="60"/>
        <w:gridCol w:w="151"/>
        <w:gridCol w:w="913"/>
        <w:gridCol w:w="96"/>
        <w:gridCol w:w="72"/>
        <w:gridCol w:w="151"/>
        <w:gridCol w:w="913"/>
        <w:gridCol w:w="80"/>
      </w:tblGrid>
      <w:tr>
        <w:trPr/>
        <w:tc>
          <w:tcPr>
            <w:tcW w:w="3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296"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 Ended December 31,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3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2021</w:t>
            </w:r>
          </w:p>
        </w:tc>
        <w:tc>
          <w:tcPr>
            <w:tcW w:w="96" w:type="dxa"/>
            <w:tcBorders>
              <w:bottom w:val="single" w:sz="2" w:space="0" w:color="000000"/>
            </w:tcBorders>
            <w:shd w:fill="auto" w:val="clear"/>
            <w:tcMar>
              <w:bottom w:w="28" w:type="dxa"/>
            </w:tcM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2020</w:t>
            </w:r>
          </w:p>
        </w:tc>
        <w:tc>
          <w:tcPr>
            <w:tcW w:w="8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31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Domestic</w:t>
            </w:r>
          </w:p>
        </w:tc>
        <w:tc>
          <w:tcPr>
            <w:tcW w:w="60" w:type="dxa"/>
            <w:tcBorders/>
            <w:shd w:fill="CCEEFF" w:val="clear"/>
            <w:vAlign w:val="center"/>
          </w:tcPr>
          <w:p>
            <w:pPr>
              <w:pStyle w:val="TableContents"/>
              <w:spacing w:before="0" w:after="283"/>
              <w:ind w:left="0" w:right="0" w:hanging="0"/>
              <w:rPr/>
            </w:pPr>
            <w:r>
              <w:rPr/>
              <w:t> </w:t>
            </w:r>
          </w:p>
        </w:tc>
        <w:tc>
          <w:tcPr>
            <w:tcW w:w="15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(159,632</w:t>
            </w:r>
          </w:p>
        </w:tc>
        <w:tc>
          <w:tcPr>
            <w:tcW w:w="96"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spacing w:before="0" w:after="283"/>
              <w:ind w:left="720" w:right="0" w:hanging="0"/>
              <w:rPr/>
            </w:pPr>
            <w:r>
              <w:rPr/>
              <w:t> </w:t>
            </w:r>
          </w:p>
        </w:tc>
        <w:tc>
          <w:tcPr>
            <w:tcW w:w="151" w:type="dxa"/>
            <w:tcBorders/>
            <w:shd w:fill="CCEEFF" w:val="clear"/>
            <w:vAlign w:val="center"/>
          </w:tcPr>
          <w:p>
            <w:pPr>
              <w:pStyle w:val="TableContents"/>
              <w:spacing w:before="0" w:after="283"/>
              <w:ind w:left="720" w:right="0" w:hanging="0"/>
              <w:rPr>
                <w:rFonts w:ascii="Times New Roman" w:hAnsi="Times New Roman"/>
                <w:sz w:val="20"/>
              </w:rPr>
            </w:pPr>
            <w:r>
              <w:rPr>
                <w:rFonts w:ascii="Times New Roman" w:hAnsi="Times New Roman"/>
                <w:sz w:val="20"/>
              </w:rPr>
              <w:t>$</w:t>
            </w:r>
          </w:p>
        </w:tc>
        <w:tc>
          <w:tcPr>
            <w:tcW w:w="91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(176,613</w:t>
            </w:r>
          </w:p>
        </w:tc>
        <w:tc>
          <w:tcPr>
            <w:tcW w:w="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31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1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(22,177</w:t>
            </w:r>
          </w:p>
        </w:tc>
        <w:tc>
          <w:tcPr>
            <w:tcW w:w="96"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1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(6,201</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31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before provision for income taxes</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(181,809</w:t>
            </w:r>
          </w:p>
        </w:tc>
        <w:tc>
          <w:tcPr>
            <w:tcW w:w="96"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1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(182,814</w:t>
            </w:r>
          </w:p>
        </w:tc>
        <w:tc>
          <w:tcPr>
            <w:tcW w:w="80" w:type="dxa"/>
            <w:tcBorders>
              <w:bottom w:val="double" w:sz="6"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differences between the Company’s effective tax rate and the statutory tax rate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are as follows:</w:t>
      </w:r>
    </w:p>
    <w:p>
      <w:pPr>
        <w:pStyle w:val="TextBody"/>
        <w:spacing w:before="0" w:after="0"/>
        <w:ind w:left="0" w:right="0" w:hanging="0"/>
        <w:rPr>
          <w:caps w:val="false"/>
          <w:smallCaps w:val="false"/>
        </w:rPr>
      </w:pPr>
      <w:r>
        <w:rPr>
          <w:caps w:val="false"/>
          <w:smallCaps w:val="false"/>
        </w:rPr>
        <w:t> </w:t>
      </w:r>
    </w:p>
    <w:tbl>
      <w:tblPr>
        <w:tblW w:w="8780" w:type="dxa"/>
        <w:jc w:val="left"/>
        <w:tblInd w:w="0" w:type="dxa"/>
        <w:tblCellMar>
          <w:top w:w="0" w:type="dxa"/>
          <w:left w:w="0" w:type="dxa"/>
          <w:bottom w:w="0" w:type="dxa"/>
          <w:right w:w="0" w:type="dxa"/>
        </w:tblCellMar>
      </w:tblPr>
      <w:tblGrid>
        <w:gridCol w:w="6035"/>
        <w:gridCol w:w="60"/>
        <w:gridCol w:w="125"/>
        <w:gridCol w:w="650"/>
        <w:gridCol w:w="80"/>
        <w:gridCol w:w="60"/>
        <w:gridCol w:w="125"/>
        <w:gridCol w:w="650"/>
        <w:gridCol w:w="80"/>
        <w:gridCol w:w="60"/>
        <w:gridCol w:w="125"/>
        <w:gridCol w:w="650"/>
        <w:gridCol w:w="80"/>
      </w:tblGrid>
      <w:tr>
        <w:trPr/>
        <w:tc>
          <w:tcPr>
            <w:tcW w:w="60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w:t>
            </w:r>
          </w:p>
        </w:tc>
        <w:tc>
          <w:tcPr>
            <w:tcW w:w="8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60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benefit at federal statutory rate (21% for 2021, 2020 and 2019)</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(38,175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(38,391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(22,868</w:t>
            </w:r>
          </w:p>
        </w:tc>
        <w:tc>
          <w:tcPr>
            <w:tcW w:w="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60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State and local income taxes net of federal tax benefit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(2,288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(2,544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(1,591</w:t>
            </w:r>
          </w:p>
        </w:tc>
        <w:tc>
          <w:tcPr>
            <w:tcW w:w="8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60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Permanent items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shd w:fill="CCEEFF" w:val="clear"/>
            <w:vAlign w:val="center"/>
          </w:tcPr>
          <w:p>
            <w:pPr>
              <w:pStyle w:val="TableContents"/>
              <w:spacing w:before="0" w:after="283"/>
              <w:ind w:left="0" w:right="0" w:hanging="0"/>
              <w:rPr/>
            </w:pPr>
            <w:r>
              <w:rPr/>
              <w:t> </w:t>
            </w:r>
          </w:p>
        </w:tc>
      </w:tr>
      <w:tr>
        <w:trPr/>
        <w:tc>
          <w:tcPr>
            <w:tcW w:w="60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Rate change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625</w:t>
            </w:r>
          </w:p>
        </w:tc>
        <w:tc>
          <w:tcPr>
            <w:tcW w:w="80" w:type="dxa"/>
            <w:tcBorders/>
            <w:shd w:fill="FFFFFF" w:val="clear"/>
            <w:vAlign w:val="center"/>
          </w:tcPr>
          <w:p>
            <w:pPr>
              <w:pStyle w:val="TableContents"/>
              <w:spacing w:before="0" w:after="283"/>
              <w:ind w:left="0" w:right="0" w:hanging="0"/>
              <w:rPr/>
            </w:pPr>
            <w:r>
              <w:rPr/>
              <w:t> </w:t>
            </w:r>
          </w:p>
        </w:tc>
      </w:tr>
      <w:tr>
        <w:trPr/>
        <w:tc>
          <w:tcPr>
            <w:tcW w:w="60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Expiration of attribute carryforwards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(1,057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3,774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3,976</w:t>
            </w:r>
          </w:p>
        </w:tc>
        <w:tc>
          <w:tcPr>
            <w:tcW w:w="80" w:type="dxa"/>
            <w:tcBorders/>
            <w:shd w:fill="CCEEFF" w:val="clear"/>
            <w:vAlign w:val="center"/>
          </w:tcPr>
          <w:p>
            <w:pPr>
              <w:pStyle w:val="TableContents"/>
              <w:spacing w:before="0" w:after="283"/>
              <w:ind w:left="0" w:right="0" w:hanging="0"/>
              <w:rPr/>
            </w:pPr>
            <w:r>
              <w:rPr/>
              <w:t> </w:t>
            </w:r>
          </w:p>
        </w:tc>
      </w:tr>
      <w:tr>
        <w:trPr/>
        <w:tc>
          <w:tcPr>
            <w:tcW w:w="60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 tax credits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(5,994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(4,080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(4,938</w:t>
            </w:r>
          </w:p>
        </w:tc>
        <w:tc>
          <w:tcPr>
            <w:tcW w:w="8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60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Foreign rate differential</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spacing w:before="0" w:after="283"/>
              <w:ind w:left="0" w:right="0" w:hanging="0"/>
              <w:rPr/>
            </w:pPr>
            <w:r>
              <w:rPr/>
              <w:t> </w:t>
            </w:r>
          </w:p>
        </w:tc>
      </w:tr>
      <w:tr>
        <w:trPr/>
        <w:tc>
          <w:tcPr>
            <w:tcW w:w="60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w:t>
            </w:r>
          </w:p>
        </w:tc>
        <w:tc>
          <w:tcPr>
            <w:tcW w:w="80" w:type="dxa"/>
            <w:tcBorders/>
            <w:shd w:fill="FFFFFF" w:val="clear"/>
            <w:vAlign w:val="center"/>
          </w:tcPr>
          <w:p>
            <w:pPr>
              <w:pStyle w:val="TableContents"/>
              <w:spacing w:before="0" w:after="283"/>
              <w:ind w:left="0" w:right="0" w:hanging="0"/>
              <w:rPr/>
            </w:pPr>
            <w:r>
              <w:rPr/>
              <w:t> </w:t>
            </w:r>
          </w:p>
        </w:tc>
      </w:tr>
      <w:tr>
        <w:trPr/>
        <w:tc>
          <w:tcPr>
            <w:tcW w:w="603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valuation allowance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47,954</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38,551</w:t>
            </w:r>
          </w:p>
        </w:tc>
        <w:tc>
          <w:tcPr>
            <w:tcW w:w="80"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23,824</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r>
      <w:tr>
        <w:trPr/>
        <w:tc>
          <w:tcPr>
            <w:tcW w:w="603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2,253</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recognizes the impact of a tax position in its financial statements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position will be sustained on audit based on the technical merits of the position. The Company has concluded that it has an uncertain tax position pertaining to its research and development and orphan drug credit carryforwards. The Company has established these credits based on information and calculations it believes are appropriate and the best estimate of the underlying credit. Any changes to the Company’s unrecognized tax benefits are offset by an adjustment to the valuation allowance and there would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Company’s financial statements.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its unrecognized tax benefits to change significantly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A reconciliation of the beginning and ending amount of unrecognized tax benefits is as follows:</w:t>
      </w:r>
    </w:p>
    <w:p>
      <w:pPr>
        <w:pStyle w:val="TextBody"/>
        <w:spacing w:before="0" w:after="0"/>
        <w:ind w:left="0" w:right="0" w:firstLine="540"/>
        <w:rPr>
          <w:caps w:val="false"/>
          <w:smallCaps w:val="false"/>
        </w:rPr>
      </w:pPr>
      <w:r>
        <w:rPr>
          <w:caps w:val="false"/>
          <w:smallCaps w:val="false"/>
        </w:rPr>
        <w:t> </w:t>
      </w:r>
    </w:p>
    <w:tbl>
      <w:tblPr>
        <w:tblW w:w="4780" w:type="dxa"/>
        <w:jc w:val="left"/>
        <w:tblInd w:w="0" w:type="dxa"/>
        <w:tblCellMar>
          <w:top w:w="0" w:type="dxa"/>
          <w:left w:w="0" w:type="dxa"/>
          <w:bottom w:w="0" w:type="dxa"/>
          <w:right w:w="0" w:type="dxa"/>
        </w:tblCellMar>
      </w:tblPr>
      <w:tblGrid>
        <w:gridCol w:w="3320"/>
        <w:gridCol w:w="60"/>
        <w:gridCol w:w="125"/>
        <w:gridCol w:w="485"/>
        <w:gridCol w:w="60"/>
        <w:gridCol w:w="60"/>
        <w:gridCol w:w="125"/>
        <w:gridCol w:w="485"/>
        <w:gridCol w:w="60"/>
      </w:tblGrid>
      <w:tr>
        <w:trPr/>
        <w:tc>
          <w:tcPr>
            <w:tcW w:w="33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33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January 1,</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8,230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7,210</w:t>
            </w:r>
          </w:p>
        </w:tc>
        <w:tc>
          <w:tcPr>
            <w:tcW w:w="60" w:type="dxa"/>
            <w:tcBorders/>
            <w:shd w:fill="CCEEFF" w:val="clear"/>
            <w:vAlign w:val="center"/>
          </w:tcPr>
          <w:p>
            <w:pPr>
              <w:pStyle w:val="TableContents"/>
              <w:spacing w:before="0" w:after="283"/>
              <w:ind w:left="0" w:right="0" w:hanging="0"/>
              <w:rPr/>
            </w:pPr>
            <w:r>
              <w:rPr/>
              <w:t> </w:t>
            </w:r>
          </w:p>
        </w:tc>
      </w:tr>
      <w:tr>
        <w:trPr/>
        <w:tc>
          <w:tcPr>
            <w:tcW w:w="33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Additions to current period tax positions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1,499</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1,020</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r>
      <w:tr>
        <w:trPr/>
        <w:tc>
          <w:tcPr>
            <w:tcW w:w="33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December 31,</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9,729</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8,230</w:t>
            </w:r>
          </w:p>
        </w:tc>
        <w:tc>
          <w:tcPr>
            <w:tcW w:w="6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Company’s ability to utilize the net operating loss and tax credit carryforwards in the future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substantial restrictions in the event of past or future ownership changes as defined in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and similar state tax law.</w:t>
      </w:r>
    </w:p>
    <w:p>
      <w:pPr>
        <w:pStyle w:val="TextBody"/>
        <w:spacing w:before="0" w:after="0"/>
        <w:ind w:left="0" w:right="0" w:firstLine="54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79</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Significant components of the Company’s deferred tax assets and liabilities are as follows:</w:t>
      </w:r>
    </w:p>
    <w:p>
      <w:pPr>
        <w:pStyle w:val="TextBody"/>
        <w:spacing w:before="0" w:after="0"/>
        <w:ind w:left="0" w:right="0" w:hanging="0"/>
        <w:rPr>
          <w:caps w:val="false"/>
          <w:smallCaps w:val="false"/>
        </w:rPr>
      </w:pPr>
      <w:r>
        <w:rPr>
          <w:caps w:val="false"/>
          <w:smallCaps w:val="false"/>
        </w:rPr>
        <w:t> </w:t>
      </w:r>
    </w:p>
    <w:tbl>
      <w:tblPr>
        <w:tblW w:w="5060" w:type="dxa"/>
        <w:jc w:val="left"/>
        <w:tblInd w:w="0" w:type="dxa"/>
        <w:tblCellMar>
          <w:top w:w="0" w:type="dxa"/>
          <w:left w:w="0" w:type="dxa"/>
          <w:bottom w:w="0" w:type="dxa"/>
          <w:right w:w="0" w:type="dxa"/>
        </w:tblCellMar>
      </w:tblPr>
      <w:tblGrid>
        <w:gridCol w:w="3020"/>
        <w:gridCol w:w="60"/>
        <w:gridCol w:w="125"/>
        <w:gridCol w:w="755"/>
        <w:gridCol w:w="80"/>
        <w:gridCol w:w="60"/>
        <w:gridCol w:w="125"/>
        <w:gridCol w:w="755"/>
        <w:gridCol w:w="80"/>
      </w:tblGrid>
      <w:tr>
        <w:trPr/>
        <w:tc>
          <w:tcPr>
            <w:tcW w:w="30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80"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8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r>
      <w:tr>
        <w:trPr/>
        <w:tc>
          <w:tcPr>
            <w:tcW w:w="30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ind w:left="200" w:right="0" w:hanging="0"/>
              <w:rPr/>
            </w:pPr>
            <w:r>
              <w:rPr/>
              <w:t> </w:t>
            </w:r>
          </w:p>
        </w:tc>
      </w:tr>
      <w:tr>
        <w:trPr/>
        <w:tc>
          <w:tcPr>
            <w:tcW w:w="302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Net federal and state operating losses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113,649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159,939</w:t>
            </w:r>
          </w:p>
        </w:tc>
        <w:tc>
          <w:tcPr>
            <w:tcW w:w="80" w:type="dxa"/>
            <w:tcBorders/>
            <w:shd w:fill="FFFFFF" w:val="clear"/>
            <w:vAlign w:val="center"/>
          </w:tcPr>
          <w:p>
            <w:pPr>
              <w:pStyle w:val="TableContents"/>
              <w:spacing w:before="0" w:after="283"/>
              <w:ind w:left="200" w:right="0" w:hanging="0"/>
              <w:rPr/>
            </w:pPr>
            <w:r>
              <w:rPr/>
              <w:t> </w:t>
            </w:r>
          </w:p>
        </w:tc>
      </w:tr>
      <w:tr>
        <w:trPr/>
        <w:tc>
          <w:tcPr>
            <w:tcW w:w="302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Research and development credits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71,197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66,331</w:t>
            </w:r>
          </w:p>
        </w:tc>
        <w:tc>
          <w:tcPr>
            <w:tcW w:w="80" w:type="dxa"/>
            <w:tcBorders/>
            <w:shd w:fill="CCEEFF" w:val="clear"/>
            <w:vAlign w:val="center"/>
          </w:tcPr>
          <w:p>
            <w:pPr>
              <w:pStyle w:val="TableContents"/>
              <w:spacing w:before="0" w:after="283"/>
              <w:ind w:left="200" w:right="0" w:hanging="0"/>
              <w:rPr/>
            </w:pPr>
            <w:r>
              <w:rPr/>
              <w:t> </w:t>
            </w:r>
          </w:p>
        </w:tc>
      </w:tr>
      <w:tr>
        <w:trPr/>
        <w:tc>
          <w:tcPr>
            <w:tcW w:w="302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Royalty income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106,007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28,034</w:t>
            </w:r>
          </w:p>
        </w:tc>
        <w:tc>
          <w:tcPr>
            <w:tcW w:w="80" w:type="dxa"/>
            <w:tcBorders/>
            <w:shd w:fill="FFFFFF" w:val="clear"/>
            <w:vAlign w:val="center"/>
          </w:tcPr>
          <w:p>
            <w:pPr>
              <w:pStyle w:val="TableContents"/>
              <w:spacing w:before="0" w:after="283"/>
              <w:ind w:left="200" w:right="0" w:hanging="0"/>
              <w:rPr/>
            </w:pPr>
            <w:r>
              <w:rPr/>
              <w:t> </w:t>
            </w:r>
          </w:p>
        </w:tc>
      </w:tr>
      <w:tr>
        <w:trPr/>
        <w:tc>
          <w:tcPr>
            <w:tcW w:w="302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14,512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10,732</w:t>
            </w:r>
          </w:p>
        </w:tc>
        <w:tc>
          <w:tcPr>
            <w:tcW w:w="80" w:type="dxa"/>
            <w:tcBorders/>
            <w:shd w:fill="CCEEFF" w:val="clear"/>
            <w:vAlign w:val="center"/>
          </w:tcPr>
          <w:p>
            <w:pPr>
              <w:pStyle w:val="TableContents"/>
              <w:spacing w:before="0" w:after="283"/>
              <w:ind w:left="200" w:right="0" w:hanging="0"/>
              <w:rPr/>
            </w:pPr>
            <w:r>
              <w:rPr/>
              <w:t> </w:t>
            </w:r>
          </w:p>
        </w:tc>
      </w:tr>
      <w:tr>
        <w:trPr/>
        <w:tc>
          <w:tcPr>
            <w:tcW w:w="302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Capitalized R&amp;D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8,997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755" w:type="dxa"/>
            <w:tcBorders/>
            <w:shd w:fill="FFFFFF" w:val="clear"/>
            <w:vAlign w:val="center"/>
          </w:tcPr>
          <w:p>
            <w:pPr>
              <w:pStyle w:val="TableContents"/>
              <w:spacing w:before="0" w:after="283"/>
              <w:ind w:left="0" w:right="0" w:hanging="0"/>
              <w:jc w:val="right"/>
              <w:rPr/>
            </w:pPr>
            <w:r>
              <w:rPr>
                <w:rStyle w:val="Emphasis"/>
              </w:rPr>
              <w:t>−</w:t>
            </w:r>
          </w:p>
        </w:tc>
        <w:tc>
          <w:tcPr>
            <w:tcW w:w="80" w:type="dxa"/>
            <w:tcBorders/>
            <w:shd w:fill="FFFFFF" w:val="clear"/>
            <w:vAlign w:val="center"/>
          </w:tcPr>
          <w:p>
            <w:pPr>
              <w:pStyle w:val="TableContents"/>
              <w:spacing w:before="0" w:after="283"/>
              <w:ind w:left="200" w:right="0" w:hanging="0"/>
              <w:rPr/>
            </w:pPr>
            <w:r>
              <w:rPr/>
              <w:t> </w:t>
            </w:r>
          </w:p>
        </w:tc>
      </w:tr>
      <w:tr>
        <w:trPr/>
        <w:tc>
          <w:tcPr>
            <w:tcW w:w="302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Leasing obligations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1,135</w:t>
            </w:r>
          </w:p>
        </w:tc>
        <w:tc>
          <w:tcPr>
            <w:tcW w:w="80" w:type="dxa"/>
            <w:tcBorders/>
            <w:shd w:fill="CCEEFF" w:val="clear"/>
            <w:vAlign w:val="center"/>
          </w:tcPr>
          <w:p>
            <w:pPr>
              <w:pStyle w:val="TableContents"/>
              <w:spacing w:before="0" w:after="283"/>
              <w:ind w:left="200" w:right="0" w:hanging="0"/>
              <w:rPr/>
            </w:pPr>
            <w:r>
              <w:rPr/>
              <w:t> </w:t>
            </w:r>
          </w:p>
        </w:tc>
      </w:tr>
      <w:tr>
        <w:trPr/>
        <w:tc>
          <w:tcPr>
            <w:tcW w:w="302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4,809</w:t>
            </w:r>
          </w:p>
        </w:tc>
        <w:tc>
          <w:tcPr>
            <w:tcW w:w="80" w:type="dxa"/>
            <w:tcBorders>
              <w:bottom w:val="single" w:sz="2" w:space="0" w:color="000000"/>
            </w:tcBorders>
            <w:shd w:fill="FFFFFF" w:val="clear"/>
            <w:tcMar>
              <w:bottom w:w="28" w:type="dxa"/>
            </w:tcM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5,563</w:t>
            </w:r>
          </w:p>
        </w:tc>
        <w:tc>
          <w:tcPr>
            <w:tcW w:w="80" w:type="dxa"/>
            <w:tcBorders>
              <w:bottom w:val="single" w:sz="2" w:space="0" w:color="000000"/>
            </w:tcBorders>
            <w:shd w:fill="FFFFFF" w:val="clear"/>
            <w:tcMar>
              <w:bottom w:w="28" w:type="dxa"/>
            </w:tcMar>
            <w:vAlign w:val="center"/>
          </w:tcPr>
          <w:p>
            <w:pPr>
              <w:pStyle w:val="TableContents"/>
              <w:spacing w:before="0" w:after="283"/>
              <w:ind w:left="200" w:right="0" w:hanging="0"/>
              <w:rPr/>
            </w:pPr>
            <w:r>
              <w:rPr/>
              <w:t> </w:t>
            </w:r>
          </w:p>
        </w:tc>
      </w:tr>
      <w:tr>
        <w:trPr/>
        <w:tc>
          <w:tcPr>
            <w:tcW w:w="302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321,007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271,734</w:t>
            </w:r>
          </w:p>
        </w:tc>
        <w:tc>
          <w:tcPr>
            <w:tcW w:w="80" w:type="dxa"/>
            <w:tcBorders/>
            <w:shd w:fill="CCEEFF" w:val="clear"/>
            <w:vAlign w:val="center"/>
          </w:tcPr>
          <w:p>
            <w:pPr>
              <w:pStyle w:val="TableContents"/>
              <w:spacing w:before="0" w:after="283"/>
              <w:ind w:left="0" w:right="0" w:hanging="0"/>
              <w:rPr/>
            </w:pPr>
            <w:r>
              <w:rPr/>
              <w:t> </w:t>
            </w:r>
          </w:p>
        </w:tc>
      </w:tr>
      <w:tr>
        <w:trPr/>
        <w:tc>
          <w:tcPr>
            <w:tcW w:w="30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75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ind w:left="180" w:right="0" w:hanging="0"/>
              <w:rPr/>
            </w:pPr>
            <w:r>
              <w:rPr/>
              <w:t> </w:t>
            </w:r>
          </w:p>
        </w:tc>
      </w:tr>
      <w:tr>
        <w:trPr/>
        <w:tc>
          <w:tcPr>
            <w:tcW w:w="302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Fixed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75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shd w:fill="CCEEFF" w:val="clear"/>
            <w:vAlign w:val="center"/>
          </w:tcPr>
          <w:p>
            <w:pPr>
              <w:pStyle w:val="TableContents"/>
              <w:spacing w:before="0" w:after="283"/>
              <w:ind w:left="200" w:right="0" w:hanging="0"/>
              <w:rPr>
                <w:rFonts w:ascii="Times New Roman" w:hAnsi="Times New Roman"/>
                <w:sz w:val="20"/>
              </w:rPr>
            </w:pPr>
            <w:r>
              <w:rPr>
                <w:rFonts w:ascii="Times New Roman" w:hAnsi="Times New Roman"/>
                <w:sz w:val="20"/>
              </w:rPr>
              <w:t>)</w:t>
            </w:r>
          </w:p>
        </w:tc>
      </w:tr>
      <w:tr>
        <w:trPr/>
        <w:tc>
          <w:tcPr>
            <w:tcW w:w="3020" w:type="dxa"/>
            <w:tcBorders/>
            <w:shd w:fill="FFFF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Right of use asset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(1,527</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(854</w:t>
            </w:r>
          </w:p>
        </w:tc>
        <w:tc>
          <w:tcPr>
            <w:tcW w:w="80" w:type="dxa"/>
            <w:tcBorders>
              <w:bottom w:val="single" w:sz="2" w:space="0" w:color="000000"/>
            </w:tcBorders>
            <w:shd w:fill="FFFFFF" w:val="clear"/>
            <w:tcMar>
              <w:bottom w:w="28" w:type="dxa"/>
            </w:tcMar>
            <w:vAlign w:val="center"/>
          </w:tcPr>
          <w:p>
            <w:pPr>
              <w:pStyle w:val="TableContents"/>
              <w:spacing w:before="0" w:after="283"/>
              <w:ind w:left="200" w:right="0" w:hanging="0"/>
              <w:rPr>
                <w:rFonts w:ascii="Times New Roman" w:hAnsi="Times New Roman"/>
                <w:sz w:val="20"/>
              </w:rPr>
            </w:pPr>
            <w:r>
              <w:rPr>
                <w:rFonts w:ascii="Times New Roman" w:hAnsi="Times New Roman"/>
                <w:sz w:val="20"/>
              </w:rPr>
              <w:t>)</w:t>
            </w:r>
          </w:p>
        </w:tc>
      </w:tr>
      <w:tr>
        <w:trPr/>
        <w:tc>
          <w:tcPr>
            <w:tcW w:w="3020" w:type="dxa"/>
            <w:tcBorders/>
            <w:shd w:fill="CCEEFF" w:val="clear"/>
            <w:vAlign w:val="center"/>
          </w:tcPr>
          <w:p>
            <w:pPr>
              <w:pStyle w:val="TableContents"/>
              <w:spacing w:before="0" w:after="0"/>
              <w:ind w:left="400" w:right="0" w:hanging="0"/>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(2,134</w:t>
            </w:r>
          </w:p>
        </w:tc>
        <w:tc>
          <w:tcPr>
            <w:tcW w:w="80" w:type="dxa"/>
            <w:tcBorders>
              <w:bottom w:val="single" w:sz="2" w:space="0" w:color="000000"/>
            </w:tcBorders>
            <w:shd w:fill="CCEE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(978</w:t>
            </w:r>
          </w:p>
        </w:tc>
        <w:tc>
          <w:tcPr>
            <w:tcW w:w="8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30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(318,714</w:t>
            </w:r>
          </w:p>
        </w:tc>
        <w:tc>
          <w:tcPr>
            <w:tcW w:w="80" w:type="dxa"/>
            <w:tcBorders>
              <w:bottom w:val="single" w:sz="2" w:space="0" w:color="000000"/>
            </w:tcBorders>
            <w:shd w:fill="FFFFFF" w:val="clear"/>
            <w:tcMar>
              <w:bottom w:w="28" w:type="dxa"/>
            </w:tcM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(270,756</w:t>
            </w:r>
          </w:p>
        </w:tc>
        <w:tc>
          <w:tcPr>
            <w:tcW w:w="8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r>
      <w:tr>
        <w:trPr/>
        <w:tc>
          <w:tcPr>
            <w:tcW w:w="30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deferred tax assets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rStyle w:val="Emphasis"/>
              </w:rPr>
              <w:t>−</w:t>
            </w:r>
          </w:p>
        </w:tc>
        <w:tc>
          <w:tcPr>
            <w:tcW w:w="80" w:type="dxa"/>
            <w:tcBorders>
              <w:bottom w:val="double" w:sz="6"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majority of the Company’s deferred tax assets relate to net operating loss and research and development carryforwards that can only be realized if the Company is profitable in future periods. It is uncertain whether the Company will realize any tax benefit related to these carryforwards. Accordingly, the Company has provided a valuation allowance against substantially all the net deferred tax assets due to uncertainties as to their ultimate realization. The valuation allowance will remain at the full amount of the deferred tax assets until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related tax benefits will be realized. The Company’s valuation allowance increased by $47,954, $38,551, and $23,824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had U.S. federal operating loss carryforwards of $480,331, state operating loss carryforwards of $177,567, foreign net operating losses of $29,355, and U.S. research and development and orphan drug credit carryforwards of $80,925, which will expire at various dates from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2041.</w:t>
      </w:r>
      <w:r>
        <w:rPr>
          <w:rFonts w:ascii="Times New Roman" w:hAnsi="Times New Roman"/>
          <w:caps w:val="false"/>
          <w:smallCaps w:val="false"/>
          <w:sz w:val="20"/>
        </w:rPr>
        <w:t xml:space="preserve"> Federal losses, state losses, research and development credit carryforwards began expiring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foreign net operating losses have an indefinite carryforward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Tax years </w:t>
      </w:r>
      <w:r>
        <w:rPr>
          <w:rStyle w:val="Emphasis"/>
          <w:rFonts w:ascii="Times New Roman" w:hAnsi="Times New Roman"/>
          <w:caps w:val="false"/>
          <w:smallCaps w:val="false"/>
          <w:sz w:val="20"/>
        </w:rPr>
        <w:t>2018</w:t>
      </w:r>
      <w:r>
        <w:rPr>
          <w:rFonts w:ascii="Times New Roman" w:hAnsi="Times New Roman"/>
          <w:caps w:val="false"/>
          <w:smallCaps w:val="false"/>
          <w:sz w:val="20"/>
        </w:rPr>
        <w:t>-</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remain open to examination by the major taxing jurisdictions to which the Company is subject. Additionally, years prior to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are also open to examination to the extent of loss and credit carryforwards from those years. The Company recognizes interest and penalties accrued related to unrecognized tax benefits as components of its income tax provision. However, there were no provisions or accruals for interest and penalties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Company has accumulated undistributed earnings of $750, generated by our foreign subsidiaries which have already been subject to local and U.S. tax (as part of the GILTI provisions). We intend to indefinitely reinvest these earnings, as well as future earnings from our foreign subsidiaries to fund out international operations. In addition, we expect future U.S. cash generation will be sufficient to meet future U.S cash needs.</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Employee </w:t>
      </w:r>
      <w:r>
        <w:rPr>
          <w:rStyle w:val="Emphasis"/>
          <w:rFonts w:ascii="Times New Roman" w:hAnsi="Times New Roman"/>
          <w:b/>
          <w:caps w:val="false"/>
          <w:smallCaps w:val="false"/>
          <w:sz w:val="20"/>
        </w:rPr>
        <w:t>401</w:t>
      </w:r>
      <w:r>
        <w:rPr>
          <w:rFonts w:ascii="Times New Roman" w:hAnsi="Times New Roman"/>
          <w:b/>
          <w:caps w:val="false"/>
          <w:smallCaps w:val="false"/>
          <w:sz w:val="20"/>
        </w:rPr>
        <w:t>(k)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1991, </w:t>
      </w:r>
      <w:r>
        <w:rPr>
          <w:rFonts w:ascii="Times New Roman" w:hAnsi="Times New Roman"/>
          <w:caps w:val="false"/>
          <w:smallCaps w:val="false"/>
          <w:sz w:val="20"/>
        </w:rPr>
        <w:t>the Company adopted an employee retirement plan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under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Internal Revenue Code covering all employees. Employee contributions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up to limits established by the Internal Revenue Service. Company matching contributions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at the discretion of the Board of Directors. The Company made matching contributions of $2,834, $1,569, and $926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respectively.</w:t>
      </w:r>
    </w:p>
    <w:p>
      <w:pPr>
        <w:pStyle w:val="TextBody"/>
        <w:rPr/>
      </w:pPr>
      <w:r>
        <w:rPr/>
        <w:t xml:space="preserve">  </w:t>
      </w:r>
    </w:p>
    <w:p>
      <w:pPr>
        <w:pStyle w:val="TextBody"/>
        <w:spacing w:before="0" w:after="0"/>
        <w:ind w:left="0" w:right="0" w:hanging="0"/>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Collaborative and Other Relationships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National Institute of Allergy and Infectious Diseases (</w:t>
      </w:r>
      <w:r>
        <w:rPr>
          <w:rFonts w:ascii="Times New Roman" w:hAnsi="Times New Roman"/>
          <w:caps w:val="false"/>
          <w:smallCaps w:val="false"/>
          <w:sz w:val="20"/>
        </w:rPr>
        <w:t>“</w:t>
      </w:r>
      <w:r>
        <w:rPr>
          <w:rFonts w:ascii="Times New Roman" w:hAnsi="Times New Roman"/>
          <w:i/>
          <w:caps w:val="false"/>
          <w:smallCaps w:val="false"/>
          <w:sz w:val="20"/>
        </w:rPr>
        <w:t>NIAID/HHS</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2013, </w:t>
      </w:r>
      <w:r>
        <w:rPr>
          <w:rFonts w:ascii="Times New Roman" w:hAnsi="Times New Roman"/>
          <w:caps w:val="false"/>
          <w:smallCaps w:val="false"/>
          <w:sz w:val="20"/>
        </w:rPr>
        <w:t xml:space="preserve">NIAID/HHS contracted with the Company for the development of galidesivir as a treatment for Marburg virus disease and subsequently, Yellow Fever and Ebola virus disease. On </w:t>
      </w:r>
      <w:r>
        <w:rPr>
          <w:rStyle w:val="Emphasis"/>
          <w:rFonts w:ascii="Times New Roman" w:hAnsi="Times New Roman"/>
          <w:caps w:val="false"/>
          <w:smallCaps w:val="false"/>
          <w:sz w:val="20"/>
        </w:rPr>
        <w:t xml:space="preserve">September 15, 2021, </w:t>
      </w:r>
      <w:r>
        <w:rPr>
          <w:rFonts w:ascii="Times New Roman" w:hAnsi="Times New Roman"/>
          <w:caps w:val="false"/>
          <w:smallCaps w:val="false"/>
          <w:sz w:val="20"/>
        </w:rPr>
        <w:t>the Company entered into an amendment to pay for certain additional costs, including additional manufacturing development costs and overhead, and to change the total value of the contract, as amended, to $47,315 from $45,931. This is the commencement of closing out the contract. All options under the contract have been awarded.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NIAID/HHS awarded the Company a new contract, with potential aggregate funding up of to $43,908 if all contract options are exercised, to manufacture and evaluate the safety, efficacy and tolerability of galidesivir. NIAID/HHS made an initial award of $6,326 to the Company under this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Biomedical Advanced Research and Development Authority (</w:t>
      </w:r>
      <w:r>
        <w:rPr>
          <w:rFonts w:ascii="Times New Roman" w:hAnsi="Times New Roman"/>
          <w:caps w:val="false"/>
          <w:smallCaps w:val="false"/>
          <w:sz w:val="20"/>
        </w:rPr>
        <w:t>“</w:t>
      </w:r>
      <w:r>
        <w:rPr>
          <w:rFonts w:ascii="Times New Roman" w:hAnsi="Times New Roman"/>
          <w:i/>
          <w:caps w:val="false"/>
          <w:smallCaps w:val="false"/>
          <w:sz w:val="20"/>
        </w:rPr>
        <w:t>BARDA/HHS</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March 2015, </w:t>
      </w:r>
      <w:r>
        <w:rPr>
          <w:rFonts w:ascii="Times New Roman" w:hAnsi="Times New Roman"/>
          <w:caps w:val="false"/>
          <w:smallCaps w:val="false"/>
          <w:sz w:val="20"/>
        </w:rPr>
        <w:t xml:space="preserve">BARDA/HHS awarded the Company a contract for the continued 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 total of $20,574 has been awarded under exercised options within this contract. The most recent development option was completed as of </w:t>
      </w:r>
      <w:r>
        <w:rPr>
          <w:rStyle w:val="Emphasis"/>
          <w:rFonts w:ascii="Times New Roman" w:hAnsi="Times New Roman"/>
          <w:caps w:val="false"/>
          <w:smallCaps w:val="false"/>
          <w:sz w:val="20"/>
        </w:rPr>
        <w:t>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80</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contracts with NIAID/HHS and BARDA/HHS are cost-plus-fixed-fee contracts. That is,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contracts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U.S. Department of Health and Human Services (</w:t>
      </w:r>
      <w:r>
        <w:rPr>
          <w:rFonts w:ascii="Times New Roman" w:hAnsi="Times New Roman"/>
          <w:caps w:val="false"/>
          <w:smallCaps w:val="false"/>
          <w:sz w:val="20"/>
        </w:rPr>
        <w:t>“</w:t>
      </w:r>
      <w:r>
        <w:rPr>
          <w:rFonts w:ascii="Times New Roman" w:hAnsi="Times New Roman"/>
          <w:i/>
          <w:caps w:val="false"/>
          <w:smallCaps w:val="false"/>
          <w:sz w:val="20"/>
        </w:rPr>
        <w:t>HHS</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2018, </w:t>
      </w:r>
      <w:r>
        <w:rPr>
          <w:rFonts w:ascii="Times New Roman" w:hAnsi="Times New Roman"/>
          <w:caps w:val="false"/>
          <w:smallCaps w:val="false"/>
          <w:sz w:val="20"/>
        </w:rPr>
        <w:t xml:space="preserve">HHS awarded the Company a $34,660 contract for the procurement of up to 50,000 doses of RAPIVAB (peramivir injection) over a five-year period. The Company delivered 20,000 doses of RAPIVAB under this contract 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for a total price of approximately $13.9 million. For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delivered a total of 9,980 doses for $6,918. On </w:t>
      </w:r>
      <w:r>
        <w:rPr>
          <w:rStyle w:val="Emphasis"/>
          <w:rFonts w:ascii="Times New Roman" w:hAnsi="Times New Roman"/>
          <w:caps w:val="false"/>
          <w:smallCaps w:val="false"/>
          <w:sz w:val="20"/>
        </w:rPr>
        <w:t xml:space="preserve">September 1, 2021, </w:t>
      </w:r>
      <w:r>
        <w:rPr>
          <w:rFonts w:ascii="Times New Roman" w:hAnsi="Times New Roman"/>
          <w:caps w:val="false"/>
          <w:smallCaps w:val="false"/>
          <w:sz w:val="20"/>
        </w:rPr>
        <w:t xml:space="preserve">the Company announced that HHS exercised its option to purchase an additional 10,000 doses of RAPIVAB under this contract for a total price of approximately $6.9 million which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delivered 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the Company has delivered a total of </w:t>
      </w:r>
      <w:r>
        <w:rPr>
          <w:rStyle w:val="Emphasis"/>
          <w:rFonts w:ascii="Times New Roman" w:hAnsi="Times New Roman"/>
          <w:caps w:val="false"/>
          <w:smallCaps w:val="false"/>
          <w:sz w:val="20"/>
        </w:rPr>
        <w:t>29,980</w:t>
      </w:r>
      <w:r>
        <w:rPr>
          <w:rFonts w:ascii="Times New Roman" w:hAnsi="Times New Roman"/>
          <w:caps w:val="false"/>
          <w:smallCaps w:val="false"/>
          <w:sz w:val="20"/>
        </w:rPr>
        <w:t xml:space="preserve"> RAPIVAB doses of the </w:t>
      </w:r>
      <w:r>
        <w:rPr>
          <w:rStyle w:val="Emphasis"/>
          <w:rFonts w:ascii="Times New Roman" w:hAnsi="Times New Roman"/>
          <w:caps w:val="false"/>
          <w:smallCaps w:val="false"/>
          <w:sz w:val="20"/>
        </w:rPr>
        <w:t>50,000</w:t>
      </w:r>
      <w:r>
        <w:rPr>
          <w:rFonts w:ascii="Times New Roman" w:hAnsi="Times New Roman"/>
          <w:caps w:val="false"/>
          <w:smallCaps w:val="false"/>
          <w:sz w:val="20"/>
        </w:rPr>
        <w:t xml:space="preserve"> RAPIVAB doses available under the contract with HHS.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Torii Pharmaceutical Co., Ltd. (</w:t>
      </w:r>
      <w:r>
        <w:rPr>
          <w:rFonts w:ascii="Times New Roman" w:hAnsi="Times New Roman"/>
          <w:caps w:val="false"/>
          <w:smallCaps w:val="false"/>
          <w:sz w:val="20"/>
        </w:rPr>
        <w:t>“</w:t>
      </w:r>
      <w:r>
        <w:rPr>
          <w:rFonts w:ascii="Times New Roman" w:hAnsi="Times New Roman"/>
          <w:i/>
          <w:caps w:val="false"/>
          <w:smallCaps w:val="false"/>
          <w:sz w:val="20"/>
        </w:rPr>
        <w:t>Torii</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November 5, 2019, </w:t>
      </w:r>
      <w:r>
        <w:rPr>
          <w:rFonts w:ascii="Times New Roman" w:hAnsi="Times New Roman"/>
          <w:caps w:val="false"/>
          <w:smallCaps w:val="false"/>
          <w:sz w:val="20"/>
        </w:rPr>
        <w:t>the Company entered into a Commercialization and License Agreement with Torii (the “Torii Agreement”), granting Torii the exclusive right to commercialize ORLADEYO for the prevention of hereditary angioedema (“HAE”) attacks in Japan.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Under the Torii Agreement, the Company received an upfront, non-refundable payment of $22,000. The Japanese National Health Insurance System’s (“NHI”) approval of the addition of ORLADEYO to the NHI drug price list in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 xml:space="preserve">triggered a $15,000 milestone payment from Torii to the Company, which was received in </w:t>
      </w:r>
      <w:r>
        <w:rPr>
          <w:rStyle w:val="Emphasis"/>
          <w:rFonts w:ascii="Times New Roman" w:hAnsi="Times New Roman"/>
          <w:caps w:val="false"/>
          <w:smallCaps w:val="false"/>
          <w:sz w:val="20"/>
        </w:rPr>
        <w:t>May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reduced by more than 50% of the amount that otherwise would have been payable to the Company in the applicable calendar quarter. Torii’s royalty payment obligations commenced upon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ORLADEYO in Japan and expire upon the later of (i) the tenth anniversary of the date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w:t>
      </w:r>
      <w:r>
        <w:rPr>
          <w:rStyle w:val="Emphasis"/>
          <w:rFonts w:ascii="Times New Roman" w:hAnsi="Times New Roman"/>
          <w:caps w:val="false"/>
          <w:smallCaps w:val="false"/>
          <w:sz w:val="20"/>
        </w:rPr>
        <w:t>April 23,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w:t>
      </w:r>
      <w:r>
        <w:rPr>
          <w:rStyle w:val="Emphasis"/>
          <w:rFonts w:ascii="Times New Roman" w:hAnsi="Times New Roman"/>
          <w:caps w:val="false"/>
          <w:smallCaps w:val="false"/>
          <w:sz w:val="20"/>
        </w:rPr>
        <w:t>$22,000</w:t>
      </w:r>
      <w:r>
        <w:rPr>
          <w:rFonts w:ascii="Times New Roman" w:hAnsi="Times New Roman"/>
          <w:caps w:val="false"/>
          <w:smallCaps w:val="false"/>
          <w:sz w:val="20"/>
        </w:rPr>
        <w:t xml:space="preserve"> upfront consideration to the identified performance obligations using estimation approaches to determine the standalone selling prices 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Specifically, in determining the value related to the license, a valuation approach utilizing risk adjusted discounted cash flow projections was used, and an expected cost plus margin approach was utilized for the other performance obligations. For the year ended </w:t>
      </w:r>
      <w:r>
        <w:rPr>
          <w:rStyle w:val="Emphasis"/>
          <w:rFonts w:ascii="Times New Roman" w:hAnsi="Times New Roman"/>
          <w:caps w:val="false"/>
          <w:smallCaps w:val="false"/>
          <w:sz w:val="20"/>
        </w:rPr>
        <w:t xml:space="preserve">December 31, 2020, </w:t>
      </w:r>
      <w:r>
        <w:rPr>
          <w:rFonts w:ascii="Times New Roman" w:hAnsi="Times New Roman"/>
          <w:caps w:val="false"/>
          <w:smallCaps w:val="false"/>
          <w:sz w:val="20"/>
        </w:rPr>
        <w:t xml:space="preserve">$1,899 of the </w:t>
      </w:r>
      <w:r>
        <w:rPr>
          <w:rStyle w:val="Emphasis"/>
          <w:rFonts w:ascii="Times New Roman" w:hAnsi="Times New Roman"/>
          <w:caps w:val="false"/>
          <w:smallCaps w:val="false"/>
          <w:sz w:val="20"/>
        </w:rPr>
        <w:t>$22,000</w:t>
      </w:r>
      <w:r>
        <w:rPr>
          <w:rFonts w:ascii="Times New Roman" w:hAnsi="Times New Roman"/>
          <w:caps w:val="false"/>
          <w:smallCaps w:val="false"/>
          <w:sz w:val="20"/>
        </w:rPr>
        <w:t xml:space="preserve"> upfront payment was recognized as revenue as the services were delivered. Prior to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had recognized as revenue $20,101 of the </w:t>
      </w:r>
      <w:r>
        <w:rPr>
          <w:rStyle w:val="Emphasis"/>
          <w:rFonts w:ascii="Times New Roman" w:hAnsi="Times New Roman"/>
          <w:caps w:val="false"/>
          <w:smallCaps w:val="false"/>
          <w:sz w:val="20"/>
        </w:rPr>
        <w:t>$22,000</w:t>
      </w:r>
      <w:r>
        <w:rPr>
          <w:rFonts w:ascii="Times New Roman" w:hAnsi="Times New Roman"/>
          <w:caps w:val="false"/>
          <w:smallCaps w:val="false"/>
          <w:sz w:val="20"/>
        </w:rPr>
        <w:t xml:space="preserve"> upfront 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Seqirus UK Limited (</w:t>
      </w:r>
      <w:r>
        <w:rPr>
          <w:rFonts w:ascii="Times New Roman" w:hAnsi="Times New Roman"/>
          <w:caps w:val="false"/>
          <w:smallCaps w:val="false"/>
          <w:sz w:val="20"/>
        </w:rPr>
        <w:t>“</w:t>
      </w:r>
      <w:r>
        <w:rPr>
          <w:rFonts w:ascii="Times New Roman" w:hAnsi="Times New Roman"/>
          <w:i/>
          <w:caps w:val="false"/>
          <w:smallCaps w:val="false"/>
          <w:sz w:val="20"/>
        </w:rPr>
        <w:t>SUL</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16, 2015, </w:t>
      </w:r>
      <w:r>
        <w:rPr>
          <w:rFonts w:ascii="Times New Roman" w:hAnsi="Times New Roman"/>
          <w:caps w:val="false"/>
          <w:smallCaps w:val="false"/>
          <w:sz w:val="20"/>
        </w:rPr>
        <w:t>the Company and SUL, a limited company organized under the laws of the United Kingdom and a subsidiary of CSL Limited, a company organized under the laws of Australia, entered into a License Agreement (the “SUL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Under the terms of the SUL Agreement, the Company received an upfront payment of $33,740 and has achieved all development milestones under the contract totaling $12,000.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4, 2020, </w:t>
      </w:r>
      <w:r>
        <w:rPr>
          <w:rFonts w:ascii="Times New Roman" w:hAnsi="Times New Roman"/>
          <w:caps w:val="false"/>
          <w:smallCaps w:val="false"/>
          <w:sz w:val="20"/>
        </w:rPr>
        <w:t xml:space="preserve">the International Court of Arbitration of the International Chamber of Commerce (“ICC Tribunal”) delivered a Partial Arbitration Award (the “Partial Arbitration Award”) in an arbitration matter between the Company and SUL with respect to the SUL Agreement. In the Partial Arbitration Award, the ICC Tribunal found that, during the term, SUL materially breached and abandoned its core duties to the Company under the Diligent Efforts (as defined in the SUL Agreement) requirements of the SUL Agreement as applicable in the U.S. The ICC Tribunal granted a declaratory judgment in favor of the Company terminating the SUL Agreement and restoring all rights to peramivir to the Company. The parties agreed on a transition process for the product, with a full transition of commercialization of the product in the U.S. and Australia returned to the Company as of </w:t>
      </w:r>
      <w:r>
        <w:rPr>
          <w:rStyle w:val="Emphasis"/>
          <w:rFonts w:ascii="Times New Roman" w:hAnsi="Times New Roman"/>
          <w:caps w:val="false"/>
          <w:smallCaps w:val="false"/>
          <w:sz w:val="20"/>
        </w:rPr>
        <w:t xml:space="preserve">August 1,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November 1, 2020, </w:t>
      </w:r>
      <w:r>
        <w:rPr>
          <w:rFonts w:ascii="Times New Roman" w:hAnsi="Times New Roman"/>
          <w:caps w:val="false"/>
          <w:smallCaps w:val="false"/>
          <w:sz w:val="20"/>
        </w:rPr>
        <w:t xml:space="preserve">respectively. The ICC Tribunal also awarded the Company its attorneys’ fees and expenses incurred in securing the declaratory judgment as well as the costs incurred by the Company in the arbitration. Finally, the ICC Tribunal found that SUL breached the SUL Agreement by failing to pay the milestone payment due to the Company within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of the approval of peramivir for adult use in the European Union and awarded the Company $5,000 (plus interest) for this claim. The ICC Tribunal retained jurisdiction for further proceedings relating to the award of attorneys’ fees and for any dispute relating to the return to the Company of all rights to peramivir in the Territory. The Company recognized a settlement gain of $8,893 in other income and legal fees and other expenses of $5,026 in selling, general and administrative expenses for the year ended </w:t>
      </w:r>
      <w:r>
        <w:rPr>
          <w:rStyle w:val="Emphasis"/>
          <w:rFonts w:ascii="Times New Roman" w:hAnsi="Times New Roman"/>
          <w:caps w:val="false"/>
          <w:smallCaps w:val="false"/>
          <w:sz w:val="20"/>
        </w:rPr>
        <w:t>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81</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rPr/>
      </w:pPr>
      <w:r>
        <w:rPr/>
        <w:t xml:space="preserve">  </w:t>
      </w:r>
    </w:p>
    <w:p>
      <w:pPr>
        <w:pStyle w:val="TextBody"/>
        <w:spacing w:before="0" w:after="0"/>
        <w:ind w:left="0" w:right="0" w:firstLine="540"/>
        <w:rPr/>
      </w:pPr>
      <w:r>
        <w:rPr>
          <w:rFonts w:ascii="Times New Roman" w:hAnsi="Times New Roman"/>
          <w:i/>
          <w:caps w:val="false"/>
          <w:smallCaps w:val="false"/>
          <w:sz w:val="20"/>
        </w:rPr>
        <w:t>Shionogi &amp; Co., Ltd. (</w:t>
      </w:r>
      <w:r>
        <w:rPr>
          <w:rFonts w:ascii="Times New Roman" w:hAnsi="Times New Roman"/>
          <w:caps w:val="false"/>
          <w:smallCaps w:val="false"/>
          <w:sz w:val="20"/>
        </w:rPr>
        <w:t>“</w:t>
      </w:r>
      <w:r>
        <w:rPr>
          <w:rFonts w:ascii="Times New Roman" w:hAnsi="Times New Roman"/>
          <w:i/>
          <w:caps w:val="false"/>
          <w:smallCaps w:val="false"/>
          <w:sz w:val="20"/>
        </w:rPr>
        <w:t>Shionogi</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2007, </w:t>
      </w:r>
      <w:r>
        <w:rPr>
          <w:rFonts w:ascii="Times New Roman" w:hAnsi="Times New Roman"/>
          <w:caps w:val="false"/>
          <w:smallCaps w:val="false"/>
          <w:sz w:val="20"/>
        </w:rPr>
        <w:t xml:space="preserve">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w:t>
      </w:r>
      <w:r>
        <w:rPr>
          <w:rStyle w:val="Emphasis"/>
          <w:rFonts w:ascii="Times New Roman" w:hAnsi="Times New Roman"/>
          <w:caps w:val="false"/>
          <w:smallCaps w:val="false"/>
          <w:sz w:val="20"/>
        </w:rPr>
        <w:t xml:space="preserve">October 2008, </w:t>
      </w:r>
      <w:r>
        <w:rPr>
          <w:rFonts w:ascii="Times New Roman" w:hAnsi="Times New Roman"/>
          <w:caps w:val="false"/>
          <w:smallCaps w:val="false"/>
          <w:sz w:val="20"/>
        </w:rPr>
        <w:t>the Company and Shionogi amended the license agreement to expand the territory covered by the agreement to include Taiwan. Shionogi has commercially launched peramivir under the commercial name RAPIACTA in Japan and Taiwan.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Green Cross Corporation (</w:t>
      </w:r>
      <w:r>
        <w:rPr>
          <w:rFonts w:ascii="Times New Roman" w:hAnsi="Times New Roman"/>
          <w:caps w:val="false"/>
          <w:smallCaps w:val="false"/>
          <w:sz w:val="20"/>
        </w:rPr>
        <w:t>“</w:t>
      </w:r>
      <w:r>
        <w:rPr>
          <w:rFonts w:ascii="Times New Roman" w:hAnsi="Times New Roman"/>
          <w:i/>
          <w:caps w:val="false"/>
          <w:smallCaps w:val="false"/>
          <w:sz w:val="20"/>
        </w:rPr>
        <w:t>Green Cross</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2006, </w:t>
      </w:r>
      <w:r>
        <w:rPr>
          <w:rFonts w:ascii="Times New Roman" w:hAnsi="Times New Roman"/>
          <w:caps w:val="false"/>
          <w:smallCaps w:val="false"/>
          <w:sz w:val="20"/>
        </w:rPr>
        <w:t>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Albert Einstein College of Medicine of Yeshiva University and Industrial Research, Ltd. (</w:t>
      </w:r>
      <w:r>
        <w:rPr>
          <w:rFonts w:ascii="Times New Roman" w:hAnsi="Times New Roman"/>
          <w:caps w:val="false"/>
          <w:smallCaps w:val="false"/>
          <w:sz w:val="20"/>
        </w:rPr>
        <w:t>“</w:t>
      </w:r>
      <w:r>
        <w:rPr>
          <w:rFonts w:ascii="Times New Roman" w:hAnsi="Times New Roman"/>
          <w:i/>
          <w:caps w:val="false"/>
          <w:smallCaps w:val="false"/>
          <w:sz w:val="20"/>
        </w:rPr>
        <w:t>AECOM</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IRL,</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respectively).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2000, </w:t>
      </w:r>
      <w:r>
        <w:rPr>
          <w:rFonts w:ascii="Times New Roman" w:hAnsi="Times New Roman"/>
          <w:caps w:val="false"/>
          <w:smallCaps w:val="false"/>
          <w:sz w:val="20"/>
        </w:rPr>
        <w:t xml:space="preserve">the Company licensed a series of potent inhibitors of PNP from AECOM and IRL, (together, the “Licensors”). The lead product candidate from this collaboration is forodesine. The Company has obtained worldwide exclusive rights to develop and ultimately distribute this, or any other, product candidates that might arise from research on these inhibitors. The Company has the option to expand the agreement to include other inventions in the field made by the investigators or employees of the Licensors. Under this agreement, as amended and restated, the Company has agreed to use commercially reasonable efforts to develop these drugs and to pay certain milestone payments for each licensed product (which range in the aggregate from $1,400 to almost $4,000 per indication) for future development, single digit royalties on net sales of any resulting product made by the Company, and to share a portion of future payments received from other </w:t>
      </w:r>
      <w:r>
        <w:rPr>
          <w:rStyle w:val="Emphasis"/>
          <w:rFonts w:ascii="Times New Roman" w:hAnsi="Times New Roman"/>
          <w:caps w:val="false"/>
          <w:smallCaps w:val="false"/>
          <w:sz w:val="20"/>
        </w:rPr>
        <w:t>third</w:t>
      </w:r>
      <w:r>
        <w:rPr>
          <w:rFonts w:ascii="Times New Roman" w:hAnsi="Times New Roman"/>
          <w:caps w:val="false"/>
          <w:smallCaps w:val="false"/>
          <w:sz w:val="20"/>
        </w:rPr>
        <w:t>-party partners, if any. In addition, the Company has agreed to pay annual license fees, which can range from $150 to $500, that are creditable against actual royalties and other payments due to the Licensors. The Licensors have also granted the Company an exclusive worldwide license of galidesivir for any antiviral use.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pPr>
      <w:r>
        <w:rPr>
          <w:rFonts w:ascii="Times New Roman" w:hAnsi="Times New Roman"/>
          <w:i/>
          <w:caps w:val="false"/>
          <w:smallCaps w:val="false"/>
          <w:sz w:val="20"/>
        </w:rPr>
        <w:t>The University of Alabama at Birmingham (</w:t>
      </w:r>
      <w:r>
        <w:rPr>
          <w:rFonts w:ascii="Times New Roman" w:hAnsi="Times New Roman"/>
          <w:caps w:val="false"/>
          <w:smallCaps w:val="false"/>
          <w:sz w:val="20"/>
        </w:rPr>
        <w:t>“</w:t>
      </w:r>
      <w:r>
        <w:rPr>
          <w:rFonts w:ascii="Times New Roman" w:hAnsi="Times New Roman"/>
          <w:i/>
          <w:caps w:val="false"/>
          <w:smallCaps w:val="false"/>
          <w:sz w:val="20"/>
        </w:rPr>
        <w:t>UAB</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The Company currently has agreements with UAB for influenza neuraminidase and complement 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partners. The Company has completed the research under the UAB agreements.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agreements each have an initial 25-year term, are automatically renewable for five-year terms throughout the life of the last patent and are terminable by the Company upon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 w:hAnsi="Times New Roman"/>
          <w:b/>
          <w:caps w:val="false"/>
          <w:smallCaps w:val="false"/>
          <w:sz w:val="20"/>
        </w:rPr>
      </w:pPr>
      <w:bookmarkStart w:id="20" w:name="report"/>
      <w:bookmarkEnd w:id="20"/>
      <w:r>
        <w:rPr>
          <w:rFonts w:ascii="Times New Roman" w:hAnsi="Times New Roman"/>
          <w:b/>
          <w:caps w:val="false"/>
          <w:smallCaps w:val="false"/>
          <w:sz w:val="20"/>
        </w:rPr>
        <w:t>Report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the Shareholders and Board of Directors of BioCryst Pharmaceuticals,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BioCryst Pharmaceuticals, Inc. (the Company) as of December 31, 2021 and 2020, the related consolidated statements of comprehensive income, shareholders’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57"/>
        <w:gridCol w:w="9148"/>
      </w:tblGrid>
      <w:tr>
        <w:trPr/>
        <w:tc>
          <w:tcPr>
            <w:tcW w:w="1057" w:type="dxa"/>
            <w:tcBorders/>
            <w:shd w:fill="auto" w:val="clear"/>
            <w:vAlign w:val="center"/>
          </w:tcPr>
          <w:p>
            <w:pPr>
              <w:pStyle w:val="TableContents"/>
              <w:spacing w:before="0" w:after="283"/>
              <w:rPr/>
            </w:pPr>
            <w:r>
              <w:rPr/>
              <w:t> </w:t>
            </w:r>
          </w:p>
        </w:tc>
        <w:tc>
          <w:tcPr>
            <w:tcW w:w="9148" w:type="dxa"/>
            <w:tcBorders/>
            <w:shd w:fill="auto" w:val="clear"/>
            <w:vAlign w:val="center"/>
          </w:tcPr>
          <w:p>
            <w:pPr>
              <w:pStyle w:val="TableContents"/>
              <w:spacing w:before="0" w:after="0"/>
              <w:ind w:left="0" w:right="0" w:hanging="0"/>
              <w:rPr>
                <w:rFonts w:ascii="Times New Roman" w:hAnsi="Times New Roman"/>
                <w:b/>
                <w:i/>
                <w:sz w:val="20"/>
              </w:rPr>
            </w:pPr>
            <w:r>
              <w:rPr>
                <w:rFonts w:ascii="Times New Roman" w:hAnsi="Times New Roman"/>
                <w:b/>
                <w:i/>
                <w:sz w:val="20"/>
              </w:rPr>
              <w:t>Accrued Clinical Trial and Manufacturing Activities</w:t>
            </w:r>
          </w:p>
          <w:p>
            <w:pPr>
              <w:pStyle w:val="TableContents"/>
              <w:spacing w:before="0" w:after="0"/>
              <w:ind w:left="0" w:right="0" w:hanging="0"/>
              <w:rPr/>
            </w:pPr>
            <w:r>
              <w:rPr/>
              <w:t> </w:t>
            </w:r>
          </w:p>
        </w:tc>
      </w:tr>
      <w:tr>
        <w:trPr/>
        <w:tc>
          <w:tcPr>
            <w:tcW w:w="1057"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Description of the </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Matter</w:t>
            </w:r>
          </w:p>
        </w:tc>
        <w:tc>
          <w:tcPr>
            <w:tcW w:w="914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Note 1 to the consolidated financial statements, the Company has recorded $72.7 million of accrued expenses which includes costs for clinical trial and manufacturing activities (together, clinical related activities) based upon estimates of expenses incurred through the balance sheet date that have yet to be invoiced by the contract research organizations (CROs), clinical study sites, contract manufacturing organizations, or other vendors (together, clinical vendors). This accrual process involves identifying services that have been performed and estimating the level of service performed and the associated cost when the Company has not yet been invoiced or otherwise notified of actual cost.</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the Company’s accruals for costs associated with in-process clinical related activities may include judgment because the timing and pattern of vendor invoicing may not correspond to the level of services provided and the estimate can incorporate significant assumptions such as expected patient enrollment, site activation, and estimated project duration.</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963"/>
        <w:gridCol w:w="9242"/>
      </w:tblGrid>
      <w:tr>
        <w:trPr/>
        <w:tc>
          <w:tcPr>
            <w:tcW w:w="963"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How We Addressed </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Matter in Our</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Audit</w:t>
            </w:r>
          </w:p>
        </w:tc>
        <w:tc>
          <w:tcPr>
            <w:tcW w:w="924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obtained an understanding, evaluated the design and tested the operating effectiveness of internal controls that addressed the information used in and the identified risks related to the Company’s process for recording accrued costs for clinical related activities.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evaluate the accrual for clinical related expenses, our audit procedures included, among others, inspecting the Company’s contracts with clinical vendors (including pending change orders), testing the completeness and accuracy of the underlying data used in the estimate of the level of service provided including evaluating the significant assumptions as discussed above for the applicable in process contracts with clinical vendors. To assess the significant assumptions, we corroborated the progress of clinical related activities through inquiry with the Company’s clinical team and with information obtained directly from third party clinical vendors, as well as tested invoices received from clinical vendors subsequent to the balance sheet date.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033"/>
        <w:gridCol w:w="9172"/>
      </w:tblGrid>
      <w:tr>
        <w:trPr/>
        <w:tc>
          <w:tcPr>
            <w:tcW w:w="1033" w:type="dxa"/>
            <w:tcBorders/>
            <w:shd w:fill="auto" w:val="clear"/>
            <w:vAlign w:val="center"/>
          </w:tcPr>
          <w:p>
            <w:pPr>
              <w:pStyle w:val="TableContents"/>
              <w:spacing w:before="0" w:after="283"/>
              <w:rPr/>
            </w:pPr>
            <w:r>
              <w:rPr/>
              <w:t> </w:t>
            </w:r>
          </w:p>
        </w:tc>
        <w:tc>
          <w:tcPr>
            <w:tcW w:w="9172" w:type="dxa"/>
            <w:tcBorders/>
            <w:shd w:fill="auto" w:val="clear"/>
            <w:vAlign w:val="center"/>
          </w:tcPr>
          <w:p>
            <w:pPr>
              <w:pStyle w:val="TableContents"/>
              <w:spacing w:before="0" w:after="0"/>
              <w:ind w:left="0" w:right="0" w:hanging="0"/>
              <w:rPr>
                <w:rFonts w:ascii="Times New Roman" w:hAnsi="Times New Roman"/>
                <w:b/>
                <w:i/>
                <w:sz w:val="20"/>
              </w:rPr>
            </w:pPr>
            <w:r>
              <w:rPr>
                <w:rFonts w:ascii="Times New Roman" w:hAnsi="Times New Roman"/>
                <w:b/>
                <w:i/>
                <w:sz w:val="20"/>
              </w:rPr>
              <w:t>Royalty Financing Obligations</w:t>
            </w:r>
          </w:p>
          <w:p>
            <w:pPr>
              <w:pStyle w:val="TableContents"/>
              <w:spacing w:before="0" w:after="0"/>
              <w:ind w:left="0" w:right="0" w:hanging="0"/>
              <w:rPr/>
            </w:pPr>
            <w:r>
              <w:rPr/>
              <w:t> </w:t>
            </w:r>
          </w:p>
        </w:tc>
      </w:tr>
      <w:tr>
        <w:trPr/>
        <w:tc>
          <w:tcPr>
            <w:tcW w:w="1033"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Description of the </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Matter</w:t>
            </w:r>
          </w:p>
        </w:tc>
        <w:tc>
          <w:tcPr>
            <w:tcW w:w="917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in Note 8 to the consolidated financial statements, the Company entered into Royalty Purchase Agreements (“RPA’s”) with third parties. Pursuant to the RPA’s, the Company received proceeds of approximately $425 million in exchange for the right to receive royalty payments based on future net revenues of the Company’s drug, Orladeyo, and the drug candidates within the BCRX 9930 program.</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the RPA’s as non-current liability instruments (royalty financing obligations) on the balance sheet at their carrying value of $449.4 million as of December 31, 2021 and imputed interest expense associated with these liabilities using the effective interest rate method. The effective interest rate is calculated based on the rate that would enable the liability to be repaid in full over the anticipated life of the arrangement. The interest rate on this liability may vary during the term of the agreement depending on a number of factors, including the level and timing of forecasted net revenues which affects the repayment timing and ultimate amount of repayment. In order to amortize the royalty financing obligations, the Company utilizes the prospective method to estimate the future royalties to be paid by the Company to the third parties over the life of the arrangements. Under the prospective method, a new effective interest rate is determined based on the revised estimate of remaining cash flows. The Company periodically assesses the amount and timing of expected royalty payments using a combination of internal projections and forecasts from external sources.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the royalty financing obligations was complex and highly judgmental due to the estimation uncertainty in determining the effective interest rate. The Company’s effective interest rate models includes actual revenues recorded and royalties paid to-date, as well as revenue projections for which future royalties will be paid, which are sensitive to significant assumptions (including population, penetration, probability of success, and sales price, among others) that are affected by expectations about future market conditions.</w:t>
            </w:r>
          </w:p>
          <w:p>
            <w:pPr>
              <w:pStyle w:val="TableContents"/>
              <w:spacing w:before="0" w:after="0"/>
              <w:ind w:left="0" w:right="0" w:hanging="0"/>
              <w:jc w:val="both"/>
              <w:rPr>
                <w:caps w:val="false"/>
                <w:smallCaps w:val="false"/>
              </w:rPr>
            </w:pPr>
            <w:r>
              <w:rPr>
                <w:caps w:val="false"/>
                <w:smallCaps w:val="false"/>
              </w:rPr>
              <w:t> </w:t>
            </w:r>
          </w:p>
        </w:tc>
      </w:tr>
      <w:tr>
        <w:trPr/>
        <w:tc>
          <w:tcPr>
            <w:tcW w:w="1033"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How We Addressed </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Matter in Our</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Audit</w:t>
            </w:r>
          </w:p>
        </w:tc>
        <w:tc>
          <w:tcPr>
            <w:tcW w:w="917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obtained an understanding, evaluated the design and tested the operating effectiveness of controls over the Company’s processes to account for the royalty financing obligations, including controls over management’s review of the revenue projections within the models.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evaluate the royalty financing obligations, our audit procedures included, among others, assessing the underlying data and assumptions used by the Company in its effective interest rate models. We compared the significant assumptions in the revenue projections to current industry, market and economic trends. We recalculated the current year interest expense based on the amortization schedules and estimates of royalties using the effective interest method, and performed sensitivity analyses to evaluate the changes in the effective interest rates, and associated interest expense, that would result from changes in the assumptions.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64"/>
        <w:gridCol w:w="9141"/>
      </w:tblGrid>
      <w:tr>
        <w:trPr/>
        <w:tc>
          <w:tcPr>
            <w:tcW w:w="1064" w:type="dxa"/>
            <w:tcBorders/>
            <w:shd w:fill="auto" w:val="clear"/>
            <w:vAlign w:val="center"/>
          </w:tcPr>
          <w:p>
            <w:pPr>
              <w:pStyle w:val="TableContents"/>
              <w:spacing w:before="0" w:after="283"/>
              <w:rPr/>
            </w:pPr>
            <w:r>
              <w:rPr/>
              <w:t> </w:t>
            </w:r>
          </w:p>
        </w:tc>
        <w:tc>
          <w:tcPr>
            <w:tcW w:w="9141" w:type="dxa"/>
            <w:tcBorders/>
            <w:shd w:fill="auto" w:val="clear"/>
            <w:vAlign w:val="center"/>
          </w:tcPr>
          <w:p>
            <w:pPr>
              <w:pStyle w:val="TableContents"/>
              <w:spacing w:before="0" w:after="0"/>
              <w:ind w:left="0" w:right="0" w:hanging="0"/>
              <w:rPr>
                <w:rFonts w:ascii="Times New Roman" w:hAnsi="Times New Roman"/>
                <w:b/>
                <w:i/>
                <w:sz w:val="20"/>
              </w:rPr>
            </w:pPr>
            <w:r>
              <w:rPr>
                <w:rFonts w:ascii="Times New Roman" w:hAnsi="Times New Roman"/>
                <w:b/>
                <w:i/>
                <w:sz w:val="20"/>
              </w:rPr>
              <w:t>Product Sales, net</w:t>
            </w:r>
          </w:p>
          <w:p>
            <w:pPr>
              <w:pStyle w:val="TableContents"/>
              <w:spacing w:before="0" w:after="0"/>
              <w:ind w:left="0" w:right="0" w:hanging="0"/>
              <w:rPr/>
            </w:pPr>
            <w:r>
              <w:rPr/>
              <w:t> </w:t>
            </w:r>
          </w:p>
        </w:tc>
      </w:tr>
      <w:tr>
        <w:trPr/>
        <w:tc>
          <w:tcPr>
            <w:tcW w:w="1064"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Description of the </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Matter</w:t>
            </w:r>
          </w:p>
        </w:tc>
        <w:tc>
          <w:tcPr>
            <w:tcW w:w="914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Note 1, when recognizing revenue, the Company makes an estimate of the net selling price (transaction price), which includes estimates of variable consideration. For the year ended December 31, 2021, the Company recorded net product sales of $136.4 million. Product sales are recorded net of adjustments for variable consideration including estimated government rebates, managed care rebates, chargebacks, costs of co-payment for assistance programs, and product returns at the time revenue is recorded. Limited historical data is available for use in developing such estimates which are periodically reviewed and adjusted as necessary.</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the Company’s net product sales was complex due to the Company’s limited history of product sales. The Company’s estimates of variable consideration depend on the identification of key customer contract terms and conditions, as well as estimates of sales volumes to different classes of payors. The revenue recognition process can be complex and can involve judgment related to these estimates as well as to identify and assess the terms and conditions of customer agreements and related government regulations that could affect revenue recognition, as the Company’s revenue expands with new customers and new markets.</w:t>
            </w:r>
          </w:p>
          <w:p>
            <w:pPr>
              <w:pStyle w:val="TableContents"/>
              <w:spacing w:before="0" w:after="0"/>
              <w:ind w:left="0" w:right="0" w:hanging="0"/>
              <w:jc w:val="both"/>
              <w:rPr>
                <w:caps w:val="false"/>
                <w:smallCaps w:val="false"/>
              </w:rPr>
            </w:pPr>
            <w:r>
              <w:rPr>
                <w:caps w:val="false"/>
                <w:smallCaps w:val="false"/>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970"/>
        <w:gridCol w:w="9235"/>
      </w:tblGrid>
      <w:tr>
        <w:trPr/>
        <w:tc>
          <w:tcPr>
            <w:tcW w:w="970" w:type="dxa"/>
            <w:tcBorders/>
            <w:shd w:fill="auto" w:val="clear"/>
            <w:vAlign w:val="center"/>
          </w:tcPr>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How We Addressed </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Matter in Our</w:t>
            </w:r>
          </w:p>
          <w:p>
            <w:pPr>
              <w:pStyle w:val="TableContents"/>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Audit</w:t>
            </w:r>
          </w:p>
        </w:tc>
        <w:tc>
          <w:tcPr>
            <w:tcW w:w="923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obtained an understanding, evaluated the design and tested the operating effectiveness of controls over the Company’s process of recording product sales and related rebates, chargebacks and returns. We also tested management’s controls related to the identification and assessment of the terms and conditions of customer agreements and the completeness and accuracy of data utilized in the controls, and the calculations supporting management’s estimates.</w:t>
            </w:r>
          </w:p>
          <w:p>
            <w:pPr>
              <w:pStyle w:val="TableContents"/>
              <w:spacing w:before="0" w:after="0"/>
              <w:ind w:left="0" w:right="0" w:hanging="0"/>
              <w:jc w:val="both"/>
              <w:rPr>
                <w:caps w:val="false"/>
                <w:smallCaps w:val="false"/>
              </w:rPr>
            </w:pPr>
            <w:r>
              <w:rPr>
                <w:caps w:val="false"/>
                <w:smallCaps w:val="false"/>
              </w:rPr>
              <w:t> </w:t>
            </w:r>
          </w:p>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test product sales, our audit procedures included, among others, tracing a sample of revenue transactions recognized during the year to source documentation. We also confirmed a sample of outstanding receivable balances directly with the Company’s customers. To test management’s estimates of variable consideration, we obtained management’s calculations for the respective estimates and performed one or more of the following procedures: tested management’s estimation process to assess whether the recorded reserve balances are within a reasonable range of estimate, performed retrospective reviews, assessed subsequent events, and tested a sample of credits issued throughout the year.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served as the Company’s auditor since 1993.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Raleigh, North Carolina</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February 28,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21" w:name="report2"/>
      <w:bookmarkEnd w:id="21"/>
      <w:r>
        <w:rPr>
          <w:rFonts w:ascii="Times New Roman" w:hAnsi="Times New Roman"/>
          <w:b/>
          <w:caps w:val="false"/>
          <w:smallCaps w:val="false"/>
          <w:sz w:val="20"/>
        </w:rPr>
        <w:t>Report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 the Shareholders and Board of Directors of BioCryst Pharmaceuticals,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have audited BioCryst Pharmaceuticals Inc.’s internal control over financial reporting as of December 31, 2021, based on criteria established in Internal Control—Integrated Framework issued by the Committee of Sponsoring Organizations of the Treadway Commission (2013 framework) (the COSO criteria). In our opinion, BioCryst Pharmaceuticals Inc. (the Company) maintained, in all material respects, effective internal control over financial reporting as of December 31, 2021, based on the COSO criteria.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balance sheets of BioCryst Pharmaceuticals, Inc. as of December 31, 2021 and 2020, the related consolidated statements of comprehensive income, shareholders’ equity (deficit) and cash flows for each of the three years in the period ended December 31, 2021, and the related notes and our report dated February 28, 2022 expressed an unqualified opinion thereon.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Raleigh, North Carolina</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February 28,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1080" w:right="0" w:hanging="1080"/>
        <w:rPr>
          <w:rFonts w:ascii="Times New Roman" w:hAnsi="Times New Roman"/>
          <w:caps w:val="false"/>
          <w:smallCaps w:val="false"/>
          <w:sz w:val="20"/>
        </w:rPr>
      </w:pPr>
      <w:bookmarkStart w:id="22" w:name="i9"/>
      <w:bookmarkEnd w:id="22"/>
      <w:r>
        <w:rPr>
          <w:rFonts w:ascii="Times New Roman" w:hAnsi="Times New Roman"/>
          <w:b/>
          <w:caps w:val="false"/>
          <w:smallCaps w:val="false"/>
          <w:sz w:val="20"/>
        </w:rPr>
        <w:t>ITEM 9.</w:t>
      </w:r>
      <w:r>
        <w:rPr>
          <w:rFonts w:ascii="Times New Roman" w:hAnsi="Times New Roman"/>
          <w:caps w:val="false"/>
          <w:smallCaps w:val="false"/>
          <w:sz w:val="20"/>
        </w:rPr>
        <w:t>         </w:t>
      </w:r>
      <w:r>
        <w:rPr>
          <w:rFonts w:ascii="Times New Roman" w:hAnsi="Times New Roman"/>
          <w:b/>
          <w:i/>
          <w:caps w:val="false"/>
          <w:smallCaps w:val="false"/>
          <w:sz w:val="20"/>
        </w:rPr>
        <w:t>CHANGES IN AND DISAGREEMENTS WITH ACCOUNTANTS ON ACCOUNTING AND FINANCIAL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58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ITEM 9A.</w:t>
      </w:r>
      <w:r>
        <w:rPr>
          <w:rFonts w:ascii="Times New Roman" w:hAnsi="Times New Roman"/>
          <w:caps w:val="false"/>
          <w:smallCaps w:val="false"/>
          <w:sz w:val="20"/>
        </w:rPr>
        <w:t>         </w:t>
      </w:r>
      <w:r>
        <w:rPr>
          <w:rFonts w:ascii="Times New Roman" w:hAnsi="Times New Roman"/>
          <w:b/>
          <w:i/>
          <w:caps w:val="false"/>
          <w:smallCaps w:val="false"/>
          <w:sz w:val="20"/>
        </w:rPr>
        <w:t>CONTROLS AND PROCEDURES</w:t>
      </w:r>
      <w:bookmarkStart w:id="23" w:name="i9a"/>
      <w:bookmarkEnd w:id="23"/>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 We carried out an evaluation as required by paragraph (b) of Rule 13a-15 or Rule 15d-15 under the Exchange Act, under the supervision and with the participation of management, including our Chief Executive Officer and Chief Financial Officer, of the effectiveness of the design and operation of our disclosure controls and procedures (as defined in Rule 13a-15(e) or Rule 15d-15(e) under the Exchange Act). Based on that evaluation, our Chief Executive Officer and Chief Financial Officer concluded that, as of December 31, 2021, our disclosure controls and procedures are effective.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Report on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and for the assessment of the effectiveness of internal control over financial reporting. As defined in Rule 13a-15(f) or Rule 15d-15(f) under the Exchange Act,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GAAP. Internal control over financial reporting includes policies and procedures that (1) pertain to the maintenance of records that, in reasonable detail, accurately and fairly reflect our transactions and the dispositions of our assets; (2) provide reasonable assurance that transactions are recorded as necessary to permit preparation of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connection with the preparation of our annual financial statements, management has undertaken an assessment of the effectiveness of our internal control over financial reporting as of December 31, 2021, based on criteria established in Internal Control — Integrated Framework issued by the Committee of Sponsoring Organizations of the Treadway Commission (2013 Framework) (the COSO Framework). Management’s assessment included an evaluation of the design of our internal control over financial reporting and testing of the operational effectiveness of those controls.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Based on this assessment, management has concluded that, as of December 31, 2021, our internal control over financial reporting was effective. Management believes our internal control over financial reporting will provide reasonable assurance regarding the reliability of financial reporting and the preparation of financial statements for external purposes in accordance with U.S.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Ernst &amp; Young LLP, the independent registered public accounting firm that audited our financial statements included in this report, has issued an attestation report on the Company’s internal control over financial reporting, a copy of which appears on page 86 of this annual report.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that occurred during the quarter ended December 31, 2021 that have materially affected, or are reasonably likely to materially affect, our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4" w:name="i9b"/>
      <w:bookmarkEnd w:id="24"/>
      <w:r>
        <w:rPr>
          <w:rFonts w:ascii="Times New Roman" w:hAnsi="Times New Roman"/>
          <w:b/>
          <w:caps w:val="false"/>
          <w:smallCaps w:val="false"/>
          <w:sz w:val="20"/>
        </w:rPr>
        <w:t>ITEM 9B.</w:t>
      </w:r>
      <w:r>
        <w:rPr>
          <w:rFonts w:ascii="Times New Roman" w:hAnsi="Times New Roman"/>
          <w:caps w:val="false"/>
          <w:smallCaps w:val="false"/>
          <w:sz w:val="20"/>
        </w:rPr>
        <w:t>         </w:t>
      </w:r>
      <w:r>
        <w:rPr>
          <w:rFonts w:ascii="Times New Roman" w:hAnsi="Times New Roman"/>
          <w:b/>
          <w:i/>
          <w:caps w:val="false"/>
          <w:smallCaps w:val="false"/>
          <w:sz w:val="20"/>
        </w:rPr>
        <w:t>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58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87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bookmarkStart w:id="25" w:name="i9c"/>
      <w:bookmarkEnd w:id="25"/>
      <w:r>
        <w:rPr>
          <w:rFonts w:ascii="Times New Roman" w:hAnsi="Times New Roman"/>
          <w:b/>
          <w:caps w:val="false"/>
          <w:smallCaps w:val="false"/>
          <w:sz w:val="20"/>
        </w:rPr>
        <w:t>ITEM 9C.</w:t>
      </w:r>
      <w:r>
        <w:rPr>
          <w:rFonts w:ascii="Times New Roman" w:hAnsi="Times New Roman"/>
          <w:caps w:val="false"/>
          <w:smallCaps w:val="false"/>
          <w:sz w:val="20"/>
        </w:rPr>
        <w:t>         </w:t>
      </w:r>
      <w:r>
        <w:rPr>
          <w:rFonts w:ascii="Times New Roman" w:hAnsi="Times New Roman"/>
          <w:b/>
          <w:i/>
          <w:caps w:val="false"/>
          <w:smallCaps w:val="false"/>
          <w:sz w:val="20"/>
        </w:rPr>
        <w:t>DISCLOSURE REGARDING FOREIGN JURISDICTIONS THAT PREVENT INSPECTIONS</w:t>
      </w:r>
    </w:p>
    <w:p>
      <w:pPr>
        <w:pStyle w:val="TextBody"/>
        <w:spacing w:before="0" w:after="0"/>
        <w:ind w:left="0" w:right="0" w:hanging="0"/>
        <w:rPr>
          <w:caps w:val="false"/>
          <w:smallCaps w:val="false"/>
        </w:rPr>
      </w:pPr>
      <w:r>
        <w:rPr>
          <w:caps w:val="false"/>
          <w:smallCaps w:val="false"/>
        </w:rPr>
        <w:t> </w:t>
      </w:r>
    </w:p>
    <w:p>
      <w:pPr>
        <w:pStyle w:val="TextBody"/>
        <w:spacing w:before="0" w:after="0"/>
        <w:ind w:left="580" w:right="0" w:hanging="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6" w:name="i10"/>
      <w:bookmarkEnd w:id="26"/>
      <w:r>
        <w:rPr>
          <w:rFonts w:ascii="Times New Roman" w:hAnsi="Times New Roman"/>
          <w:b/>
          <w:caps w:val="false"/>
          <w:smallCaps w:val="false"/>
          <w:sz w:val="20"/>
        </w:rPr>
        <w:t>ITEM 10.</w:t>
      </w:r>
      <w:r>
        <w:rPr>
          <w:rFonts w:ascii="Times New Roman" w:hAnsi="Times New Roman"/>
          <w:caps w:val="false"/>
          <w:smallCaps w:val="false"/>
          <w:sz w:val="20"/>
        </w:rPr>
        <w:t>         </w:t>
      </w:r>
      <w:r>
        <w:rPr>
          <w:rFonts w:ascii="Times New Roman" w:hAnsi="Times New Roman"/>
          <w:b/>
          <w:i/>
          <w:caps w:val="false"/>
          <w:smallCaps w:val="false"/>
          <w:sz w:val="20"/>
        </w:rPr>
        <w:t>DIRECTORS, EXECUTIVE OFFICERS AND CORPORATE GOVERNANCE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information required by this item is set forth under the captions “</w:t>
      </w:r>
      <w:r>
        <w:rPr>
          <w:rFonts w:ascii="Times New Roman" w:hAnsi="Times New Roman"/>
          <w:i/>
          <w:caps w:val="false"/>
          <w:smallCaps w:val="false"/>
          <w:sz w:val="20"/>
        </w:rPr>
        <w:t xml:space="preserve">Items to be Voted upon </w:t>
      </w:r>
      <w:r>
        <w:rPr>
          <w:rFonts w:ascii="Times New Roman" w:hAnsi="Times New Roman"/>
          <w:caps w:val="false"/>
          <w:smallCaps w:val="false"/>
          <w:sz w:val="20"/>
        </w:rPr>
        <w:t xml:space="preserve">— </w:t>
      </w:r>
      <w:r>
        <w:rPr>
          <w:rFonts w:ascii="Times New Roman" w:hAnsi="Times New Roman"/>
          <w:i/>
          <w:caps w:val="false"/>
          <w:smallCaps w:val="false"/>
          <w:sz w:val="20"/>
        </w:rPr>
        <w:t>1. Election of Directors,</w:t>
      </w:r>
      <w:r>
        <w:rPr>
          <w:rFonts w:ascii="Times New Roman" w:hAnsi="Times New Roman"/>
          <w:caps w:val="false"/>
          <w:smallCaps w:val="false"/>
          <w:sz w:val="20"/>
        </w:rPr>
        <w:t>” “</w:t>
      </w:r>
      <w:r>
        <w:rPr>
          <w:rFonts w:ascii="Times New Roman" w:hAnsi="Times New Roman"/>
          <w:i/>
          <w:caps w:val="false"/>
          <w:smallCaps w:val="false"/>
          <w:sz w:val="20"/>
        </w:rPr>
        <w:t>Executive Officers,</w:t>
      </w:r>
      <w:r>
        <w:rPr>
          <w:rFonts w:ascii="Times New Roman" w:hAnsi="Times New Roman"/>
          <w:caps w:val="false"/>
          <w:smallCaps w:val="false"/>
          <w:sz w:val="20"/>
        </w:rPr>
        <w:t>” and “</w:t>
      </w:r>
      <w:r>
        <w:rPr>
          <w:rFonts w:ascii="Times New Roman" w:hAnsi="Times New Roman"/>
          <w:i/>
          <w:caps w:val="false"/>
          <w:smallCaps w:val="false"/>
          <w:sz w:val="20"/>
        </w:rPr>
        <w:t>Corporate Governance</w:t>
      </w:r>
      <w:r>
        <w:rPr>
          <w:rFonts w:ascii="Times New Roman" w:hAnsi="Times New Roman"/>
          <w:caps w:val="false"/>
          <w:smallCaps w:val="false"/>
          <w:sz w:val="20"/>
        </w:rPr>
        <w:t>” in our definitive Proxy Statement for the 2022 Annual Meeting of Stockholders and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7" w:name="i11"/>
      <w:bookmarkEnd w:id="27"/>
      <w:r>
        <w:rPr>
          <w:rFonts w:ascii="Times New Roman" w:hAnsi="Times New Roman"/>
          <w:b/>
          <w:caps w:val="false"/>
          <w:smallCaps w:val="false"/>
          <w:sz w:val="20"/>
        </w:rPr>
        <w:t>ITEM 11.</w:t>
      </w:r>
      <w:r>
        <w:rPr>
          <w:rFonts w:ascii="Times New Roman" w:hAnsi="Times New Roman"/>
          <w:caps w:val="false"/>
          <w:smallCaps w:val="false"/>
          <w:sz w:val="20"/>
        </w:rPr>
        <w:t>         </w:t>
      </w:r>
      <w:r>
        <w:rPr>
          <w:rFonts w:ascii="Times New Roman" w:hAnsi="Times New Roman"/>
          <w:b/>
          <w:i/>
          <w:caps w:val="false"/>
          <w:smallCaps w:val="false"/>
          <w:sz w:val="20"/>
        </w:rPr>
        <w:t>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information required by this item is set forth under the captions “</w:t>
      </w:r>
      <w:r>
        <w:rPr>
          <w:rFonts w:ascii="Times New Roman" w:hAnsi="Times New Roman"/>
          <w:i/>
          <w:caps w:val="false"/>
          <w:smallCaps w:val="false"/>
          <w:sz w:val="20"/>
        </w:rPr>
        <w:t>Compensation Discussion and Analysis,</w:t>
      </w:r>
      <w:r>
        <w:rPr>
          <w:rFonts w:ascii="Times New Roman" w:hAnsi="Times New Roman"/>
          <w:caps w:val="false"/>
          <w:smallCaps w:val="false"/>
          <w:sz w:val="20"/>
        </w:rPr>
        <w:t>” “</w:t>
      </w:r>
      <w:r>
        <w:rPr>
          <w:rFonts w:ascii="Times New Roman" w:hAnsi="Times New Roman"/>
          <w:i/>
          <w:caps w:val="false"/>
          <w:smallCaps w:val="false"/>
          <w:sz w:val="20"/>
        </w:rPr>
        <w:t>Summary Compensation Table,</w:t>
      </w:r>
      <w:r>
        <w:rPr>
          <w:rFonts w:ascii="Times New Roman" w:hAnsi="Times New Roman"/>
          <w:caps w:val="false"/>
          <w:smallCaps w:val="false"/>
          <w:sz w:val="20"/>
        </w:rPr>
        <w:t>” “</w:t>
      </w:r>
      <w:r>
        <w:rPr>
          <w:rFonts w:ascii="Times New Roman" w:hAnsi="Times New Roman"/>
          <w:i/>
          <w:caps w:val="false"/>
          <w:smallCaps w:val="false"/>
          <w:sz w:val="20"/>
        </w:rPr>
        <w:t>Grants of Plan-Based Awards in 2021,</w:t>
      </w:r>
      <w:r>
        <w:rPr>
          <w:rFonts w:ascii="Times New Roman" w:hAnsi="Times New Roman"/>
          <w:caps w:val="false"/>
          <w:smallCaps w:val="false"/>
          <w:sz w:val="20"/>
        </w:rPr>
        <w:t>” “</w:t>
      </w:r>
      <w:r>
        <w:rPr>
          <w:rFonts w:ascii="Times New Roman" w:hAnsi="Times New Roman"/>
          <w:i/>
          <w:caps w:val="false"/>
          <w:smallCaps w:val="false"/>
          <w:sz w:val="20"/>
        </w:rPr>
        <w:t>Outstanding Equity Awards at December 31, 2021,</w:t>
      </w:r>
      <w:r>
        <w:rPr>
          <w:rFonts w:ascii="Times New Roman" w:hAnsi="Times New Roman"/>
          <w:caps w:val="false"/>
          <w:smallCaps w:val="false"/>
          <w:sz w:val="20"/>
        </w:rPr>
        <w:t>” “</w:t>
      </w:r>
      <w:r>
        <w:rPr>
          <w:rFonts w:ascii="Times New Roman" w:hAnsi="Times New Roman"/>
          <w:i/>
          <w:caps w:val="false"/>
          <w:smallCaps w:val="false"/>
          <w:sz w:val="20"/>
        </w:rPr>
        <w:t>2021 Option Exercises and Stock Vested,</w:t>
      </w:r>
      <w:r>
        <w:rPr>
          <w:rFonts w:ascii="Times New Roman" w:hAnsi="Times New Roman"/>
          <w:caps w:val="false"/>
          <w:smallCaps w:val="false"/>
          <w:sz w:val="20"/>
        </w:rPr>
        <w:t>” “</w:t>
      </w:r>
      <w:r>
        <w:rPr>
          <w:rFonts w:ascii="Times New Roman" w:hAnsi="Times New Roman"/>
          <w:i/>
          <w:caps w:val="false"/>
          <w:smallCaps w:val="false"/>
          <w:sz w:val="20"/>
        </w:rPr>
        <w:t>Potential Payments Upon Termination or Change in Control,</w:t>
      </w:r>
      <w:r>
        <w:rPr>
          <w:rFonts w:ascii="Times New Roman" w:hAnsi="Times New Roman"/>
          <w:caps w:val="false"/>
          <w:smallCaps w:val="false"/>
          <w:sz w:val="20"/>
        </w:rPr>
        <w:t>” “</w:t>
      </w:r>
      <w:r>
        <w:rPr>
          <w:rFonts w:ascii="Times New Roman" w:hAnsi="Times New Roman"/>
          <w:i/>
          <w:caps w:val="false"/>
          <w:smallCaps w:val="false"/>
          <w:sz w:val="20"/>
        </w:rPr>
        <w:t>2021 Director Compensation,</w:t>
      </w:r>
      <w:r>
        <w:rPr>
          <w:rFonts w:ascii="Times New Roman" w:hAnsi="Times New Roman"/>
          <w:caps w:val="false"/>
          <w:smallCaps w:val="false"/>
          <w:sz w:val="20"/>
        </w:rPr>
        <w:t>” “</w:t>
      </w:r>
      <w:r>
        <w:rPr>
          <w:rFonts w:ascii="Times New Roman" w:hAnsi="Times New Roman"/>
          <w:i/>
          <w:caps w:val="false"/>
          <w:smallCaps w:val="false"/>
          <w:sz w:val="20"/>
        </w:rPr>
        <w:t>Compensation Committee Interlocks and Insider Participation,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Compensation Committee Report</w:t>
      </w:r>
      <w:r>
        <w:rPr>
          <w:rFonts w:ascii="Times New Roman" w:hAnsi="Times New Roman"/>
          <w:caps w:val="false"/>
          <w:smallCaps w:val="false"/>
          <w:sz w:val="20"/>
        </w:rPr>
        <w:t>” in our definitive Proxy Statement for the 2022 Annual Meeting of Stockholders and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1140" w:right="0" w:hanging="1140"/>
        <w:rPr>
          <w:rFonts w:ascii="Times New Roman" w:hAnsi="Times New Roman"/>
          <w:caps w:val="false"/>
          <w:smallCaps w:val="false"/>
          <w:sz w:val="20"/>
        </w:rPr>
      </w:pPr>
      <w:bookmarkStart w:id="28" w:name="i12"/>
      <w:bookmarkEnd w:id="28"/>
      <w:r>
        <w:rPr>
          <w:rFonts w:ascii="Times New Roman" w:hAnsi="Times New Roman"/>
          <w:b/>
          <w:caps w:val="false"/>
          <w:smallCaps w:val="false"/>
          <w:sz w:val="20"/>
        </w:rPr>
        <w:t>ITEM 12.</w:t>
      </w:r>
      <w:r>
        <w:rPr>
          <w:rFonts w:ascii="Times New Roman" w:hAnsi="Times New Roman"/>
          <w:caps w:val="false"/>
          <w:smallCaps w:val="false"/>
          <w:sz w:val="20"/>
        </w:rPr>
        <w:t>         </w:t>
      </w:r>
      <w:r>
        <w:rPr>
          <w:rFonts w:ascii="Times New Roman" w:hAnsi="Times New Roman"/>
          <w:b/>
          <w:i/>
          <w:caps w:val="false"/>
          <w:smallCaps w:val="false"/>
          <w:sz w:val="20"/>
        </w:rPr>
        <w:t>SECURITY OWNERSHIP OF CERTAIN BENEFICIAL OWNERS AND MANAGEMENT AND RELATED STOCKHOLDER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information required by this item is set forth under the captions “</w:t>
      </w:r>
      <w:r>
        <w:rPr>
          <w:rFonts w:ascii="Times New Roman" w:hAnsi="Times New Roman"/>
          <w:i/>
          <w:caps w:val="false"/>
          <w:smallCaps w:val="false"/>
          <w:sz w:val="20"/>
        </w:rPr>
        <w:t>Equity Compensation Plan Information</w:t>
      </w:r>
      <w:r>
        <w:rPr>
          <w:rFonts w:ascii="Times New Roman" w:hAnsi="Times New Roman"/>
          <w:caps w:val="false"/>
          <w:smallCaps w:val="false"/>
          <w:sz w:val="20"/>
        </w:rPr>
        <w:t>” and “</w:t>
      </w:r>
      <w:r>
        <w:rPr>
          <w:rFonts w:ascii="Times New Roman" w:hAnsi="Times New Roman"/>
          <w:i/>
          <w:caps w:val="false"/>
          <w:smallCaps w:val="false"/>
          <w:sz w:val="20"/>
        </w:rPr>
        <w:t>Security Ownership of Certain</w:t>
      </w:r>
      <w:r>
        <w:rPr>
          <w:rFonts w:ascii="Times New Roman" w:hAnsi="Times New Roman"/>
          <w:caps w:val="false"/>
          <w:smallCaps w:val="false"/>
          <w:sz w:val="20"/>
        </w:rPr>
        <w:t xml:space="preserve"> </w:t>
      </w:r>
      <w:r>
        <w:rPr>
          <w:rFonts w:ascii="Times New Roman" w:hAnsi="Times New Roman"/>
          <w:i/>
          <w:caps w:val="false"/>
          <w:smallCaps w:val="false"/>
          <w:sz w:val="20"/>
        </w:rPr>
        <w:t>Beneficial Owners and Management</w:t>
      </w:r>
      <w:r>
        <w:rPr>
          <w:rFonts w:ascii="Times New Roman" w:hAnsi="Times New Roman"/>
          <w:caps w:val="false"/>
          <w:smallCaps w:val="false"/>
          <w:sz w:val="20"/>
        </w:rPr>
        <w:t>” in our definitive Proxy Statement for the 2022 Annual Meeting of Stockholders and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29" w:name="i13"/>
      <w:bookmarkEnd w:id="29"/>
      <w:r>
        <w:rPr>
          <w:rFonts w:ascii="Times New Roman" w:hAnsi="Times New Roman"/>
          <w:b/>
          <w:caps w:val="false"/>
          <w:smallCaps w:val="false"/>
          <w:sz w:val="20"/>
        </w:rPr>
        <w:t>ITEM 13.</w:t>
      </w:r>
      <w:r>
        <w:rPr>
          <w:rFonts w:ascii="Times New Roman" w:hAnsi="Times New Roman"/>
          <w:caps w:val="false"/>
          <w:smallCaps w:val="false"/>
          <w:sz w:val="20"/>
        </w:rPr>
        <w:t>         </w:t>
      </w:r>
      <w:r>
        <w:rPr>
          <w:rFonts w:ascii="Times New Roman" w:hAnsi="Times New Roman"/>
          <w:b/>
          <w:i/>
          <w:caps w:val="false"/>
          <w:smallCaps w:val="false"/>
          <w:sz w:val="20"/>
        </w:rPr>
        <w:t>CERTAIN RELATIONSHIPS AND RELATED TRANSACTIONS, AND DIRECTOR INDEPENDENCE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information required by this item is set forth under the captions “</w:t>
      </w:r>
      <w:r>
        <w:rPr>
          <w:rFonts w:ascii="Times New Roman" w:hAnsi="Times New Roman"/>
          <w:i/>
          <w:caps w:val="false"/>
          <w:smallCaps w:val="false"/>
          <w:sz w:val="20"/>
        </w:rPr>
        <w:t>Certain Relationships and Related Transactions</w:t>
      </w:r>
      <w:r>
        <w:rPr>
          <w:rFonts w:ascii="Times New Roman" w:hAnsi="Times New Roman"/>
          <w:caps w:val="false"/>
          <w:smallCaps w:val="false"/>
          <w:sz w:val="20"/>
        </w:rPr>
        <w:t>” and “</w:t>
      </w:r>
      <w:r>
        <w:rPr>
          <w:rFonts w:ascii="Times New Roman" w:hAnsi="Times New Roman"/>
          <w:i/>
          <w:caps w:val="false"/>
          <w:smallCaps w:val="false"/>
          <w:sz w:val="20"/>
        </w:rPr>
        <w:t>Corporate</w:t>
      </w:r>
      <w:r>
        <w:rPr>
          <w:rFonts w:ascii="Times New Roman" w:hAnsi="Times New Roman"/>
          <w:caps w:val="false"/>
          <w:smallCaps w:val="false"/>
          <w:sz w:val="20"/>
        </w:rPr>
        <w:t xml:space="preserve"> </w:t>
      </w:r>
      <w:r>
        <w:rPr>
          <w:rFonts w:ascii="Times New Roman" w:hAnsi="Times New Roman"/>
          <w:i/>
          <w:caps w:val="false"/>
          <w:smallCaps w:val="false"/>
          <w:sz w:val="20"/>
        </w:rPr>
        <w:t>Governance</w:t>
      </w:r>
      <w:r>
        <w:rPr>
          <w:rFonts w:ascii="Times New Roman" w:hAnsi="Times New Roman"/>
          <w:caps w:val="false"/>
          <w:smallCaps w:val="false"/>
          <w:sz w:val="20"/>
        </w:rPr>
        <w:t>” in our definitive Proxy Statement for the 2022 Annual Meeting of Stockholders and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30" w:name="i14"/>
      <w:bookmarkEnd w:id="30"/>
      <w:r>
        <w:rPr>
          <w:rFonts w:ascii="Times New Roman" w:hAnsi="Times New Roman"/>
          <w:b/>
          <w:caps w:val="false"/>
          <w:smallCaps w:val="false"/>
          <w:sz w:val="20"/>
        </w:rPr>
        <w:t>ITEM 14.</w:t>
      </w:r>
      <w:r>
        <w:rPr>
          <w:rFonts w:ascii="Times New Roman" w:hAnsi="Times New Roman"/>
          <w:caps w:val="false"/>
          <w:smallCaps w:val="false"/>
          <w:sz w:val="20"/>
        </w:rPr>
        <w:t>         </w:t>
      </w:r>
      <w:r>
        <w:rPr>
          <w:rFonts w:ascii="Times New Roman" w:hAnsi="Times New Roman"/>
          <w:b/>
          <w:i/>
          <w:caps w:val="false"/>
          <w:smallCaps w:val="false"/>
          <w:sz w:val="20"/>
        </w:rPr>
        <w:t>PRINCIPAL ACCOUNTING FEES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Our independent registered public accounting firm is Ernst &amp; Young LLP, Raleigh, NC, Auditor Firm ID:  42.</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information required by this item is set forth under the caption “</w:t>
      </w:r>
      <w:r>
        <w:rPr>
          <w:rFonts w:ascii="Times New Roman" w:hAnsi="Times New Roman"/>
          <w:i/>
          <w:caps w:val="false"/>
          <w:smallCaps w:val="false"/>
          <w:sz w:val="20"/>
        </w:rPr>
        <w:t xml:space="preserve">Items to be Voted upon </w:t>
      </w:r>
      <w:r>
        <w:rPr>
          <w:rFonts w:ascii="Times New Roman" w:hAnsi="Times New Roman"/>
          <w:caps w:val="false"/>
          <w:smallCaps w:val="false"/>
          <w:sz w:val="20"/>
        </w:rPr>
        <w:t xml:space="preserve">— </w:t>
      </w:r>
      <w:r>
        <w:rPr>
          <w:rFonts w:ascii="Times New Roman" w:hAnsi="Times New Roman"/>
          <w:i/>
          <w:caps w:val="false"/>
          <w:smallCaps w:val="false"/>
          <w:sz w:val="20"/>
        </w:rPr>
        <w:t>2. Ratification of Appointment of Independent</w:t>
      </w:r>
      <w:r>
        <w:rPr>
          <w:rFonts w:ascii="Times New Roman" w:hAnsi="Times New Roman"/>
          <w:caps w:val="false"/>
          <w:smallCaps w:val="false"/>
          <w:sz w:val="20"/>
        </w:rPr>
        <w:t xml:space="preserve"> </w:t>
      </w:r>
      <w:r>
        <w:rPr>
          <w:rFonts w:ascii="Times New Roman" w:hAnsi="Times New Roman"/>
          <w:i/>
          <w:caps w:val="false"/>
          <w:smallCaps w:val="false"/>
          <w:sz w:val="20"/>
        </w:rPr>
        <w:t>Registered Public Accountants</w:t>
      </w:r>
      <w:r>
        <w:rPr>
          <w:rFonts w:ascii="Times New Roman" w:hAnsi="Times New Roman"/>
          <w:caps w:val="false"/>
          <w:smallCaps w:val="false"/>
          <w:sz w:val="20"/>
        </w:rPr>
        <w:t>” in our definitive Proxy Statement for the 2022 Annual Meeting of Stockholders and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IV</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bookmarkStart w:id="31" w:name="i15"/>
      <w:bookmarkEnd w:id="31"/>
      <w:r>
        <w:rPr>
          <w:rFonts w:ascii="Times New Roman" w:hAnsi="Times New Roman"/>
          <w:b/>
          <w:caps w:val="false"/>
          <w:smallCaps w:val="false"/>
          <w:sz w:val="20"/>
        </w:rPr>
        <w:t>ITEM 15.</w:t>
      </w:r>
      <w:r>
        <w:rPr>
          <w:rFonts w:ascii="Times New Roman" w:hAnsi="Times New Roman"/>
          <w:caps w:val="false"/>
          <w:smallCaps w:val="false"/>
          <w:sz w:val="20"/>
        </w:rPr>
        <w:t>         </w:t>
      </w:r>
      <w:r>
        <w:rPr>
          <w:rFonts w:ascii="Times New Roman" w:hAnsi="Times New Roman"/>
          <w:b/>
          <w:i/>
          <w:caps w:val="false"/>
          <w:smallCaps w:val="false"/>
          <w:sz w:val="20"/>
        </w:rPr>
        <w:t>EXHIBITS, FINANCIAL STATEMENT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rPr>
          <w:rFonts w:ascii="Times New Roman" w:hAnsi="Times New Roman"/>
          <w:i/>
          <w:caps w:val="false"/>
          <w:smallCaps w:val="false"/>
          <w:sz w:val="20"/>
        </w:rPr>
      </w:pPr>
      <w:r>
        <w:rPr>
          <w:rFonts w:ascii="Times New Roman" w:hAnsi="Times New Roman"/>
          <w:i/>
          <w:caps w:val="false"/>
          <w:smallCaps w:val="false"/>
          <w:sz w:val="20"/>
        </w:rPr>
        <w:t>(a)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The following financial statements appear in Item 8 of this Form 10-K:</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243"/>
        <w:gridCol w:w="962"/>
      </w:tblGrid>
      <w:tr>
        <w:trPr/>
        <w:tc>
          <w:tcPr>
            <w:tcW w:w="9243" w:type="dxa"/>
            <w:tcBorders/>
            <w:shd w:fill="auto" w:val="clear"/>
            <w:vAlign w:val="center"/>
          </w:tcPr>
          <w:p>
            <w:pPr>
              <w:pStyle w:val="TableContents"/>
              <w:spacing w:before="0" w:after="283"/>
              <w:rPr/>
            </w:pPr>
            <w:r>
              <w:rPr/>
              <w:t> </w:t>
            </w:r>
          </w:p>
        </w:tc>
        <w:tc>
          <w:tcPr>
            <w:tcW w:w="962"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 in</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w:t>
            </w:r>
          </w:p>
        </w:tc>
      </w:tr>
      <w:tr>
        <w:trPr/>
        <w:tc>
          <w:tcPr>
            <w:tcW w:w="9243" w:type="dxa"/>
            <w:tcBorders/>
            <w:shd w:fill="auto" w:val="clear"/>
            <w:vAlign w:val="center"/>
          </w:tcPr>
          <w:p>
            <w:pPr>
              <w:pStyle w:val="TableContents"/>
              <w:spacing w:before="0" w:after="0"/>
              <w:ind w:left="0" w:right="0" w:hanging="0"/>
              <w:rPr/>
            </w:pPr>
            <w:hyperlink w:anchor="bs">
              <w:r>
                <w:rPr>
                  <w:rStyle w:val="InternetLink"/>
                  <w:rFonts w:ascii="Times New Roman" w:hAnsi="Times New Roman"/>
                  <w:caps w:val="false"/>
                  <w:smallCaps w:val="false"/>
                  <w:sz w:val="20"/>
                </w:rPr>
                <w:t>Consolidated Balance Sheets at December 31, 2021 and 2020</w:t>
              </w:r>
            </w:hyperlink>
          </w:p>
        </w:tc>
        <w:tc>
          <w:tcPr>
            <w:tcW w:w="962" w:type="dxa"/>
            <w:tcBorders/>
            <w:shd w:fill="auto" w:val="clear"/>
            <w:vAlign w:val="center"/>
          </w:tcPr>
          <w:p>
            <w:pPr>
              <w:pStyle w:val="TableContents"/>
              <w:spacing w:before="0" w:after="0"/>
              <w:ind w:left="0" w:right="0" w:hanging="0"/>
              <w:jc w:val="center"/>
              <w:rPr/>
            </w:pPr>
            <w:hyperlink w:anchor="bs">
              <w:r>
                <w:rPr>
                  <w:rStyle w:val="InternetLink"/>
                  <w:rFonts w:ascii="Times New Roman" w:hAnsi="Times New Roman"/>
                  <w:caps w:val="false"/>
                  <w:smallCaps w:val="false"/>
                  <w:sz w:val="20"/>
                </w:rPr>
                <w:t>56</w:t>
              </w:r>
            </w:hyperlink>
          </w:p>
        </w:tc>
      </w:tr>
      <w:tr>
        <w:trPr/>
        <w:tc>
          <w:tcPr>
            <w:tcW w:w="9243" w:type="dxa"/>
            <w:tcBorders/>
            <w:shd w:fill="auto" w:val="clear"/>
            <w:vAlign w:val="center"/>
          </w:tcPr>
          <w:p>
            <w:pPr>
              <w:pStyle w:val="TableContents"/>
              <w:spacing w:before="0" w:after="0"/>
              <w:ind w:left="0" w:right="0" w:hanging="0"/>
              <w:rPr/>
            </w:pPr>
            <w:hyperlink w:anchor="cl">
              <w:r>
                <w:rPr>
                  <w:rStyle w:val="InternetLink"/>
                  <w:rFonts w:ascii="Times New Roman" w:hAnsi="Times New Roman"/>
                  <w:caps w:val="false"/>
                  <w:smallCaps w:val="false"/>
                  <w:sz w:val="20"/>
                </w:rPr>
                <w:t>Consolidated Statements of Comprehensive Loss for the years ended December 31, 2021, 2020, and 2019</w:t>
              </w:r>
            </w:hyperlink>
          </w:p>
        </w:tc>
        <w:tc>
          <w:tcPr>
            <w:tcW w:w="962" w:type="dxa"/>
            <w:tcBorders/>
            <w:shd w:fill="auto" w:val="clear"/>
            <w:vAlign w:val="center"/>
          </w:tcPr>
          <w:p>
            <w:pPr>
              <w:pStyle w:val="TableContents"/>
              <w:spacing w:before="0" w:after="0"/>
              <w:ind w:left="0" w:right="0" w:hanging="0"/>
              <w:jc w:val="center"/>
              <w:rPr/>
            </w:pPr>
            <w:hyperlink w:anchor="cl">
              <w:r>
                <w:rPr>
                  <w:rStyle w:val="InternetLink"/>
                  <w:rFonts w:ascii="Times New Roman" w:hAnsi="Times New Roman"/>
                  <w:caps w:val="false"/>
                  <w:smallCaps w:val="false"/>
                  <w:sz w:val="20"/>
                </w:rPr>
                <w:t>57</w:t>
              </w:r>
            </w:hyperlink>
          </w:p>
        </w:tc>
      </w:tr>
      <w:tr>
        <w:trPr/>
        <w:tc>
          <w:tcPr>
            <w:tcW w:w="9243" w:type="dxa"/>
            <w:tcBorders/>
            <w:shd w:fill="auto" w:val="clear"/>
            <w:vAlign w:val="center"/>
          </w:tcPr>
          <w:p>
            <w:pPr>
              <w:pStyle w:val="TableContents"/>
              <w:spacing w:before="0" w:after="0"/>
              <w:ind w:left="0" w:right="0" w:hanging="0"/>
              <w:rPr/>
            </w:pPr>
            <w:hyperlink w:anchor="cf">
              <w:r>
                <w:rPr>
                  <w:rStyle w:val="InternetLink"/>
                  <w:rFonts w:ascii="Times New Roman" w:hAnsi="Times New Roman"/>
                  <w:caps w:val="false"/>
                  <w:smallCaps w:val="false"/>
                  <w:sz w:val="20"/>
                </w:rPr>
                <w:t>Consolidated Statements of Cash Flows for the years ended December 31, 2021, 2020, and 2019</w:t>
              </w:r>
            </w:hyperlink>
          </w:p>
        </w:tc>
        <w:tc>
          <w:tcPr>
            <w:tcW w:w="962" w:type="dxa"/>
            <w:tcBorders/>
            <w:shd w:fill="auto" w:val="clear"/>
            <w:vAlign w:val="center"/>
          </w:tcPr>
          <w:p>
            <w:pPr>
              <w:pStyle w:val="TableContents"/>
              <w:spacing w:before="0" w:after="0"/>
              <w:ind w:left="0" w:right="0" w:hanging="0"/>
              <w:jc w:val="center"/>
              <w:rPr/>
            </w:pPr>
            <w:hyperlink w:anchor="cf">
              <w:r>
                <w:rPr>
                  <w:rStyle w:val="InternetLink"/>
                  <w:rFonts w:ascii="Times New Roman" w:hAnsi="Times New Roman"/>
                  <w:caps w:val="false"/>
                  <w:smallCaps w:val="false"/>
                  <w:sz w:val="20"/>
                </w:rPr>
                <w:t>58</w:t>
              </w:r>
            </w:hyperlink>
          </w:p>
        </w:tc>
      </w:tr>
      <w:tr>
        <w:trPr/>
        <w:tc>
          <w:tcPr>
            <w:tcW w:w="9243" w:type="dxa"/>
            <w:tcBorders/>
            <w:shd w:fill="auto" w:val="clear"/>
            <w:vAlign w:val="center"/>
          </w:tcPr>
          <w:p>
            <w:pPr>
              <w:pStyle w:val="TableContents"/>
              <w:spacing w:before="0" w:after="0"/>
              <w:ind w:left="0" w:right="0" w:hanging="0"/>
              <w:rPr/>
            </w:pPr>
            <w:hyperlink w:anchor="se">
              <w:r>
                <w:rPr>
                  <w:rStyle w:val="InternetLink"/>
                  <w:rFonts w:ascii="Times New Roman" w:hAnsi="Times New Roman"/>
                  <w:caps w:val="false"/>
                  <w:smallCaps w:val="false"/>
                  <w:sz w:val="20"/>
                </w:rPr>
                <w:t>Consolidated Statements of Stockholders’ Equity (Deficit) for the years ended December 31, 2021, 2020, and 2019</w:t>
              </w:r>
            </w:hyperlink>
          </w:p>
        </w:tc>
        <w:tc>
          <w:tcPr>
            <w:tcW w:w="962" w:type="dxa"/>
            <w:tcBorders/>
            <w:shd w:fill="auto" w:val="clear"/>
            <w:vAlign w:val="center"/>
          </w:tcPr>
          <w:p>
            <w:pPr>
              <w:pStyle w:val="TableContents"/>
              <w:spacing w:before="0" w:after="0"/>
              <w:ind w:left="0" w:right="0" w:hanging="0"/>
              <w:jc w:val="center"/>
              <w:rPr/>
            </w:pPr>
            <w:hyperlink w:anchor="se">
              <w:r>
                <w:rPr>
                  <w:rStyle w:val="InternetLink"/>
                  <w:rFonts w:ascii="Times New Roman" w:hAnsi="Times New Roman"/>
                  <w:caps w:val="false"/>
                  <w:smallCaps w:val="false"/>
                  <w:sz w:val="20"/>
                </w:rPr>
                <w:t>59</w:t>
              </w:r>
            </w:hyperlink>
          </w:p>
        </w:tc>
      </w:tr>
      <w:tr>
        <w:trPr/>
        <w:tc>
          <w:tcPr>
            <w:tcW w:w="9243" w:type="dxa"/>
            <w:tcBorders/>
            <w:shd w:fill="auto" w:val="clear"/>
            <w:vAlign w:val="center"/>
          </w:tcPr>
          <w:p>
            <w:pPr>
              <w:pStyle w:val="TableContents"/>
              <w:spacing w:before="0" w:after="0"/>
              <w:ind w:left="0" w:right="0" w:hanging="0"/>
              <w:rPr/>
            </w:pPr>
            <w:hyperlink w:anchor="notes">
              <w:r>
                <w:rPr>
                  <w:rStyle w:val="InternetLink"/>
                  <w:rFonts w:ascii="Times New Roman" w:hAnsi="Times New Roman"/>
                  <w:caps w:val="false"/>
                  <w:smallCaps w:val="false"/>
                  <w:sz w:val="20"/>
                </w:rPr>
                <w:t>Notes to Consolidated Financial Statements</w:t>
              </w:r>
            </w:hyperlink>
          </w:p>
        </w:tc>
        <w:tc>
          <w:tcPr>
            <w:tcW w:w="962" w:type="dxa"/>
            <w:tcBorders/>
            <w:shd w:fill="auto" w:val="clear"/>
            <w:vAlign w:val="center"/>
          </w:tcPr>
          <w:p>
            <w:pPr>
              <w:pStyle w:val="TableContents"/>
              <w:spacing w:before="0" w:after="0"/>
              <w:ind w:left="0" w:right="0" w:hanging="0"/>
              <w:jc w:val="center"/>
              <w:rPr/>
            </w:pPr>
            <w:hyperlink w:anchor="notes">
              <w:r>
                <w:rPr>
                  <w:rStyle w:val="InternetLink"/>
                  <w:rFonts w:ascii="Times New Roman" w:hAnsi="Times New Roman"/>
                  <w:caps w:val="false"/>
                  <w:smallCaps w:val="false"/>
                  <w:sz w:val="20"/>
                </w:rPr>
                <w:t>60</w:t>
              </w:r>
            </w:hyperlink>
          </w:p>
        </w:tc>
      </w:tr>
      <w:tr>
        <w:trPr/>
        <w:tc>
          <w:tcPr>
            <w:tcW w:w="9243" w:type="dxa"/>
            <w:tcBorders/>
            <w:shd w:fill="auto" w:val="clear"/>
            <w:vAlign w:val="center"/>
          </w:tcPr>
          <w:p>
            <w:pPr>
              <w:pStyle w:val="TableContents"/>
              <w:spacing w:before="0" w:after="0"/>
              <w:ind w:left="0" w:right="0" w:hanging="0"/>
              <w:rPr/>
            </w:pPr>
            <w:hyperlink w:anchor="report">
              <w:r>
                <w:rPr>
                  <w:rStyle w:val="InternetLink"/>
                  <w:rFonts w:ascii="Times New Roman" w:hAnsi="Times New Roman"/>
                  <w:caps w:val="false"/>
                  <w:smallCaps w:val="false"/>
                  <w:sz w:val="20"/>
                </w:rPr>
                <w:t>Report of Independent Registered Public Accounting Firm on Consolidated Financial Statements</w:t>
              </w:r>
            </w:hyperlink>
          </w:p>
        </w:tc>
        <w:tc>
          <w:tcPr>
            <w:tcW w:w="962" w:type="dxa"/>
            <w:tcBorders/>
            <w:shd w:fill="auto" w:val="clear"/>
            <w:vAlign w:val="center"/>
          </w:tcPr>
          <w:p>
            <w:pPr>
              <w:pStyle w:val="TableContents"/>
              <w:spacing w:before="0" w:after="0"/>
              <w:ind w:left="0" w:right="0" w:hanging="0"/>
              <w:jc w:val="center"/>
              <w:rPr/>
            </w:pPr>
            <w:hyperlink w:anchor="report">
              <w:r>
                <w:rPr>
                  <w:rStyle w:val="InternetLink"/>
                  <w:rFonts w:ascii="Times New Roman" w:hAnsi="Times New Roman"/>
                  <w:caps w:val="false"/>
                  <w:smallCaps w:val="false"/>
                  <w:sz w:val="20"/>
                </w:rPr>
                <w:t>83</w:t>
              </w:r>
            </w:hyperlink>
          </w:p>
        </w:tc>
      </w:tr>
      <w:tr>
        <w:trPr/>
        <w:tc>
          <w:tcPr>
            <w:tcW w:w="9243" w:type="dxa"/>
            <w:tcBorders/>
            <w:shd w:fill="auto" w:val="clear"/>
            <w:vAlign w:val="center"/>
          </w:tcPr>
          <w:p>
            <w:pPr>
              <w:pStyle w:val="TableContents"/>
              <w:spacing w:before="0" w:after="0"/>
              <w:ind w:left="0" w:right="0" w:hanging="0"/>
              <w:rPr/>
            </w:pPr>
            <w:hyperlink w:anchor="report2">
              <w:r>
                <w:rPr>
                  <w:rStyle w:val="InternetLink"/>
                  <w:rFonts w:ascii="Times New Roman" w:hAnsi="Times New Roman"/>
                  <w:caps w:val="false"/>
                  <w:smallCaps w:val="false"/>
                  <w:sz w:val="20"/>
                </w:rPr>
                <w:t>Report of Independent Registered Public Accounting Firm on Internal Control</w:t>
              </w:r>
            </w:hyperlink>
          </w:p>
        </w:tc>
        <w:tc>
          <w:tcPr>
            <w:tcW w:w="962" w:type="dxa"/>
            <w:tcBorders/>
            <w:shd w:fill="auto" w:val="clear"/>
            <w:vAlign w:val="center"/>
          </w:tcPr>
          <w:p>
            <w:pPr>
              <w:pStyle w:val="TableContents"/>
              <w:spacing w:before="0" w:after="0"/>
              <w:ind w:left="0" w:right="0" w:hanging="0"/>
              <w:jc w:val="center"/>
              <w:rPr/>
            </w:pPr>
            <w:hyperlink w:anchor="report2">
              <w:r>
                <w:rPr>
                  <w:rStyle w:val="InternetLink"/>
                  <w:rFonts w:ascii="Times New Roman" w:hAnsi="Times New Roman"/>
                  <w:caps w:val="false"/>
                  <w:smallCaps w:val="false"/>
                  <w:sz w:val="20"/>
                </w:rPr>
                <w:t>86</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No financial statement schedules are included because the information is either provided in the consolidated financial statements or is not required under the related instructions or is inapplicable and such schedules therefore have been omitted.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88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firstLine="280"/>
        <w:jc w:val="both"/>
        <w:rPr>
          <w:rFonts w:ascii="Times New Roman" w:hAnsi="Times New Roman"/>
          <w:i/>
          <w:caps w:val="false"/>
          <w:smallCaps w:val="false"/>
          <w:sz w:val="20"/>
        </w:rPr>
      </w:pPr>
      <w:r>
        <w:rPr>
          <w:rFonts w:ascii="Times New Roman" w:hAnsi="Times New Roman"/>
          <w:i/>
          <w:caps w:val="false"/>
          <w:smallCaps w:val="false"/>
          <w:sz w:val="20"/>
        </w:rPr>
        <w:t>(b)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0"/>
        <w:gridCol w:w="60"/>
        <w:gridCol w:w="9435"/>
      </w:tblGrid>
      <w:tr>
        <w:trPr/>
        <w:tc>
          <w:tcPr>
            <w:tcW w:w="710"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3">
              <w:r>
                <w:rPr>
                  <w:rStyle w:val="InternetLink"/>
                  <w:rFonts w:ascii="Times New Roman" w:hAnsi="Times New Roman"/>
                  <w:caps w:val="false"/>
                  <w:smallCaps w:val="false"/>
                  <w:sz w:val="20"/>
                </w:rPr>
                <w:t>3.1</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4">
              <w:r>
                <w:rPr>
                  <w:rStyle w:val="InternetLink"/>
                  <w:rFonts w:ascii="Times New Roman" w:hAnsi="Times New Roman"/>
                  <w:caps w:val="false"/>
                  <w:smallCaps w:val="false"/>
                  <w:sz w:val="20"/>
                </w:rPr>
                <w:t>Third Restated Certificate of Incorporation of BioCryst Pharmaceuticals, Inc. Incorporated by reference to Exhibit 3.1 to the Company’s Form 8-K filed December 22, 2006.</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5">
              <w:r>
                <w:rPr>
                  <w:rStyle w:val="InternetLink"/>
                  <w:rFonts w:ascii="Times New Roman" w:hAnsi="Times New Roman"/>
                  <w:caps w:val="false"/>
                  <w:smallCaps w:val="false"/>
                  <w:sz w:val="20"/>
                </w:rPr>
                <w:t>3.2</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6">
              <w:r>
                <w:rPr>
                  <w:rStyle w:val="InternetLink"/>
                  <w:rFonts w:ascii="Times New Roman" w:hAnsi="Times New Roman"/>
                  <w:caps w:val="false"/>
                  <w:smallCaps w:val="false"/>
                  <w:sz w:val="20"/>
                </w:rPr>
                <w:t>Certificate of Amendment to the Third Restated Certificate of Incorporation of BioCryst Pharmaceuticals, Inc. Incorporated by reference to Exhibit 3.1 to the Company’s Form 8-K filed July 24, 2007.</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7">
              <w:r>
                <w:rPr>
                  <w:rStyle w:val="InternetLink"/>
                  <w:rFonts w:ascii="Times New Roman" w:hAnsi="Times New Roman"/>
                  <w:caps w:val="false"/>
                  <w:smallCaps w:val="false"/>
                  <w:sz w:val="20"/>
                </w:rPr>
                <w:t>3.3</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8">
              <w:r>
                <w:rPr>
                  <w:rStyle w:val="InternetLink"/>
                  <w:rFonts w:ascii="Times New Roman" w:hAnsi="Times New Roman"/>
                  <w:caps w:val="false"/>
                  <w:smallCaps w:val="false"/>
                  <w:sz w:val="20"/>
                </w:rPr>
                <w:t>Certificate of Amendment to the Third Restated Certificate of Incorporation of BioCryst Pharmaceuticals, Inc. Incorporated by reference to Exhibit 3.1 to the Company’s Form 8-K filed May 7, 2014.</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9">
              <w:r>
                <w:rPr>
                  <w:rStyle w:val="InternetLink"/>
                  <w:rFonts w:ascii="Times New Roman" w:hAnsi="Times New Roman"/>
                  <w:caps w:val="false"/>
                  <w:smallCaps w:val="false"/>
                  <w:sz w:val="20"/>
                </w:rPr>
                <w:t>3.4</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10">
              <w:r>
                <w:rPr>
                  <w:rStyle w:val="InternetLink"/>
                  <w:rFonts w:ascii="Times New Roman" w:hAnsi="Times New Roman"/>
                  <w:caps w:val="false"/>
                  <w:smallCaps w:val="false"/>
                  <w:sz w:val="20"/>
                </w:rPr>
                <w:t>Certificate of Elimination of the Series B Junior Participating Preferred Stock. Incorporated by reference to Exhibit 3.1 to the Company’s Form 8-K filed May 13, 2020.</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11">
              <w:r>
                <w:rPr>
                  <w:rStyle w:val="InternetLink"/>
                  <w:rFonts w:ascii="Times New Roman" w:hAnsi="Times New Roman"/>
                  <w:caps w:val="false"/>
                  <w:smallCaps w:val="false"/>
                  <w:sz w:val="20"/>
                </w:rPr>
                <w:t>3.5</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12">
              <w:r>
                <w:rPr>
                  <w:rStyle w:val="InternetLink"/>
                  <w:rFonts w:ascii="Times New Roman" w:hAnsi="Times New Roman"/>
                  <w:caps w:val="false"/>
                  <w:smallCaps w:val="false"/>
                  <w:sz w:val="20"/>
                </w:rPr>
                <w:t>Certificate of Amendment to the Third Restated Certificate of Incorporation of BioCryst Pharmaceuticals, Inc. Incorporated by reference to Exhibit 3.2 to the Company’s Form 8-K filed May 13, 2020.</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13">
              <w:r>
                <w:rPr>
                  <w:rStyle w:val="InternetLink"/>
                  <w:rFonts w:ascii="Times New Roman" w:hAnsi="Times New Roman"/>
                  <w:caps w:val="false"/>
                  <w:smallCaps w:val="false"/>
                  <w:sz w:val="20"/>
                </w:rPr>
                <w:t>3.6</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14">
              <w:r>
                <w:rPr>
                  <w:rStyle w:val="InternetLink"/>
                  <w:rFonts w:ascii="Times New Roman" w:hAnsi="Times New Roman"/>
                  <w:caps w:val="false"/>
                  <w:smallCaps w:val="false"/>
                  <w:sz w:val="20"/>
                </w:rPr>
                <w:t>Amended and Restated Bylaws of BioCryst Pharmaceuticals, Inc., effective October 29, 2008. Incorporated by reference to Exhibit 3.2 to the Company’s Form 8-K filed November 4, 2008.</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rFonts w:ascii="Times New Roman" w:hAnsi="Times New Roman"/>
              </w:rPr>
              <w:instrText> HYPERLINK "http://www.sec.gov/Archives/edgar/data/882796/000110465918003194/a18-3548_1ex3d1.htm" \l "Exhibit3_1_084143"</w:instrText>
            </w:r>
            <w:r>
              <w:rPr>
                <w:rStyle w:val="InternetLink"/>
                <w:smallCaps w:val="false"/>
                <w:caps w:val="false"/>
                <w:sz w:val="20"/>
                <w:rFonts w:ascii="Times New Roman" w:hAnsi="Times New Roman"/>
              </w:rPr>
              <w:fldChar w:fldCharType="separate"/>
            </w:r>
            <w:r>
              <w:rPr>
                <w:rStyle w:val="InternetLink"/>
                <w:rFonts w:ascii="Times New Roman" w:hAnsi="Times New Roman"/>
                <w:caps w:val="false"/>
                <w:smallCaps w:val="false"/>
                <w:sz w:val="20"/>
              </w:rPr>
              <w:t>3.7</w:t>
            </w:r>
            <w:r>
              <w:rPr>
                <w:rStyle w:val="InternetLink"/>
                <w:smallCaps w:val="false"/>
                <w:caps w:val="false"/>
                <w:sz w:val="20"/>
                <w:rFonts w:ascii="Times New Roman" w:hAnsi="Times New Roman"/>
              </w:rPr>
              <w:fldChar w:fldCharType="end"/>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r>
              <w:fldChar w:fldCharType="begin"/>
            </w:r>
            <w:r>
              <w:rPr>
                <w:rStyle w:val="InternetLink"/>
                <w:smallCaps w:val="false"/>
                <w:caps w:val="false"/>
                <w:sz w:val="20"/>
                <w:rFonts w:ascii="Times New Roman" w:hAnsi="Times New Roman"/>
              </w:rPr>
              <w:instrText> HYPERLINK "http://www.sec.gov/Archives/edgar/data/882796/000110465918003194/a18-3548_1ex3d1.htm" \l "Exhibit3_1_084143"</w:instrText>
            </w:r>
            <w:r>
              <w:rPr>
                <w:rStyle w:val="InternetLink"/>
                <w:smallCaps w:val="false"/>
                <w:caps w:val="false"/>
                <w:sz w:val="20"/>
                <w:rFonts w:ascii="Times New Roman" w:hAnsi="Times New Roman"/>
              </w:rPr>
              <w:fldChar w:fldCharType="separate"/>
            </w:r>
            <w:r>
              <w:rPr>
                <w:rStyle w:val="InternetLink"/>
                <w:rFonts w:ascii="Times New Roman" w:hAnsi="Times New Roman"/>
                <w:caps w:val="false"/>
                <w:smallCaps w:val="false"/>
                <w:sz w:val="20"/>
              </w:rPr>
              <w:t>Amendment to Amended and Restated By-Laws of BioCryst Pharmaceuticals, Inc., effective January 21, 2018. Incorporated by reference to Exhibit 3.1 to the Company’s Form 8-K filed January 22, 2018.</w:t>
            </w:r>
            <w:r>
              <w:rPr>
                <w:rStyle w:val="InternetLink"/>
                <w:smallCaps w:val="false"/>
                <w:caps w:val="false"/>
                <w:sz w:val="20"/>
                <w:rFonts w:ascii="Times New Roman" w:hAnsi="Times New Roman"/>
              </w:rPr>
              <w:fldChar w:fldCharType="end"/>
            </w:r>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15">
              <w:r>
                <w:rPr>
                  <w:rStyle w:val="InternetLink"/>
                  <w:rFonts w:ascii="Times New Roman" w:hAnsi="Times New Roman"/>
                  <w:caps w:val="false"/>
                  <w:smallCaps w:val="false"/>
                  <w:sz w:val="20"/>
                </w:rPr>
                <w:t>4.1</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16">
              <w:r>
                <w:rPr>
                  <w:rStyle w:val="InternetLink"/>
                  <w:rFonts w:ascii="Times New Roman" w:hAnsi="Times New Roman"/>
                  <w:caps w:val="false"/>
                  <w:smallCaps w:val="false"/>
                  <w:sz w:val="20"/>
                </w:rPr>
                <w:t>Description of Securities. Incorporated by reference to Exhibit 4.1 to the Company’s Form 10-K filed March 1, 2021.</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17">
              <w:r>
                <w:rPr>
                  <w:rStyle w:val="InternetLink"/>
                  <w:rFonts w:ascii="Times New Roman" w:hAnsi="Times New Roman"/>
                  <w:caps w:val="false"/>
                  <w:smallCaps w:val="false"/>
                  <w:sz w:val="20"/>
                </w:rPr>
                <w:t>4.2</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18">
              <w:r>
                <w:rPr>
                  <w:rStyle w:val="InternetLink"/>
                  <w:rFonts w:ascii="Times New Roman" w:hAnsi="Times New Roman"/>
                  <w:caps w:val="false"/>
                  <w:smallCaps w:val="false"/>
                  <w:sz w:val="20"/>
                </w:rPr>
                <w:t>Indenture, dated as of March 9, 2011 by and between JPR Royalty Sub LLC and U.S. Bank National Association, as trustee. Incorporated by reference to Exhibit 4.3 to the Company’s Form 10-Q filed May 6, 2011.</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19">
              <w:r>
                <w:rPr>
                  <w:rStyle w:val="InternetLink"/>
                  <w:rFonts w:ascii="Times New Roman" w:hAnsi="Times New Roman"/>
                  <w:caps w:val="false"/>
                  <w:smallCaps w:val="false"/>
                  <w:sz w:val="20"/>
                </w:rPr>
                <w:t>4.3</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20">
              <w:r>
                <w:rPr>
                  <w:rStyle w:val="InternetLink"/>
                  <w:rFonts w:ascii="Times New Roman" w:hAnsi="Times New Roman"/>
                  <w:caps w:val="false"/>
                  <w:smallCaps w:val="false"/>
                  <w:sz w:val="20"/>
                </w:rPr>
                <w:t>Form of Pre-Funded Warrant to Purchase Common Stock, dated November 21, 2019. Incorporated by reference to Exhibit 4.1 to the Company’s Form 8-K filed November 21, 2019.</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21">
              <w:r>
                <w:rPr>
                  <w:rStyle w:val="InternetLink"/>
                  <w:rFonts w:ascii="Times New Roman" w:hAnsi="Times New Roman"/>
                  <w:caps w:val="false"/>
                  <w:smallCaps w:val="false"/>
                  <w:sz w:val="20"/>
                </w:rPr>
                <w:t>4.4</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22">
              <w:r>
                <w:rPr>
                  <w:rStyle w:val="InternetLink"/>
                  <w:rFonts w:ascii="Times New Roman" w:hAnsi="Times New Roman"/>
                  <w:caps w:val="false"/>
                  <w:smallCaps w:val="false"/>
                  <w:sz w:val="20"/>
                </w:rPr>
                <w:t>Form of Pre-Funded Warrant to Purchase Common Stock, dated June 1, 2020. Incorporated by reference to Exhibit 4.1 to the Company’s Form 8-K filed June 1, 2020.</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23">
              <w:r>
                <w:rPr>
                  <w:rStyle w:val="InternetLink"/>
                  <w:rFonts w:ascii="Times New Roman" w:hAnsi="Times New Roman"/>
                  <w:caps w:val="false"/>
                  <w:smallCaps w:val="false"/>
                  <w:sz w:val="20"/>
                </w:rPr>
                <w:t>10.1&amp;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24">
              <w:r>
                <w:rPr>
                  <w:rStyle w:val="InternetLink"/>
                  <w:rFonts w:ascii="Times New Roman" w:hAnsi="Times New Roman"/>
                  <w:caps w:val="false"/>
                  <w:smallCaps w:val="false"/>
                  <w:sz w:val="20"/>
                </w:rPr>
                <w:t>BioCryst Pharmaceuticals, Inc. Stock Incentive Plan (as amended and restated March 29, 2012). Incorporated by reference to Exhibit 10.1 of the Company’s Form 8-K filed May 25, 2012.</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25">
              <w:r>
                <w:rPr>
                  <w:rStyle w:val="InternetLink"/>
                  <w:rFonts w:ascii="Times New Roman" w:hAnsi="Times New Roman"/>
                  <w:caps w:val="false"/>
                  <w:smallCaps w:val="false"/>
                  <w:sz w:val="20"/>
                </w:rPr>
                <w:t>10.2&amp;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26">
              <w:r>
                <w:rPr>
                  <w:rStyle w:val="InternetLink"/>
                  <w:rFonts w:ascii="Times New Roman" w:hAnsi="Times New Roman"/>
                  <w:caps w:val="false"/>
                  <w:smallCaps w:val="false"/>
                  <w:sz w:val="20"/>
                </w:rPr>
                <w:t>BioCryst Pharmaceuticals, Inc. Stock Incentive Plan (as amended and restated March 8, 2014). Incorporated by reference to Exhibit 10.1 to the Company’s Form 8-K filed May 5, 2014.</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27">
              <w:r>
                <w:rPr>
                  <w:rStyle w:val="InternetLink"/>
                  <w:rFonts w:ascii="Times New Roman" w:hAnsi="Times New Roman"/>
                  <w:caps w:val="false"/>
                  <w:smallCaps w:val="false"/>
                  <w:sz w:val="20"/>
                </w:rPr>
                <w:t>10.3&amp;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28">
              <w:r>
                <w:rPr>
                  <w:rStyle w:val="InternetLink"/>
                  <w:rFonts w:ascii="Times New Roman" w:hAnsi="Times New Roman"/>
                  <w:caps w:val="false"/>
                  <w:smallCaps w:val="false"/>
                  <w:sz w:val="20"/>
                </w:rPr>
                <w:t>BioCryst Pharmaceuticals, Inc. Stock Incentive Plan (as amended and restated May 23, 2016).  Incorporated by reference to Exhibit 10.1 to the Company’s Registration Statement on Form S-8, filed May 23, 2016.</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29">
              <w:r>
                <w:rPr>
                  <w:rStyle w:val="InternetLink"/>
                  <w:rFonts w:ascii="Times New Roman" w:hAnsi="Times New Roman"/>
                  <w:caps w:val="false"/>
                  <w:smallCaps w:val="false"/>
                  <w:sz w:val="20"/>
                </w:rPr>
                <w:t>10.4&amp;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30">
              <w:r>
                <w:rPr>
                  <w:rStyle w:val="InternetLink"/>
                  <w:rFonts w:ascii="Times New Roman" w:hAnsi="Times New Roman"/>
                  <w:caps w:val="false"/>
                  <w:smallCaps w:val="false"/>
                  <w:sz w:val="20"/>
                </w:rPr>
                <w:t>BioCryst Pharmaceuticals, Inc. Stock Incentive Plan (as amended and restated April 3, 2017). Incorporated by reference to Exhibit 10.1 to the Company’s Form 8-K filed May 30, 2017.</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31">
              <w:r>
                <w:rPr>
                  <w:rStyle w:val="InternetLink"/>
                  <w:rFonts w:ascii="Times New Roman" w:hAnsi="Times New Roman"/>
                  <w:caps w:val="false"/>
                  <w:smallCaps w:val="false"/>
                  <w:sz w:val="20"/>
                </w:rPr>
                <w:t>10.5&amp;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32">
              <w:r>
                <w:rPr>
                  <w:rStyle w:val="InternetLink"/>
                  <w:rFonts w:ascii="Times New Roman" w:hAnsi="Times New Roman"/>
                  <w:caps w:val="false"/>
                  <w:smallCaps w:val="false"/>
                  <w:sz w:val="20"/>
                </w:rPr>
                <w:t>BioCryst Pharmaceuticals, Inc. Stock Incentive Plan (as amended and restated September 17, 2018). Incorporated by reference to Exhibit 10.1 to the Company’s Form 8-K filed October 31, 2018.</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33">
              <w:r>
                <w:rPr>
                  <w:rStyle w:val="InternetLink"/>
                  <w:rFonts w:ascii="Times New Roman" w:hAnsi="Times New Roman"/>
                  <w:caps w:val="false"/>
                  <w:smallCaps w:val="false"/>
                  <w:sz w:val="20"/>
                </w:rPr>
                <w:t>10.6&amp;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34">
              <w:r>
                <w:rPr>
                  <w:rStyle w:val="InternetLink"/>
                  <w:rFonts w:ascii="Times New Roman" w:hAnsi="Times New Roman"/>
                  <w:caps w:val="false"/>
                  <w:smallCaps w:val="false"/>
                  <w:sz w:val="20"/>
                </w:rPr>
                <w:t>BioCryst Pharmaceuticals, Inc. Stock Incentive Plan (as amended and restated April 12, 2019). Incorporated by reference to Exhibit 10.1 to the Company’s Form 8-K filed June 4, 2019.</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35">
              <w:r>
                <w:rPr>
                  <w:rStyle w:val="InternetLink"/>
                  <w:rFonts w:ascii="Times New Roman" w:hAnsi="Times New Roman"/>
                  <w:caps w:val="false"/>
                  <w:smallCaps w:val="false"/>
                  <w:sz w:val="20"/>
                </w:rPr>
                <w:t>10.7&amp;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36">
              <w:r>
                <w:rPr>
                  <w:rStyle w:val="InternetLink"/>
                  <w:rFonts w:ascii="Times New Roman" w:hAnsi="Times New Roman"/>
                  <w:caps w:val="false"/>
                  <w:smallCaps w:val="false"/>
                  <w:sz w:val="20"/>
                </w:rPr>
                <w:t>BioCryst Pharmaceuticals, Inc. Stock Incentive Plan (as amended and restated March 19, 2020). Incorporated by reference to Exhibit 10.1 to the Company’s Form 8-K filed May 13, 2020.</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pPr>
            <w:hyperlink r:id="rId37">
              <w:r>
                <w:rPr>
                  <w:rStyle w:val="InternetLink"/>
                  <w:rFonts w:ascii="Times New Roman" w:hAnsi="Times New Roman"/>
                  <w:caps w:val="false"/>
                  <w:smallCaps w:val="false"/>
                  <w:sz w:val="20"/>
                </w:rPr>
                <w:t>10.8&amp;</w:t>
              </w:r>
            </w:hyperlink>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0"/>
              <w:ind w:left="0" w:right="0" w:hanging="0"/>
              <w:rPr/>
            </w:pPr>
            <w:hyperlink r:id="rId38">
              <w:r>
                <w:rPr>
                  <w:rStyle w:val="InternetLink"/>
                  <w:rFonts w:ascii="Times New Roman" w:hAnsi="Times New Roman"/>
                  <w:caps w:val="false"/>
                  <w:smallCaps w:val="false"/>
                  <w:sz w:val="20"/>
                </w:rPr>
                <w:t>BioCryst Pharmaceuticals, Inc. Stock Incentive Plan (as amended and restated April 1, 2021). Incorporated by reference to Exhibit 10.1 to the Company’s Form 8-K filed May 26, 2021.</w:t>
              </w:r>
            </w:hyperlink>
          </w:p>
        </w:tc>
      </w:tr>
      <w:tr>
        <w:trPr/>
        <w:tc>
          <w:tcPr>
            <w:tcW w:w="7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89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30"/>
        <w:gridCol w:w="60"/>
        <w:gridCol w:w="9515"/>
      </w:tblGrid>
      <w:tr>
        <w:trPr/>
        <w:tc>
          <w:tcPr>
            <w:tcW w:w="630" w:type="dxa"/>
            <w:tcBorders/>
            <w:shd w:fill="auto" w:val="clear"/>
            <w:vAlign w:val="center"/>
          </w:tcPr>
          <w:p>
            <w:pPr>
              <w:pStyle w:val="TableContents"/>
              <w:spacing w:before="0" w:after="0"/>
              <w:ind w:left="0" w:right="0" w:hanging="0"/>
              <w:rPr/>
            </w:pPr>
            <w:hyperlink r:id="rId39">
              <w:r>
                <w:rPr>
                  <w:rStyle w:val="InternetLink"/>
                  <w:rFonts w:ascii="Times New Roman" w:hAnsi="Times New Roman"/>
                  <w:caps w:val="false"/>
                  <w:smallCaps w:val="false"/>
                  <w:sz w:val="20"/>
                </w:rPr>
                <w:t>10.9&amp;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40">
              <w:r>
                <w:rPr>
                  <w:rStyle w:val="InternetLink"/>
                  <w:rFonts w:ascii="Times New Roman" w:hAnsi="Times New Roman"/>
                  <w:caps w:val="false"/>
                  <w:smallCaps w:val="false"/>
                  <w:sz w:val="20"/>
                </w:rPr>
                <w:t>Form of Notice of Grant of Non-Employee Director Automatic Stock Option and Stock Option Agreement under the BioCryst Pharmaceuticals, Inc. Stock Incentive Plan. Incorporated by reference to Exhibit 10.4 to the Company’s Form 10-K filed March 4, 2008.</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41">
              <w:r>
                <w:rPr>
                  <w:rStyle w:val="InternetLink"/>
                  <w:rFonts w:ascii="Times New Roman" w:hAnsi="Times New Roman"/>
                  <w:caps w:val="false"/>
                  <w:smallCaps w:val="false"/>
                  <w:sz w:val="20"/>
                </w:rPr>
                <w:t>10.10&amp;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42">
              <w:r>
                <w:rPr>
                  <w:rStyle w:val="InternetLink"/>
                  <w:rFonts w:ascii="Times New Roman" w:hAnsi="Times New Roman"/>
                  <w:caps w:val="false"/>
                  <w:smallCaps w:val="false"/>
                  <w:sz w:val="20"/>
                </w:rPr>
                <w:t>Form of Notice of Grant of Stock Option and Stock Option Agreement under the BioCryst Pharmaceuticals, Inc. Stock Incentive Plan. Incorporated by reference to Exhibit 10.5 to the Company’s Form 10-K filed March 4, 2008.</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43">
              <w:r>
                <w:rPr>
                  <w:rStyle w:val="InternetLink"/>
                  <w:rFonts w:ascii="Times New Roman" w:hAnsi="Times New Roman"/>
                  <w:caps w:val="false"/>
                  <w:smallCaps w:val="false"/>
                  <w:sz w:val="20"/>
                </w:rPr>
                <w:t>10.11&amp;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44">
              <w:r>
                <w:rPr>
                  <w:rStyle w:val="InternetLink"/>
                  <w:rFonts w:ascii="Times New Roman" w:hAnsi="Times New Roman"/>
                  <w:caps w:val="false"/>
                  <w:smallCaps w:val="false"/>
                  <w:sz w:val="20"/>
                </w:rPr>
                <w:t>Standard Stock Option Agreement under the BioCryst Pharmaceuticals, Inc. Stock Incentive Plan.  Incorporated by reference to Exhibit 10.7 to the Company’s Form 10-K filed March 2, 2015.</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45">
              <w:r>
                <w:rPr>
                  <w:rStyle w:val="InternetLink"/>
                  <w:rFonts w:ascii="Times New Roman" w:hAnsi="Times New Roman"/>
                  <w:caps w:val="false"/>
                  <w:smallCaps w:val="false"/>
                  <w:sz w:val="20"/>
                </w:rPr>
                <w:t>10.12&amp;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46">
              <w:r>
                <w:rPr>
                  <w:rStyle w:val="InternetLink"/>
                  <w:rFonts w:ascii="Times New Roman" w:hAnsi="Times New Roman"/>
                  <w:caps w:val="false"/>
                  <w:smallCaps w:val="false"/>
                  <w:sz w:val="20"/>
                </w:rPr>
                <w:t>Form of Notice of Grant of Restricted Stock Unit Award and Restricted Stock Unit Agreement under the BioCryst Pharmaceuticals, Inc. Stock Incentive Plan.  Incorporated by reference to Exhibit 10.8 of the Company’s Form 10-K filed March 2, 2015.</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47">
              <w:r>
                <w:rPr>
                  <w:rStyle w:val="InternetLink"/>
                  <w:rFonts w:ascii="Times New Roman" w:hAnsi="Times New Roman"/>
                  <w:caps w:val="false"/>
                  <w:smallCaps w:val="false"/>
                  <w:sz w:val="20"/>
                </w:rPr>
                <w:t>10.13&amp;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48">
              <w:r>
                <w:rPr>
                  <w:rStyle w:val="InternetLink"/>
                  <w:rFonts w:ascii="Times New Roman" w:hAnsi="Times New Roman"/>
                  <w:caps w:val="false"/>
                  <w:smallCaps w:val="false"/>
                  <w:sz w:val="20"/>
                </w:rPr>
                <w:t>Form of Notice of Grant of Restricted Stock Unit Award and Restricted Stock Unit Agreement under the BioCryst Pharmaceuticals, Inc. Stock Incentive Plan. Incorporated by reference to Exhibit 10.2 to the Company’s Form 10-Q filed May 7, 2021.</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w:anchor="ex_340701.htm">
              <w:r>
                <w:rPr>
                  <w:rStyle w:val="InternetLink"/>
                  <w:rFonts w:ascii="Times New Roman" w:hAnsi="Times New Roman"/>
                  <w:caps w:val="false"/>
                  <w:smallCaps w:val="false"/>
                  <w:sz w:val="20"/>
                </w:rPr>
                <w:t>(10.14)&amp;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w:anchor="ex_340701.htm">
              <w:r>
                <w:rPr>
                  <w:rStyle w:val="InternetLink"/>
                  <w:rFonts w:ascii="Times New Roman" w:hAnsi="Times New Roman"/>
                  <w:caps w:val="false"/>
                  <w:smallCaps w:val="false"/>
                  <w:sz w:val="20"/>
                </w:rPr>
                <w:t>Form of Notice of Grant of Restricted Stock Unit Award and Restricted Stock Unit Agreement under the BioCryst Pharmaceuticals, Inc. Stock Incentive Plan.</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49">
              <w:r>
                <w:rPr>
                  <w:rStyle w:val="InternetLink"/>
                  <w:rFonts w:ascii="Times New Roman" w:hAnsi="Times New Roman"/>
                  <w:caps w:val="false"/>
                  <w:smallCaps w:val="false"/>
                  <w:sz w:val="20"/>
                </w:rPr>
                <w:t>10.15&amp;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50">
              <w:r>
                <w:rPr>
                  <w:rStyle w:val="InternetLink"/>
                  <w:rFonts w:ascii="Times New Roman" w:hAnsi="Times New Roman"/>
                  <w:caps w:val="false"/>
                  <w:smallCaps w:val="false"/>
                  <w:sz w:val="20"/>
                </w:rPr>
                <w:t>BioCryst Pharmaceuticals, Inc. Employee Stock Purchase Plan (as amended and restated April 1, 2021). Incorporated by reference to Exhibit 10.2 to the Company's Form 8-K filed May 26, 2021.</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51">
              <w:r>
                <w:rPr>
                  <w:rStyle w:val="InternetLink"/>
                  <w:rFonts w:ascii="Times New Roman" w:hAnsi="Times New Roman"/>
                  <w:caps w:val="false"/>
                  <w:smallCaps w:val="false"/>
                  <w:sz w:val="20"/>
                </w:rPr>
                <w:t>10.16&amp;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52">
              <w:r>
                <w:rPr>
                  <w:rStyle w:val="InternetLink"/>
                  <w:rFonts w:ascii="Times New Roman" w:hAnsi="Times New Roman"/>
                  <w:caps w:val="false"/>
                  <w:smallCaps w:val="false"/>
                  <w:sz w:val="20"/>
                </w:rPr>
                <w:t>BioCryst Pharmaceuticals, Inc. Inducement Equity Incentive Plan (effective as of April 24, 2019). Incorporated by reference to Exhibit 99.1 to the Company’s Form S-8 (File No. 333-231108) filed April 29, 2019.</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53">
              <w:r>
                <w:rPr>
                  <w:rStyle w:val="InternetLink"/>
                  <w:rFonts w:ascii="Times New Roman" w:hAnsi="Times New Roman"/>
                  <w:caps w:val="false"/>
                  <w:smallCaps w:val="false"/>
                  <w:sz w:val="20"/>
                </w:rPr>
                <w:t>10.17&amp;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54">
              <w:r>
                <w:rPr>
                  <w:rStyle w:val="InternetLink"/>
                  <w:rFonts w:ascii="Times New Roman" w:hAnsi="Times New Roman"/>
                  <w:caps w:val="false"/>
                  <w:smallCaps w:val="false"/>
                  <w:sz w:val="20"/>
                </w:rPr>
                <w:t>BioCryst Pharmaceuticals, Inc. Inducement Equity Incentive Plan (as amended and restated February 7, 2020). Incorporated by reference to Exhibit 10.2 of the Company’s Form 10-Q filed May 11, 2020.</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55">
              <w:r>
                <w:rPr>
                  <w:rStyle w:val="InternetLink"/>
                  <w:rFonts w:ascii="Times New Roman" w:hAnsi="Times New Roman"/>
                  <w:caps w:val="false"/>
                  <w:smallCaps w:val="false"/>
                  <w:sz w:val="20"/>
                </w:rPr>
                <w:t>10.18&amp;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56">
              <w:r>
                <w:rPr>
                  <w:rStyle w:val="InternetLink"/>
                  <w:rFonts w:ascii="Times New Roman" w:hAnsi="Times New Roman"/>
                  <w:caps w:val="false"/>
                  <w:smallCaps w:val="false"/>
                  <w:sz w:val="20"/>
                </w:rPr>
                <w:t>BioCryst Pharmaceuticals, Inc. Inducement Equity Incentive Plan (as amended and restated July 17, 2020). Incorporated by reference to Exhibit 99.1 to the Company’s Form S-8 (File No. 333-245024) filed August 12, 2020.</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57">
              <w:r>
                <w:rPr>
                  <w:rStyle w:val="InternetLink"/>
                  <w:rFonts w:ascii="Times New Roman" w:hAnsi="Times New Roman"/>
                  <w:caps w:val="false"/>
                  <w:smallCaps w:val="false"/>
                  <w:sz w:val="20"/>
                </w:rPr>
                <w:t>10.19&amp;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58">
              <w:r>
                <w:rPr>
                  <w:rStyle w:val="InternetLink"/>
                  <w:rFonts w:ascii="Times New Roman" w:hAnsi="Times New Roman"/>
                  <w:caps w:val="false"/>
                  <w:smallCaps w:val="false"/>
                  <w:sz w:val="20"/>
                </w:rPr>
                <w:t>BioCryst Pharmaceuticals, Inc. Inducement Equity Incentive Plan (as amended and restated July 23, 2021). Incorporated by reference to Exhibit 99.1 to the Company’s Form S-8 (File No. 333-259919) filed September 30, 2021.</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59">
              <w:r>
                <w:rPr>
                  <w:rStyle w:val="InternetLink"/>
                  <w:rFonts w:ascii="Times New Roman" w:hAnsi="Times New Roman"/>
                  <w:caps w:val="false"/>
                  <w:smallCaps w:val="false"/>
                  <w:sz w:val="20"/>
                </w:rPr>
                <w:t>10.20&amp;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60">
              <w:r>
                <w:rPr>
                  <w:rStyle w:val="InternetLink"/>
                  <w:rFonts w:ascii="Times New Roman" w:hAnsi="Times New Roman"/>
                  <w:caps w:val="false"/>
                  <w:smallCaps w:val="false"/>
                  <w:sz w:val="20"/>
                </w:rPr>
                <w:t>Form of Notice of Grant of Stock Option and Standard Stock Option Agreement under the BioCryst Pharmaceuticals, Inc. Inducement Equity Incentive Plan. Incorporated by reference to Exhibit 10.16 to the Company’s Form 10-K filed March 1, 2021.</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61">
              <w:r>
                <w:rPr>
                  <w:rStyle w:val="InternetLink"/>
                  <w:rFonts w:ascii="Times New Roman" w:hAnsi="Times New Roman"/>
                  <w:caps w:val="false"/>
                  <w:smallCaps w:val="false"/>
                  <w:sz w:val="20"/>
                </w:rPr>
                <w:t>10.21&amp;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62">
              <w:r>
                <w:rPr>
                  <w:rStyle w:val="InternetLink"/>
                  <w:rFonts w:ascii="Times New Roman" w:hAnsi="Times New Roman"/>
                  <w:caps w:val="false"/>
                  <w:smallCaps w:val="false"/>
                  <w:sz w:val="20"/>
                </w:rPr>
                <w:t>BioCryst Pharmaceuticals, Inc. Annual Incentive Plan (effective as of December 16, 2020). Incorporated by reference to Exhibit 10.1 to the Company’s Form 8-K filed December 17, 2020.</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63">
              <w:r>
                <w:rPr>
                  <w:rStyle w:val="InternetLink"/>
                  <w:rFonts w:ascii="Times New Roman" w:hAnsi="Times New Roman"/>
                  <w:caps w:val="false"/>
                  <w:smallCaps w:val="false"/>
                  <w:sz w:val="20"/>
                </w:rPr>
                <w:t>10.22&amp;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64">
              <w:r>
                <w:rPr>
                  <w:rStyle w:val="InternetLink"/>
                  <w:rFonts w:ascii="Times New Roman" w:hAnsi="Times New Roman"/>
                  <w:caps w:val="false"/>
                  <w:smallCaps w:val="false"/>
                  <w:sz w:val="20"/>
                </w:rPr>
                <w:t>Executive Relocation Policy. Incorporated by reference to Exhibit 10.2 to the Company’s Form 10-K filed March 4, 2008.</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65">
              <w:r>
                <w:rPr>
                  <w:rStyle w:val="InternetLink"/>
                  <w:rFonts w:ascii="Times New Roman" w:hAnsi="Times New Roman"/>
                  <w:caps w:val="false"/>
                  <w:smallCaps w:val="false"/>
                  <w:sz w:val="20"/>
                </w:rPr>
                <w:t>10.23&amp;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66">
              <w:r>
                <w:rPr>
                  <w:rStyle w:val="InternetLink"/>
                  <w:rFonts w:ascii="Times New Roman" w:hAnsi="Times New Roman"/>
                  <w:caps w:val="false"/>
                  <w:smallCaps w:val="false"/>
                  <w:sz w:val="20"/>
                </w:rPr>
                <w:t>Amended and Restated Employment Letter Agreement between BioCryst Pharmaceuticals, Inc. and Jon P. Stonehouse, dated February 14, 2007. Incorporated by reference to Exhibit 10.12 to the Company’s Form 10-K filed March 14, 2007.</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67">
              <w:r>
                <w:rPr>
                  <w:rStyle w:val="InternetLink"/>
                  <w:rFonts w:ascii="Times New Roman" w:hAnsi="Times New Roman"/>
                  <w:caps w:val="false"/>
                  <w:smallCaps w:val="false"/>
                  <w:sz w:val="20"/>
                </w:rPr>
                <w:t>10.24&amp;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68">
              <w:r>
                <w:rPr>
                  <w:rStyle w:val="InternetLink"/>
                  <w:rFonts w:ascii="Times New Roman" w:hAnsi="Times New Roman"/>
                  <w:caps w:val="false"/>
                  <w:smallCaps w:val="false"/>
                  <w:sz w:val="20"/>
                </w:rPr>
                <w:t>Amended and Restated Employment Letter Agreement between BioCryst Pharmaceuticals, Inc. and William P. Sheridan, dated August 4, 2021. Incorporated by reference to Exhibit 10.4 to the Company's Form 10-Q filed August 9, 2021.</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69">
              <w:r>
                <w:rPr>
                  <w:rStyle w:val="InternetLink"/>
                  <w:rFonts w:ascii="Times New Roman" w:hAnsi="Times New Roman"/>
                  <w:caps w:val="false"/>
                  <w:smallCaps w:val="false"/>
                  <w:sz w:val="20"/>
                </w:rPr>
                <w:t>10.25&amp;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70">
              <w:r>
                <w:rPr>
                  <w:rStyle w:val="InternetLink"/>
                  <w:rFonts w:ascii="Times New Roman" w:hAnsi="Times New Roman"/>
                  <w:caps w:val="false"/>
                  <w:smallCaps w:val="false"/>
                  <w:sz w:val="20"/>
                </w:rPr>
                <w:t>Amended and Restated Employment Letter Agreement between BioCryst Pharmaceuticals, Inc. and Yarlagadda S. Babu, dated August 4 2021. Incorporated by reference to Exhibit 10.5 to the Company’s Form 10-Q filed August 9, 2021.</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r>
        <w:trPr/>
        <w:tc>
          <w:tcPr>
            <w:tcW w:w="630" w:type="dxa"/>
            <w:tcBorders/>
            <w:shd w:fill="auto" w:val="clear"/>
            <w:vAlign w:val="center"/>
          </w:tcPr>
          <w:p>
            <w:pPr>
              <w:pStyle w:val="TableContents"/>
              <w:spacing w:before="0" w:after="0"/>
              <w:ind w:left="0" w:right="0" w:hanging="0"/>
              <w:rPr/>
            </w:pPr>
            <w:hyperlink r:id="rId71">
              <w:r>
                <w:rPr>
                  <w:rStyle w:val="InternetLink"/>
                  <w:rFonts w:ascii="Times New Roman" w:hAnsi="Times New Roman"/>
                  <w:caps w:val="false"/>
                  <w:smallCaps w:val="false"/>
                  <w:sz w:val="20"/>
                </w:rPr>
                <w:t>10.26&amp;</w:t>
              </w:r>
            </w:hyperlink>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ind w:left="0" w:right="0" w:hanging="0"/>
              <w:rPr/>
            </w:pPr>
            <w:hyperlink r:id="rId72">
              <w:r>
                <w:rPr>
                  <w:rStyle w:val="InternetLink"/>
                  <w:rFonts w:ascii="Times New Roman" w:hAnsi="Times New Roman"/>
                  <w:caps w:val="false"/>
                  <w:smallCaps w:val="false"/>
                  <w:sz w:val="20"/>
                </w:rPr>
                <w:t>Amended and Restated Employment Letter Agreement between BioCryst Pharmaceuticals, Inc. and Alane P. Barnes, dated August 4, 2021. Incorporated by reference to Exhibit 10.6 to the Company’s Form 10-Q filed August 9, 2021.</w:t>
              </w:r>
            </w:hyperlink>
          </w:p>
        </w:tc>
      </w:tr>
      <w:tr>
        <w:trPr/>
        <w:tc>
          <w:tcPr>
            <w:tcW w:w="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90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540"/>
        <w:gridCol w:w="60"/>
        <w:gridCol w:w="9605"/>
      </w:tblGrid>
      <w:tr>
        <w:trPr/>
        <w:tc>
          <w:tcPr>
            <w:tcW w:w="540" w:type="dxa"/>
            <w:tcBorders/>
            <w:shd w:fill="auto" w:val="clear"/>
            <w:vAlign w:val="center"/>
          </w:tcPr>
          <w:p>
            <w:pPr>
              <w:pStyle w:val="TableContents"/>
              <w:spacing w:before="0" w:after="0"/>
              <w:ind w:left="0" w:right="0" w:hanging="0"/>
              <w:rPr/>
            </w:pPr>
            <w:hyperlink r:id="rId73">
              <w:r>
                <w:rPr>
                  <w:rStyle w:val="InternetLink"/>
                  <w:rFonts w:ascii="Times New Roman" w:hAnsi="Times New Roman"/>
                  <w:caps w:val="false"/>
                  <w:smallCaps w:val="false"/>
                  <w:sz w:val="20"/>
                </w:rPr>
                <w:t>10.27&amp;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74">
              <w:r>
                <w:rPr>
                  <w:rStyle w:val="InternetLink"/>
                  <w:rFonts w:ascii="Times New Roman" w:hAnsi="Times New Roman"/>
                  <w:caps w:val="false"/>
                  <w:smallCaps w:val="false"/>
                  <w:sz w:val="20"/>
                </w:rPr>
                <w:t>Employment Letter Agreement between BioCryst Pharmaceuticals, Inc. and Megan Sniecinski, dated May 31, 2019.  Incorporated by reference to Exhibit 10.1 to the Company’s Form 10-Q filed August 8, 2019.</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75">
              <w:r>
                <w:rPr>
                  <w:rStyle w:val="InternetLink"/>
                  <w:rFonts w:ascii="Times New Roman" w:hAnsi="Times New Roman"/>
                  <w:caps w:val="false"/>
                  <w:smallCaps w:val="false"/>
                  <w:sz w:val="20"/>
                </w:rPr>
                <w:t>10.28&amp;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76">
              <w:r>
                <w:rPr>
                  <w:rStyle w:val="InternetLink"/>
                  <w:rFonts w:ascii="Times New Roman" w:hAnsi="Times New Roman"/>
                  <w:caps w:val="false"/>
                  <w:smallCaps w:val="false"/>
                  <w:sz w:val="20"/>
                </w:rPr>
                <w:t>Separation Agreement and Release between BioCryst Pharmaceuticals, Inc. and Megan Sniecinski, dated August 8, 2021. Incorporated by reference to Exhibit 10.1 to the Company’s Form 8-K filed August 9,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77">
              <w:r>
                <w:rPr>
                  <w:rStyle w:val="InternetLink"/>
                  <w:rFonts w:ascii="Times New Roman" w:hAnsi="Times New Roman"/>
                  <w:caps w:val="false"/>
                  <w:smallCaps w:val="false"/>
                  <w:sz w:val="20"/>
                </w:rPr>
                <w:t>10.29&amp;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78">
              <w:r>
                <w:rPr>
                  <w:rStyle w:val="InternetLink"/>
                  <w:rFonts w:ascii="Times New Roman" w:hAnsi="Times New Roman"/>
                  <w:caps w:val="false"/>
                  <w:smallCaps w:val="false"/>
                  <w:sz w:val="20"/>
                </w:rPr>
                <w:t>Employment Letter Agreement between BioCryst Pharmaceuticals, Inc. and Charles Gayer, dated January 14, 2020. Incorporated by reference to Exhibit 10.26 to the Company’s Form 10-K filed March 1,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79">
              <w:r>
                <w:rPr>
                  <w:rStyle w:val="InternetLink"/>
                  <w:rFonts w:ascii="Times New Roman" w:hAnsi="Times New Roman"/>
                  <w:caps w:val="false"/>
                  <w:smallCaps w:val="false"/>
                  <w:sz w:val="20"/>
                </w:rPr>
                <w:t>10.30&amp;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80">
              <w:r>
                <w:rPr>
                  <w:rStyle w:val="InternetLink"/>
                  <w:rFonts w:ascii="Times New Roman" w:hAnsi="Times New Roman"/>
                  <w:caps w:val="false"/>
                  <w:smallCaps w:val="false"/>
                  <w:sz w:val="20"/>
                </w:rPr>
                <w:t>Amendment No. 1 to the Employment Letter Agreement between BioCryst Pharmaceuticals, Inc. and Charles Gayer, dated September 24, 2021. Incorporated by reference to Exhibit 10.10 to the Company’s Form 10-Q filed November 4,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81">
              <w:r>
                <w:rPr>
                  <w:rStyle w:val="InternetLink"/>
                  <w:rFonts w:ascii="Times New Roman" w:hAnsi="Times New Roman"/>
                  <w:caps w:val="false"/>
                  <w:smallCaps w:val="false"/>
                  <w:sz w:val="20"/>
                </w:rPr>
                <w:t>10.31&amp;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82">
              <w:r>
                <w:rPr>
                  <w:rStyle w:val="InternetLink"/>
                  <w:rFonts w:ascii="Times New Roman" w:hAnsi="Times New Roman"/>
                  <w:caps w:val="false"/>
                  <w:smallCaps w:val="false"/>
                  <w:sz w:val="20"/>
                </w:rPr>
                <w:t>Employment Letter Agreement between BioCryst Pharmaceuticals, Inc. and Anthony Doyle, dated March 29, 2020. Incorporated by reference to Exhibit 10.1 to the Company’s Form 10-Q filed May 11, 2020.</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83">
              <w:r>
                <w:rPr>
                  <w:rStyle w:val="InternetLink"/>
                  <w:rFonts w:ascii="Times New Roman" w:hAnsi="Times New Roman"/>
                  <w:caps w:val="false"/>
                  <w:smallCaps w:val="false"/>
                  <w:sz w:val="20"/>
                </w:rPr>
                <w:t>10.32&amp;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84">
              <w:r>
                <w:rPr>
                  <w:rStyle w:val="InternetLink"/>
                  <w:rFonts w:ascii="Times New Roman" w:hAnsi="Times New Roman"/>
                  <w:caps w:val="false"/>
                  <w:smallCaps w:val="false"/>
                  <w:sz w:val="20"/>
                </w:rPr>
                <w:t>Amendment No. 1 to the Employment Letter Agreement between BioCryst Pharmaceuticals, Inc. and Anthony Doyle, dated September 24, 2021. Incorporated by reference to Exhibit 10.8 to the Company’s Form 10-Q filed November 4,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85">
              <w:r>
                <w:rPr>
                  <w:rStyle w:val="InternetLink"/>
                  <w:rFonts w:ascii="Times New Roman" w:hAnsi="Times New Roman"/>
                  <w:caps w:val="false"/>
                  <w:smallCaps w:val="false"/>
                  <w:sz w:val="20"/>
                </w:rPr>
                <w:t>10.33&amp;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86">
              <w:r>
                <w:rPr>
                  <w:rStyle w:val="InternetLink"/>
                  <w:rFonts w:ascii="Times New Roman" w:hAnsi="Times New Roman"/>
                  <w:caps w:val="false"/>
                  <w:smallCaps w:val="false"/>
                  <w:sz w:val="20"/>
                </w:rPr>
                <w:t>Employment Letter Agreement between BioCryst Pharmaceuticals, Inc. and Dr. Helen M. Thackray, dated February 18, 2021. Incorporated by reference to Exhibit 10.1 to the Company’s Form 10-Q filed May 7,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87">
              <w:r>
                <w:rPr>
                  <w:rStyle w:val="InternetLink"/>
                  <w:rFonts w:ascii="Times New Roman" w:hAnsi="Times New Roman"/>
                  <w:caps w:val="false"/>
                  <w:smallCaps w:val="false"/>
                  <w:sz w:val="20"/>
                </w:rPr>
                <w:t>10.34&amp;</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88">
              <w:r>
                <w:rPr>
                  <w:rStyle w:val="InternetLink"/>
                  <w:rFonts w:ascii="Times New Roman" w:hAnsi="Times New Roman"/>
                  <w:caps w:val="false"/>
                  <w:smallCaps w:val="false"/>
                  <w:sz w:val="20"/>
                </w:rPr>
                <w:t>Amendment No. 1 to the Employment Letter Agreement between BioCryst Pharmaceuticals, Inc. and Dr. Helen M. Thackray, dated September 24, 2021. Incorporated by reference to Exhibit 10.9 to the Company’s Form 10-Q filed November 4,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89">
              <w:r>
                <w:rPr>
                  <w:rStyle w:val="InternetLink"/>
                  <w:rFonts w:ascii="Times New Roman" w:hAnsi="Times New Roman"/>
                  <w:caps w:val="false"/>
                  <w:smallCaps w:val="false"/>
                  <w:sz w:val="20"/>
                </w:rPr>
                <w:t>10.35†</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90">
              <w:r>
                <w:rPr>
                  <w:rStyle w:val="InternetLink"/>
                  <w:rFonts w:ascii="Times New Roman" w:hAnsi="Times New Roman"/>
                  <w:caps w:val="false"/>
                  <w:smallCaps w:val="false"/>
                  <w:sz w:val="20"/>
                </w:rPr>
                <w:t>License, Development and Commercialization Agreement dated as of February 28, 2007, by and between the Company and Shionogi &amp; Co., Ltd. Incorporated by reference to Exhibit 10.28 to the Company’s Form 10-K filed March 1,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91">
              <w:r>
                <w:rPr>
                  <w:rStyle w:val="InternetLink"/>
                  <w:rFonts w:ascii="Times New Roman" w:hAnsi="Times New Roman"/>
                  <w:caps w:val="false"/>
                  <w:smallCaps w:val="false"/>
                  <w:sz w:val="20"/>
                </w:rPr>
                <w:t>10.36†</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92">
              <w:r>
                <w:rPr>
                  <w:rStyle w:val="InternetLink"/>
                  <w:rFonts w:ascii="Times New Roman" w:hAnsi="Times New Roman"/>
                  <w:caps w:val="false"/>
                  <w:smallCaps w:val="false"/>
                  <w:sz w:val="20"/>
                </w:rPr>
                <w:t>First Amendment to License, Development and Commercialization Agreement, effective as of September 30, 2008, between the Company and Shionogi &amp; Co., Ltd. Incorporated by reference to Exhibit 10.29 to the Company’s Form 10-K filed March 1,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93">
              <w:r>
                <w:rPr>
                  <w:rStyle w:val="InternetLink"/>
                  <w:rFonts w:ascii="Times New Roman" w:hAnsi="Times New Roman"/>
                  <w:caps w:val="false"/>
                  <w:smallCaps w:val="false"/>
                  <w:sz w:val="20"/>
                </w:rPr>
                <w:t>10.37†</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94">
              <w:r>
                <w:rPr>
                  <w:rStyle w:val="InternetLink"/>
                  <w:rFonts w:ascii="Times New Roman" w:hAnsi="Times New Roman"/>
                  <w:caps w:val="false"/>
                  <w:smallCaps w:val="false"/>
                  <w:sz w:val="20"/>
                </w:rPr>
                <w:t>License Agreement dated as of June 27, 2000, by and among Albert Einstein College of Medicine, Industrial Research, Ltd. and BioCryst Pharmaceuticals, Inc., as amended by the First Amendment Agreement dated as of July 26, 2002 and the Second Amendment Agreement dated as of April 15, 2005. Incorporated by reference to Exhibit 10.32 to the Company’s Form 10-K filed March 1,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95">
              <w:r>
                <w:rPr>
                  <w:rStyle w:val="InternetLink"/>
                  <w:rFonts w:ascii="Times New Roman" w:hAnsi="Times New Roman"/>
                  <w:caps w:val="false"/>
                  <w:smallCaps w:val="false"/>
                  <w:sz w:val="20"/>
                </w:rPr>
                <w:t>10.38†*</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96">
              <w:r>
                <w:rPr>
                  <w:rStyle w:val="InternetLink"/>
                  <w:rFonts w:ascii="Times New Roman" w:hAnsi="Times New Roman"/>
                  <w:caps w:val="false"/>
                  <w:smallCaps w:val="false"/>
                  <w:sz w:val="20"/>
                </w:rPr>
                <w:t>Third Amendment Agreement by and among Albert Einstein College of Medicine, Industrial Research, Ltd. and BioCryst Pharmaceuticals, Inc., dated as of December 11, 2009. Incorporated by reference to Exhibit 10.33 to the Company’s Form 10-K filed March 1,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97">
              <w:r>
                <w:rPr>
                  <w:rStyle w:val="InternetLink"/>
                  <w:rFonts w:ascii="Times New Roman" w:hAnsi="Times New Roman"/>
                  <w:caps w:val="false"/>
                  <w:smallCaps w:val="false"/>
                  <w:sz w:val="20"/>
                </w:rPr>
                <w:t>10.39#</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98">
              <w:r>
                <w:rPr>
                  <w:rStyle w:val="InternetLink"/>
                  <w:rFonts w:ascii="Times New Roman" w:hAnsi="Times New Roman"/>
                  <w:caps w:val="false"/>
                  <w:smallCaps w:val="false"/>
                  <w:sz w:val="20"/>
                </w:rPr>
                <w:t>Fourth Amendment Agreement by and among Albert Einstein College of Medicine, Industrial Research, Ltd. and BioCryst Pharmaceuticals, Inc., dated as of May 5, 2010. Incorporated by reference to Exhibit 10.1 to the Company’s Form 10-Q filed August 6, 2010. (Portions omitted pursuant to request for confidential treatment.)</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r>
        <w:trPr/>
        <w:tc>
          <w:tcPr>
            <w:tcW w:w="540" w:type="dxa"/>
            <w:tcBorders/>
            <w:shd w:fill="auto" w:val="clear"/>
            <w:vAlign w:val="center"/>
          </w:tcPr>
          <w:p>
            <w:pPr>
              <w:pStyle w:val="TableContents"/>
              <w:spacing w:before="0" w:after="0"/>
              <w:ind w:left="0" w:right="0" w:hanging="0"/>
              <w:rPr/>
            </w:pPr>
            <w:hyperlink r:id="rId99">
              <w:r>
                <w:rPr>
                  <w:rStyle w:val="InternetLink"/>
                  <w:rFonts w:ascii="Times New Roman" w:hAnsi="Times New Roman"/>
                  <w:caps w:val="false"/>
                  <w:smallCaps w:val="false"/>
                  <w:sz w:val="20"/>
                </w:rPr>
                <w:t>10.40†</w:t>
              </w:r>
            </w:hyperlink>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ind w:left="0" w:right="0" w:hanging="0"/>
              <w:rPr/>
            </w:pPr>
            <w:hyperlink r:id="rId100">
              <w:r>
                <w:rPr>
                  <w:rStyle w:val="InternetLink"/>
                  <w:rFonts w:ascii="Times New Roman" w:hAnsi="Times New Roman"/>
                  <w:caps w:val="false"/>
                  <w:smallCaps w:val="false"/>
                  <w:sz w:val="20"/>
                </w:rPr>
                <w:t>Fifth Amendment Agreement by and among Albert Einstein College of Medicine, Industrial Research, Ltd. and BioCryst Pharmaceuticals, Inc., dated as of November 17, 2011. Incorporated by reference to Exhibit 10.35 to the Company’s Form 10-K filed March 1, 2021.</w:t>
              </w:r>
            </w:hyperlink>
          </w:p>
        </w:tc>
      </w:tr>
      <w:tr>
        <w:trPr/>
        <w:tc>
          <w:tcPr>
            <w:tcW w:w="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516"/>
        <w:gridCol w:w="60"/>
        <w:gridCol w:w="9629"/>
      </w:tblGrid>
      <w:tr>
        <w:trPr/>
        <w:tc>
          <w:tcPr>
            <w:tcW w:w="516" w:type="dxa"/>
            <w:tcBorders/>
            <w:shd w:fill="auto" w:val="clear"/>
            <w:vAlign w:val="center"/>
          </w:tcPr>
          <w:p>
            <w:pPr>
              <w:pStyle w:val="TableContents"/>
              <w:spacing w:before="0" w:after="0"/>
              <w:ind w:left="0" w:right="0" w:hanging="0"/>
              <w:rPr/>
            </w:pPr>
            <w:hyperlink r:id="rId101">
              <w:r>
                <w:rPr>
                  <w:rStyle w:val="InternetLink"/>
                  <w:rFonts w:ascii="Times New Roman" w:hAnsi="Times New Roman"/>
                  <w:caps w:val="false"/>
                  <w:smallCaps w:val="false"/>
                  <w:sz w:val="20"/>
                </w:rPr>
                <w:t>10.41†</w:t>
              </w:r>
            </w:hyperlink>
          </w:p>
        </w:tc>
        <w:tc>
          <w:tcPr>
            <w:tcW w:w="60" w:type="dxa"/>
            <w:tcBorders/>
            <w:shd w:fill="auto" w:val="clear"/>
            <w:vAlign w:val="center"/>
          </w:tcPr>
          <w:p>
            <w:pPr>
              <w:pStyle w:val="TableContents"/>
              <w:spacing w:before="0" w:after="283"/>
              <w:rPr/>
            </w:pPr>
            <w:r>
              <w:rPr/>
              <w:t> </w:t>
            </w:r>
          </w:p>
        </w:tc>
        <w:tc>
          <w:tcPr>
            <w:tcW w:w="9629" w:type="dxa"/>
            <w:tcBorders/>
            <w:shd w:fill="auto" w:val="clear"/>
            <w:vAlign w:val="center"/>
          </w:tcPr>
          <w:p>
            <w:pPr>
              <w:pStyle w:val="TableContents"/>
              <w:spacing w:before="0" w:after="0"/>
              <w:ind w:left="0" w:right="0" w:hanging="0"/>
              <w:rPr/>
            </w:pPr>
            <w:hyperlink r:id="rId102">
              <w:r>
                <w:rPr>
                  <w:rStyle w:val="InternetLink"/>
                  <w:rFonts w:ascii="Times New Roman" w:hAnsi="Times New Roman"/>
                  <w:caps w:val="false"/>
                  <w:smallCaps w:val="false"/>
                  <w:sz w:val="20"/>
                </w:rPr>
                <w:t>Sixth Amendment Agreement by and among Albert Einstein College of Medicine, Industrial Research, Ltd. and BioCryst Pharmaceuticals, Inc., dated as of June 19, 2012. Incorporated by reference to Exhibit 10.36 to the Company’s Form 10-K filed March 1, 2021.</w:t>
              </w:r>
            </w:hyperlink>
          </w:p>
        </w:tc>
      </w:tr>
      <w:tr>
        <w:trPr/>
        <w:tc>
          <w:tcPr>
            <w:tcW w:w="5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9" w:type="dxa"/>
            <w:tcBorders/>
            <w:shd w:fill="auto" w:val="clear"/>
            <w:vAlign w:val="center"/>
          </w:tcPr>
          <w:p>
            <w:pPr>
              <w:pStyle w:val="TableContents"/>
              <w:spacing w:before="0" w:after="283"/>
              <w:rPr/>
            </w:pPr>
            <w:r>
              <w:rPr/>
              <w:t> </w:t>
            </w:r>
          </w:p>
        </w:tc>
      </w:tr>
      <w:tr>
        <w:trPr/>
        <w:tc>
          <w:tcPr>
            <w:tcW w:w="516" w:type="dxa"/>
            <w:tcBorders/>
            <w:shd w:fill="auto" w:val="clear"/>
            <w:vAlign w:val="center"/>
          </w:tcPr>
          <w:p>
            <w:pPr>
              <w:pStyle w:val="TableContents"/>
              <w:spacing w:before="0" w:after="0"/>
              <w:ind w:left="0" w:right="0" w:hanging="0"/>
              <w:rPr/>
            </w:pPr>
            <w:hyperlink r:id="rId103">
              <w:r>
                <w:rPr>
                  <w:rStyle w:val="InternetLink"/>
                  <w:rFonts w:ascii="Times New Roman" w:hAnsi="Times New Roman"/>
                  <w:caps w:val="false"/>
                  <w:smallCaps w:val="false"/>
                  <w:sz w:val="20"/>
                </w:rPr>
                <w:t>10.42</w:t>
              </w:r>
            </w:hyperlink>
          </w:p>
        </w:tc>
        <w:tc>
          <w:tcPr>
            <w:tcW w:w="60" w:type="dxa"/>
            <w:tcBorders/>
            <w:shd w:fill="auto" w:val="clear"/>
            <w:vAlign w:val="center"/>
          </w:tcPr>
          <w:p>
            <w:pPr>
              <w:pStyle w:val="TableContents"/>
              <w:spacing w:before="0" w:after="283"/>
              <w:rPr/>
            </w:pPr>
            <w:r>
              <w:rPr/>
              <w:t> </w:t>
            </w:r>
          </w:p>
        </w:tc>
        <w:tc>
          <w:tcPr>
            <w:tcW w:w="9629" w:type="dxa"/>
            <w:tcBorders/>
            <w:shd w:fill="auto" w:val="clear"/>
            <w:vAlign w:val="center"/>
          </w:tcPr>
          <w:p>
            <w:pPr>
              <w:pStyle w:val="TableContents"/>
              <w:spacing w:before="0" w:after="0"/>
              <w:ind w:left="0" w:right="0" w:hanging="0"/>
              <w:rPr/>
            </w:pPr>
            <w:hyperlink r:id="rId104">
              <w:r>
                <w:rPr>
                  <w:rStyle w:val="InternetLink"/>
                  <w:rFonts w:ascii="Times New Roman" w:hAnsi="Times New Roman"/>
                  <w:caps w:val="false"/>
                  <w:smallCaps w:val="false"/>
                  <w:sz w:val="20"/>
                </w:rPr>
                <w:t>Novation Agreement among Albert Einstein College of Medicine of Yeshiva University, BioCryst Pharmaceuticals, Inc., Mundipharma International Corporation Limited, Callaghan Innovation Research Limited, and Victoria Link Limited, dated May 18, 2015. Incorporated by reference to Exhibit 10.6 to the Company’s Form 10-Q filed August 7, 2015.</w:t>
              </w:r>
            </w:hyperlink>
          </w:p>
        </w:tc>
      </w:tr>
      <w:tr>
        <w:trPr/>
        <w:tc>
          <w:tcPr>
            <w:tcW w:w="5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9"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91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519"/>
        <w:gridCol w:w="60"/>
        <w:gridCol w:w="9626"/>
      </w:tblGrid>
      <w:tr>
        <w:trPr/>
        <w:tc>
          <w:tcPr>
            <w:tcW w:w="519" w:type="dxa"/>
            <w:tcBorders/>
            <w:shd w:fill="auto" w:val="clear"/>
            <w:vAlign w:val="center"/>
          </w:tcPr>
          <w:p>
            <w:pPr>
              <w:pStyle w:val="TableContents"/>
              <w:spacing w:before="0" w:after="0"/>
              <w:ind w:left="0" w:right="0" w:hanging="0"/>
              <w:rPr/>
            </w:pPr>
            <w:hyperlink r:id="rId105">
              <w:r>
                <w:rPr>
                  <w:rStyle w:val="InternetLink"/>
                  <w:rFonts w:ascii="Times New Roman" w:hAnsi="Times New Roman"/>
                  <w:caps w:val="false"/>
                  <w:smallCaps w:val="false"/>
                  <w:sz w:val="20"/>
                </w:rPr>
                <w:t>10.43</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06">
              <w:r>
                <w:rPr>
                  <w:rStyle w:val="InternetLink"/>
                  <w:rFonts w:ascii="Times New Roman" w:hAnsi="Times New Roman"/>
                  <w:caps w:val="false"/>
                  <w:smallCaps w:val="false"/>
                  <w:sz w:val="20"/>
                </w:rPr>
                <w:t>Novation Agreement among Albert Einstein College of Medicine of Yeshiva University, BioCryst Pharmaceuticals, Inc., Callaghan Innovation Research Limited, and Victoria Link Limited, dated June 24, 2015.  Incorporated by reference to Exhibit 10.7 to the Company’s Form 10-Q filed August 7, 2015.</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07">
              <w:r>
                <w:rPr>
                  <w:rStyle w:val="InternetLink"/>
                  <w:rFonts w:ascii="Times New Roman" w:hAnsi="Times New Roman"/>
                  <w:caps w:val="false"/>
                  <w:smallCaps w:val="false"/>
                  <w:sz w:val="20"/>
                </w:rPr>
                <w:t>10.44</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08">
              <w:r>
                <w:rPr>
                  <w:rStyle w:val="InternetLink"/>
                  <w:rFonts w:ascii="Times New Roman" w:hAnsi="Times New Roman"/>
                  <w:caps w:val="false"/>
                  <w:smallCaps w:val="false"/>
                  <w:sz w:val="20"/>
                </w:rPr>
                <w:t>Purchase and Sale Agreement, dated as of March 9, 2011 between BioCryst Pharmaceuticals, Inc. and JPR Royalty Sub LLC. Incorporated by reference to Exhibit 10.1 of the Company’s Form 10-Q filed May 6, 2011.</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09">
              <w:r>
                <w:rPr>
                  <w:rStyle w:val="InternetLink"/>
                  <w:rFonts w:ascii="Times New Roman" w:hAnsi="Times New Roman"/>
                  <w:caps w:val="false"/>
                  <w:smallCaps w:val="false"/>
                  <w:sz w:val="20"/>
                </w:rPr>
                <w:t>10.45</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10">
              <w:r>
                <w:rPr>
                  <w:rStyle w:val="InternetLink"/>
                  <w:rFonts w:ascii="Times New Roman" w:hAnsi="Times New Roman"/>
                  <w:caps w:val="false"/>
                  <w:smallCaps w:val="false"/>
                  <w:sz w:val="20"/>
                </w:rPr>
                <w:t>Pledge and Security Agreement, dated as of March 9, 2011 between BioCryst Pharmaceuticals, Inc. and U.S. Bank National Association, as trustee. Incorporated by reference to Exhibit 10.2 of the Company’s Form 10-Q filed May 6, 2011.</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11">
              <w:r>
                <w:rPr>
                  <w:rStyle w:val="InternetLink"/>
                  <w:rFonts w:ascii="Times New Roman" w:hAnsi="Times New Roman"/>
                  <w:caps w:val="false"/>
                  <w:smallCaps w:val="false"/>
                  <w:sz w:val="20"/>
                </w:rPr>
                <w:t>10.46</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12">
              <w:r>
                <w:rPr>
                  <w:rStyle w:val="InternetLink"/>
                  <w:rFonts w:ascii="Times New Roman" w:hAnsi="Times New Roman"/>
                  <w:caps w:val="false"/>
                  <w:smallCaps w:val="false"/>
                  <w:sz w:val="20"/>
                </w:rPr>
                <w:t>Confirmation of terms and conditions of ISDA Master Agreement, dated as of March 7, 2011, between Morgan Stanley Capital Services Inc. and BioCryst Pharmaceuticals, Inc. dated as of March 9, 2011. Incorporated by reference to Exhibit 10.3 of the Company’s Form 10-Q filed May 6, 2011.</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13">
              <w:r>
                <w:rPr>
                  <w:rStyle w:val="InternetLink"/>
                  <w:rFonts w:ascii="Times New Roman" w:hAnsi="Times New Roman"/>
                  <w:caps w:val="false"/>
                  <w:smallCaps w:val="false"/>
                  <w:sz w:val="20"/>
                </w:rPr>
                <w:t>10.47#</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14">
              <w:r>
                <w:rPr>
                  <w:rStyle w:val="InternetLink"/>
                  <w:rFonts w:ascii="Times New Roman" w:hAnsi="Times New Roman"/>
                  <w:caps w:val="false"/>
                  <w:smallCaps w:val="false"/>
                  <w:sz w:val="20"/>
                </w:rPr>
                <w:t>Agreement, dated as of September 12, 2013, between BioCryst Pharmaceuticals, Inc. and the National Institute of Allergy and Infectious Diseases. Incorporated by reference to Exhibit 10.2 of the Company’s Form 10-Q filed November 8, 2013.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15">
              <w:r>
                <w:rPr>
                  <w:rStyle w:val="InternetLink"/>
                  <w:rFonts w:ascii="Times New Roman" w:hAnsi="Times New Roman"/>
                  <w:caps w:val="false"/>
                  <w:smallCaps w:val="false"/>
                  <w:sz w:val="20"/>
                </w:rPr>
                <w:t>10.48#</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16">
              <w:r>
                <w:rPr>
                  <w:rStyle w:val="InternetLink"/>
                  <w:rFonts w:ascii="Times New Roman" w:hAnsi="Times New Roman"/>
                  <w:caps w:val="false"/>
                  <w:smallCaps w:val="false"/>
                  <w:sz w:val="20"/>
                </w:rPr>
                <w:t>Amendment #1 to the Agreement between BioCryst Pharmaceuticals, Inc. and the National Institute of Allergy and Infectious Diseases, dated December 26, 2013. Incorporated by reference to Exhibit 10.51 to the Company’s Form 10-K filed on March 10, 2014.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17">
              <w:r>
                <w:rPr>
                  <w:rStyle w:val="InternetLink"/>
                  <w:rFonts w:ascii="Times New Roman" w:hAnsi="Times New Roman"/>
                  <w:caps w:val="false"/>
                  <w:smallCaps w:val="false"/>
                  <w:sz w:val="20"/>
                </w:rPr>
                <w:t>10.49#</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18">
              <w:r>
                <w:rPr>
                  <w:rStyle w:val="InternetLink"/>
                  <w:rFonts w:ascii="Times New Roman" w:hAnsi="Times New Roman"/>
                  <w:caps w:val="false"/>
                  <w:smallCaps w:val="false"/>
                  <w:sz w:val="20"/>
                </w:rPr>
                <w:t>Amendment #2 to the Agreement between BioCryst Pharmaceuticals, Inc. and the National Institute of Allergy and Infectious Diseases, dated January 24, 2014. Incorporated by reference to Exhibit 10.52 to the Company’s Form 10-K filed on March 10, 2014.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19">
              <w:r>
                <w:rPr>
                  <w:rStyle w:val="InternetLink"/>
                  <w:rFonts w:ascii="Times New Roman" w:hAnsi="Times New Roman"/>
                  <w:caps w:val="false"/>
                  <w:smallCaps w:val="false"/>
                  <w:sz w:val="20"/>
                </w:rPr>
                <w:t>10.50#</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20">
              <w:r>
                <w:rPr>
                  <w:rStyle w:val="InternetLink"/>
                  <w:rFonts w:ascii="Times New Roman" w:hAnsi="Times New Roman"/>
                  <w:caps w:val="false"/>
                  <w:smallCaps w:val="false"/>
                  <w:sz w:val="20"/>
                </w:rPr>
                <w:t>Amendment #3 to the Agreement between BioCryst Pharmaceuticals, Inc. and the National Institute of Allergy and Infectious Diseases, dated June 17, 2014. Incorporated by reference to Exhibit 10.5 to the Company’s Form 10-Q filed on August 8, 2014.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21">
              <w:r>
                <w:rPr>
                  <w:rStyle w:val="InternetLink"/>
                  <w:rFonts w:ascii="Times New Roman" w:hAnsi="Times New Roman"/>
                  <w:caps w:val="false"/>
                  <w:smallCaps w:val="false"/>
                  <w:sz w:val="20"/>
                </w:rPr>
                <w:t>10.51#</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22">
              <w:r>
                <w:rPr>
                  <w:rStyle w:val="InternetLink"/>
                  <w:rFonts w:ascii="Times New Roman" w:hAnsi="Times New Roman"/>
                  <w:caps w:val="false"/>
                  <w:smallCaps w:val="false"/>
                  <w:sz w:val="20"/>
                </w:rPr>
                <w:t>Amendment #4 to the Agreement between BioCryst Pharmaceuticals, Inc. and the National Institute of Allergy and Infectious Diseases, dated June 17, 2014. Incorporated by reference to Exhibit 10.6 to the Company’s Form 10-Q filed on August 8, 2014.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23">
              <w:r>
                <w:rPr>
                  <w:rStyle w:val="InternetLink"/>
                  <w:rFonts w:ascii="Times New Roman" w:hAnsi="Times New Roman"/>
                  <w:caps w:val="false"/>
                  <w:smallCaps w:val="false"/>
                  <w:sz w:val="20"/>
                </w:rPr>
                <w:t>10.52#</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24">
              <w:r>
                <w:rPr>
                  <w:rStyle w:val="InternetLink"/>
                  <w:rFonts w:ascii="Times New Roman" w:hAnsi="Times New Roman"/>
                  <w:caps w:val="false"/>
                  <w:smallCaps w:val="false"/>
                  <w:sz w:val="20"/>
                </w:rPr>
                <w:t>Amendment #5 to the Agreement between BioCryst Pharmaceuticals, Inc. and the National Institute of Allergy and Infectious Diseases, dated August 11, 2014. Incorporated by reference to Exhibit 10.1 to the Company’s Form 10-Q filed on November 7, 2014.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25">
              <w:r>
                <w:rPr>
                  <w:rStyle w:val="InternetLink"/>
                  <w:rFonts w:ascii="Times New Roman" w:hAnsi="Times New Roman"/>
                  <w:caps w:val="false"/>
                  <w:smallCaps w:val="false"/>
                  <w:sz w:val="20"/>
                </w:rPr>
                <w:t>10.53#</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26">
              <w:r>
                <w:rPr>
                  <w:rStyle w:val="InternetLink"/>
                  <w:rFonts w:ascii="Times New Roman" w:hAnsi="Times New Roman"/>
                  <w:caps w:val="false"/>
                  <w:smallCaps w:val="false"/>
                  <w:sz w:val="20"/>
                </w:rPr>
                <w:t>Amendment #6 to the Agreement between BioCryst Pharmaceuticals, Inc. and the National Institute of Allergy and Infectious Diseases, dated August 27, 2014. Incorporated by reference to Exhibit 10.2 to the Company’s Form 10-Q filed on November 7, 2014.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27">
              <w:r>
                <w:rPr>
                  <w:rStyle w:val="InternetLink"/>
                  <w:rFonts w:ascii="Times New Roman" w:hAnsi="Times New Roman"/>
                  <w:caps w:val="false"/>
                  <w:smallCaps w:val="false"/>
                  <w:sz w:val="20"/>
                </w:rPr>
                <w:t>10.54#</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28">
              <w:r>
                <w:rPr>
                  <w:rStyle w:val="InternetLink"/>
                  <w:rFonts w:ascii="Times New Roman" w:hAnsi="Times New Roman"/>
                  <w:caps w:val="false"/>
                  <w:smallCaps w:val="false"/>
                  <w:sz w:val="20"/>
                </w:rPr>
                <w:t>Amendment #8 to the Agreement between BioCryst Pharmaceuticals, Inc. and the National Institute of Allergy and Infectious Diseases, dated September 17, 2014. Incorporated by reference to Exhibit 10.3 to the Company’s Form 10-Q filed on November 7, 2014.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29">
              <w:r>
                <w:rPr>
                  <w:rStyle w:val="InternetLink"/>
                  <w:rFonts w:ascii="Times New Roman" w:hAnsi="Times New Roman"/>
                  <w:caps w:val="false"/>
                  <w:smallCaps w:val="false"/>
                  <w:sz w:val="20"/>
                </w:rPr>
                <w:t>10.55#</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30">
              <w:r>
                <w:rPr>
                  <w:rStyle w:val="InternetLink"/>
                  <w:rFonts w:ascii="Times New Roman" w:hAnsi="Times New Roman"/>
                  <w:caps w:val="false"/>
                  <w:smallCaps w:val="false"/>
                  <w:sz w:val="20"/>
                </w:rPr>
                <w:t>Amendment #9 to the Agreement between BioCryst Pharmaceuticals, Inc. and the National Institute of Allergy and Infectious Diseases, dated October 29, 2014. Incorporated by reference to Exhibit 10.4 to the Company’s Form 10-Q filed on November 7, 2014. (Portions omitted pursuant to request for confidential treatment.)</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519"/>
        <w:gridCol w:w="60"/>
        <w:gridCol w:w="9626"/>
      </w:tblGrid>
      <w:tr>
        <w:trPr/>
        <w:tc>
          <w:tcPr>
            <w:tcW w:w="519" w:type="dxa"/>
            <w:tcBorders/>
            <w:shd w:fill="auto" w:val="clear"/>
            <w:vAlign w:val="center"/>
          </w:tcPr>
          <w:p>
            <w:pPr>
              <w:pStyle w:val="TableContents"/>
              <w:spacing w:before="0" w:after="0"/>
              <w:ind w:left="0" w:right="0" w:hanging="0"/>
              <w:rPr/>
            </w:pPr>
            <w:hyperlink r:id="rId131">
              <w:r>
                <w:rPr>
                  <w:rStyle w:val="InternetLink"/>
                  <w:rFonts w:ascii="Times New Roman" w:hAnsi="Times New Roman"/>
                  <w:caps w:val="false"/>
                  <w:smallCaps w:val="false"/>
                  <w:sz w:val="20"/>
                </w:rPr>
                <w:t>10.56#</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32">
              <w:r>
                <w:rPr>
                  <w:rStyle w:val="InternetLink"/>
                  <w:rFonts w:ascii="Times New Roman" w:hAnsi="Times New Roman"/>
                  <w:caps w:val="false"/>
                  <w:smallCaps w:val="false"/>
                  <w:sz w:val="20"/>
                </w:rPr>
                <w:t>Amendment #10 to the Agreement between BioCryst Pharmaceuticals, Inc. and the National Institute of Allergy and Infectious Diseases, dated February 13, 2015. Incorporated by reference to Exhibit 10.2 to the Company’s Form 10-Q filed on August 7, 2015.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33">
              <w:r>
                <w:rPr>
                  <w:rStyle w:val="InternetLink"/>
                  <w:rFonts w:ascii="Times New Roman" w:hAnsi="Times New Roman"/>
                  <w:caps w:val="false"/>
                  <w:smallCaps w:val="false"/>
                  <w:sz w:val="20"/>
                </w:rPr>
                <w:t>10.57#</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34">
              <w:r>
                <w:rPr>
                  <w:rStyle w:val="InternetLink"/>
                  <w:rFonts w:ascii="Times New Roman" w:hAnsi="Times New Roman"/>
                  <w:caps w:val="false"/>
                  <w:smallCaps w:val="false"/>
                  <w:sz w:val="20"/>
                </w:rPr>
                <w:t>Amendment #11 to the Agreement between BioCryst Pharmaceuticals, Inc. and the National Institute of Allergy and Infectious Diseases, dated March 19, 2015. Incorporated by reference to Exhibit 10.3 to the Company’s Form 10-Q filed on August 7, 2015.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35">
              <w:r>
                <w:rPr>
                  <w:rStyle w:val="InternetLink"/>
                  <w:rFonts w:ascii="Times New Roman" w:hAnsi="Times New Roman"/>
                  <w:caps w:val="false"/>
                  <w:smallCaps w:val="false"/>
                  <w:sz w:val="20"/>
                </w:rPr>
                <w:t>10.58#</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36">
              <w:r>
                <w:rPr>
                  <w:rStyle w:val="InternetLink"/>
                  <w:rFonts w:ascii="Times New Roman" w:hAnsi="Times New Roman"/>
                  <w:caps w:val="false"/>
                  <w:smallCaps w:val="false"/>
                  <w:sz w:val="20"/>
                </w:rPr>
                <w:t>Amendment #12 to the Agreement between BioCryst Pharmaceuticals, Inc. and the National Institute of Allergy and Infectious Diseases, dated June 12, 2015. Incorporated by reference to Exhibit 10.4 to the Company’s Form 10-Q filed on August 7, 2015.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92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519"/>
        <w:gridCol w:w="60"/>
        <w:gridCol w:w="9626"/>
      </w:tblGrid>
      <w:tr>
        <w:trPr/>
        <w:tc>
          <w:tcPr>
            <w:tcW w:w="519" w:type="dxa"/>
            <w:tcBorders/>
            <w:shd w:fill="auto" w:val="clear"/>
            <w:vAlign w:val="center"/>
          </w:tcPr>
          <w:p>
            <w:pPr>
              <w:pStyle w:val="TableContents"/>
              <w:spacing w:before="0" w:after="0"/>
              <w:ind w:left="0" w:right="0" w:hanging="0"/>
              <w:rPr/>
            </w:pPr>
            <w:hyperlink r:id="rId137">
              <w:r>
                <w:rPr>
                  <w:rStyle w:val="InternetLink"/>
                  <w:rFonts w:ascii="Times New Roman" w:hAnsi="Times New Roman"/>
                  <w:caps w:val="false"/>
                  <w:smallCaps w:val="false"/>
                  <w:sz w:val="20"/>
                </w:rPr>
                <w:t>10.59#</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38">
              <w:r>
                <w:rPr>
                  <w:rStyle w:val="InternetLink"/>
                  <w:rFonts w:ascii="Times New Roman" w:hAnsi="Times New Roman"/>
                  <w:caps w:val="false"/>
                  <w:smallCaps w:val="false"/>
                  <w:sz w:val="20"/>
                </w:rPr>
                <w:t>Amendment #13 to the Agreement between BioCryst Pharmaceuticals, Inc. and the National Institute of Allergy and Infectious Diseases, dated June 17, 2015. Incorporated by reference to Exhibit 10.5 to the Company’s Form 10-Q filed on August 7, 2015.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39">
              <w:r>
                <w:rPr>
                  <w:rStyle w:val="InternetLink"/>
                  <w:rFonts w:ascii="Times New Roman" w:hAnsi="Times New Roman"/>
                  <w:caps w:val="false"/>
                  <w:smallCaps w:val="false"/>
                  <w:sz w:val="20"/>
                </w:rPr>
                <w:t>10.60#</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40">
              <w:r>
                <w:rPr>
                  <w:rStyle w:val="InternetLink"/>
                  <w:rFonts w:ascii="Times New Roman" w:hAnsi="Times New Roman"/>
                  <w:caps w:val="false"/>
                  <w:smallCaps w:val="false"/>
                  <w:sz w:val="20"/>
                </w:rPr>
                <w:t>Amendment #14 to the Agreement between BioCryst Pharmaceuticals, Inc. and the National Institute of Allergy and Infectious Diseases, dated September 16, 2015. Incorporated by reference to Exhibit 10.3 to the Company’s Form 10-Q filed on November 6, 2015.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41">
              <w:r>
                <w:rPr>
                  <w:rStyle w:val="InternetLink"/>
                  <w:rFonts w:ascii="Times New Roman" w:hAnsi="Times New Roman"/>
                  <w:caps w:val="false"/>
                  <w:smallCaps w:val="false"/>
                  <w:sz w:val="20"/>
                </w:rPr>
                <w:t>10.61</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42">
              <w:r>
                <w:rPr>
                  <w:rStyle w:val="InternetLink"/>
                  <w:rFonts w:ascii="Times New Roman" w:hAnsi="Times New Roman"/>
                  <w:caps w:val="false"/>
                  <w:smallCaps w:val="false"/>
                  <w:sz w:val="20"/>
                </w:rPr>
                <w:t>Amendment #15 to the Agreement between BioCryst Pharmaceuticals, Inc. and the National Institute of Allergy and Infectious Diseases, dated November 16, 2015. Incorporated by reference to Exhibit 10.70 to the Company’s Form 10-K filed on February 26, 2016.</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43">
              <w:r>
                <w:rPr>
                  <w:rStyle w:val="InternetLink"/>
                  <w:rFonts w:ascii="Times New Roman" w:hAnsi="Times New Roman"/>
                  <w:caps w:val="false"/>
                  <w:smallCaps w:val="false"/>
                  <w:sz w:val="20"/>
                </w:rPr>
                <w:t>10.62#</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44">
              <w:r>
                <w:rPr>
                  <w:rStyle w:val="InternetLink"/>
                  <w:rFonts w:ascii="Times New Roman" w:hAnsi="Times New Roman"/>
                  <w:caps w:val="false"/>
                  <w:smallCaps w:val="false"/>
                  <w:sz w:val="20"/>
                </w:rPr>
                <w:t>Amendment #16 to the Agreement between BioCryst Pharmaceuticals, Inc. and the National Institute of Allergy and Infectious Diseases, dated December 18, 2015. Incorporated by reference to Exhibit 10.71 to the Company’s Form 10-K filed on February 26, 2016.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45">
              <w:r>
                <w:rPr>
                  <w:rStyle w:val="InternetLink"/>
                  <w:rFonts w:ascii="Times New Roman" w:hAnsi="Times New Roman"/>
                  <w:caps w:val="false"/>
                  <w:smallCaps w:val="false"/>
                  <w:sz w:val="20"/>
                </w:rPr>
                <w:t>10.63</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46">
              <w:r>
                <w:rPr>
                  <w:rStyle w:val="InternetLink"/>
                  <w:rFonts w:ascii="Times New Roman" w:hAnsi="Times New Roman"/>
                  <w:caps w:val="false"/>
                  <w:smallCaps w:val="false"/>
                  <w:sz w:val="20"/>
                </w:rPr>
                <w:t>Amendment #17 to the Agreement between BioCryst Pharmaceuticals, Inc. and the National Institute of Allergy and Infectious Diseases, dated April 18, 2016. Incorporated by reference to Exhibit 10.74 to the Company’s Form 10-K filed on February 27, 2017.</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47">
              <w:r>
                <w:rPr>
                  <w:rStyle w:val="InternetLink"/>
                  <w:rFonts w:ascii="Times New Roman" w:hAnsi="Times New Roman"/>
                  <w:caps w:val="false"/>
                  <w:smallCaps w:val="false"/>
                  <w:sz w:val="20"/>
                </w:rPr>
                <w:t>10.64#</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48">
              <w:r>
                <w:rPr>
                  <w:rStyle w:val="InternetLink"/>
                  <w:rFonts w:ascii="Times New Roman" w:hAnsi="Times New Roman"/>
                  <w:caps w:val="false"/>
                  <w:smallCaps w:val="false"/>
                  <w:sz w:val="20"/>
                </w:rPr>
                <w:t>Amendment #18 to the Agreement between BioCryst Pharmaceuticals, Inc. and the National Institute of Allergy and Infectious Diseases, dated June 30, 2016. Incorporated by reference to Exhibit 10.3 to the Company’s Form 10-Q filed on August 8, 2016.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49">
              <w:r>
                <w:rPr>
                  <w:rStyle w:val="InternetLink"/>
                  <w:rFonts w:ascii="Times New Roman" w:hAnsi="Times New Roman"/>
                  <w:caps w:val="false"/>
                  <w:smallCaps w:val="false"/>
                  <w:sz w:val="20"/>
                </w:rPr>
                <w:t>10.65#</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50">
              <w:r>
                <w:rPr>
                  <w:rStyle w:val="InternetLink"/>
                  <w:rFonts w:ascii="Times New Roman" w:hAnsi="Times New Roman"/>
                  <w:caps w:val="false"/>
                  <w:smallCaps w:val="false"/>
                  <w:sz w:val="20"/>
                </w:rPr>
                <w:t>Amendment #19 to the Agreement between BioCryst Pharmaceuticals, Inc. and the National Institute of Allergy and Infectious Diseases, dated August 10, 2016. Incorporated by reference to Exhibit 10.1 to the Company’s Form 10-Q filed on November 8, 2016.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51">
              <w:r>
                <w:rPr>
                  <w:rStyle w:val="InternetLink"/>
                  <w:rFonts w:ascii="Times New Roman" w:hAnsi="Times New Roman"/>
                  <w:caps w:val="false"/>
                  <w:smallCaps w:val="false"/>
                  <w:sz w:val="20"/>
                </w:rPr>
                <w:t>10.66#</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52">
              <w:r>
                <w:rPr>
                  <w:rStyle w:val="InternetLink"/>
                  <w:rFonts w:ascii="Times New Roman" w:hAnsi="Times New Roman"/>
                  <w:caps w:val="false"/>
                  <w:smallCaps w:val="false"/>
                  <w:sz w:val="20"/>
                </w:rPr>
                <w:t>Amendment #20 to the Agreement between BioCryst Pharmaceuticals, Inc. and the National Institute of Allergy and Infectious Diseases, dated January 9, 2017. Incorporated by reference to Exhibit 10.77 to the Company’s Form 10-K filed on February 27, 2017.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53">
              <w:r>
                <w:rPr>
                  <w:rStyle w:val="InternetLink"/>
                  <w:rFonts w:ascii="Times New Roman" w:hAnsi="Times New Roman"/>
                  <w:caps w:val="false"/>
                  <w:smallCaps w:val="false"/>
                  <w:sz w:val="20"/>
                </w:rPr>
                <w:t>10.67#</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54">
              <w:r>
                <w:rPr>
                  <w:rStyle w:val="InternetLink"/>
                  <w:rFonts w:ascii="Times New Roman" w:hAnsi="Times New Roman"/>
                  <w:caps w:val="false"/>
                  <w:smallCaps w:val="false"/>
                  <w:sz w:val="20"/>
                </w:rPr>
                <w:t>Amendment #21 to the Agreement between BioCryst Pharmaceuticals, Inc. and the National Institute of Allergy and Infectious Diseases, dated March 21, 2018. Incorporated by reference to Exhibit 10.1 to the Company’s Form 10-Q filed on May 9, 2018. (Portions omitted pursuant to request for confidential treatment.)</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55">
              <w:r>
                <w:rPr>
                  <w:rStyle w:val="InternetLink"/>
                  <w:rFonts w:ascii="Times New Roman" w:hAnsi="Times New Roman"/>
                  <w:caps w:val="false"/>
                  <w:smallCaps w:val="false"/>
                  <w:sz w:val="20"/>
                </w:rPr>
                <w:t>10.68</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56">
              <w:r>
                <w:rPr>
                  <w:rStyle w:val="InternetLink"/>
                  <w:rFonts w:ascii="Times New Roman" w:hAnsi="Times New Roman"/>
                  <w:caps w:val="false"/>
                  <w:smallCaps w:val="false"/>
                  <w:sz w:val="20"/>
                </w:rPr>
                <w:t>Amendment #22 to the Agreement between BioCryst Pharmaceuticals, Inc. and the National Institute of Allergy and Infectious Diseases, dated September 10, 2018. Incorporated by reference to Exhibit 10.3 to the Company’s Form 10-Q filed November 8, 2018.</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57">
              <w:r>
                <w:rPr>
                  <w:rStyle w:val="InternetLink"/>
                  <w:rFonts w:ascii="Times New Roman" w:hAnsi="Times New Roman"/>
                  <w:caps w:val="false"/>
                  <w:smallCaps w:val="false"/>
                  <w:sz w:val="20"/>
                </w:rPr>
                <w:t>10.69</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58">
              <w:r>
                <w:rPr>
                  <w:rStyle w:val="InternetLink"/>
                  <w:rFonts w:ascii="Times New Roman" w:hAnsi="Times New Roman"/>
                  <w:caps w:val="false"/>
                  <w:smallCaps w:val="false"/>
                  <w:sz w:val="20"/>
                </w:rPr>
                <w:t>Amendment #23 to the Agreement between BioCryst Pharmaceuticals, Inc. and the National Institute of Allergy and Infectious Diseases, dated August 21, 2020. Incorporated by reference to Exhibit 10.2 to the Company’s Form 10-Q filed November 6, 2020.</w:t>
              </w:r>
            </w:hyperlink>
          </w:p>
        </w:tc>
      </w:tr>
      <w:tr>
        <w:trPr/>
        <w:tc>
          <w:tcPr>
            <w:tcW w:w="5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283"/>
              <w:rPr/>
            </w:pPr>
            <w:r>
              <w:rPr/>
              <w:t> </w:t>
            </w:r>
          </w:p>
        </w:tc>
      </w:tr>
      <w:tr>
        <w:trPr/>
        <w:tc>
          <w:tcPr>
            <w:tcW w:w="519" w:type="dxa"/>
            <w:tcBorders/>
            <w:shd w:fill="auto" w:val="clear"/>
            <w:vAlign w:val="center"/>
          </w:tcPr>
          <w:p>
            <w:pPr>
              <w:pStyle w:val="TableContents"/>
              <w:spacing w:before="0" w:after="0"/>
              <w:ind w:left="0" w:right="0" w:hanging="0"/>
              <w:rPr/>
            </w:pPr>
            <w:hyperlink r:id="rId159">
              <w:r>
                <w:rPr>
                  <w:rStyle w:val="InternetLink"/>
                  <w:rFonts w:ascii="Times New Roman" w:hAnsi="Times New Roman"/>
                  <w:caps w:val="false"/>
                  <w:smallCaps w:val="false"/>
                  <w:sz w:val="20"/>
                </w:rPr>
                <w:t>10.70</w:t>
              </w:r>
            </w:hyperlink>
          </w:p>
        </w:tc>
        <w:tc>
          <w:tcPr>
            <w:tcW w:w="60" w:type="dxa"/>
            <w:tcBorders/>
            <w:shd w:fill="auto" w:val="clear"/>
            <w:vAlign w:val="center"/>
          </w:tcPr>
          <w:p>
            <w:pPr>
              <w:pStyle w:val="TableContents"/>
              <w:spacing w:before="0" w:after="283"/>
              <w:rPr/>
            </w:pPr>
            <w:r>
              <w:rPr/>
              <w:t> </w:t>
            </w:r>
          </w:p>
        </w:tc>
        <w:tc>
          <w:tcPr>
            <w:tcW w:w="9626" w:type="dxa"/>
            <w:tcBorders/>
            <w:shd w:fill="auto" w:val="clear"/>
            <w:vAlign w:val="center"/>
          </w:tcPr>
          <w:p>
            <w:pPr>
              <w:pStyle w:val="TableContents"/>
              <w:spacing w:before="0" w:after="0"/>
              <w:ind w:left="0" w:right="0" w:hanging="0"/>
              <w:rPr/>
            </w:pPr>
            <w:hyperlink r:id="rId160">
              <w:r>
                <w:rPr>
                  <w:rStyle w:val="InternetLink"/>
                  <w:rFonts w:ascii="Times New Roman" w:hAnsi="Times New Roman"/>
                  <w:caps w:val="false"/>
                  <w:smallCaps w:val="false"/>
                  <w:sz w:val="20"/>
                </w:rPr>
                <w:t>Amendment #23 to the Agreement between BioCryst Pharmaceuticals, Inc. and the National Institute of Allergy and Infectious Diseases, dated September 14, 2020. Incorporated by reference to Exhibit 10.3 to the Company’s Form 10-Q filed November 6, 2020.</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65"/>
        <w:gridCol w:w="60"/>
        <w:gridCol w:w="9480"/>
      </w:tblGrid>
      <w:tr>
        <w:trPr/>
        <w:tc>
          <w:tcPr>
            <w:tcW w:w="665" w:type="dxa"/>
            <w:tcBorders/>
            <w:shd w:fill="auto" w:val="clear"/>
            <w:vAlign w:val="center"/>
          </w:tcPr>
          <w:p>
            <w:pPr>
              <w:pStyle w:val="TableContents"/>
              <w:spacing w:before="0" w:after="0"/>
              <w:ind w:left="0" w:right="0" w:hanging="0"/>
              <w:rPr/>
            </w:pPr>
            <w:hyperlink r:id="rId161">
              <w:r>
                <w:rPr>
                  <w:rStyle w:val="InternetLink"/>
                  <w:rFonts w:ascii="Times New Roman" w:hAnsi="Times New Roman"/>
                  <w:caps w:val="false"/>
                  <w:smallCaps w:val="false"/>
                  <w:sz w:val="20"/>
                </w:rPr>
                <w:t>10.71</w:t>
              </w:r>
            </w:hyperlink>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0"/>
              <w:ind w:left="0" w:right="0" w:hanging="0"/>
              <w:rPr/>
            </w:pPr>
            <w:hyperlink r:id="rId162">
              <w:r>
                <w:rPr>
                  <w:rStyle w:val="InternetLink"/>
                  <w:rFonts w:ascii="Times New Roman" w:hAnsi="Times New Roman"/>
                  <w:caps w:val="false"/>
                  <w:smallCaps w:val="false"/>
                  <w:sz w:val="20"/>
                </w:rPr>
                <w:t>Amendment #25 to the Agreement between BioCryst Pharmaceuticals, Inc. and the National Institute of Allergy and Infectious Diseases, dated September 15, 2021. Incorporated by reference to Exhibit 10.7 to the Company’s Form 10-Q filed November 4, 2021.</w:t>
              </w:r>
            </w:hyperlink>
          </w:p>
        </w:tc>
      </w:tr>
      <w:tr>
        <w:trPr/>
        <w:tc>
          <w:tcPr>
            <w:tcW w:w="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283"/>
              <w:rPr/>
            </w:pPr>
            <w:r>
              <w:rPr/>
              <w:t> </w:t>
            </w:r>
          </w:p>
        </w:tc>
      </w:tr>
      <w:tr>
        <w:trPr/>
        <w:tc>
          <w:tcPr>
            <w:tcW w:w="665" w:type="dxa"/>
            <w:tcBorders/>
            <w:shd w:fill="auto" w:val="clear"/>
            <w:vAlign w:val="center"/>
          </w:tcPr>
          <w:p>
            <w:pPr>
              <w:pStyle w:val="TableContents"/>
              <w:spacing w:before="0" w:after="283"/>
              <w:rPr/>
            </w:pPr>
            <w:hyperlink w:anchor="ex_341111.htm">
              <w:r>
                <w:rPr>
                  <w:rStyle w:val="InternetLink"/>
                </w:rPr>
                <w:t>(10.72)</w:t>
              </w:r>
            </w:hyperlink>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283"/>
              <w:rPr/>
            </w:pPr>
            <w:hyperlink w:anchor="ex_341111.htm">
              <w:r>
                <w:rPr>
                  <w:rStyle w:val="InternetLink"/>
                </w:rPr>
                <w:t>Amendment #26 to the Agreement between BioCryst Pharmaceuticals, Inc. and the National Institute of Allergy and Infectious Diseases, dated October 27, 2021.</w:t>
              </w:r>
            </w:hyperlink>
          </w:p>
        </w:tc>
      </w:tr>
      <w:tr>
        <w:trPr/>
        <w:tc>
          <w:tcPr>
            <w:tcW w:w="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283"/>
              <w:rPr/>
            </w:pPr>
            <w:r>
              <w:rPr/>
              <w:t> </w:t>
            </w:r>
          </w:p>
        </w:tc>
      </w:tr>
      <w:tr>
        <w:trPr/>
        <w:tc>
          <w:tcPr>
            <w:tcW w:w="665" w:type="dxa"/>
            <w:tcBorders/>
            <w:shd w:fill="auto" w:val="clear"/>
            <w:vAlign w:val="center"/>
          </w:tcPr>
          <w:p>
            <w:pPr>
              <w:pStyle w:val="TableContents"/>
              <w:spacing w:before="0" w:after="0"/>
              <w:ind w:left="0" w:right="0" w:hanging="0"/>
              <w:rPr/>
            </w:pPr>
            <w:hyperlink r:id="rId163">
              <w:r>
                <w:rPr>
                  <w:rStyle w:val="InternetLink"/>
                  <w:rFonts w:ascii="Times New Roman" w:hAnsi="Times New Roman"/>
                  <w:caps w:val="false"/>
                  <w:smallCaps w:val="false"/>
                  <w:sz w:val="20"/>
                </w:rPr>
                <w:t>10.73†</w:t>
              </w:r>
            </w:hyperlink>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0"/>
              <w:ind w:left="0" w:right="0" w:hanging="0"/>
              <w:rPr/>
            </w:pPr>
            <w:hyperlink r:id="rId164">
              <w:r>
                <w:rPr>
                  <w:rStyle w:val="InternetLink"/>
                  <w:rFonts w:ascii="Times New Roman" w:hAnsi="Times New Roman"/>
                  <w:caps w:val="false"/>
                  <w:smallCaps w:val="false"/>
                  <w:sz w:val="20"/>
                </w:rPr>
                <w:t>Agreement, dated September 1, 2020, between BioCryst Pharmaceuticals, Inc. and the National Institute of Allergy and Infectious Diseases. Incorporated by reference to Exhibit 10.4 to the Company’s Form 10-Q filed November 6, 2020.</w:t>
              </w:r>
            </w:hyperlink>
          </w:p>
        </w:tc>
      </w:tr>
      <w:tr>
        <w:trPr/>
        <w:tc>
          <w:tcPr>
            <w:tcW w:w="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283"/>
              <w:rPr/>
            </w:pPr>
            <w:r>
              <w:rPr/>
              <w:t> </w:t>
            </w:r>
          </w:p>
        </w:tc>
      </w:tr>
      <w:tr>
        <w:trPr/>
        <w:tc>
          <w:tcPr>
            <w:tcW w:w="665" w:type="dxa"/>
            <w:tcBorders/>
            <w:shd w:fill="auto" w:val="clear"/>
            <w:vAlign w:val="center"/>
          </w:tcPr>
          <w:p>
            <w:pPr>
              <w:pStyle w:val="TableContents"/>
              <w:spacing w:before="0" w:after="0"/>
              <w:ind w:left="0" w:right="0" w:hanging="0"/>
              <w:rPr/>
            </w:pPr>
            <w:hyperlink r:id="rId165">
              <w:r>
                <w:rPr>
                  <w:rStyle w:val="InternetLink"/>
                  <w:rFonts w:ascii="Times New Roman" w:hAnsi="Times New Roman"/>
                  <w:caps w:val="false"/>
                  <w:smallCaps w:val="false"/>
                  <w:sz w:val="20"/>
                </w:rPr>
                <w:t>10.74†</w:t>
              </w:r>
            </w:hyperlink>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0"/>
              <w:ind w:left="0" w:right="0" w:hanging="0"/>
              <w:rPr/>
            </w:pPr>
            <w:hyperlink r:id="rId166">
              <w:r>
                <w:rPr>
                  <w:rStyle w:val="InternetLink"/>
                  <w:rFonts w:ascii="Times New Roman" w:hAnsi="Times New Roman"/>
                  <w:caps w:val="false"/>
                  <w:smallCaps w:val="false"/>
                  <w:sz w:val="20"/>
                </w:rPr>
                <w:t>Amendment #1 to the Agreement between BioCryst Pharmaceuticals, Inc. and the National Institute of Allergy and Infectious Diseases, dated October 14, 2020. Incorporated by reference to the Company’s Form 10-Q filed November 6, 2020.</w:t>
              </w:r>
            </w:hyperlink>
          </w:p>
        </w:tc>
      </w:tr>
      <w:tr>
        <w:trPr/>
        <w:tc>
          <w:tcPr>
            <w:tcW w:w="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8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93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558"/>
        <w:gridCol w:w="60"/>
        <w:gridCol w:w="9587"/>
      </w:tblGrid>
      <w:tr>
        <w:trPr/>
        <w:tc>
          <w:tcPr>
            <w:tcW w:w="558" w:type="dxa"/>
            <w:tcBorders/>
            <w:shd w:fill="auto" w:val="clear"/>
            <w:vAlign w:val="center"/>
          </w:tcPr>
          <w:p>
            <w:pPr>
              <w:pStyle w:val="TableContents"/>
              <w:spacing w:before="0" w:after="0"/>
              <w:ind w:left="0" w:right="0" w:hanging="0"/>
              <w:rPr/>
            </w:pPr>
            <w:hyperlink r:id="rId167">
              <w:r>
                <w:rPr>
                  <w:rStyle w:val="InternetLink"/>
                  <w:rFonts w:ascii="Times New Roman" w:hAnsi="Times New Roman"/>
                  <w:caps w:val="false"/>
                  <w:smallCaps w:val="false"/>
                  <w:sz w:val="20"/>
                </w:rPr>
                <w:t>10.75</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68">
              <w:r>
                <w:rPr>
                  <w:rStyle w:val="InternetLink"/>
                  <w:rFonts w:ascii="Times New Roman" w:hAnsi="Times New Roman"/>
                  <w:caps w:val="false"/>
                  <w:smallCaps w:val="false"/>
                  <w:sz w:val="20"/>
                </w:rPr>
                <w:t>Amendment #2 to the Agreement between BioCryst Pharmaceuticals, Inc. and the National Institute of Allergy and Infectious Diseases, dated June 29, 2021. Incorporated by reference to Exhibit 10.3 to the Company’s Form 10-Q filed August 9, 2021.</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w:anchor="ex_340702.htm">
              <w:r>
                <w:rPr>
                  <w:rStyle w:val="InternetLink"/>
                  <w:rFonts w:ascii="Times New Roman" w:hAnsi="Times New Roman"/>
                  <w:caps w:val="false"/>
                  <w:smallCaps w:val="false"/>
                  <w:sz w:val="20"/>
                </w:rPr>
                <w:t>(10.76)</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w:anchor="ex_340702.htm">
              <w:r>
                <w:rPr>
                  <w:rStyle w:val="InternetLink"/>
                  <w:rFonts w:ascii="Times New Roman" w:hAnsi="Times New Roman"/>
                  <w:caps w:val="false"/>
                  <w:smallCaps w:val="false"/>
                  <w:sz w:val="20"/>
                </w:rPr>
                <w:t>Amendment #3 to the Agreement between BioCryst Pharmaceuticals, Inc. and the National Institute of Allergy and Infectious Diseases, dated October 27, 2021.</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69">
              <w:r>
                <w:rPr>
                  <w:rStyle w:val="InternetLink"/>
                  <w:rFonts w:ascii="Times New Roman" w:hAnsi="Times New Roman"/>
                  <w:caps w:val="false"/>
                  <w:smallCaps w:val="false"/>
                  <w:sz w:val="20"/>
                </w:rPr>
                <w:t>10.77#</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70">
              <w:r>
                <w:rPr>
                  <w:rStyle w:val="InternetLink"/>
                  <w:rFonts w:ascii="Times New Roman" w:hAnsi="Times New Roman"/>
                  <w:caps w:val="false"/>
                  <w:smallCaps w:val="false"/>
                  <w:sz w:val="20"/>
                </w:rPr>
                <w:t>Agreement between BioCryst Pharmaceuticals, Inc. and the Biomedical Advanced Research and Development Authority within the U.S. Department of Health and Human Services' Office of the Assistant Secretary for Preparedness and Response, dated March 27, 2015. Incorporated by reference to Exhibit 10.2 to the Company’s Form 10-Q filed on May 8, 2015. (Portions omitted pursuant to request for confidential treatment.)</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71">
              <w:r>
                <w:rPr>
                  <w:rStyle w:val="InternetLink"/>
                  <w:rFonts w:ascii="Times New Roman" w:hAnsi="Times New Roman"/>
                  <w:caps w:val="false"/>
                  <w:smallCaps w:val="false"/>
                  <w:sz w:val="20"/>
                </w:rPr>
                <w:t>10.78#</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72">
              <w:r>
                <w:rPr>
                  <w:rStyle w:val="InternetLink"/>
                  <w:rFonts w:ascii="Times New Roman" w:hAnsi="Times New Roman"/>
                  <w:caps w:val="false"/>
                  <w:smallCaps w:val="false"/>
                  <w:sz w:val="20"/>
                </w:rPr>
                <w:t>Amendment #1 to the Agreement between BioCryst Pharmaceuticals, Inc. and the Biomedical Advanced Research and Development Authority within the U.S. Department of Health and Human Services’ Office of the Assistant Secretary for Preparedness and Response, dated June 2, 2015. Incorporated by reference to Exhibit 10.1 to the Company’s Form 10-Q filed on August 7, 2015. (Portions omitted pursuant to request for confidential treatment.)</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73">
              <w:r>
                <w:rPr>
                  <w:rStyle w:val="InternetLink"/>
                  <w:rFonts w:ascii="Times New Roman" w:hAnsi="Times New Roman"/>
                  <w:caps w:val="false"/>
                  <w:smallCaps w:val="false"/>
                  <w:sz w:val="20"/>
                </w:rPr>
                <w:t>10.79#</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74">
              <w:r>
                <w:rPr>
                  <w:rStyle w:val="InternetLink"/>
                  <w:rFonts w:ascii="Times New Roman" w:hAnsi="Times New Roman"/>
                  <w:caps w:val="false"/>
                  <w:smallCaps w:val="false"/>
                  <w:sz w:val="20"/>
                </w:rPr>
                <w:t>Amendment #2 to the Agreement between BioCryst Pharmaceuticals, Inc. and the Biomedical Advanced Research and Development Authority within the U.S. Department of Health and Human Services’ Office of the Assistant Secretary for Preparedness and Response, dated July 8, 2015. Incorporated by reference to Exhibit 10.1 to the Company’s Form 10-Q filed on November 6, 2015. (Portions omitted pursuant to request for confidential treatment.)</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75">
              <w:r>
                <w:rPr>
                  <w:rStyle w:val="InternetLink"/>
                  <w:rFonts w:ascii="Times New Roman" w:hAnsi="Times New Roman"/>
                  <w:caps w:val="false"/>
                  <w:smallCaps w:val="false"/>
                  <w:sz w:val="20"/>
                </w:rPr>
                <w:t>10.80#</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76">
              <w:r>
                <w:rPr>
                  <w:rStyle w:val="InternetLink"/>
                  <w:rFonts w:ascii="Times New Roman" w:hAnsi="Times New Roman"/>
                  <w:caps w:val="false"/>
                  <w:smallCaps w:val="false"/>
                  <w:sz w:val="20"/>
                </w:rPr>
                <w:t>Amendment #3 to the Agreement between BioCryst Pharmaceuticals, Inc. and the Biomedical Advanced Research and Development Authority within the U.S. Department of Health and Human Services’ Office of the Assistant Secretary for Preparedness and Response, dated August 25, 2015. Incorporated by reference to Exhibit 10.2 to the Company’s Form 10-Q filed on November 6, 2015. (Portions omitted pursuant to request for confidential treatment.)</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77">
              <w:r>
                <w:rPr>
                  <w:rStyle w:val="InternetLink"/>
                  <w:rFonts w:ascii="Times New Roman" w:hAnsi="Times New Roman"/>
                  <w:caps w:val="false"/>
                  <w:smallCaps w:val="false"/>
                  <w:sz w:val="20"/>
                </w:rPr>
                <w:t>10.81#</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78">
              <w:r>
                <w:rPr>
                  <w:rStyle w:val="InternetLink"/>
                  <w:rFonts w:ascii="Times New Roman" w:hAnsi="Times New Roman"/>
                  <w:caps w:val="false"/>
                  <w:smallCaps w:val="false"/>
                  <w:sz w:val="20"/>
                </w:rPr>
                <w:t>Amendment #4 to the Agreement between BioCryst Pharmaceuticals, Inc. and the Biomedical Advanced Research and Development Authority within the U.S. Department of Health and Human Services’ Office of the Assistant Secretary for Preparedness and Response, dated February 25, 2016. Incorporated by reference to Exhibit 10.1 to the Company’s Form 10-Q filed on May 9, 2016. (Portions omitted pursuant to request for confidential treatment.)</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79">
              <w:r>
                <w:rPr>
                  <w:rStyle w:val="InternetLink"/>
                  <w:rFonts w:ascii="Times New Roman" w:hAnsi="Times New Roman"/>
                  <w:caps w:val="false"/>
                  <w:smallCaps w:val="false"/>
                  <w:sz w:val="20"/>
                </w:rPr>
                <w:t>10.82#</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80">
              <w:r>
                <w:rPr>
                  <w:rStyle w:val="InternetLink"/>
                  <w:rFonts w:ascii="Times New Roman" w:hAnsi="Times New Roman"/>
                  <w:caps w:val="false"/>
                  <w:smallCaps w:val="false"/>
                  <w:sz w:val="20"/>
                </w:rPr>
                <w:t>Amendment #5 to the Agreement between BioCryst Pharmaceuticals, Inc. and the Biomedical Advanced Research and Development Authority within the U.S. Department of Health and Human Services’ Office of the Assistant Secretary for Preparedness and Response, dated April 11, 2016. Incorporated by reference to Exhibit 10.1 to the Company’s Form 10-Q filed on August 8, 2016. (Portions omitted pursuant to request for confidential treatment.)</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81">
              <w:r>
                <w:rPr>
                  <w:rStyle w:val="InternetLink"/>
                  <w:rFonts w:ascii="Times New Roman" w:hAnsi="Times New Roman"/>
                  <w:caps w:val="false"/>
                  <w:smallCaps w:val="false"/>
                  <w:sz w:val="20"/>
                </w:rPr>
                <w:t>10.83#</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82">
              <w:r>
                <w:rPr>
                  <w:rStyle w:val="InternetLink"/>
                  <w:rFonts w:ascii="Times New Roman" w:hAnsi="Times New Roman"/>
                  <w:caps w:val="false"/>
                  <w:smallCaps w:val="false"/>
                  <w:sz w:val="20"/>
                </w:rPr>
                <w:t>Amendment #6 to the Agreement between BioCryst Pharmaceuticals, Inc. and the Biomedical Advanced Research and Development Authority within the U.S. Department of Health and Human Services’ Office of the Assistant Secretary for Preparedness and Response, dated May 20, 2016. Incorporated by reference to Exhibit 10.2 to the Company’s Form 10-Q filed on August 8, 2016. (Portions omitted pursuant to request for confidential treatment.)</w:t>
              </w:r>
            </w:hyperlink>
          </w:p>
        </w:tc>
      </w:tr>
      <w:tr>
        <w:trPr/>
        <w:tc>
          <w:tcPr>
            <w:tcW w:w="55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283"/>
              <w:rPr/>
            </w:pPr>
            <w:r>
              <w:rPr/>
              <w:t> </w:t>
            </w:r>
          </w:p>
        </w:tc>
      </w:tr>
      <w:tr>
        <w:trPr/>
        <w:tc>
          <w:tcPr>
            <w:tcW w:w="558" w:type="dxa"/>
            <w:tcBorders/>
            <w:shd w:fill="auto" w:val="clear"/>
            <w:vAlign w:val="center"/>
          </w:tcPr>
          <w:p>
            <w:pPr>
              <w:pStyle w:val="TableContents"/>
              <w:spacing w:before="0" w:after="0"/>
              <w:ind w:left="0" w:right="0" w:hanging="0"/>
              <w:rPr/>
            </w:pPr>
            <w:hyperlink r:id="rId183">
              <w:r>
                <w:rPr>
                  <w:rStyle w:val="InternetLink"/>
                  <w:rFonts w:ascii="Times New Roman" w:hAnsi="Times New Roman"/>
                  <w:caps w:val="false"/>
                  <w:smallCaps w:val="false"/>
                  <w:sz w:val="20"/>
                </w:rPr>
                <w:t>10.84#</w:t>
              </w:r>
            </w:hyperlink>
          </w:p>
        </w:tc>
        <w:tc>
          <w:tcPr>
            <w:tcW w:w="60" w:type="dxa"/>
            <w:tcBorders/>
            <w:shd w:fill="auto" w:val="clear"/>
            <w:vAlign w:val="center"/>
          </w:tcPr>
          <w:p>
            <w:pPr>
              <w:pStyle w:val="TableContents"/>
              <w:spacing w:before="0" w:after="283"/>
              <w:rPr/>
            </w:pPr>
            <w:r>
              <w:rPr/>
              <w:t> </w:t>
            </w:r>
          </w:p>
        </w:tc>
        <w:tc>
          <w:tcPr>
            <w:tcW w:w="9587" w:type="dxa"/>
            <w:tcBorders/>
            <w:shd w:fill="auto" w:val="clear"/>
            <w:vAlign w:val="center"/>
          </w:tcPr>
          <w:p>
            <w:pPr>
              <w:pStyle w:val="TableContents"/>
              <w:spacing w:before="0" w:after="0"/>
              <w:ind w:left="0" w:right="0" w:hanging="0"/>
              <w:rPr/>
            </w:pPr>
            <w:hyperlink r:id="rId184">
              <w:r>
                <w:rPr>
                  <w:rStyle w:val="InternetLink"/>
                  <w:rFonts w:ascii="Times New Roman" w:hAnsi="Times New Roman"/>
                  <w:caps w:val="false"/>
                  <w:smallCaps w:val="false"/>
                  <w:sz w:val="20"/>
                </w:rPr>
                <w:t>Amendment #7 to the Agreement between BioCryst Pharmaceuticals, Inc. and the Biomedical Advanced Research and Development Authority within the U.S. Department of Health and Human Services’ Office of the Assistant Secretary for Preparedness and Response, dated September 26, 2016. Incorporated by reference to Exhibit 10.2 to the Company’s Form 10-Q filed on November 8, 2016. (Portions omitted pursuant to request for confidential treatment.)</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513"/>
        <w:gridCol w:w="60"/>
        <w:gridCol w:w="9632"/>
      </w:tblGrid>
      <w:tr>
        <w:trPr/>
        <w:tc>
          <w:tcPr>
            <w:tcW w:w="513" w:type="dxa"/>
            <w:tcBorders/>
            <w:shd w:fill="auto" w:val="clear"/>
            <w:vAlign w:val="center"/>
          </w:tcPr>
          <w:p>
            <w:pPr>
              <w:pStyle w:val="TableContents"/>
              <w:spacing w:before="0" w:after="0"/>
              <w:ind w:left="0" w:right="0" w:hanging="0"/>
              <w:rPr/>
            </w:pPr>
            <w:hyperlink r:id="rId185">
              <w:r>
                <w:rPr>
                  <w:rStyle w:val="InternetLink"/>
                  <w:rFonts w:ascii="Times New Roman" w:hAnsi="Times New Roman"/>
                  <w:caps w:val="false"/>
                  <w:smallCaps w:val="false"/>
                  <w:sz w:val="20"/>
                </w:rPr>
                <w:t>10.85</w:t>
              </w:r>
            </w:hyperlink>
          </w:p>
        </w:tc>
        <w:tc>
          <w:tcPr>
            <w:tcW w:w="60" w:type="dxa"/>
            <w:tcBorders/>
            <w:shd w:fill="auto" w:val="clear"/>
            <w:vAlign w:val="center"/>
          </w:tcPr>
          <w:p>
            <w:pPr>
              <w:pStyle w:val="TableContents"/>
              <w:spacing w:before="0" w:after="283"/>
              <w:rPr/>
            </w:pPr>
            <w:r>
              <w:rPr/>
              <w:t> </w:t>
            </w:r>
          </w:p>
        </w:tc>
        <w:tc>
          <w:tcPr>
            <w:tcW w:w="9632" w:type="dxa"/>
            <w:tcBorders/>
            <w:shd w:fill="auto" w:val="clear"/>
            <w:vAlign w:val="center"/>
          </w:tcPr>
          <w:p>
            <w:pPr>
              <w:pStyle w:val="TableContents"/>
              <w:spacing w:before="0" w:after="0"/>
              <w:ind w:left="0" w:right="0" w:hanging="0"/>
              <w:rPr/>
            </w:pPr>
            <w:hyperlink r:id="rId186">
              <w:r>
                <w:rPr>
                  <w:rStyle w:val="InternetLink"/>
                  <w:rFonts w:ascii="Times New Roman" w:hAnsi="Times New Roman"/>
                  <w:caps w:val="false"/>
                  <w:smallCaps w:val="false"/>
                  <w:sz w:val="20"/>
                </w:rPr>
                <w:t>Amendment #8 to the Agreement between BioCryst Pharmaceuticals, Inc. and the Biomedical Advanced Research and Development Authority within the U.S. Department of Health and Human Services’ Office of the Assistant Secretary for Preparedness and Response, dated September 20, 2017. Incorporated by reference to Exhibit 10.1 to the Company’s Form 10-Q filed on November 8, 2017.</w:t>
              </w:r>
            </w:hyperlink>
          </w:p>
        </w:tc>
      </w:tr>
      <w:tr>
        <w:trPr/>
        <w:tc>
          <w:tcPr>
            <w:tcW w:w="51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2" w:type="dxa"/>
            <w:tcBorders/>
            <w:shd w:fill="auto" w:val="clear"/>
            <w:vAlign w:val="center"/>
          </w:tcPr>
          <w:p>
            <w:pPr>
              <w:pStyle w:val="TableContents"/>
              <w:spacing w:before="0" w:after="283"/>
              <w:rPr/>
            </w:pPr>
            <w:r>
              <w:rPr/>
              <w:t> </w:t>
            </w:r>
          </w:p>
        </w:tc>
      </w:tr>
      <w:tr>
        <w:trPr/>
        <w:tc>
          <w:tcPr>
            <w:tcW w:w="513" w:type="dxa"/>
            <w:tcBorders/>
            <w:shd w:fill="auto" w:val="clear"/>
            <w:vAlign w:val="center"/>
          </w:tcPr>
          <w:p>
            <w:pPr>
              <w:pStyle w:val="TableContents"/>
              <w:spacing w:before="0" w:after="0"/>
              <w:ind w:left="0" w:right="0" w:hanging="0"/>
              <w:rPr/>
            </w:pPr>
            <w:hyperlink r:id="rId187">
              <w:r>
                <w:rPr>
                  <w:rStyle w:val="InternetLink"/>
                  <w:rFonts w:ascii="Times New Roman" w:hAnsi="Times New Roman"/>
                  <w:caps w:val="false"/>
                  <w:smallCaps w:val="false"/>
                  <w:sz w:val="20"/>
                </w:rPr>
                <w:t>10.86#</w:t>
              </w:r>
            </w:hyperlink>
          </w:p>
        </w:tc>
        <w:tc>
          <w:tcPr>
            <w:tcW w:w="60" w:type="dxa"/>
            <w:tcBorders/>
            <w:shd w:fill="auto" w:val="clear"/>
            <w:vAlign w:val="center"/>
          </w:tcPr>
          <w:p>
            <w:pPr>
              <w:pStyle w:val="TableContents"/>
              <w:spacing w:before="0" w:after="283"/>
              <w:rPr/>
            </w:pPr>
            <w:r>
              <w:rPr/>
              <w:t> </w:t>
            </w:r>
          </w:p>
        </w:tc>
        <w:tc>
          <w:tcPr>
            <w:tcW w:w="9632" w:type="dxa"/>
            <w:tcBorders/>
            <w:shd w:fill="auto" w:val="clear"/>
            <w:vAlign w:val="center"/>
          </w:tcPr>
          <w:p>
            <w:pPr>
              <w:pStyle w:val="TableContents"/>
              <w:spacing w:before="0" w:after="0"/>
              <w:ind w:left="0" w:right="0" w:hanging="0"/>
              <w:rPr/>
            </w:pPr>
            <w:hyperlink r:id="rId188">
              <w:r>
                <w:rPr>
                  <w:rStyle w:val="InternetLink"/>
                  <w:rFonts w:ascii="Times New Roman" w:hAnsi="Times New Roman"/>
                  <w:caps w:val="false"/>
                  <w:smallCaps w:val="false"/>
                  <w:sz w:val="20"/>
                </w:rPr>
                <w:t>Amendment #9 to the Agreement between BioCryst Pharmaceuticals, Inc. and the Biomedical Advanced Research and Development Authority within the U.S. Department of Health and Human Services’ Office of the Assistant Secretary for Preparedness and Response, dated December 1, 2017. Incorporated by reference to Exhibit 10.88 to the Company’s Form 10-K filed on March 12, 2018.</w:t>
              </w:r>
            </w:hyperlink>
          </w:p>
        </w:tc>
      </w:tr>
      <w:tr>
        <w:trPr/>
        <w:tc>
          <w:tcPr>
            <w:tcW w:w="51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2" w:type="dxa"/>
            <w:tcBorders/>
            <w:shd w:fill="auto" w:val="clear"/>
            <w:vAlign w:val="center"/>
          </w:tcPr>
          <w:p>
            <w:pPr>
              <w:pStyle w:val="TableContents"/>
              <w:spacing w:before="0" w:after="283"/>
              <w:rPr/>
            </w:pPr>
            <w:r>
              <w:rPr/>
              <w:t> </w:t>
            </w:r>
          </w:p>
        </w:tc>
      </w:tr>
      <w:tr>
        <w:trPr/>
        <w:tc>
          <w:tcPr>
            <w:tcW w:w="513" w:type="dxa"/>
            <w:tcBorders/>
            <w:shd w:fill="auto" w:val="clear"/>
            <w:vAlign w:val="center"/>
          </w:tcPr>
          <w:p>
            <w:pPr>
              <w:pStyle w:val="TableContents"/>
              <w:spacing w:before="0" w:after="0"/>
              <w:ind w:left="0" w:right="0" w:hanging="0"/>
              <w:rPr/>
            </w:pPr>
            <w:hyperlink r:id="rId189">
              <w:r>
                <w:rPr>
                  <w:rStyle w:val="InternetLink"/>
                  <w:rFonts w:ascii="Times New Roman" w:hAnsi="Times New Roman"/>
                  <w:caps w:val="false"/>
                  <w:smallCaps w:val="false"/>
                  <w:sz w:val="20"/>
                </w:rPr>
                <w:t>10.87</w:t>
              </w:r>
            </w:hyperlink>
          </w:p>
        </w:tc>
        <w:tc>
          <w:tcPr>
            <w:tcW w:w="60" w:type="dxa"/>
            <w:tcBorders/>
            <w:shd w:fill="auto" w:val="clear"/>
            <w:vAlign w:val="center"/>
          </w:tcPr>
          <w:p>
            <w:pPr>
              <w:pStyle w:val="TableContents"/>
              <w:spacing w:before="0" w:after="283"/>
              <w:rPr/>
            </w:pPr>
            <w:r>
              <w:rPr/>
              <w:t> </w:t>
            </w:r>
          </w:p>
        </w:tc>
        <w:tc>
          <w:tcPr>
            <w:tcW w:w="9632" w:type="dxa"/>
            <w:tcBorders/>
            <w:shd w:fill="auto" w:val="clear"/>
            <w:vAlign w:val="center"/>
          </w:tcPr>
          <w:p>
            <w:pPr>
              <w:pStyle w:val="TableContents"/>
              <w:spacing w:before="0" w:after="0"/>
              <w:ind w:left="0" w:right="0" w:hanging="0"/>
              <w:rPr/>
            </w:pPr>
            <w:hyperlink r:id="rId190">
              <w:r>
                <w:rPr>
                  <w:rStyle w:val="InternetLink"/>
                  <w:rFonts w:ascii="Times New Roman" w:hAnsi="Times New Roman"/>
                  <w:caps w:val="false"/>
                  <w:smallCaps w:val="false"/>
                  <w:sz w:val="20"/>
                </w:rPr>
                <w:t>Amendment #10 to the Agreement between BioCryst Pharmaceuticals, Inc. and the Biomedical Advanced Research and Development Authority within the U.S. Department of Health and Human Services’ Office of the Assistant Secretary for Preparedness and Response, dated March 19, 2018. Incorporated by reference to Exhibit 10.1 to the Company’s Form 10-Q filed on November 8, 2018.</w:t>
              </w:r>
            </w:hyperlink>
          </w:p>
        </w:tc>
      </w:tr>
      <w:tr>
        <w:trPr/>
        <w:tc>
          <w:tcPr>
            <w:tcW w:w="51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2"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94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509"/>
        <w:gridCol w:w="60"/>
        <w:gridCol w:w="9636"/>
      </w:tblGrid>
      <w:tr>
        <w:trPr/>
        <w:tc>
          <w:tcPr>
            <w:tcW w:w="509" w:type="dxa"/>
            <w:tcBorders/>
            <w:shd w:fill="auto" w:val="clear"/>
            <w:vAlign w:val="center"/>
          </w:tcPr>
          <w:p>
            <w:pPr>
              <w:pStyle w:val="TableContents"/>
              <w:spacing w:before="0" w:after="0"/>
              <w:ind w:left="0" w:right="0" w:hanging="0"/>
              <w:rPr/>
            </w:pPr>
            <w:hyperlink r:id="rId191">
              <w:r>
                <w:rPr>
                  <w:rStyle w:val="InternetLink"/>
                  <w:rFonts w:ascii="Times New Roman" w:hAnsi="Times New Roman"/>
                  <w:caps w:val="false"/>
                  <w:smallCaps w:val="false"/>
                  <w:sz w:val="20"/>
                </w:rPr>
                <w:t>10.88</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192">
              <w:r>
                <w:rPr>
                  <w:rStyle w:val="InternetLink"/>
                  <w:rFonts w:ascii="Times New Roman" w:hAnsi="Times New Roman"/>
                  <w:caps w:val="false"/>
                  <w:smallCaps w:val="false"/>
                  <w:sz w:val="20"/>
                </w:rPr>
                <w:t>Amendment #11 to the Agreement between BioCryst Pharmaceuticals, Inc. and the Biomedical Advanced Research and Development Authority within the U.S. Department of Health and Human Services’ Office of the Assistant Secretary for Preparedness and Response, dated September 20, 2018. Incorporated by reference to Exhibit 10.2 to the Company’s Form 10-Q filed on November 8, 2018. (Portions omitted pursuant to request for confidential treatment.)</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193">
              <w:r>
                <w:rPr>
                  <w:rStyle w:val="InternetLink"/>
                  <w:rFonts w:ascii="Times New Roman" w:hAnsi="Times New Roman"/>
                  <w:caps w:val="false"/>
                  <w:smallCaps w:val="false"/>
                  <w:sz w:val="20"/>
                </w:rPr>
                <w:t>10.89†</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194">
              <w:r>
                <w:rPr>
                  <w:rStyle w:val="InternetLink"/>
                  <w:rFonts w:ascii="Times New Roman" w:hAnsi="Times New Roman"/>
                  <w:caps w:val="false"/>
                  <w:smallCaps w:val="false"/>
                  <w:sz w:val="20"/>
                </w:rPr>
                <w:t>Amendment #12 to the Agreement between BioCryst Pharmaceuticals, Inc. and the Biomedical Advanced Research and Development Authority within the U.S. Department of Health and Human Services’ Office of the Assistant Secretary for Preparedness Response, dated April 17, 2020. Incorporated by reference to Exhibit 10.3 to the Company’s Form 10-Q filed August 7, 2020.</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195">
              <w:r>
                <w:rPr>
                  <w:rStyle w:val="InternetLink"/>
                  <w:rFonts w:ascii="Times New Roman" w:hAnsi="Times New Roman"/>
                  <w:caps w:val="false"/>
                  <w:smallCaps w:val="false"/>
                  <w:sz w:val="20"/>
                </w:rPr>
                <w:t>10.90</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196">
              <w:r>
                <w:rPr>
                  <w:rStyle w:val="InternetLink"/>
                  <w:rFonts w:ascii="Times New Roman" w:hAnsi="Times New Roman"/>
                  <w:caps w:val="false"/>
                  <w:smallCaps w:val="false"/>
                  <w:sz w:val="20"/>
                </w:rPr>
                <w:t>Amendment #13 to the Agreement between BioCryst Pharmaceuticals, Inc. and the Biomedical Advanced Research and Development Authority within the U.S. Department of Health and Human Services’ Office of the Assistant Secretary for Preparedness Response, dated September 29, 2020. Incorporated by reference to Exhibit 10.8 to the Company’s Form 10-Q filed November 6, 2020.</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197">
              <w:r>
                <w:rPr>
                  <w:rStyle w:val="InternetLink"/>
                  <w:rFonts w:ascii="Times New Roman" w:hAnsi="Times New Roman"/>
                  <w:caps w:val="false"/>
                  <w:smallCaps w:val="false"/>
                  <w:sz w:val="20"/>
                </w:rPr>
                <w:t>10.91</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198">
              <w:r>
                <w:rPr>
                  <w:rStyle w:val="InternetLink"/>
                  <w:rFonts w:ascii="Times New Roman" w:hAnsi="Times New Roman"/>
                  <w:caps w:val="false"/>
                  <w:smallCaps w:val="false"/>
                  <w:sz w:val="20"/>
                </w:rPr>
                <w:t>Amendment #14 to the Agreement between BioCryst Pharmaceuticals, Inc. and the Biomedical Advanced Research and Development Authority within the U.S. Department of Health and Human Services’ Office of the Assistant Secretary for Preparedness Response, dated November 24, 2020. Incorporated by reference to Exhibit 10.82 to the Company’s Form 10-K filed March 1, 2021.</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199">
              <w:r>
                <w:rPr>
                  <w:rStyle w:val="InternetLink"/>
                  <w:rFonts w:ascii="Times New Roman" w:hAnsi="Times New Roman"/>
                  <w:caps w:val="false"/>
                  <w:smallCaps w:val="false"/>
                  <w:sz w:val="20"/>
                </w:rPr>
                <w:t>10.92</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200">
              <w:r>
                <w:rPr>
                  <w:rStyle w:val="InternetLink"/>
                  <w:rFonts w:ascii="Times New Roman" w:hAnsi="Times New Roman"/>
                  <w:caps w:val="false"/>
                  <w:smallCaps w:val="false"/>
                  <w:sz w:val="20"/>
                </w:rPr>
                <w:t>Registration Rights Agreement, dated March 15, 2017, by and between BioCryst Pharmaceuticals, Inc. 667, L.P., and Baker Brothers Life Sciences, L.P. Incorporated by reference to Exhibit 10.1 to the Company’s Form 8-K filed March 17, 2017.</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201">
              <w:r>
                <w:rPr>
                  <w:rStyle w:val="InternetLink"/>
                  <w:rFonts w:ascii="Times New Roman" w:hAnsi="Times New Roman"/>
                  <w:caps w:val="false"/>
                  <w:smallCaps w:val="false"/>
                  <w:sz w:val="20"/>
                </w:rPr>
                <w:t>10.93</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202">
              <w:r>
                <w:rPr>
                  <w:rStyle w:val="InternetLink"/>
                  <w:rFonts w:ascii="Times New Roman" w:hAnsi="Times New Roman"/>
                  <w:caps w:val="false"/>
                  <w:smallCaps w:val="false"/>
                  <w:sz w:val="20"/>
                </w:rPr>
                <w:t>Amendment to the Registration Rights Agreement, dated January 21, 2018, by and among BioCryst Pharmaceuticals, Inc., 667, L.P. and Baker Brothers Life Sciences, L.P. Incorporated by reference to Exhibit 10.1 to the Company’s Form 8-K filed January 22, 2018.</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203">
              <w:r>
                <w:rPr>
                  <w:rStyle w:val="InternetLink"/>
                  <w:rFonts w:ascii="Times New Roman" w:hAnsi="Times New Roman"/>
                  <w:caps w:val="false"/>
                  <w:smallCaps w:val="false"/>
                  <w:sz w:val="20"/>
                </w:rPr>
                <w:t>10.94</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204">
              <w:r>
                <w:rPr>
                  <w:rStyle w:val="InternetLink"/>
                  <w:rFonts w:ascii="Times New Roman" w:hAnsi="Times New Roman"/>
                  <w:caps w:val="false"/>
                  <w:smallCaps w:val="false"/>
                  <w:sz w:val="20"/>
                </w:rPr>
                <w:t>Agreement dated as of September 1, 2018 between BioCryst Pharmaceuticals, Inc. and the Centers for Disease Control and Prevention. Incorporated by reference to Exhibit 10.1 to the Company’s Form 8-K filed on September 6, 2018.</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205">
              <w:r>
                <w:rPr>
                  <w:rStyle w:val="InternetLink"/>
                  <w:rFonts w:ascii="Times New Roman" w:hAnsi="Times New Roman"/>
                  <w:caps w:val="false"/>
                  <w:smallCaps w:val="false"/>
                  <w:sz w:val="20"/>
                </w:rPr>
                <w:t>10.95</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206">
              <w:r>
                <w:rPr>
                  <w:rStyle w:val="InternetLink"/>
                  <w:rFonts w:ascii="Times New Roman" w:hAnsi="Times New Roman"/>
                  <w:caps w:val="false"/>
                  <w:smallCaps w:val="false"/>
                  <w:sz w:val="20"/>
                </w:rPr>
                <w:t>Amendment #1 to Agreement between BioCryst Pharmaceuticals, Inc. and the Centers for Disease Control and Prevention, dated October 1, 2018, assigning contract administration to ASPR-BARDA within the U.S. Department of Health and Human Services. Incorporated by reference to Exhibit 10.87 to the Company’s Form 10-K filed on March 1, 2021.</w:t>
              </w:r>
            </w:hyperlink>
          </w:p>
        </w:tc>
      </w:tr>
      <w:tr>
        <w:trPr/>
        <w:tc>
          <w:tcPr>
            <w:tcW w:w="50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283"/>
              <w:rPr/>
            </w:pPr>
            <w:r>
              <w:rPr/>
              <w:t> </w:t>
            </w:r>
          </w:p>
        </w:tc>
      </w:tr>
      <w:tr>
        <w:trPr/>
        <w:tc>
          <w:tcPr>
            <w:tcW w:w="509" w:type="dxa"/>
            <w:tcBorders/>
            <w:shd w:fill="auto" w:val="clear"/>
            <w:vAlign w:val="center"/>
          </w:tcPr>
          <w:p>
            <w:pPr>
              <w:pStyle w:val="TableContents"/>
              <w:spacing w:before="0" w:after="0"/>
              <w:ind w:left="0" w:right="0" w:hanging="0"/>
              <w:rPr/>
            </w:pPr>
            <w:hyperlink r:id="rId207">
              <w:r>
                <w:rPr>
                  <w:rStyle w:val="InternetLink"/>
                  <w:rFonts w:ascii="Times New Roman" w:hAnsi="Times New Roman"/>
                  <w:caps w:val="false"/>
                  <w:smallCaps w:val="false"/>
                  <w:sz w:val="20"/>
                </w:rPr>
                <w:t>10.96</w:t>
              </w:r>
            </w:hyperlink>
          </w:p>
        </w:tc>
        <w:tc>
          <w:tcPr>
            <w:tcW w:w="60" w:type="dxa"/>
            <w:tcBorders/>
            <w:shd w:fill="auto" w:val="clear"/>
            <w:vAlign w:val="center"/>
          </w:tcPr>
          <w:p>
            <w:pPr>
              <w:pStyle w:val="TableContents"/>
              <w:spacing w:before="0" w:after="283"/>
              <w:rPr/>
            </w:pPr>
            <w:r>
              <w:rPr/>
              <w:t> </w:t>
            </w:r>
          </w:p>
        </w:tc>
        <w:tc>
          <w:tcPr>
            <w:tcW w:w="9636" w:type="dxa"/>
            <w:tcBorders/>
            <w:shd w:fill="auto" w:val="clear"/>
            <w:vAlign w:val="center"/>
          </w:tcPr>
          <w:p>
            <w:pPr>
              <w:pStyle w:val="TableContents"/>
              <w:spacing w:before="0" w:after="0"/>
              <w:ind w:left="0" w:right="0" w:hanging="0"/>
              <w:rPr/>
            </w:pPr>
            <w:hyperlink r:id="rId208">
              <w:r>
                <w:rPr>
                  <w:rStyle w:val="InternetLink"/>
                  <w:rFonts w:ascii="Times New Roman" w:hAnsi="Times New Roman"/>
                  <w:caps w:val="false"/>
                  <w:smallCaps w:val="false"/>
                  <w:sz w:val="20"/>
                </w:rPr>
                <w:t>Amendment #2 to Agreement between BioCryst Pharmaceuticals, Inc. and the U.S. Department of Health and Human Services, dated September 23, 2019. Incorporated by reference to Exhibit 10.1 to the Company’s Form 8-K filed on September 26, 2019.</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35"/>
        <w:gridCol w:w="60"/>
        <w:gridCol w:w="9410"/>
      </w:tblGrid>
      <w:tr>
        <w:trPr/>
        <w:tc>
          <w:tcPr>
            <w:tcW w:w="735" w:type="dxa"/>
            <w:tcBorders/>
            <w:shd w:fill="auto" w:val="clear"/>
            <w:vAlign w:val="center"/>
          </w:tcPr>
          <w:p>
            <w:pPr>
              <w:pStyle w:val="TableContents"/>
              <w:spacing w:before="0" w:after="0"/>
              <w:ind w:left="0" w:right="0" w:hanging="0"/>
              <w:rPr/>
            </w:pPr>
            <w:hyperlink r:id="rId209">
              <w:r>
                <w:rPr>
                  <w:rStyle w:val="InternetLink"/>
                  <w:rFonts w:ascii="Times New Roman" w:hAnsi="Times New Roman"/>
                  <w:caps w:val="false"/>
                  <w:smallCaps w:val="false"/>
                  <w:sz w:val="20"/>
                </w:rPr>
                <w:t>10.97</w:t>
              </w:r>
            </w:hyperlink>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ind w:left="0" w:right="0" w:hanging="0"/>
              <w:rPr/>
            </w:pPr>
            <w:hyperlink r:id="rId210">
              <w:r>
                <w:rPr>
                  <w:rStyle w:val="InternetLink"/>
                  <w:rFonts w:ascii="Times New Roman" w:hAnsi="Times New Roman"/>
                  <w:caps w:val="false"/>
                  <w:smallCaps w:val="false"/>
                  <w:sz w:val="20"/>
                </w:rPr>
                <w:t>Amendment #3, dated August 31, 2020, to the Contract dated September 1, 2018 between BioCryst Pharmaceuticals, Inc. and the U.S. Department of Health and Human Services. Incorporated by reference to Exhibit 10.1 to the Company’s Form 8-K filed September 3, 2020.</w:t>
              </w:r>
            </w:hyperlink>
          </w:p>
        </w:tc>
      </w:tr>
      <w:tr>
        <w:trPr/>
        <w:tc>
          <w:tcPr>
            <w:tcW w:w="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283"/>
              <w:rPr/>
            </w:pPr>
            <w:r>
              <w:rPr/>
              <w:t> </w:t>
            </w:r>
          </w:p>
        </w:tc>
      </w:tr>
      <w:tr>
        <w:trPr/>
        <w:tc>
          <w:tcPr>
            <w:tcW w:w="735" w:type="dxa"/>
            <w:tcBorders/>
            <w:shd w:fill="auto" w:val="clear"/>
            <w:vAlign w:val="center"/>
          </w:tcPr>
          <w:p>
            <w:pPr>
              <w:pStyle w:val="TableContents"/>
              <w:spacing w:before="0" w:after="0"/>
              <w:ind w:left="0" w:right="0" w:hanging="0"/>
              <w:rPr/>
            </w:pPr>
            <w:hyperlink r:id="rId211">
              <w:r>
                <w:rPr>
                  <w:rStyle w:val="InternetLink"/>
                  <w:rFonts w:ascii="Times New Roman" w:hAnsi="Times New Roman"/>
                  <w:caps w:val="false"/>
                  <w:smallCaps w:val="false"/>
                  <w:sz w:val="20"/>
                </w:rPr>
                <w:t>10.98</w:t>
              </w:r>
            </w:hyperlink>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ind w:left="0" w:right="0" w:hanging="0"/>
              <w:rPr/>
            </w:pPr>
            <w:hyperlink r:id="rId212">
              <w:r>
                <w:rPr>
                  <w:rStyle w:val="InternetLink"/>
                  <w:rFonts w:ascii="Times New Roman" w:hAnsi="Times New Roman"/>
                  <w:caps w:val="false"/>
                  <w:smallCaps w:val="false"/>
                  <w:sz w:val="20"/>
                </w:rPr>
                <w:t>Amendment #4, dated August 27, 2021, to the Contract dated September 1, 2018, between BioCryst Pharmaceuticals, Inc. and the Department of Health and Human Services. Incorporated by reference to Exhibit 10.1 to the Company’s Form 8-K filed September 1, 2021.</w:t>
              </w:r>
            </w:hyperlink>
          </w:p>
        </w:tc>
      </w:tr>
      <w:tr>
        <w:trPr/>
        <w:tc>
          <w:tcPr>
            <w:tcW w:w="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283"/>
              <w:rPr/>
            </w:pPr>
            <w:r>
              <w:rPr/>
              <w:t> </w:t>
            </w:r>
          </w:p>
        </w:tc>
      </w:tr>
      <w:tr>
        <w:trPr/>
        <w:tc>
          <w:tcPr>
            <w:tcW w:w="735" w:type="dxa"/>
            <w:tcBorders/>
            <w:shd w:fill="auto" w:val="clear"/>
            <w:vAlign w:val="center"/>
          </w:tcPr>
          <w:p>
            <w:pPr>
              <w:pStyle w:val="TableContents"/>
              <w:spacing w:before="0" w:after="0"/>
              <w:ind w:left="0" w:right="0" w:hanging="0"/>
              <w:rPr/>
            </w:pPr>
            <w:hyperlink r:id="rId213">
              <w:r>
                <w:rPr>
                  <w:rStyle w:val="InternetLink"/>
                  <w:rFonts w:ascii="Times New Roman" w:hAnsi="Times New Roman"/>
                  <w:caps w:val="false"/>
                  <w:smallCaps w:val="false"/>
                  <w:sz w:val="20"/>
                </w:rPr>
                <w:t>10.99†</w:t>
              </w:r>
            </w:hyperlink>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ind w:left="0" w:right="0" w:hanging="0"/>
              <w:rPr/>
            </w:pPr>
            <w:hyperlink r:id="rId214">
              <w:r>
                <w:rPr>
                  <w:rStyle w:val="InternetLink"/>
                  <w:rFonts w:ascii="Times New Roman" w:hAnsi="Times New Roman"/>
                  <w:caps w:val="false"/>
                  <w:smallCaps w:val="false"/>
                  <w:sz w:val="20"/>
                </w:rPr>
                <w:t>Commercialization and License Agreement dated as of November 5, 2019 between BioCryst Pharmaceuticals, Inc. and Torii Pharmaceutical Co., Ltd. Incorporated by reference to Exhibit 10.83 to the Company's Form 10-K filed March 13, 2020.</w:t>
              </w:r>
            </w:hyperlink>
          </w:p>
        </w:tc>
      </w:tr>
      <w:tr>
        <w:trPr/>
        <w:tc>
          <w:tcPr>
            <w:tcW w:w="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283"/>
              <w:rPr/>
            </w:pPr>
            <w:r>
              <w:rPr/>
              <w:t> </w:t>
            </w:r>
          </w:p>
        </w:tc>
      </w:tr>
      <w:tr>
        <w:trPr/>
        <w:tc>
          <w:tcPr>
            <w:tcW w:w="735" w:type="dxa"/>
            <w:tcBorders/>
            <w:shd w:fill="auto" w:val="clear"/>
            <w:vAlign w:val="center"/>
          </w:tcPr>
          <w:p>
            <w:pPr>
              <w:pStyle w:val="TableContents"/>
              <w:spacing w:before="0" w:after="0"/>
              <w:ind w:left="0" w:right="0" w:hanging="0"/>
              <w:rPr/>
            </w:pPr>
            <w:hyperlink r:id="rId215">
              <w:r>
                <w:rPr>
                  <w:rStyle w:val="InternetLink"/>
                  <w:rFonts w:ascii="Times New Roman" w:hAnsi="Times New Roman"/>
                  <w:caps w:val="false"/>
                  <w:smallCaps w:val="false"/>
                  <w:sz w:val="20"/>
                </w:rPr>
                <w:t>10.100†*</w:t>
              </w:r>
            </w:hyperlink>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ind w:left="0" w:right="0" w:hanging="0"/>
              <w:rPr/>
            </w:pPr>
            <w:hyperlink r:id="rId216">
              <w:r>
                <w:rPr>
                  <w:rStyle w:val="InternetLink"/>
                  <w:rFonts w:ascii="Times New Roman" w:hAnsi="Times New Roman"/>
                  <w:caps w:val="false"/>
                  <w:smallCaps w:val="false"/>
                  <w:sz w:val="20"/>
                </w:rPr>
                <w:t>Purchase and Sale Agreement, dated as of December 7, 2020, between BioCryst Pharmaceuticals, Inc. and RPI 2019 Intermediate Finance Trust. Incorporated by reference to Exhibit 10.91 to the Company’s Form 10-K filed March 1, 2021.</w:t>
              </w:r>
            </w:hyperlink>
          </w:p>
        </w:tc>
      </w:tr>
      <w:tr>
        <w:trPr/>
        <w:tc>
          <w:tcPr>
            <w:tcW w:w="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283"/>
              <w:rPr/>
            </w:pPr>
            <w:r>
              <w:rPr/>
              <w:t> </w:t>
            </w:r>
          </w:p>
        </w:tc>
      </w:tr>
      <w:tr>
        <w:trPr/>
        <w:tc>
          <w:tcPr>
            <w:tcW w:w="735" w:type="dxa"/>
            <w:tcBorders/>
            <w:shd w:fill="auto" w:val="clear"/>
            <w:vAlign w:val="center"/>
          </w:tcPr>
          <w:p>
            <w:pPr>
              <w:pStyle w:val="TableContents"/>
              <w:spacing w:before="0" w:after="0"/>
              <w:ind w:left="0" w:right="0" w:hanging="0"/>
              <w:rPr/>
            </w:pPr>
            <w:hyperlink w:anchor="ex_340784.htm">
              <w:r>
                <w:rPr>
                  <w:rStyle w:val="InternetLink"/>
                  <w:rFonts w:ascii="Times New Roman" w:hAnsi="Times New Roman"/>
                  <w:caps w:val="false"/>
                  <w:smallCaps w:val="false"/>
                  <w:sz w:val="20"/>
                </w:rPr>
                <w:t>(10.101)†*</w:t>
              </w:r>
            </w:hyperlink>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ind w:left="0" w:right="0" w:hanging="0"/>
              <w:rPr/>
            </w:pPr>
            <w:hyperlink w:anchor="ex_340784.htm">
              <w:r>
                <w:rPr>
                  <w:rStyle w:val="InternetLink"/>
                  <w:rFonts w:ascii="Times New Roman" w:hAnsi="Times New Roman"/>
                  <w:caps w:val="false"/>
                  <w:smallCaps w:val="false"/>
                  <w:sz w:val="20"/>
                </w:rPr>
                <w:t>Amendment Number One to Credit Agreement, dated as of November 19, 2021, by and among BioCryst Pharmaceuticals, Inc., as borrower, the guarantors listed on the signature pages thereto, the lenders listed on the signature pages thereto, and Athyrium Opportunities III Co-Invest 1 LP, as administrative agent for the lenders.</w:t>
              </w:r>
            </w:hyperlink>
          </w:p>
        </w:tc>
      </w:tr>
      <w:tr>
        <w:trPr/>
        <w:tc>
          <w:tcPr>
            <w:tcW w:w="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283"/>
              <w:rPr/>
            </w:pPr>
            <w:r>
              <w:rPr/>
              <w:t> </w:t>
            </w:r>
          </w:p>
        </w:tc>
      </w:tr>
      <w:tr>
        <w:trPr/>
        <w:tc>
          <w:tcPr>
            <w:tcW w:w="735" w:type="dxa"/>
            <w:tcBorders/>
            <w:shd w:fill="auto" w:val="clear"/>
            <w:vAlign w:val="center"/>
          </w:tcPr>
          <w:p>
            <w:pPr>
              <w:pStyle w:val="TableContents"/>
              <w:spacing w:before="0" w:after="0"/>
              <w:ind w:left="0" w:right="0" w:hanging="0"/>
              <w:rPr/>
            </w:pPr>
            <w:hyperlink w:anchor="ex_340700.htm">
              <w:r>
                <w:rPr>
                  <w:rStyle w:val="InternetLink"/>
                  <w:rFonts w:ascii="Times New Roman" w:hAnsi="Times New Roman"/>
                  <w:caps w:val="false"/>
                  <w:smallCaps w:val="false"/>
                  <w:sz w:val="20"/>
                </w:rPr>
                <w:t>(10.102)†*</w:t>
              </w:r>
            </w:hyperlink>
          </w:p>
        </w:tc>
        <w:tc>
          <w:tcPr>
            <w:tcW w:w="60" w:type="dxa"/>
            <w:tcBorders/>
            <w:shd w:fill="auto" w:val="clear"/>
            <w:vAlign w:val="center"/>
          </w:tcPr>
          <w:p>
            <w:pPr>
              <w:pStyle w:val="TableContents"/>
              <w:spacing w:before="0" w:after="283"/>
              <w:rPr/>
            </w:pPr>
            <w:r>
              <w:rPr/>
              <w:t> </w:t>
            </w:r>
          </w:p>
        </w:tc>
        <w:tc>
          <w:tcPr>
            <w:tcW w:w="9410" w:type="dxa"/>
            <w:tcBorders/>
            <w:shd w:fill="auto" w:val="clear"/>
            <w:vAlign w:val="center"/>
          </w:tcPr>
          <w:p>
            <w:pPr>
              <w:pStyle w:val="TableContents"/>
              <w:spacing w:before="0" w:after="0"/>
              <w:ind w:left="0" w:right="0" w:hanging="0"/>
              <w:rPr/>
            </w:pPr>
            <w:hyperlink w:anchor="ex_340700.htm">
              <w:r>
                <w:rPr>
                  <w:rStyle w:val="InternetLink"/>
                  <w:rFonts w:ascii="Times New Roman" w:hAnsi="Times New Roman"/>
                  <w:caps w:val="false"/>
                  <w:smallCaps w:val="false"/>
                  <w:sz w:val="20"/>
                </w:rPr>
                <w:t>Purchase and Sale Agreement, dated as of November 19, 2021, between BioCryst Pharmaceuticals, Inc. and RPI 2019 Intermediate Finance Trust.</w:t>
              </w:r>
            </w:hyperlink>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95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716"/>
        <w:gridCol w:w="60"/>
        <w:gridCol w:w="9429"/>
      </w:tblGrid>
      <w:tr>
        <w:trPr/>
        <w:tc>
          <w:tcPr>
            <w:tcW w:w="716" w:type="dxa"/>
            <w:tcBorders/>
            <w:shd w:fill="auto" w:val="clear"/>
            <w:vAlign w:val="center"/>
          </w:tcPr>
          <w:p>
            <w:pPr>
              <w:pStyle w:val="TableContents"/>
              <w:spacing w:before="0" w:after="0"/>
              <w:ind w:left="0" w:right="0" w:hanging="0"/>
              <w:rPr/>
            </w:pPr>
            <w:hyperlink w:anchor="ex_340699.htm">
              <w:r>
                <w:rPr>
                  <w:rStyle w:val="InternetLink"/>
                  <w:rFonts w:ascii="Times New Roman" w:hAnsi="Times New Roman"/>
                  <w:caps w:val="false"/>
                  <w:smallCaps w:val="false"/>
                  <w:sz w:val="20"/>
                </w:rPr>
                <w:t>(10.103)†*</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40699.htm">
              <w:r>
                <w:rPr>
                  <w:rStyle w:val="InternetLink"/>
                  <w:rFonts w:ascii="Times New Roman" w:hAnsi="Times New Roman"/>
                  <w:caps w:val="false"/>
                  <w:smallCaps w:val="false"/>
                  <w:sz w:val="20"/>
                </w:rPr>
                <w:t>Purchase and Sale Agreement, dated as of November 19, 2021, between BioCryst Pharmaceuticals, Inc. and OCM IP Healthcare Holdings Limited.</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pPr>
            <w:hyperlink w:anchor="ex_340698.htm">
              <w:r>
                <w:rPr>
                  <w:rStyle w:val="InternetLink"/>
                  <w:rFonts w:ascii="Times New Roman" w:hAnsi="Times New Roman"/>
                  <w:caps w:val="false"/>
                  <w:smallCaps w:val="false"/>
                  <w:sz w:val="20"/>
                </w:rPr>
                <w:t>(10.104)†*</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40698.htm">
              <w:r>
                <w:rPr>
                  <w:rStyle w:val="InternetLink"/>
                  <w:rFonts w:ascii="Times New Roman" w:hAnsi="Times New Roman"/>
                  <w:caps w:val="false"/>
                  <w:smallCaps w:val="false"/>
                  <w:sz w:val="20"/>
                </w:rPr>
                <w:t>Common Stock Purchase Agreement, dated as of November 19, 2021, between BioCryst Pharmaceuticals, Inc. and RPI Intermediate Finance Trust.</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pPr>
            <w:hyperlink w:anchor="ex_340697.htm">
              <w:r>
                <w:rPr>
                  <w:rStyle w:val="InternetLink"/>
                  <w:rFonts w:ascii="Times New Roman" w:hAnsi="Times New Roman"/>
                  <w:caps w:val="false"/>
                  <w:smallCaps w:val="false"/>
                  <w:sz w:val="20"/>
                </w:rPr>
                <w:t>(21)</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40697.htm">
              <w:r>
                <w:rPr>
                  <w:rStyle w:val="InternetLink"/>
                  <w:rFonts w:ascii="Times New Roman" w:hAnsi="Times New Roman"/>
                  <w:caps w:val="false"/>
                  <w:smallCaps w:val="false"/>
                  <w:sz w:val="20"/>
                </w:rPr>
                <w:t>Subsidiaries of the Registrant.</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pPr>
            <w:hyperlink w:anchor="ex_338385.htm">
              <w:r>
                <w:rPr>
                  <w:rStyle w:val="InternetLink"/>
                  <w:rFonts w:ascii="Times New Roman" w:hAnsi="Times New Roman"/>
                  <w:caps w:val="false"/>
                  <w:smallCaps w:val="false"/>
                  <w:sz w:val="20"/>
                </w:rPr>
                <w:t>(23)</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38385.htm">
              <w:r>
                <w:rPr>
                  <w:rStyle w:val="InternetLink"/>
                  <w:rFonts w:ascii="Times New Roman" w:hAnsi="Times New Roman"/>
                  <w:caps w:val="false"/>
                  <w:smallCaps w:val="false"/>
                  <w:sz w:val="20"/>
                </w:rPr>
                <w:t>Consent of Ernst &amp; Young, LLP, Independent Registered Public Accounting Firm.</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pPr>
            <w:hyperlink w:anchor="ex_338405.htm">
              <w:r>
                <w:rPr>
                  <w:rStyle w:val="InternetLink"/>
                  <w:rFonts w:ascii="Times New Roman" w:hAnsi="Times New Roman"/>
                  <w:caps w:val="false"/>
                  <w:smallCaps w:val="false"/>
                  <w:sz w:val="20"/>
                </w:rPr>
                <w:t>(31.1)</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38405.htm">
              <w:r>
                <w:rPr>
                  <w:rStyle w:val="InternetLink"/>
                  <w:rFonts w:ascii="Times New Roman" w:hAnsi="Times New Roman"/>
                  <w:caps w:val="false"/>
                  <w:smallCaps w:val="false"/>
                  <w:sz w:val="20"/>
                </w:rPr>
                <w:t>Certification of the Chief Executive Officer pursuant to Section 302 of the Sarbanes-Oxley Act of 2002.</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pPr>
            <w:hyperlink w:anchor="ex_338406.htm">
              <w:r>
                <w:rPr>
                  <w:rStyle w:val="InternetLink"/>
                  <w:rFonts w:ascii="Times New Roman" w:hAnsi="Times New Roman"/>
                  <w:caps w:val="false"/>
                  <w:smallCaps w:val="false"/>
                  <w:sz w:val="20"/>
                </w:rPr>
                <w:t>(31.2)</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38406.htm">
              <w:r>
                <w:rPr>
                  <w:rStyle w:val="InternetLink"/>
                  <w:rFonts w:ascii="Times New Roman" w:hAnsi="Times New Roman"/>
                  <w:caps w:val="false"/>
                  <w:smallCaps w:val="false"/>
                  <w:sz w:val="20"/>
                </w:rPr>
                <w:t>Certification of the Chief Financial Officer pursuant to Section 302 of the Sarbanes-Oxley Act of 2002.</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pPr>
            <w:hyperlink w:anchor="ex_338407.htm">
              <w:r>
                <w:rPr>
                  <w:rStyle w:val="InternetLink"/>
                  <w:rFonts w:ascii="Times New Roman" w:hAnsi="Times New Roman"/>
                  <w:caps w:val="false"/>
                  <w:smallCaps w:val="false"/>
                  <w:sz w:val="20"/>
                </w:rPr>
                <w:t>(32.1)</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38407.htm">
              <w:r>
                <w:rPr>
                  <w:rStyle w:val="InternetLink"/>
                  <w:rFonts w:ascii="Times New Roman" w:hAnsi="Times New Roman"/>
                  <w:caps w:val="false"/>
                  <w:smallCaps w:val="false"/>
                  <w:sz w:val="20"/>
                </w:rPr>
                <w:t>Certification of the Chief Executive Officer pursuant to 18 U.S.C. Section 1350, as adopted pursuant to Section 906 of the Sarbanes-Oxley Act of 2002.</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pPr>
            <w:hyperlink w:anchor="ex_338408.htm">
              <w:r>
                <w:rPr>
                  <w:rStyle w:val="InternetLink"/>
                  <w:rFonts w:ascii="Times New Roman" w:hAnsi="Times New Roman"/>
                  <w:caps w:val="false"/>
                  <w:smallCaps w:val="false"/>
                  <w:sz w:val="20"/>
                </w:rPr>
                <w:t>(32.2)</w:t>
              </w:r>
            </w:hyperlink>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pPr>
            <w:hyperlink w:anchor="ex_338408.htm">
              <w:r>
                <w:rPr>
                  <w:rStyle w:val="InternetLink"/>
                  <w:rFonts w:ascii="Times New Roman" w:hAnsi="Times New Roman"/>
                  <w:caps w:val="false"/>
                  <w:smallCaps w:val="false"/>
                  <w:sz w:val="20"/>
                </w:rPr>
                <w:t>Certification of the Chief Financial Officer pursuant to 18.U.S.C. Section 1350, as adopted pursuant to section 906 of the Sarbanes-Oxley Act of 2002.</w:t>
              </w:r>
            </w:hyperlink>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Financial statements from the Annual Report on Form 10-K of BioCryst Pharmaceuticals, Inc. for the fiscal year ended December 31, 2021, formatted in Inline XBRL: (i) Consolidated Balance Sheets, (ii) Consolidated Statements of Comprehensive Loss, (iii) Consolidated Statements of Cash Flows, (iv) Consolidated Statements of Stockholders’ Equity and (v) Notes to Consolidated Financial Statements.</w:t>
            </w:r>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from this annual report on Form 10-K for the fiscal year ended December 31, 2021 is formatted in Inline XBRL (contained in Exhibit 101).</w:t>
            </w:r>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 </w:t>
            </w:r>
          </w:p>
        </w:tc>
      </w:tr>
      <w:tr>
        <w:trPr/>
        <w:tc>
          <w:tcPr>
            <w:tcW w:w="716"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Confidential treatment granted.</w:t>
            </w:r>
          </w:p>
        </w:tc>
      </w:tr>
      <w:tr>
        <w:trPr/>
        <w:tc>
          <w:tcPr>
            <w:tcW w:w="716"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Certain identified information has been omitted pursuant to Item 601(b)(10) of Regulation S-K because it is both not material and would likely cause competitive harm to the Company if publicly disclosed.</w:t>
            </w:r>
          </w:p>
        </w:tc>
      </w:tr>
      <w:tr>
        <w:trPr/>
        <w:tc>
          <w:tcPr>
            <w:tcW w:w="716"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Certain personally identifiable information has been omitted from this exhibit pursuant to Item 601(a)(6) of Regulation S-K.</w:t>
            </w:r>
          </w:p>
        </w:tc>
      </w:tr>
      <w:tr>
        <w:trPr/>
        <w:tc>
          <w:tcPr>
            <w:tcW w:w="716" w:type="dxa"/>
            <w:tcBorders/>
            <w:shd w:fill="auto" w:val="clear"/>
            <w:vAlign w:val="center"/>
          </w:tcPr>
          <w:p>
            <w:pPr>
              <w:pStyle w:val="TableContents"/>
              <w:spacing w:before="0" w:after="283"/>
              <w:rPr/>
            </w:pPr>
            <w:r>
              <w:rPr/>
              <w:t>&amp;</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Management contracts.</w:t>
            </w:r>
          </w:p>
        </w:tc>
      </w:tr>
      <w:tr>
        <w:trPr/>
        <w:tc>
          <w:tcPr>
            <w:tcW w:w="7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9" w:type="dxa"/>
            <w:tcBorders/>
            <w:shd w:fill="auto" w:val="clear"/>
            <w:vAlign w:val="center"/>
          </w:tcPr>
          <w:p>
            <w:pPr>
              <w:pStyle w:val="TableContents"/>
              <w:spacing w:before="0" w:after="283"/>
              <w:rPr/>
            </w:pPr>
            <w:r>
              <w:rPr/>
              <w:t>Filed herewith.</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caps w:val="false"/>
          <w:smallCaps w:val="false"/>
          <w:sz w:val="20"/>
        </w:rPr>
      </w:pPr>
      <w:bookmarkStart w:id="32" w:name="i16"/>
      <w:bookmarkEnd w:id="32"/>
      <w:r>
        <w:rPr>
          <w:rFonts w:ascii="Times New Roman" w:hAnsi="Times New Roman"/>
          <w:b/>
          <w:caps w:val="false"/>
          <w:smallCaps w:val="false"/>
          <w:sz w:val="20"/>
        </w:rPr>
        <w:t>ITEM 16.</w:t>
      </w:r>
      <w:r>
        <w:rPr>
          <w:rFonts w:ascii="Times New Roman" w:hAnsi="Times New Roman"/>
          <w:caps w:val="false"/>
          <w:smallCaps w:val="false"/>
          <w:sz w:val="20"/>
        </w:rPr>
        <w:t>         </w:t>
      </w:r>
      <w:r>
        <w:rPr>
          <w:rFonts w:ascii="Times New Roman" w:hAnsi="Times New Roman"/>
          <w:b/>
          <w:i/>
          <w:caps w:val="false"/>
          <w:smallCaps w:val="false"/>
          <w:sz w:val="20"/>
        </w:rPr>
        <w:t>FORM 10-K SUMMARY.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96 </w:t>
      </w:r>
    </w:p>
    <w:p>
      <w:pPr>
        <w:pStyle w:val="HorizontalLine"/>
        <w:rPr/>
      </w:pPr>
      <w:r>
        <w:rPr/>
      </w:r>
    </w:p>
    <w:p>
      <w:pPr>
        <w:pStyle w:val="TextBody"/>
        <w:jc w:val="left"/>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bookmarkStart w:id="33" w:name="sign"/>
      <w:bookmarkEnd w:id="33"/>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 on February 28, 2022.</w:t>
      </w:r>
    </w:p>
    <w:p>
      <w:pPr>
        <w:pStyle w:val="TextBody"/>
        <w:spacing w:before="0" w:after="0"/>
        <w:ind w:left="0" w:right="0" w:hanging="0"/>
        <w:rPr>
          <w:caps w:val="false"/>
          <w:smallCaps w:val="false"/>
        </w:rPr>
      </w:pPr>
      <w:r>
        <w:rPr>
          <w:caps w:val="false"/>
          <w:smallCaps w:val="false"/>
        </w:rPr>
        <w:t> </w:t>
      </w:r>
    </w:p>
    <w:tbl>
      <w:tblPr>
        <w:tblW w:w="3760" w:type="dxa"/>
        <w:jc w:val="left"/>
        <w:tblInd w:w="0" w:type="dxa"/>
        <w:tblCellMar>
          <w:top w:w="0" w:type="dxa"/>
          <w:left w:w="0" w:type="dxa"/>
          <w:bottom w:w="0" w:type="dxa"/>
          <w:right w:w="0" w:type="dxa"/>
        </w:tblCellMar>
      </w:tblPr>
      <w:tblGrid>
        <w:gridCol w:w="60"/>
        <w:gridCol w:w="320"/>
        <w:gridCol w:w="3380"/>
      </w:tblGrid>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BIOCRYST PHARMACEUTICALS, INC.</w:t>
            </w:r>
          </w:p>
          <w:p>
            <w:pPr>
              <w:pStyle w:val="TableContents"/>
              <w:spacing w:before="0" w:after="0"/>
              <w:ind w:left="0" w:right="0" w:hanging="0"/>
              <w:rPr/>
            </w:pPr>
            <w:r>
              <w:rPr/>
              <w:t> </w:t>
            </w:r>
          </w:p>
          <w:p>
            <w:pPr>
              <w:pStyle w:val="TableContents"/>
              <w:spacing w:before="0" w:after="0"/>
              <w:ind w:left="0" w:right="0" w:hanging="0"/>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338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Jon P. Stonehouse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Jon P. Stonehouse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indicated on February 28, 2022:</w:t>
      </w:r>
    </w:p>
    <w:p>
      <w:pPr>
        <w:pStyle w:val="TextBody"/>
        <w:spacing w:before="0" w:after="0"/>
        <w:ind w:left="0" w:right="0" w:hanging="0"/>
        <w:rPr>
          <w:caps w:val="false"/>
          <w:smallCaps w:val="false"/>
        </w:rPr>
      </w:pPr>
      <w:r>
        <w:rPr>
          <w:caps w:val="false"/>
          <w:smallCaps w:val="false"/>
        </w:rPr>
        <w:t> </w:t>
      </w:r>
    </w:p>
    <w:tbl>
      <w:tblPr>
        <w:tblW w:w="7240" w:type="dxa"/>
        <w:jc w:val="left"/>
        <w:tblInd w:w="0" w:type="dxa"/>
        <w:tblCellMar>
          <w:top w:w="0" w:type="dxa"/>
          <w:left w:w="0" w:type="dxa"/>
          <w:bottom w:w="0" w:type="dxa"/>
          <w:right w:w="0" w:type="dxa"/>
        </w:tblCellMar>
      </w:tblPr>
      <w:tblGrid>
        <w:gridCol w:w="2165"/>
        <w:gridCol w:w="60"/>
        <w:gridCol w:w="5015"/>
      </w:tblGrid>
      <w:tr>
        <w:trPr/>
        <w:tc>
          <w:tcPr>
            <w:tcW w:w="216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Title(s)</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Jon P. Stonehouse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Jon P. Stonehouse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J. Doyle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Anthony J. Doyle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Michael L. Jones</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Executive Director, Finance and Principal Accounting Officer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Michael L. Jones</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Accounting Officer)</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George B. Abercrombie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George B. Abercrombie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Stephen J. Aselage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Stephen J. Aselage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Steven K. Galson</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Steven K. Galson, M.D.</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Theresa M. Heggie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Theresa M. Heggie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Nancy J. Hutson</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Nancy J. Hutson, Ph.D.</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Robert A. Ingram</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Robert A. Ingram</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Kenneth B. Lee, Jr.</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Kenneth B. Lee, Jr.</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Alan G. Levin</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Alan G. Levin</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Amy E. McKee</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Amy E. McKee, M.D.</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Vincent J. Milano</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Vincent J. Milano</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r>
        <w:trPr/>
        <w:tc>
          <w:tcPr>
            <w:tcW w:w="21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Machelle Sanders</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21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Machelle Sanders</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 w:hAnsi="Times New Roman"/>
          <w:sz w:val="20"/>
        </w:rPr>
      </w:pPr>
      <w:r>
        <w:rPr>
          <w:rFonts w:ascii="Times New Roman" w:hAnsi="Times New Roman"/>
          <w:sz w:val="20"/>
        </w:rPr>
        <w:t xml:space="preserve">97 </w:t>
      </w:r>
    </w:p>
    <w:p>
      <w:pPr>
        <w:pStyle w:val="TextBody"/>
        <w:rPr/>
      </w:pPr>
      <w:r>
        <w:rPr/>
        <w:t xml:space="preserve">  </w:t>
      </w:r>
      <w:r>
        <w:br w:type="page"/>
      </w:r>
    </w:p>
    <w:p>
      <w:pPr>
        <w:pStyle w:val="TextBody"/>
        <w:spacing w:before="0" w:after="0"/>
        <w:ind w:left="0" w:right="0" w:hanging="0"/>
        <w:jc w:val="right"/>
        <w:rPr>
          <w:rFonts w:ascii="Times New Roman" w:hAnsi="Times New Roman"/>
          <w:b/>
          <w:caps w:val="false"/>
          <w:smallCaps w:val="false"/>
          <w:sz w:val="20"/>
        </w:rPr>
      </w:pPr>
      <w:bookmarkStart w:id="34" w:name="ex_340701.htm"/>
      <w:bookmarkStart w:id="35" w:name="ksex_340701"/>
      <w:bookmarkEnd w:id="34"/>
      <w:bookmarkEnd w:id="35"/>
      <w:r>
        <w:rPr>
          <w:rFonts w:ascii="Times New Roman" w:hAnsi="Times New Roman"/>
          <w:b/>
          <w:caps w:val="false"/>
          <w:smallCaps w:val="false"/>
          <w:sz w:val="20"/>
        </w:rPr>
        <w:t>Exhibit 10.14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BIOCRYST PHARMACEUTICALS,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NOTICE OF RESTRICTED STOCK UNIT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Notice is hereby given that BioCryst Pharmaceuticals, Inc. (the “Company”) has selected you to receive an award of restricted stock units with respect to the Company’s Common Stock (such award referred to herein as the “RSUs” or “Award”) as described below and granted pursuant to the BioCryst Pharmaceuticals, Inc. Stock Incentive Plan (the “Plan”) and the accompanying </w:t>
      </w:r>
      <w:r>
        <w:rPr>
          <w:rFonts w:ascii="Times New Roman" w:hAnsi="Times New Roman"/>
          <w:caps w:val="false"/>
          <w:smallCaps w:val="false"/>
          <w:sz w:val="20"/>
          <w:u w:val="single"/>
        </w:rPr>
        <w:t xml:space="preserve">Restricted Stock Unit Agreement </w:t>
      </w:r>
      <w:r>
        <w:rPr>
          <w:rFonts w:ascii="Times New Roman" w:hAnsi="Times New Roman"/>
          <w:caps w:val="false"/>
          <w:smallCaps w:val="false"/>
          <w:sz w:val="20"/>
        </w:rPr>
        <w:t>(the “Agreement”):</w:t>
      </w:r>
    </w:p>
    <w:p>
      <w:pPr>
        <w:pStyle w:val="TextBody"/>
        <w:spacing w:before="0" w:after="0"/>
        <w:ind w:left="0" w:right="0" w:hanging="0"/>
        <w:rPr>
          <w:caps w:val="false"/>
          <w:smallCaps w:val="false"/>
        </w:rPr>
      </w:pPr>
      <w:r>
        <w:rPr>
          <w:caps w:val="false"/>
          <w:smallCaps w:val="false"/>
        </w:rPr>
        <w:t> </w:t>
      </w:r>
    </w:p>
    <w:tbl>
      <w:tblPr>
        <w:tblW w:w="2540" w:type="dxa"/>
        <w:jc w:val="left"/>
        <w:tblInd w:w="0" w:type="dxa"/>
        <w:tblCellMar>
          <w:top w:w="0" w:type="dxa"/>
          <w:left w:w="0" w:type="dxa"/>
          <w:bottom w:w="0" w:type="dxa"/>
          <w:right w:w="0" w:type="dxa"/>
        </w:tblCellMar>
      </w:tblPr>
      <w:tblGrid>
        <w:gridCol w:w="2480"/>
        <w:gridCol w:w="60"/>
      </w:tblGrid>
      <w:tr>
        <w:trPr/>
        <w:tc>
          <w:tcPr>
            <w:tcW w:w="2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Name of Recipient:</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Number of Underlying Shares:</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Grant Date:</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Vesting:</w:t>
            </w:r>
          </w:p>
        </w:tc>
        <w:tc>
          <w:tcPr>
            <w:tcW w:w="60" w:type="dxa"/>
            <w:tcBorders>
              <w:bottom w:val="single" w:sz="2" w:space="0" w:color="000000"/>
            </w:tcBorders>
            <w:shd w:fill="auto"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Recipient understands that the Award is granted subject to and in accordance with the express terms and conditions of the Plan and agrees to be bound by and conform to the terms and conditions of the Plan, the Plan Prospectus, this Notice of Restricted Stock Unit Award, and the accompanying Agreement. Recipient acknowledges that, notwithstanding anything to the contrary in any employment or other agreement between Recipient and the Company, the vesting of the RSUs shall not accelerate upon a Change in Control (or any equivalent term as set forth in any applicable written employment agreement); rather, vesting shall accelerate only to the extent provided in the Plan. Recipient acknowledges that copies of the Plan, the Plan Prospectus, and the Agreement have been made available to Recipient.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Nothing in this Notice of Restricted Stock Unit Award, the accompanying Agreement, or the Plan shall confer upon the Recipient the right to continue in the service or employment of the Company for any period of specific duration or otherwise restrict in any way the rights of the Company or the Recipient, which rights are hereby expressly reserved by each, to terminate Recipient’s service or employment at any time for any reason whatsoever, with or without cause.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my signature below, I hereby acknowledge receipt of the Award granted to me on the Grant Date specified above and issued to me pursuant to the terms and conditions of the Plan and the attached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454" w:type="dxa"/>
        <w:jc w:val="left"/>
        <w:tblInd w:w="0" w:type="dxa"/>
        <w:tblCellMar>
          <w:top w:w="0" w:type="dxa"/>
          <w:left w:w="0" w:type="dxa"/>
          <w:bottom w:w="0" w:type="dxa"/>
          <w:right w:w="0" w:type="dxa"/>
        </w:tblCellMar>
      </w:tblPr>
      <w:tblGrid>
        <w:gridCol w:w="1750"/>
        <w:gridCol w:w="114"/>
        <w:gridCol w:w="60"/>
        <w:gridCol w:w="3530"/>
      </w:tblGrid>
      <w:tr>
        <w:trPr/>
        <w:tc>
          <w:tcPr>
            <w:tcW w:w="1864" w:type="dxa"/>
            <w:gridSpan w:val="2"/>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Agreed and Accepted:</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BIOCRYST PHARMACEUTICALS, INC.</w:t>
            </w:r>
          </w:p>
        </w:tc>
      </w:tr>
      <w:tr>
        <w:trPr/>
        <w:tc>
          <w:tcPr>
            <w:tcW w:w="175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175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17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 </w:t>
            </w:r>
          </w:p>
        </w:tc>
        <w:tc>
          <w:tcPr>
            <w:tcW w:w="114"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0" w:type="dxa"/>
            <w:tcBorders>
              <w:bottom w:val="single" w:sz="2" w:space="0" w:color="000000"/>
            </w:tcBorders>
            <w:shd w:fill="auto" w:val="clear"/>
            <w:tcMar>
              <w:bottom w:w="28" w:type="dxa"/>
            </w:tcMar>
            <w:vAlign w:val="center"/>
          </w:tcPr>
          <w:p>
            <w:pPr>
              <w:pStyle w:val="TableContents"/>
              <w:spacing w:before="0" w:after="0"/>
              <w:ind w:left="0" w:right="0" w:hanging="0"/>
              <w:rPr>
                <w:caps w:val="false"/>
                <w:smallCaps w:val="false"/>
              </w:rPr>
            </w:pPr>
            <w:r>
              <w:rPr>
                <w:caps w:val="false"/>
                <w:smallCaps w:val="false"/>
              </w:rPr>
              <w:t> </w:t>
            </w:r>
          </w:p>
        </w:tc>
      </w:tr>
      <w:tr>
        <w:trPr/>
        <w:tc>
          <w:tcPr>
            <w:tcW w:w="17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Recipient: </w:t>
            </w:r>
          </w:p>
        </w:tc>
        <w:tc>
          <w:tcPr>
            <w:tcW w:w="114"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Jon P. Stonehouse</w:t>
            </w:r>
          </w:p>
        </w:tc>
      </w:tr>
      <w:tr>
        <w:trPr/>
        <w:tc>
          <w:tcPr>
            <w:tcW w:w="175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750"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17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Dated: </w:t>
            </w:r>
          </w:p>
        </w:tc>
        <w:tc>
          <w:tcPr>
            <w:tcW w:w="114"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BIOCRYST PHARMACEUTICALS,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RESTRICTED STOCK UNIT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WITNESSETH: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The Board of Directors (the “Board”) of BioCryst Pharmaceuticals, Inc. (the “Company”) has adopted the Company’s Stock Incentive Plan (the “Plan”) for the purpose of attracting and retaining the services of its employees (including officers and directors), non-employee Board members and consultants and other independent contractors who contribute to the financial success of the Company or its parent or subsidiary corporations.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B.    Recipient is an individual who has rendered and is to render valuable services to the Company or its parent or subsidiary corporations, and this Agreement is executed pursuant to, and is intended to carry out the purposes of, the Plan in connection with the Company’s grant of the Restricted Stock Unit Award to Recipient.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NOW, THEREFORE, it is hereby agreed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terms and conditions of the Award of restricted stock units with respect to Common Stock of the Company (the “RSUs”) made to the Recipient, as set forth in the accompanying </w:t>
      </w:r>
      <w:r>
        <w:rPr>
          <w:rFonts w:ascii="Times New Roman" w:hAnsi="Times New Roman"/>
          <w:caps w:val="false"/>
          <w:smallCaps w:val="false"/>
          <w:sz w:val="20"/>
          <w:u w:val="single"/>
        </w:rPr>
        <w:t>Notice of Restricted Stock Unit Award</w:t>
      </w:r>
      <w:r>
        <w:rPr>
          <w:rFonts w:ascii="Times New Roman" w:hAnsi="Times New Roman"/>
          <w:caps w:val="false"/>
          <w:smallCaps w:val="false"/>
          <w:sz w:val="20"/>
        </w:rPr>
        <w:t xml:space="preserve"> (the “</w:t>
      </w:r>
      <w:r>
        <w:rPr>
          <w:rFonts w:ascii="Times New Roman" w:hAnsi="Times New Roman"/>
          <w:caps w:val="false"/>
          <w:smallCaps w:val="false"/>
          <w:sz w:val="20"/>
          <w:u w:val="single"/>
        </w:rPr>
        <w:t>Award Notice</w:t>
      </w:r>
      <w:r>
        <w:rPr>
          <w:rFonts w:ascii="Times New Roman" w:hAnsi="Times New Roman"/>
          <w:caps w:val="false"/>
          <w:smallCaps w:val="false"/>
          <w:sz w:val="20"/>
        </w:rPr>
        <w:t>”), are as follows:</w:t>
      </w:r>
    </w:p>
    <w:p>
      <w:pPr>
        <w:pStyle w:val="TextBody"/>
        <w:spacing w:before="0" w:after="0"/>
        <w:ind w:left="0" w:right="0" w:hanging="0"/>
        <w:rPr>
          <w:caps w:val="false"/>
          <w:smallCaps w:val="false"/>
        </w:rPr>
      </w:pPr>
      <w:r>
        <w:rPr>
          <w:caps w:val="false"/>
          <w:smallCaps w:val="false"/>
        </w:rPr>
        <w:t> </w:t>
      </w:r>
    </w:p>
    <w:tbl>
      <w:tblPr>
        <w:tblW w:w="1690" w:type="dxa"/>
        <w:jc w:val="left"/>
        <w:tblInd w:w="0" w:type="dxa"/>
        <w:tblCellMar>
          <w:top w:w="0" w:type="dxa"/>
          <w:left w:w="0" w:type="dxa"/>
          <w:bottom w:w="0" w:type="dxa"/>
          <w:right w:w="0" w:type="dxa"/>
        </w:tblCellMar>
      </w:tblPr>
      <w:tblGrid>
        <w:gridCol w:w="60"/>
        <w:gridCol w:w="170"/>
        <w:gridCol w:w="14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14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Issuance of RSUs</w:t>
            </w: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RSUs are hereby granted and issued to the Recipient, effective as of the Grant Date set forth in the accompanying Award Notice, in consideration of the employment services rendered and to be rendered by the Recipient to the Company in accordance with Article Three of the Plan. Each RSU represents the right to receive one share of Common Stock, subject to the terms and conditions hereof. This Award is made subject to and awarded upon the terms and conditions set forth in this Agreement and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As promptly as practicable following the vesting of the RSUs pursuant to Section 2 (and in all events no later than March 15 of the year following the year of vesting (unless earlier delivery is required by Section 409A of the Code or delivery is deferred pursuant to a nonqualified deferred compensation plan in accordance with the requirements of Section 409A of the Code)), the Company shall issue, in the name of the Recipient, the number of shares of Common Stock that have vested.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The Recipient agrees that the RSUs shall be subject to the forfeiture provisions set forth in Section 3 of this Agreement and the restrictions on transfer set forth in Section 4 of this Agreement.</w:t>
      </w:r>
    </w:p>
    <w:p>
      <w:pPr>
        <w:pStyle w:val="TextBody"/>
        <w:spacing w:before="0" w:after="0"/>
        <w:ind w:left="0" w:right="0" w:hanging="0"/>
        <w:rPr>
          <w:caps w:val="false"/>
          <w:smallCaps w:val="false"/>
        </w:rPr>
      </w:pPr>
      <w:r>
        <w:rPr>
          <w:caps w:val="false"/>
          <w:smallCaps w:val="false"/>
        </w:rPr>
        <w:t> </w:t>
      </w:r>
    </w:p>
    <w:tbl>
      <w:tblPr>
        <w:tblW w:w="4135" w:type="dxa"/>
        <w:jc w:val="left"/>
        <w:tblInd w:w="0" w:type="dxa"/>
        <w:tblCellMar>
          <w:top w:w="0" w:type="dxa"/>
          <w:left w:w="0" w:type="dxa"/>
          <w:bottom w:w="0" w:type="dxa"/>
          <w:right w:w="0" w:type="dxa"/>
        </w:tblCellMar>
      </w:tblPr>
      <w:tblGrid>
        <w:gridCol w:w="60"/>
        <w:gridCol w:w="170"/>
        <w:gridCol w:w="390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390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General Vesting Terms; Lapsing of Restrictions</w:t>
            </w: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Vesting Schedule</w:t>
      </w:r>
      <w:r>
        <w:rPr>
          <w:rFonts w:ascii="Times New Roman" w:hAnsi="Times New Roman"/>
          <w:caps w:val="false"/>
          <w:smallCaps w:val="false"/>
          <w:sz w:val="20"/>
        </w:rPr>
        <w:t>. Subject to Recipient’s continuous employment with or service to the Company from the Grant Date through each applicable Vesting Date, the RSUs shall vest and no longer be subject to forfeiture with respect to __________ (___%) of the RSUs on __________________ (each such ________ a “Vesting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Change in Control</w:t>
      </w:r>
      <w:r>
        <w:rPr>
          <w:rFonts w:ascii="Times New Roman" w:hAnsi="Times New Roman"/>
          <w:caps w:val="false"/>
          <w:smallCaps w:val="false"/>
          <w:sz w:val="20"/>
        </w:rPr>
        <w:t>. If a Change in Control occurs, Article III, Section 2 of the Plan shall govern the treatment of the RSUs in connection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Continuous Employment and Service</w:t>
      </w:r>
      <w:r>
        <w:rPr>
          <w:rFonts w:ascii="Times New Roman" w:hAnsi="Times New Roman"/>
          <w:caps w:val="false"/>
          <w:smallCaps w:val="false"/>
          <w:sz w:val="20"/>
        </w:rPr>
        <w:t>. For purposes of this Agreement, Recipient shall be deemed to remain in continuous service with the Company for so long as the Recipient continues to render periodic services to the Company or any parent or subsidiary corporation, whether as an employee, a non-employee member of the Company’s Board of Directors or an independent consultant or advisor. The Recipient shall be deemed to be an “employee” for so long as Recipient remains in the employ of the Company or one or more of its parent or subsidiary corporations subject to the control and direction of the employer entity as to both the work to be performed and the manner and method of performance. For purposes of this Agreement, a corporation shall be considered to be a subsidiary corporation of the Company if it is a member of an unbroken chain of corporations beginning with the Company, provided each such corporation in the chain (other than the last corporation) owns, at the time of determination, stock possessing 50% or more of the total combined voting power of all classes of stock in one of the other corporations in such chain. Similarly, for purposes of this Agreement, a corporation shall be considered to be a parent corporation of the Company if it is a member of an unbroken chain ending with the Company, provided each such corporation in the chain (other than the Company) owns, at the time of determination, stock possessing 50% or more of the total combined voting power of all classes of stock in one of the other corporations in such chain.</w:t>
      </w:r>
    </w:p>
    <w:p>
      <w:pPr>
        <w:pStyle w:val="TextBody"/>
        <w:spacing w:before="0" w:after="0"/>
        <w:ind w:left="0" w:right="0" w:hanging="0"/>
        <w:rPr>
          <w:caps w:val="false"/>
          <w:smallCaps w:val="false"/>
        </w:rPr>
      </w:pPr>
      <w:r>
        <w:rPr>
          <w:caps w:val="false"/>
          <w:smallCaps w:val="false"/>
        </w:rPr>
        <w:t> </w:t>
      </w:r>
    </w:p>
    <w:tbl>
      <w:tblPr>
        <w:tblW w:w="5245" w:type="dxa"/>
        <w:jc w:val="left"/>
        <w:tblInd w:w="0" w:type="dxa"/>
        <w:tblCellMar>
          <w:top w:w="0" w:type="dxa"/>
          <w:left w:w="0" w:type="dxa"/>
          <w:bottom w:w="0" w:type="dxa"/>
          <w:right w:w="0" w:type="dxa"/>
        </w:tblCellMar>
      </w:tblPr>
      <w:tblGrid>
        <w:gridCol w:w="60"/>
        <w:gridCol w:w="170"/>
        <w:gridCol w:w="501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w:t>
            </w:r>
          </w:p>
        </w:tc>
        <w:tc>
          <w:tcPr>
            <w:tcW w:w="501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Forfeiture of Unvested RSUs Upon Employment Termination</w:t>
            </w: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the event that the Recipient ceases to be continuously employed by or continuously in service to the Company or one or more of its parent or subsidiary corporations for any reason or no reason, with or without cause, except as otherwise expressly provided in Section 2 above, all of the RSUs that are unvested as of the time of such employment termination shall be forfeited immediately and automatically to the Company and no shares of Common Stock shall be issued with respect thereto, without the payment of any consideration to the Recipient, effective as of such termination of employment or separation from service. The Recipient shall have no further rights with respect to any RSUs that are so forfeited. If the Recipient is employed by a subsidiary of the Company, any references in this Agreement to employment with the Company shall instead be deemed to refer to employment with such subsidiary.</w:t>
      </w:r>
    </w:p>
    <w:p>
      <w:pPr>
        <w:pStyle w:val="TextBody"/>
        <w:spacing w:before="0" w:after="0"/>
        <w:ind w:left="0" w:right="0" w:hanging="0"/>
        <w:rPr>
          <w:caps w:val="false"/>
          <w:smallCaps w:val="false"/>
        </w:rPr>
      </w:pPr>
      <w:r>
        <w:rPr>
          <w:caps w:val="false"/>
          <w:smallCaps w:val="false"/>
        </w:rPr>
        <w:t> </w:t>
      </w:r>
    </w:p>
    <w:tbl>
      <w:tblPr>
        <w:tblW w:w="2230" w:type="dxa"/>
        <w:jc w:val="left"/>
        <w:tblInd w:w="0" w:type="dxa"/>
        <w:tblCellMar>
          <w:top w:w="0" w:type="dxa"/>
          <w:left w:w="0" w:type="dxa"/>
          <w:bottom w:w="0" w:type="dxa"/>
          <w:right w:w="0" w:type="dxa"/>
        </w:tblCellMar>
      </w:tblPr>
      <w:tblGrid>
        <w:gridCol w:w="60"/>
        <w:gridCol w:w="170"/>
        <w:gridCol w:w="20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w:t>
            </w:r>
          </w:p>
        </w:tc>
        <w:tc>
          <w:tcPr>
            <w:tcW w:w="20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Restrictions on Transfer</w:t>
            </w: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Recipient shall not sell, assign, transfer, pledge, hypothecate or otherwise dispose of, by operation of law or otherwise (collectively “transfer”) any RSUs, or any interest therein (but may transfer Common Stock after its issuance pursuant to Section 1(b) above). Notwithstanding the foregoing to the extent permitted by applicable law, the RSUs may be assigned in whole or part during the Recipient’s lifetime pursuant to a domestic relations order;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such RSUs shall in all cases remain subject to this Agreement (including, without limitation, the forfeiture provisions set forth in Section 3 and the restrictions on transfer set forth in this Section 4) and such permitted transferee shall, as a condition to such transfer, deliver to the Company a written instrument confirming that such transferee shall be bound by all of the terms and conditions of this Agreement. The Company shall not be required: (i) to transfer on its books any of the RSUs (or issue shares of Common Stock with respect thereto) which have been transferred in violation of any of the provisions of this Agreement or (ii) to treat as owner of such RSUs any transferee to whom such RSUs have been transferred in violation of any of the provisions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2200" w:type="dxa"/>
        <w:jc w:val="left"/>
        <w:tblInd w:w="0" w:type="dxa"/>
        <w:tblCellMar>
          <w:top w:w="0" w:type="dxa"/>
          <w:left w:w="0" w:type="dxa"/>
          <w:bottom w:w="0" w:type="dxa"/>
          <w:right w:w="0" w:type="dxa"/>
        </w:tblCellMar>
      </w:tblPr>
      <w:tblGrid>
        <w:gridCol w:w="60"/>
        <w:gridCol w:w="170"/>
        <w:gridCol w:w="19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5.</w:t>
            </w:r>
          </w:p>
        </w:tc>
        <w:tc>
          <w:tcPr>
            <w:tcW w:w="19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Rights as a Shareholder</w:t>
            </w: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 xml:space="preserve">The Recipient shall have no rights as a shareholder with respect to the RSUs until such times as shares of Common Stock are issued in settlement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any dividends and distributions with respect to the shares of Common Stock underlying the RSUs are paid in cash or shares, or consist of a dividend or distribution to holders of Common Stock other than an ordinary cash dividend, the shares, cash or other property will be credited to a notional account on behalf of the Recipient subject to the same restrictions on transferability and forfeitability as the related RSUs.</w:t>
      </w:r>
    </w:p>
    <w:p>
      <w:pPr>
        <w:pStyle w:val="TextBody"/>
        <w:spacing w:before="0" w:after="0"/>
        <w:ind w:left="0" w:right="0" w:hanging="0"/>
        <w:rPr>
          <w:caps w:val="false"/>
          <w:smallCaps w:val="false"/>
        </w:rPr>
      </w:pPr>
      <w:r>
        <w:rPr>
          <w:caps w:val="false"/>
          <w:smallCaps w:val="false"/>
        </w:rPr>
        <w:t> </w:t>
      </w:r>
    </w:p>
    <w:tbl>
      <w:tblPr>
        <w:tblW w:w="1270" w:type="dxa"/>
        <w:jc w:val="left"/>
        <w:tblInd w:w="0" w:type="dxa"/>
        <w:tblCellMar>
          <w:top w:w="0" w:type="dxa"/>
          <w:left w:w="0" w:type="dxa"/>
          <w:bottom w:w="0" w:type="dxa"/>
          <w:right w:w="0" w:type="dxa"/>
        </w:tblCellMar>
      </w:tblPr>
      <w:tblGrid>
        <w:gridCol w:w="60"/>
        <w:gridCol w:w="170"/>
        <w:gridCol w:w="10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6.</w:t>
            </w:r>
          </w:p>
        </w:tc>
        <w:tc>
          <w:tcPr>
            <w:tcW w:w="10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Tax Matters</w:t>
            </w: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Acknowledgments</w:t>
      </w:r>
      <w:r>
        <w:rPr>
          <w:rFonts w:ascii="Times New Roman" w:hAnsi="Times New Roman"/>
          <w:caps w:val="false"/>
          <w:smallCaps w:val="false"/>
          <w:sz w:val="20"/>
        </w:rPr>
        <w:t>. The Recipient acknowledges that Recipient is responsible for obtaining the advice of the Recipient’s own tax advisors with respect to the acquisition and vesting of the RSUs and that Recipient is relying solely on such advisors and not on any statements or representations of the Company or any of its agents with respect to the tax consequences relating to the RSUs. The Recipient understands that the Recipient (and not the Company) shall be responsible for any and all of Recipient’s tax liabilities that may arise in connection with the acquisition, vesting and/or settlement of the RSUs.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Withholding</w:t>
      </w:r>
      <w:r>
        <w:rPr>
          <w:rFonts w:ascii="Times New Roman" w:hAnsi="Times New Roman"/>
          <w:caps w:val="false"/>
          <w:smallCaps w:val="false"/>
          <w:sz w:val="20"/>
        </w:rPr>
        <w:t>. Unless the Plan Administrator expressly authorizes otherwise, the Recipient shall satisfy all tax withholding obligations arising in connection with the vesting of RSUs by either (i) automatically having withheld or otherwise transferring to the Company, effective as of each Vesting Date, such number of shares of Common Stock underlying the RSUs that vest on such Vesting Date as have a fair market value (calculated in accordance with the Plan) equal to the amount of the applicable tax withholding obligations in connection with the vesting and settlement of such RSUs, or (ii) through a sale-to-cover transaction authorized by the Recipient, pursuant to which an immediate open-market sale of a portion of the shares of Common Stock issued to Recipient will be effected, for and on behalf of the Recipient, by the Company’s designated broker to cover such withholding obligations (however, no sale-to-cover transaction shall be effected unless such a sale is at the time permissible under the Company’s insider trading policies governing the sale of Common Stock). The Recipient further acknowledges and agrees that the Company has the right to deduct from payments of any kind otherwise due to the Recipient any other federal, state, local or other taxes of any kind required by law to be withheld with respect to the vesting and settlement of the RSUs in the event the withholding of shares of Common Stock authorized above is insufficient to satisfy all tax withholding obligations. If requested by the Plan Administrator, the Recipient agrees to satisfy such tax withholding obligations by making a cash payment to the Company on the date of vesting of the RSUs, in such amount as the Company determines is necessary to satisfy its withholding obligations in connection with the vesting and settlement of such RSUs.</w:t>
      </w:r>
    </w:p>
    <w:p>
      <w:pPr>
        <w:pStyle w:val="TextBody"/>
        <w:spacing w:before="0" w:after="0"/>
        <w:ind w:left="0" w:right="0" w:hanging="0"/>
        <w:rPr>
          <w:caps w:val="false"/>
          <w:smallCaps w:val="false"/>
        </w:rPr>
      </w:pPr>
      <w:r>
        <w:rPr>
          <w:caps w:val="false"/>
          <w:smallCaps w:val="false"/>
        </w:rPr>
        <w:t> </w:t>
      </w:r>
    </w:p>
    <w:tbl>
      <w:tblPr>
        <w:tblW w:w="1480" w:type="dxa"/>
        <w:jc w:val="left"/>
        <w:tblInd w:w="0" w:type="dxa"/>
        <w:tblCellMar>
          <w:top w:w="0" w:type="dxa"/>
          <w:left w:w="0" w:type="dxa"/>
          <w:bottom w:w="0" w:type="dxa"/>
          <w:right w:w="0" w:type="dxa"/>
        </w:tblCellMar>
      </w:tblPr>
      <w:tblGrid>
        <w:gridCol w:w="60"/>
        <w:gridCol w:w="170"/>
        <w:gridCol w:w="12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7.</w:t>
            </w:r>
          </w:p>
        </w:tc>
        <w:tc>
          <w:tcPr>
            <w:tcW w:w="12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Miscellaneous</w:t>
            </w: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Authority of the Plan Administrator</w:t>
      </w:r>
      <w:r>
        <w:rPr>
          <w:rFonts w:ascii="Times New Roman" w:hAnsi="Times New Roman"/>
          <w:caps w:val="false"/>
          <w:smallCaps w:val="false"/>
          <w:sz w:val="20"/>
        </w:rPr>
        <w:t>. In making any decisions or taking any actions with respect to the matters covered by this Agreement, the Plan Administrator shall have full authority and discretion, and shall be subject to all of the protections provided for in the Plan. All decisions and actions by the Plan Administrator with respect to this Agreement shall be made in the Plan Administrator’s sole discretion and shall be final and binding on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Employment or Service Contract</w:t>
      </w:r>
      <w:r>
        <w:rPr>
          <w:rFonts w:ascii="Times New Roman" w:hAnsi="Times New Roman"/>
          <w:caps w:val="false"/>
          <w:smallCaps w:val="false"/>
          <w:sz w:val="20"/>
        </w:rPr>
        <w:t>. The Recipient acknowledges and agrees that, notwithstanding the fact that vesting and settlement of the RSUs is contingent upon Recipient’s continued employment with, or service to, the Company (or any parent or subsidiary corporation of the Company employing or retaining Recipient), this Agreement does not constitute an express or implied promise of continued employment or service and nothing herein or in the Plan shall confer upon the Recipient any rights to continue in the employment or service of the Company (or any parent or subsidiary corporation of the Company employing or retaining Recipient) for any period of time or interfere with or otherwise restrict in any way the rights of the Company (or any parent or subsidiary corporation of the Company employing or retaining Recipient) or Recipient, which rights are hereby expressly reserved by each, to terminate Recipient’s service or employment at any time for any reason whatsoever, with or without cause.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Notices</w:t>
      </w:r>
      <w:r>
        <w:rPr>
          <w:rFonts w:ascii="Times New Roman" w:hAnsi="Times New Roman"/>
          <w:caps w:val="false"/>
          <w:smallCaps w:val="false"/>
          <w:sz w:val="20"/>
        </w:rPr>
        <w:t>. Any notice required to be given or delivered to the Company under the terms of this Agreement shall be in writing and addressed to the Company in care of the Corporate Secretary at its principal corporate offices. Any notice required to be given or delivered to Recipient shall be in writing and addressed to the Recipient at the address indicated below Recipient’s signature line of the Award Notice or such address as Recipient may provide for the Company to keep on file as updated from time to time. All notices shall be deemed to have been given or delivered upon personal delivery or upon deposit in the U. S. Mail, postage prepaid and properly addressed to the party to be notified.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Construction; Amendment</w:t>
      </w:r>
      <w:r>
        <w:rPr>
          <w:rFonts w:ascii="Times New Roman" w:hAnsi="Times New Roman"/>
          <w:caps w:val="false"/>
          <w:smallCaps w:val="false"/>
          <w:sz w:val="20"/>
        </w:rPr>
        <w:t>. The Recipient acknowledges that Recipient has read this Agreement, has received and read the Plan, and understands the terms and conditions of this Agreement and the Plan. This Agreement and the RSUs evidenced hereby are made and granted pursuant to the Plan and are in all respects limited by and subject to the express terms and provisions of the Plan. All decisions of the Plan Administrator with respect to any question or issue arising under the Plan or this Agreement shall be conclusive and binding on all persons having or claiming an interest in the RSUs. This Agreement may only be amended by a writing executed by the parties hereto expressly providing for amendment of this Agreement except that the Plan Administrator may unilaterally make amendments that do not adversely affect Recipient’s rights hereunder, provided timely notice of such amendments is provided to Recipient.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Except to the extent otherwise expressly provided herein, the provisions of this Agreement shall inure to the benefit of, and be binding upon, the successors, administrators, heirs, legal representatives and assigns of Recipient and the successors and assigns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Liability of the Company</w:t>
      </w:r>
      <w:r>
        <w:rPr>
          <w:rFonts w:ascii="Times New Roman" w:hAnsi="Times New Roman"/>
          <w:caps w:val="false"/>
          <w:smallCaps w:val="false"/>
          <w:sz w:val="20"/>
        </w:rPr>
        <w:t>. If the RSUs exceed, as of the Grant Date, the number of shares of Common Stock which may without shareholder approval be issued under the Plan, then this Award shall be void with respect to such excess shares unless shareholder approval of an amendment sufficiently increasing the number of shares of Common Stock issuable under the Plan is obtained in accordance with the provisions of this Plan and all applicable laws. The inability of the Company to obtain approval from any regulatory body having authority deemed by the Company to be necessary to the lawful issuance and sale of any Common Stock pursuant to this Agreement shall relieve the Company of any liability with respect to the non-issuance or sale of the Common Stock as to which such approval shall not have been obtained. The Company, however, shall use its best efforts to obtain all such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Compliance with Laws and Regulations</w:t>
      </w:r>
      <w:r>
        <w:rPr>
          <w:rFonts w:ascii="Times New Roman" w:hAnsi="Times New Roman"/>
          <w:caps w:val="false"/>
          <w:smallCaps w:val="false"/>
          <w:sz w:val="20"/>
        </w:rPr>
        <w:t>. The award of RSUs hereunder and the settlement thereof is subject to compliance by the Company and Recipient with all applicable requirements of law relating thereto and all applicable regulations of any stock exchange or over-the-counter market on which such shares may be listed or traded at the time of such exercise and issuance. In connection with the settlement of RSUs, Recipient shall execute and deliver to the Company such representations in writing as may be requested by the Company in order for it to comply with the applicable requirements of federal and state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Capitalized Terms/Conflict</w:t>
      </w:r>
      <w:r>
        <w:rPr>
          <w:rFonts w:ascii="Times New Roman" w:hAnsi="Times New Roman"/>
          <w:caps w:val="false"/>
          <w:smallCaps w:val="false"/>
          <w:sz w:val="20"/>
        </w:rPr>
        <w:t>. Capitalized terms not specifically defined herein have the meaning specified in the Plan. In the event of a conflict between the terms and conditions of this Agreement and the Plan, the Plan controls.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Electronic Delivery</w:t>
      </w:r>
      <w:r>
        <w:rPr>
          <w:rFonts w:ascii="Times New Roman" w:hAnsi="Times New Roman"/>
          <w:caps w:val="false"/>
          <w:smallCaps w:val="false"/>
          <w:sz w:val="20"/>
        </w:rPr>
        <w:t>. Recipient hereby consents to the delivery of information (including, without limitation, information required to be delivered to Recipient pursuant to applicable securities laws) regarding the Company and its subsidiaries and affiliates, the Plan, and the RSUs via Company web site or other electronic delivery.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Headings</w:t>
      </w:r>
      <w:r>
        <w:rPr>
          <w:rFonts w:ascii="Times New Roman" w:hAnsi="Times New Roman"/>
          <w:caps w:val="false"/>
          <w:smallCaps w:val="false"/>
          <w:sz w:val="20"/>
        </w:rPr>
        <w:t>. The headings preceding the text of the sections hereof are inserted solely for convenience of reference, and shall not constitute a part of this Agreement, nor shall they affect its meaning, construction or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Governing Law</w:t>
      </w:r>
      <w:r>
        <w:rPr>
          <w:rFonts w:ascii="Times New Roman" w:hAnsi="Times New Roman"/>
          <w:caps w:val="false"/>
          <w:smallCaps w:val="false"/>
          <w:sz w:val="20"/>
        </w:rPr>
        <w:t>. The interpretation, performance, and enforcement of this Agreement shall be governed by the internal laws of the State of Delaware without regard to that state’s conflict-of-laws rules.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jc w:val="right"/>
        <w:rPr>
          <w:rFonts w:ascii="Times New Roman;Times;serif" w:hAnsi="Times New Roman;Times;serif"/>
          <w:b/>
          <w:sz w:val="20"/>
        </w:rPr>
      </w:pPr>
      <w:bookmarkStart w:id="36" w:name="ex_341111.htm"/>
      <w:bookmarkStart w:id="37" w:name="ksex_341111"/>
      <w:bookmarkEnd w:id="36"/>
      <w:bookmarkEnd w:id="37"/>
      <w:r>
        <w:rPr>
          <w:rFonts w:ascii="Times New Roman;Times;serif" w:hAnsi="Times New Roman;Times;serif"/>
          <w:b/>
          <w:sz w:val="20"/>
        </w:rPr>
        <w:t>Exhibit 10.72</w:t>
      </w:r>
    </w:p>
    <w:p>
      <w:pPr>
        <w:pStyle w:val="TextBody"/>
        <w:spacing w:before="0" w:after="0"/>
        <w:jc w:val="left"/>
        <w:rPr/>
      </w:pPr>
      <w:r>
        <w:rPr/>
        <w:t> </w:t>
      </w:r>
    </w:p>
    <w:p>
      <w:pPr>
        <w:pStyle w:val="TextBody"/>
        <w:spacing w:before="0" w:after="0"/>
        <w:jc w:val="center"/>
        <w:rPr/>
      </w:pPr>
      <w:r>
        <w:rPr/>
        <w:drawing>
          <wp:inline distT="0" distB="0" distL="0" distR="0">
            <wp:extent cx="2356485" cy="304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7"/>
                    <a:stretch>
                      <a:fillRect/>
                    </a:stretch>
                  </pic:blipFill>
                  <pic:spPr bwMode="auto">
                    <a:xfrm>
                      <a:off x="0" y="0"/>
                      <a:ext cx="2356485" cy="3048000"/>
                    </a:xfrm>
                    <a:prstGeom prst="rect">
                      <a:avLst/>
                    </a:prstGeom>
                  </pic:spPr>
                </pic:pic>
              </a:graphicData>
            </a:graphic>
          </wp:inline>
        </w:drawing>
      </w:r>
    </w:p>
    <w:p>
      <w:pPr>
        <w:pStyle w:val="TextBody"/>
        <w:rPr/>
      </w:pPr>
      <w:r>
        <w:rPr/>
        <w:t> </w:t>
      </w:r>
      <w:r>
        <w:br w:type="page"/>
      </w:r>
    </w:p>
    <w:p>
      <w:pPr>
        <w:pStyle w:val="TextBody"/>
        <w:spacing w:before="0" w:after="0"/>
        <w:jc w:val="right"/>
        <w:rPr>
          <w:rFonts w:ascii="Times New Roman;Times;serif" w:hAnsi="Times New Roman;Times;serif"/>
          <w:b/>
          <w:sz w:val="20"/>
        </w:rPr>
      </w:pPr>
      <w:bookmarkStart w:id="38" w:name="ex_340702.htm"/>
      <w:bookmarkStart w:id="39" w:name="ksex_340702"/>
      <w:bookmarkEnd w:id="38"/>
      <w:bookmarkEnd w:id="39"/>
      <w:r>
        <w:rPr>
          <w:rFonts w:ascii="Times New Roman;Times;serif" w:hAnsi="Times New Roman;Times;serif"/>
          <w:b/>
          <w:sz w:val="20"/>
        </w:rPr>
        <w:t>Exhibit 10.76</w:t>
      </w:r>
    </w:p>
    <w:p>
      <w:pPr>
        <w:pStyle w:val="TextBody"/>
        <w:spacing w:before="0" w:after="0"/>
        <w:jc w:val="left"/>
        <w:rPr/>
      </w:pPr>
      <w:r>
        <w:rPr/>
        <w:t> </w:t>
      </w:r>
    </w:p>
    <w:p>
      <w:pPr>
        <w:pStyle w:val="TextBody"/>
        <w:spacing w:before="0" w:after="0"/>
        <w:ind w:left="0" w:right="0" w:hanging="0"/>
        <w:jc w:val="right"/>
        <w:rPr/>
      </w:pPr>
      <w:r>
        <w:rPr/>
        <w:t> </w:t>
      </w:r>
    </w:p>
    <w:p>
      <w:pPr>
        <w:pStyle w:val="TextBody"/>
        <w:spacing w:before="0" w:after="0"/>
        <w:ind w:left="0" w:right="0" w:hanging="0"/>
        <w:rPr/>
      </w:pPr>
      <w:r>
        <w:rPr/>
        <w:t> </w:t>
      </w:r>
    </w:p>
    <w:p>
      <w:pPr>
        <w:pStyle w:val="TextBody"/>
        <w:spacing w:before="0" w:after="0"/>
        <w:jc w:val="center"/>
        <w:rPr/>
      </w:pPr>
      <w:r>
        <w:rPr/>
        <w:drawing>
          <wp:inline distT="0" distB="0" distL="0" distR="0">
            <wp:extent cx="2356485" cy="304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8"/>
                    <a:stretch>
                      <a:fillRect/>
                    </a:stretch>
                  </pic:blipFill>
                  <pic:spPr bwMode="auto">
                    <a:xfrm>
                      <a:off x="0" y="0"/>
                      <a:ext cx="2356485" cy="3048000"/>
                    </a:xfrm>
                    <a:prstGeom prst="rect">
                      <a:avLst/>
                    </a:prstGeom>
                  </pic:spPr>
                </pic:pic>
              </a:graphicData>
            </a:graphic>
          </wp:inline>
        </w:drawing>
      </w:r>
      <w:r>
        <w:rPr/>
        <w:t xml:space="preserve"> </w:t>
      </w:r>
    </w:p>
    <w:p>
      <w:pPr>
        <w:pStyle w:val="TextBody"/>
        <w:spacing w:before="0" w:after="0"/>
        <w:ind w:left="0" w:right="0" w:hanging="0"/>
        <w:jc w:val="center"/>
        <w:rPr/>
      </w:pPr>
      <w:r>
        <w:rPr/>
        <w:t> </w:t>
      </w:r>
    </w:p>
    <w:p>
      <w:pPr>
        <w:pStyle w:val="HorizontalLine"/>
        <w:jc w:val="center"/>
        <w:rPr/>
      </w:pPr>
      <w:r>
        <w:rPr/>
      </w:r>
    </w:p>
    <w:p>
      <w:pPr>
        <w:pStyle w:val="TextBody"/>
        <w:spacing w:before="0" w:after="0"/>
        <w:jc w:val="left"/>
        <w:rPr/>
      </w:pPr>
      <w:r>
        <w:rPr/>
        <w:t> </w:t>
      </w:r>
    </w:p>
    <w:p>
      <w:pPr>
        <w:pStyle w:val="TextBody"/>
        <w:spacing w:before="0" w:after="0"/>
        <w:jc w:val="center"/>
        <w:rPr/>
      </w:pPr>
      <w:r>
        <w:rPr/>
        <w:drawing>
          <wp:inline distT="0" distB="0" distL="0" distR="0">
            <wp:extent cx="2356485" cy="304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9"/>
                    <a:stretch>
                      <a:fillRect/>
                    </a:stretch>
                  </pic:blipFill>
                  <pic:spPr bwMode="auto">
                    <a:xfrm>
                      <a:off x="0" y="0"/>
                      <a:ext cx="2356485" cy="3048000"/>
                    </a:xfrm>
                    <a:prstGeom prst="rect">
                      <a:avLst/>
                    </a:prstGeom>
                  </pic:spPr>
                </pic:pic>
              </a:graphicData>
            </a:graphic>
          </wp:inline>
        </w:drawing>
      </w:r>
    </w:p>
    <w:p>
      <w:pPr>
        <w:pStyle w:val="TextBody"/>
        <w:rPr/>
      </w:pPr>
      <w:r>
        <w:rPr/>
        <w:t> </w:t>
      </w:r>
      <w:r>
        <w:br w:type="page"/>
      </w:r>
    </w:p>
    <w:p>
      <w:pPr>
        <w:pStyle w:val="TextBody"/>
        <w:spacing w:before="0" w:after="0"/>
        <w:jc w:val="right"/>
        <w:rPr>
          <w:rFonts w:ascii="Times New Roman;Times;serif" w:hAnsi="Times New Roman;Times;serif"/>
          <w:b/>
          <w:sz w:val="20"/>
        </w:rPr>
      </w:pPr>
      <w:bookmarkStart w:id="40" w:name="ex_340784.htm"/>
      <w:bookmarkStart w:id="41" w:name="ksex_340784"/>
      <w:bookmarkEnd w:id="40"/>
      <w:bookmarkEnd w:id="41"/>
      <w:r>
        <w:rPr>
          <w:rFonts w:ascii="Times New Roman;Times;serif" w:hAnsi="Times New Roman;Times;serif"/>
          <w:b/>
          <w:sz w:val="20"/>
        </w:rPr>
        <w:t>Exhibit 10.101</w:t>
      </w:r>
    </w:p>
    <w:p>
      <w:pPr>
        <w:pStyle w:val="TextBody"/>
        <w:spacing w:before="0" w:after="0"/>
        <w:jc w:val="left"/>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information has been omitted from this exhibit in places marked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because it is both not material and would likely cause competitive harm to the registrant if publicly disclosed.</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In addition, certain personally identifiable information contained in this document, marked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has been omitted from this exhibit pursuant to Item 601(a)(6) under Regulation S-K.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NUMBER ONE TO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 xml:space="preserve">THIS AMENDMENT NUMBER ONE TO CREDIT AGREEMENT </w:t>
      </w:r>
      <w:r>
        <w:rPr>
          <w:rFonts w:ascii="Times New Roman" w:hAnsi="Times New Roman"/>
          <w:caps w:val="false"/>
          <w:smallCaps w:val="false"/>
          <w:sz w:val="20"/>
        </w:rPr>
        <w:t>(this “</w:t>
      </w:r>
      <w:r>
        <w:rPr>
          <w:rFonts w:ascii="Times New Roman" w:hAnsi="Times New Roman"/>
          <w:caps w:val="false"/>
          <w:smallCaps w:val="false"/>
          <w:sz w:val="20"/>
          <w:u w:val="single"/>
        </w:rPr>
        <w:t>Amendment</w:t>
      </w:r>
      <w:r>
        <w:rPr>
          <w:rFonts w:ascii="Times New Roman" w:hAnsi="Times New Roman"/>
          <w:caps w:val="false"/>
          <w:smallCaps w:val="false"/>
          <w:sz w:val="20"/>
        </w:rPr>
        <w:t>”), dated as of November 19, 2021, is entered into by and among BIOCRYST PHARMACEUTICALS, INC., a Delaware corporation (the “</w:t>
      </w:r>
      <w:r>
        <w:rPr>
          <w:rFonts w:ascii="Times New Roman" w:hAnsi="Times New Roman"/>
          <w:caps w:val="false"/>
          <w:smallCaps w:val="false"/>
          <w:sz w:val="20"/>
          <w:u w:val="single"/>
        </w:rPr>
        <w:t>Borrower</w:t>
      </w:r>
      <w:r>
        <w:rPr>
          <w:rFonts w:ascii="Times New Roman" w:hAnsi="Times New Roman"/>
          <w:caps w:val="false"/>
          <w:smallCaps w:val="false"/>
          <w:sz w:val="20"/>
        </w:rPr>
        <w:t>”), the guarantors listed on the signature pages hereto (the “</w:t>
      </w:r>
      <w:r>
        <w:rPr>
          <w:rFonts w:ascii="Times New Roman" w:hAnsi="Times New Roman"/>
          <w:caps w:val="false"/>
          <w:smallCaps w:val="false"/>
          <w:sz w:val="20"/>
          <w:u w:val="single"/>
        </w:rPr>
        <w:t>Guarantors</w:t>
      </w:r>
      <w:r>
        <w:rPr>
          <w:rFonts w:ascii="Times New Roman" w:hAnsi="Times New Roman"/>
          <w:caps w:val="false"/>
          <w:smallCaps w:val="false"/>
          <w:sz w:val="20"/>
        </w:rPr>
        <w:t>”), the lenders listed on the signature pages hereto (such lenders, and the other lenders party to the Credit Agreement (as defined below), together with their respective successors and permitted assigns, each individually, a “</w:t>
      </w:r>
      <w:r>
        <w:rPr>
          <w:rFonts w:ascii="Times New Roman" w:hAnsi="Times New Roman"/>
          <w:caps w:val="false"/>
          <w:smallCaps w:val="false"/>
          <w:sz w:val="20"/>
          <w:u w:val="single"/>
        </w:rPr>
        <w:t>Lender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Lenders</w:t>
      </w:r>
      <w:r>
        <w:rPr>
          <w:rFonts w:ascii="Times New Roman" w:hAnsi="Times New Roman"/>
          <w:caps w:val="false"/>
          <w:smallCaps w:val="false"/>
          <w:sz w:val="20"/>
        </w:rPr>
        <w:t>”) and ATHYRIUM OPPORTUNITIES III CO-INVEST 1 LP, a Delaware limited partnership, as administrative agent for the Lenders (in such capacity, together with its successors and assigns in such capacity, the “</w:t>
      </w:r>
      <w:r>
        <w:rPr>
          <w:rFonts w:ascii="Times New Roman" w:hAnsi="Times New Roman"/>
          <w:caps w:val="false"/>
          <w:smallCaps w:val="false"/>
          <w:sz w:val="20"/>
          <w:u w:val="single"/>
        </w:rPr>
        <w:t>Administrative Agent</w:t>
      </w:r>
      <w:r>
        <w:rPr>
          <w:rFonts w:ascii="Times New Roman" w:hAnsi="Times New Roman"/>
          <w:caps w:val="false"/>
          <w:smallCaps w:val="false"/>
          <w:sz w:val="20"/>
        </w:rPr>
        <w:t>”), and in light of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 I T N E S S E T 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Borrower, the Guarantors, the Lenders and the Administrative Agent are parties to that certain Credit Agreement, dated as of December 7, 2020 (as supplemented by that certain (i) Joinder Agreement, dated as of December 31, 2020, by and between BioCryst US Sales Co., LLC, a Delaware limited liability company, and the Administrative Agent, and (ii) Joinder Agreement, dated as of February 8, 2021, by and between BioCryst UK Limited, a private limited company incorporated in England and Wales (“</w:t>
      </w:r>
      <w:r>
        <w:rPr>
          <w:rFonts w:ascii="Times New Roman" w:hAnsi="Times New Roman"/>
          <w:caps w:val="false"/>
          <w:smallCaps w:val="false"/>
          <w:sz w:val="20"/>
          <w:u w:val="single"/>
        </w:rPr>
        <w:t>BioCryst UK</w:t>
      </w:r>
      <w:r>
        <w:rPr>
          <w:rFonts w:ascii="Times New Roman" w:hAnsi="Times New Roman"/>
          <w:caps w:val="false"/>
          <w:smallCaps w:val="false"/>
          <w:sz w:val="20"/>
        </w:rPr>
        <w:t>”), and the Administrative Agent, as amended by this Amendment and as further amended, restated, supplemented, or otherwise modified from time to time, the “</w:t>
      </w:r>
      <w:r>
        <w:rPr>
          <w:rFonts w:ascii="Times New Roman" w:hAnsi="Times New Roman"/>
          <w:caps w:val="false"/>
          <w:smallCaps w:val="false"/>
          <w:sz w:val="20"/>
          <w:u w:val="single"/>
        </w:rPr>
        <w:t>Credit Agreement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that certain Purchase and Sale Agreement, dated as of the date hereof (the “</w:t>
      </w:r>
      <w:r>
        <w:rPr>
          <w:rFonts w:ascii="Times New Roman" w:hAnsi="Times New Roman"/>
          <w:caps w:val="false"/>
          <w:smallCaps w:val="false"/>
          <w:sz w:val="20"/>
          <w:u w:val="single"/>
        </w:rPr>
        <w:t>OMERS Royalty Purchase Agreement</w:t>
      </w:r>
      <w:r>
        <w:rPr>
          <w:rFonts w:ascii="Times New Roman" w:hAnsi="Times New Roman"/>
          <w:caps w:val="false"/>
          <w:smallCaps w:val="false"/>
          <w:sz w:val="20"/>
        </w:rPr>
        <w:t>”), between the Borrower and OCM IP Healthcare Holdings Limited (“</w:t>
      </w:r>
      <w:r>
        <w:rPr>
          <w:rFonts w:ascii="Times New Roman" w:hAnsi="Times New Roman"/>
          <w:caps w:val="false"/>
          <w:smallCaps w:val="false"/>
          <w:sz w:val="20"/>
          <w:u w:val="single"/>
        </w:rPr>
        <w:t>Omers</w:t>
      </w:r>
      <w:r>
        <w:rPr>
          <w:rFonts w:ascii="Times New Roman" w:hAnsi="Times New Roman"/>
          <w:caps w:val="false"/>
          <w:smallCaps w:val="false"/>
          <w:sz w:val="20"/>
        </w:rPr>
        <w:t>”), the Borrower desires to sell, and Omers desires to purchase, a synthetic royalty tied to annual net sales of Orladeyo;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that certain 2021 Purchase and Sale Agreement, dated as of the date hereof (the “</w:t>
      </w:r>
      <w:r>
        <w:rPr>
          <w:rFonts w:ascii="Times New Roman" w:hAnsi="Times New Roman"/>
          <w:caps w:val="false"/>
          <w:smallCaps w:val="false"/>
          <w:sz w:val="20"/>
          <w:u w:val="single"/>
        </w:rPr>
        <w:t>2021 RP Royalty Purchase Agreement</w:t>
      </w:r>
      <w:r>
        <w:rPr>
          <w:rFonts w:ascii="Times New Roman" w:hAnsi="Times New Roman"/>
          <w:caps w:val="false"/>
          <w:smallCaps w:val="false"/>
          <w:sz w:val="20"/>
        </w:rPr>
        <w:t>”), between the Borrower and RPI 2019 Intermediate Finance Trust (“</w:t>
      </w:r>
      <w:r>
        <w:rPr>
          <w:rFonts w:ascii="Times New Roman" w:hAnsi="Times New Roman"/>
          <w:caps w:val="false"/>
          <w:smallCaps w:val="false"/>
          <w:sz w:val="20"/>
          <w:u w:val="single"/>
        </w:rPr>
        <w:t>RPI Trust</w:t>
      </w:r>
      <w:r>
        <w:rPr>
          <w:rFonts w:ascii="Times New Roman" w:hAnsi="Times New Roman"/>
          <w:caps w:val="false"/>
          <w:smallCaps w:val="false"/>
          <w:sz w:val="20"/>
        </w:rPr>
        <w:t>”), the Borrower desires to sell, and RPI Trust desires to purchase, a synthetic royalty tied to annual net sales of Orladeyo, BCX9930 and Complement Inhibitor;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that certain Common Stock Purchase Agreement, dated as of the date hereof (the “</w:t>
      </w:r>
      <w:r>
        <w:rPr>
          <w:rFonts w:ascii="Times New Roman" w:hAnsi="Times New Roman"/>
          <w:caps w:val="false"/>
          <w:smallCaps w:val="false"/>
          <w:sz w:val="20"/>
          <w:u w:val="single"/>
        </w:rPr>
        <w:t>Royalty Pharma Stock Purchase Agreement</w:t>
      </w:r>
      <w:r>
        <w:rPr>
          <w:rFonts w:ascii="Times New Roman" w:hAnsi="Times New Roman"/>
          <w:caps w:val="false"/>
          <w:smallCaps w:val="false"/>
          <w:sz w:val="20"/>
        </w:rPr>
        <w:t>”), between Borrower and RPI Trust, the Borrower desires to issue and sell, and RPI Trust desires to purchase, certain common stock of the Borrower;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Borrower has requested that the Administrative Agent and the Lenders amend the Credit Agreement to allow for the entering into of the OMERS Royalty Purchase Agreement and the 2021 RP Royalty Purchase Agreement;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upon the terms and conditions set forth herein, the Administrative Agent and the undersigned Lenders, which constitute Required Lenders, are willing to amend the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foregoing and the mutual covenants herein contained, and for other good and valuable consideration, the receipt and sufficiency of which are hereby acknowledged, the parties hereby agree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Defined Terms</w:t>
      </w:r>
      <w:r>
        <w:rPr>
          <w:rFonts w:ascii="Times New Roman" w:hAnsi="Times New Roman"/>
          <w:caps w:val="false"/>
          <w:smallCaps w:val="false"/>
          <w:sz w:val="20"/>
        </w:rPr>
        <w:t>. All initially capitalized terms used herein (including the preamble and recitals hereof) without definition shall have the meanings ascribed thereto in the Credit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Amendments to Credit Agreement</w:t>
      </w:r>
      <w:r>
        <w:rPr>
          <w:rFonts w:ascii="Times New Roman" w:hAnsi="Times New Roman"/>
          <w:caps w:val="false"/>
          <w:smallCaps w:val="false"/>
          <w:sz w:val="20"/>
        </w:rPr>
        <w:t xml:space="preserve">. Subject to the satisfaction (or waiver in writing by the Required Lenders) of the conditions precedent set forth in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hereof, the Credit Agreement is hereby amended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Amended Credit Agreement</w:t>
      </w:r>
      <w:r>
        <w:rPr>
          <w:rFonts w:ascii="Times New Roman" w:hAnsi="Times New Roman"/>
          <w:caps w:val="false"/>
          <w:smallCaps w:val="false"/>
          <w:sz w:val="20"/>
        </w:rPr>
        <w:t xml:space="preserve">. The Credit Agreement (other than the schedules and exhibits attached thereto) shall be amended to delete the stricken text (indicated textually in the same manner as the following example: </w:t>
      </w:r>
      <w:r>
        <w:rPr>
          <w:rFonts w:ascii="Times New Roman" w:hAnsi="Times New Roman"/>
          <w:caps w:val="false"/>
          <w:smallCaps w:val="false"/>
          <w:strike/>
          <w:color w:val="FF0000"/>
          <w:sz w:val="20"/>
        </w:rPr>
        <w:t>stricken text</w:t>
      </w:r>
      <w:r>
        <w:rPr>
          <w:rFonts w:ascii="Times New Roman" w:hAnsi="Times New Roman"/>
          <w:caps w:val="false"/>
          <w:smallCaps w:val="false"/>
          <w:sz w:val="20"/>
        </w:rPr>
        <w:t xml:space="preserve">) and to add the bold and double-underlined text (indicated textually in the same manner as the following example: </w:t>
      </w:r>
      <w:r>
        <w:rPr>
          <w:rFonts w:ascii="Times New Roman" w:hAnsi="Times New Roman"/>
          <w:b/>
          <w:caps w:val="false"/>
          <w:smallCaps w:val="false"/>
          <w:color w:val="0000FF"/>
          <w:sz w:val="20"/>
          <w:u w:val="single"/>
          <w:bdr w:val="double" w:sz="2" w:space="1" w:color="000000"/>
        </w:rPr>
        <w:t>bold and double-underlined text</w:t>
      </w:r>
      <w:r>
        <w:rPr>
          <w:rFonts w:ascii="Times New Roman" w:hAnsi="Times New Roman"/>
          <w:caps w:val="false"/>
          <w:smallCaps w:val="false"/>
          <w:sz w:val="20"/>
        </w:rPr>
        <w:t xml:space="preserve">) as set forth on the pages of the Credit Agreement attached as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Complement Inhibitor Schedule</w:t>
      </w:r>
      <w:r>
        <w:rPr>
          <w:rFonts w:ascii="Times New Roman" w:hAnsi="Times New Roman"/>
          <w:caps w:val="false"/>
          <w:smallCaps w:val="false"/>
          <w:sz w:val="20"/>
        </w:rPr>
        <w:t xml:space="preserve">. The Schedules to the Credit Agreement are amended by adding Schedule A attached as </w:t>
      </w:r>
      <w:r>
        <w:rPr>
          <w:rFonts w:ascii="Times New Roman" w:hAnsi="Times New Roman"/>
          <w:caps w:val="false"/>
          <w:smallCaps w:val="false"/>
          <w:sz w:val="20"/>
          <w:u w:val="single"/>
        </w:rPr>
        <w:t>Annex B</w:t>
      </w:r>
      <w:r>
        <w:rPr>
          <w:rFonts w:ascii="Times New Roman" w:hAnsi="Times New Roman"/>
          <w:caps w:val="false"/>
          <w:smallCaps w:val="false"/>
          <w:sz w:val="20"/>
        </w:rPr>
        <w:t xml:space="preserve"> 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Condition Precedent to Amendment</w:t>
      </w:r>
      <w:r>
        <w:rPr>
          <w:rFonts w:ascii="Times New Roman" w:hAnsi="Times New Roman"/>
          <w:caps w:val="false"/>
          <w:smallCaps w:val="false"/>
          <w:sz w:val="20"/>
        </w:rPr>
        <w:t>. The effectiveness of this Amendment is conditioned on the satisfaction in full, in a manner satisfactory to the Administrative Agent and the Required Lenders, or waiver, of the following conditions precedent: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Executed Amendment</w:t>
      </w:r>
      <w:r>
        <w:rPr>
          <w:rFonts w:ascii="Times New Roman" w:hAnsi="Times New Roman"/>
          <w:caps w:val="false"/>
          <w:smallCaps w:val="false"/>
          <w:sz w:val="20"/>
        </w:rPr>
        <w:t>. The Administrative Agent shall have received this Amendment, duly executed and delivered by the parties hereto, and the same shall be in full force and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Opinions of Counsel to the Loan Parties</w:t>
      </w:r>
      <w:r>
        <w:rPr>
          <w:rFonts w:ascii="Times New Roman" w:hAnsi="Times New Roman"/>
          <w:caps w:val="false"/>
          <w:smallCaps w:val="false"/>
          <w:sz w:val="20"/>
        </w:rPr>
        <w:t>. Receipt by the Administrative Agent of favorable opinions of legal counsel to the Loan Parties, addressed to the Administrative Agent and the Lenders, dated as of the date hereof, and in form and substance satisfactory to the Administrative Agent, the Lenders and their counsel.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Opinions of Counsel to the Administrative Agent</w:t>
      </w:r>
      <w:r>
        <w:rPr>
          <w:rFonts w:ascii="Times New Roman" w:hAnsi="Times New Roman"/>
          <w:caps w:val="false"/>
          <w:smallCaps w:val="false"/>
          <w:sz w:val="20"/>
        </w:rPr>
        <w:t>. Receipt by the Administrative Agent of favorable opinions of legal counsel to the Administrative Agent with respect to BioCryst UK and BioCryst Ireland Limited, addressed to the Administrative Agent and the Lenders, dated as of the date hereof, and in form and substance satisfactory to the Administrative Agent, the Lenders and their counsel.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Organization Documents, Resolutions, Etc.</w:t>
      </w:r>
      <w:r>
        <w:rPr>
          <w:rFonts w:ascii="Times New Roman" w:hAnsi="Times New Roman"/>
          <w:caps w:val="false"/>
          <w:smallCaps w:val="false"/>
          <w:sz w:val="20"/>
        </w:rPr>
        <w:t xml:space="preserve"> Receipt by the Administrative Agent of the following, each of which shall be originals, facsimiles or pdf scans, in form and substance satisfactory to the Administrative Agent and its legal counsel: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(x) copies of (x) the Organization Documents of each Loan Party certified to be true and complete as of a recent date by the appropriate Governmental Authority of the state or other jurisdiction of its incorporation or organization, where applicable, and (y) a certification by a Responsible Officer of such Loan Party that such Loan Party’s Organization Documents have not been amended or otherwise modified since the last time that such Loan Party’s Organization Documents were delivered to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such certificates of resolutions, shareholder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Amendment and the other Loan Documents to which such Loan Party is a party;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such documents and certifications as the Administrative Agent may require to evidence that each Loan Party is duly organized or formed, and is validly existing, in good standing and qualified to engage in business in its jurisdiction of organization or formation, including certificates of good standing or status in all applicable jurisdictions (which shall exclude, for the avoidance of doubt, Ireland).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Since [***], there shall not have occurred any event or condition that has had or could reasonably be expected to have, either individually or in the aggregate,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Litigation</w:t>
      </w:r>
      <w:r>
        <w:rPr>
          <w:rFonts w:ascii="Times New Roman" w:hAnsi="Times New Roman"/>
          <w:caps w:val="false"/>
          <w:smallCaps w:val="false"/>
          <w:sz w:val="20"/>
        </w:rPr>
        <w:t>. There shall not exist any action, suit, investigation or proceeding pending or threatened in any court or before an arbitrator or Governmental Authority that could reasonably be expected, either individually or in the aggregate, to have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Governmental and Third Party Approvals</w:t>
      </w:r>
      <w:r>
        <w:rPr>
          <w:rFonts w:ascii="Times New Roman" w:hAnsi="Times New Roman"/>
          <w:caps w:val="false"/>
          <w:smallCaps w:val="false"/>
          <w:sz w:val="20"/>
        </w:rPr>
        <w:t>. The Borrower and its Subsidiaries shall have received all material governmental, shareholder and third-party consents and approvals necessary in connection with the transactions contemplated by this Agreement, the other Loan Documents, the Royalty Financing Documents, the Royalty Pharma Stock Purchase Agreement and the other transactions contemplated hereby and all applicable waiting periods shall have expired without any action being taken by any Person that could reasonably be expected to restrain, prevent or impose any material adverse conditions on the Borrower or any of its Subsidiaries or such other transactions or that could seek to threaten any of the foregoing, and no law or regulation shall be applicable which could reasonably be expected to have such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Closing Certificate</w:t>
      </w:r>
      <w:r>
        <w:rPr>
          <w:rFonts w:ascii="Times New Roman" w:hAnsi="Times New Roman"/>
          <w:caps w:val="false"/>
          <w:smallCaps w:val="false"/>
          <w:sz w:val="20"/>
        </w:rPr>
        <w:t>. Receipt by the Administrative Agent of a certificate signed by a Responsible Officer of the Borrower certifying, as of the Closing Date, (i) that the conditions specified in Sections 3(e), (f) and (g) have been satisfied, (ii) that the representations specified in Sections 4(b) and (c) are true and correct and (iii) that the Borrower and its Subsidiaries (after giving effect to the Amendment) are Solvent on a consolidated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 xml:space="preserve">OMERS Royalty Financing Documents.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2"/>
        <w:gridCol w:w="9973"/>
      </w:tblGrid>
      <w:tr>
        <w:trPr/>
        <w:tc>
          <w:tcPr>
            <w:tcW w:w="60"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7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OMERS Royalty Financing Documents shall have been executed and delivered and the transactions thereunder fully consummated substantially concurrently with the execution and delivery of this Amendment.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9"/>
        <w:gridCol w:w="9906"/>
      </w:tblGrid>
      <w:tr>
        <w:trPr/>
        <w:tc>
          <w:tcPr>
            <w:tcW w:w="60" w:type="dxa"/>
            <w:tcBorders/>
            <w:shd w:fill="auto" w:val="clear"/>
            <w:vAlign w:val="center"/>
          </w:tcPr>
          <w:p>
            <w:pPr>
              <w:pStyle w:val="TableContents"/>
              <w:spacing w:before="0" w:after="283"/>
              <w:jc w:val="both"/>
              <w:rPr/>
            </w:pPr>
            <w:r>
              <w:rPr/>
              <w:t> </w:t>
            </w:r>
          </w:p>
        </w:tc>
        <w:tc>
          <w:tcPr>
            <w:tcW w:w="23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0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Receipt by the Administrative Agent of the OMERS Royalty Financing Documents, each in form and substance reasonably satisfactory to Administrative Agent and the Lenders.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70"/>
        <w:gridCol w:w="9875"/>
      </w:tblGrid>
      <w:tr>
        <w:trPr/>
        <w:tc>
          <w:tcPr>
            <w:tcW w:w="60" w:type="dxa"/>
            <w:tcBorders/>
            <w:shd w:fill="auto" w:val="clear"/>
            <w:vAlign w:val="center"/>
          </w:tcPr>
          <w:p>
            <w:pPr>
              <w:pStyle w:val="TableContents"/>
              <w:spacing w:before="0" w:after="283"/>
              <w:jc w:val="both"/>
              <w:rPr/>
            </w:pPr>
            <w:r>
              <w:rPr/>
              <w:t> </w:t>
            </w:r>
          </w:p>
        </w:tc>
        <w:tc>
          <w:tcPr>
            <w:tcW w:w="27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deliver a certificate of a Responsible Officer to the Administrative Agent certifying that (A) Administrative Agent has received a true, correct and complete executed copy of each OMERS Royalty Financing Document, (B) each Loan Party is in compliance in all material respects with the OMERS Royalty Financing Documents to which it is a party, and such Person has not received any notice of default or termination thereunder and (C) as of the date hereof, no OMERS Royalty Financing Document has been amended or waived or modified, without the written consent of the Administrative Agent and the Lenders.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 xml:space="preserve">2021 RP Royalty Financing Documents.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2"/>
        <w:gridCol w:w="9973"/>
      </w:tblGrid>
      <w:tr>
        <w:trPr/>
        <w:tc>
          <w:tcPr>
            <w:tcW w:w="60" w:type="dxa"/>
            <w:tcBorders/>
            <w:shd w:fill="auto" w:val="clear"/>
            <w:vAlign w:val="center"/>
          </w:tcPr>
          <w:p>
            <w:pPr>
              <w:pStyle w:val="TableContents"/>
              <w:spacing w:before="0" w:after="283"/>
              <w:jc w:val="both"/>
              <w:rPr/>
            </w:pPr>
            <w:r>
              <w:rPr/>
              <w:t> </w:t>
            </w:r>
          </w:p>
        </w:tc>
        <w:tc>
          <w:tcPr>
            <w:tcW w:w="172"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73"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2021 RP Royalty Financing Documents shall have been executed and delivered and the transactions thereunder fully consummated substantially concurrently with the execution and delivery of this Amendment.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9"/>
        <w:gridCol w:w="9906"/>
      </w:tblGrid>
      <w:tr>
        <w:trPr/>
        <w:tc>
          <w:tcPr>
            <w:tcW w:w="60" w:type="dxa"/>
            <w:tcBorders/>
            <w:shd w:fill="auto" w:val="clear"/>
            <w:vAlign w:val="center"/>
          </w:tcPr>
          <w:p>
            <w:pPr>
              <w:pStyle w:val="TableContents"/>
              <w:spacing w:before="0" w:after="283"/>
              <w:jc w:val="both"/>
              <w:rPr/>
            </w:pPr>
            <w:r>
              <w:rPr/>
              <w:t> </w:t>
            </w:r>
          </w:p>
        </w:tc>
        <w:tc>
          <w:tcPr>
            <w:tcW w:w="23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0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Receipt by the Administrative Agent of the 2021 RP Royalty Financing Documents, each in form and substance reasonably satisfactory to Administrative Agent and the Lenders.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68"/>
        <w:gridCol w:w="9877"/>
      </w:tblGrid>
      <w:tr>
        <w:trPr/>
        <w:tc>
          <w:tcPr>
            <w:tcW w:w="60" w:type="dxa"/>
            <w:tcBorders/>
            <w:shd w:fill="auto" w:val="clear"/>
            <w:vAlign w:val="center"/>
          </w:tcPr>
          <w:p>
            <w:pPr>
              <w:pStyle w:val="TableContents"/>
              <w:spacing w:before="0" w:after="283"/>
              <w:jc w:val="both"/>
              <w:rPr/>
            </w:pPr>
            <w:r>
              <w:rPr/>
              <w:t> </w:t>
            </w:r>
          </w:p>
        </w:tc>
        <w:tc>
          <w:tcPr>
            <w:tcW w:w="26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87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shall deliver a certificate of a Responsible Officer to the Administrative Agent certifying that (A) the Administrative Agent has received a true, correct and complete executed copy of each 2021 RP Royalty Financing Document, (B) each Loan Party is in compliance in all material respects with the 2021 RP Royalty Purchase Agreement and the other 2021 RP Royalty Financing Documents to which it is a party, and such Person has not received any notice of default or termination thereunder and (C) as of the date hereof, neither the 2021 RP Royalty Purchase Agreement nor any other 2021 RP Royalty Financing Document has been amended or waived or modified in any manner, without the written consent of the Administrative Agent and the Lenders.</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18"/>
        <w:gridCol w:w="9927"/>
      </w:tblGrid>
      <w:tr>
        <w:trPr/>
        <w:tc>
          <w:tcPr>
            <w:tcW w:w="60" w:type="dxa"/>
            <w:tcBorders/>
            <w:shd w:fill="auto" w:val="clear"/>
            <w:vAlign w:val="center"/>
          </w:tcPr>
          <w:p>
            <w:pPr>
              <w:pStyle w:val="TableContents"/>
              <w:spacing w:before="0" w:after="283"/>
              <w:jc w:val="both"/>
              <w:rPr/>
            </w:pPr>
            <w:r>
              <w:rPr/>
              <w:t> </w:t>
            </w:r>
          </w:p>
        </w:tc>
        <w:tc>
          <w:tcPr>
            <w:tcW w:w="21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w:t>
            </w:r>
          </w:p>
        </w:tc>
        <w:tc>
          <w:tcPr>
            <w:tcW w:w="9927"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Royalty Pharma Stock Purchase Agreement</w:t>
            </w:r>
            <w:r>
              <w:rPr>
                <w:rFonts w:ascii="Times New Roman" w:hAnsi="Times New Roman"/>
                <w:caps w:val="false"/>
                <w:smallCaps w:val="false"/>
                <w:sz w:val="20"/>
              </w:rPr>
              <w:t>. The Royalty Pharma Stock Purchase Agreement shall have been executed and delivered substantially concurrently with the execution and delivery of this Amendment.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5"/>
        <w:gridCol w:w="10000"/>
      </w:tblGrid>
      <w:tr>
        <w:trPr/>
        <w:tc>
          <w:tcPr>
            <w:tcW w:w="60" w:type="dxa"/>
            <w:tcBorders/>
            <w:shd w:fill="auto" w:val="clear"/>
            <w:vAlign w:val="center"/>
          </w:tcPr>
          <w:p>
            <w:pPr>
              <w:pStyle w:val="TableContents"/>
              <w:spacing w:before="0" w:after="283"/>
              <w:jc w:val="both"/>
              <w:rPr/>
            </w:pPr>
            <w:r>
              <w:rPr/>
              <w:t> </w:t>
            </w:r>
          </w:p>
        </w:tc>
        <w:tc>
          <w:tcPr>
            <w:tcW w:w="14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w:t>
            </w:r>
          </w:p>
        </w:tc>
        <w:tc>
          <w:tcPr>
            <w:tcW w:w="1000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Royalty Pharma Stock Purchase Documents</w:t>
            </w:r>
            <w:r>
              <w:rPr>
                <w:rFonts w:ascii="Times New Roman" w:hAnsi="Times New Roman"/>
                <w:caps w:val="false"/>
                <w:smallCaps w:val="false"/>
                <w:sz w:val="20"/>
              </w:rPr>
              <w:t>. Receipt by the Administrative Agent of the Royalty Pharma Stock Purchase Agreement, in form and substance reasonably acceptable to the Administrative Agent and the Lenders, together with a certificate of a Responsible Officer of the Borrower addressed to the Administrative Agent certifying that (i) the Administrative Agent has received a true, correct and complete executed copy of the Royalty Pharma Stock Purchase Agreement and each material agreement entered into in connection therewith (collectively, the “</w:t>
            </w:r>
            <w:r>
              <w:rPr>
                <w:rFonts w:ascii="Times New Roman" w:hAnsi="Times New Roman"/>
                <w:caps w:val="false"/>
                <w:smallCaps w:val="false"/>
                <w:sz w:val="20"/>
                <w:u w:val="single"/>
              </w:rPr>
              <w:t>Royalty Pharma Stock Purchase Documents</w:t>
            </w:r>
            <w:r>
              <w:rPr>
                <w:rFonts w:ascii="Times New Roman" w:hAnsi="Times New Roman"/>
                <w:caps w:val="false"/>
                <w:smallCaps w:val="false"/>
                <w:sz w:val="20"/>
              </w:rPr>
              <w:t>”), (ii) each Loan Party is in compliance in all material respects with the Royalty Pharma</w:t>
            </w:r>
            <w:r>
              <w:rPr>
                <w:rFonts w:ascii="Times New Roman" w:hAnsi="Times New Roman"/>
                <w:caps w:val="false"/>
                <w:smallCaps w:val="false"/>
                <w:sz w:val="20"/>
                <w:u w:val="single"/>
              </w:rPr>
              <w:t> </w:t>
            </w:r>
            <w:r>
              <w:rPr>
                <w:rFonts w:ascii="Times New Roman" w:hAnsi="Times New Roman"/>
                <w:caps w:val="false"/>
                <w:smallCaps w:val="false"/>
                <w:sz w:val="20"/>
              </w:rPr>
              <w:t>Stock Purchase Documents to which it is a party, and such Loan Party has not received any notice of default or termination thereunder and (iii) as of the date hereof, no Royalty Pharma Stock Purchase Documents (including, without limitation, the Royalty Pharma Stock Purchase Agreement) has been amended or waived or modified in any manner, without the written consent of the Administrative Agent and the Required Lenders.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254"/>
        <w:gridCol w:w="9891"/>
      </w:tblGrid>
      <w:tr>
        <w:trPr/>
        <w:tc>
          <w:tcPr>
            <w:tcW w:w="6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w:t>
            </w:r>
          </w:p>
        </w:tc>
        <w:tc>
          <w:tcPr>
            <w:tcW w:w="989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Lien Searches</w:t>
            </w:r>
            <w:r>
              <w:rPr>
                <w:rFonts w:ascii="Times New Roman" w:hAnsi="Times New Roman"/>
                <w:caps w:val="false"/>
                <w:smallCaps w:val="false"/>
                <w:sz w:val="20"/>
              </w:rPr>
              <w:t>. Receipt by the Administrative Agent of searches of Uniform Commercial Code filings in the jurisdiction of formation of each Loan Party or where a filing would need to be made in order to perfect the Administrative Agent’s security interest in the Collateral.</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Each of the Borrower and each Guarantor hereby represents and warrants to the Administrative Agent and the Lenders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(a)    The execution, delivery and performance of this Amendment and such Loan Party’s obligations hereunder have been duly authorized by all necessary corporate or other similar action. This Amendment has been duly executed and delivered by each Loan Party that is party thereto. Each of this Amendment and the Credit Agreement (for the avoidance of doubt, as amended by this Amendment) constitutes a legal, valid and binding obligation of each Loan Party that is party thereto, enforceable against each such Loan Party, subject to applicable Debtor Relief Laws or other Laws affecting creditors’ rights generally and subject to general principles of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(b)    No Default or Event of Default has occurred and is continuing as of the date of the effectiveness of this Amendment, and no condition exists which constitutes a Default or an Event of Default.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After giving effect to this Amendment, the representations and warranties of the Borrower and each other Loan Party contained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of the Credit Agreement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hAnsi="Times New Roman"/>
          <w:caps w:val="false"/>
          <w:smallCaps w:val="false"/>
          <w:sz w:val="20"/>
          <w:u w:val="single"/>
        </w:rPr>
        <w:t>Section 4(c)</w:t>
      </w:r>
      <w:r>
        <w:rPr>
          <w:rFonts w:ascii="Times New Roman" w:hAnsi="Times New Roman"/>
          <w:caps w:val="false"/>
          <w:smallCaps w:val="false"/>
          <w:sz w:val="20"/>
        </w:rPr>
        <w:t xml:space="preserve">, the representations and warranties contained in subsections (a) and (b) of </w:t>
      </w:r>
      <w:r>
        <w:rPr>
          <w:rFonts w:ascii="Times New Roman" w:hAnsi="Times New Roman"/>
          <w:caps w:val="false"/>
          <w:smallCaps w:val="false"/>
          <w:sz w:val="20"/>
          <w:u w:val="single"/>
        </w:rPr>
        <w:t>Section 6.05</w:t>
      </w:r>
      <w:r>
        <w:rPr>
          <w:rFonts w:ascii="Times New Roman" w:hAnsi="Times New Roman"/>
          <w:caps w:val="false"/>
          <w:smallCaps w:val="false"/>
          <w:sz w:val="20"/>
        </w:rPr>
        <w:t xml:space="preserve"> of the Credit Agreement shall be deemed to refer to the most recent statements furnished pursuant to clauses (a) and (b), respectively, of </w:t>
      </w:r>
      <w:r>
        <w:rPr>
          <w:rFonts w:ascii="Times New Roman" w:hAnsi="Times New Roman"/>
          <w:caps w:val="false"/>
          <w:smallCaps w:val="false"/>
          <w:sz w:val="20"/>
          <w:u w:val="single"/>
        </w:rPr>
        <w:t>Section 7.01</w:t>
      </w:r>
      <w:r>
        <w:rPr>
          <w:rFonts w:ascii="Times New Roman" w:hAnsi="Times New Roman"/>
          <w:caps w:val="false"/>
          <w:smallCaps w:val="false"/>
          <w:sz w:val="20"/>
        </w:rPr>
        <w:t xml:space="preserve"> of the Credit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u w:val="single"/>
        </w:rPr>
        <w:t>GOVERNING LAW; JURISDICTION; ETC.; WAIVER OF RIGHT TO JURY TRIAL; AND JUDGMENT CURRENCY</w:t>
      </w:r>
      <w:r>
        <w:rPr>
          <w:rFonts w:ascii="Times New Roman" w:hAnsi="Times New Roman"/>
          <w:b/>
          <w:caps w:val="false"/>
          <w:smallCaps w:val="false"/>
          <w:sz w:val="20"/>
        </w:rPr>
        <w:t xml:space="preserve">. THIS AMENDMENT SHALL BE SUBJECT TO THE PROVISIONS REGARDING GOVERNING LAW; SUBMISSION TO JURISDICTION, WAIVER OF VENUE, SERVICE OF PROCESS; WAIVER OF RIGHT TO TRIAL BY JURY; AND JUDGMENT CURRENCY SET FORTH IN SECTIONS 12.14, 12.15 AND 12.16 OF THE CREDIT AGREEMENT, AND SUCH PROVISIONS ARE INCORPORATED HEREIN BY THIS REFERENCE, </w:t>
      </w:r>
      <w:r>
        <w:rPr>
          <w:rFonts w:ascii="Times New Roman" w:hAnsi="Times New Roman"/>
          <w:b/>
          <w:i/>
          <w:caps w:val="false"/>
          <w:smallCaps w:val="false"/>
          <w:sz w:val="20"/>
        </w:rPr>
        <w:t>MUTATIS MUTANDIS</w:t>
      </w:r>
      <w:r>
        <w:rPr>
          <w:rFonts w:ascii="Times New Roman" w:hAnsi="Times New Roman"/>
          <w:b/>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Counterpart Execution</w:t>
      </w:r>
      <w:r>
        <w:rPr>
          <w:rFonts w:ascii="Times New Roman" w:hAnsi="Times New Roman"/>
          <w:caps w:val="false"/>
          <w:smallCaps w:val="false"/>
          <w:sz w:val="20"/>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Delivery of an executed counterpart of this Amendment by telefacsimile or other electronic method of transmission shall be equally as effective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Release</w:t>
      </w:r>
      <w:r>
        <w:rPr>
          <w:rFonts w:ascii="Times New Roman" w:hAnsi="Times New Roman"/>
          <w:caps w:val="false"/>
          <w:smallCaps w:val="false"/>
          <w:sz w:val="20"/>
        </w:rPr>
        <w:t>. Each of the Loan Parties hereby releases and forever discharges the Administrative Agent, the Lenders and their respective predecessors, successors, assigns, officers, managers, directors, employees, agents, attorneys, representatives, and affiliates (hereinafter all of the above collectively referred to as, the “</w:t>
      </w:r>
      <w:r>
        <w:rPr>
          <w:rFonts w:ascii="Times New Roman" w:hAnsi="Times New Roman"/>
          <w:caps w:val="false"/>
          <w:smallCaps w:val="false"/>
          <w:sz w:val="20"/>
          <w:u w:val="single"/>
        </w:rPr>
        <w:t>Lender Group</w:t>
      </w:r>
      <w:r>
        <w:rPr>
          <w:rFonts w:ascii="Times New Roman" w:hAnsi="Times New Roman"/>
          <w:caps w:val="false"/>
          <w:smallCaps w:val="false"/>
          <w:sz w:val="20"/>
        </w:rPr>
        <w:t>”), from any and all claims, counterclaims, demands, damages, debts, suits, liabilities, actions and causes of action of any nature whatsoever, in each case to the extent arising in connection with the Loan Documents or any of the negotiations, activities, events or circumstances arising out of or related to the Loan Documents through the date of this Amendment, whether arising at law or in equity, whether known or unknown, whether liability be direct or indirect, liquidated or unliquidated, whether absolute or contingent, foreseen or unforeseen, and whether or not heretofore asserted, which any of the Loan Parties may have or claim to have against any entity within the Lender Group.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Acknowledgment and Reaffirmation</w:t>
      </w:r>
      <w:r>
        <w:rPr>
          <w:rFonts w:ascii="Times New Roman" w:hAnsi="Times New Roman"/>
          <w:caps w:val="false"/>
          <w:smallCaps w:val="false"/>
          <w:sz w:val="20"/>
        </w:rPr>
        <w:t>. By its execution hereof, each of the Loan Parties hereby expressly (a) acknowledges and agrees to the terms and conditions of this Amendment, (b) except as otherwise amended hereby, reaffirms all of its respective covenants and other obligations set forth in the Credit Agreement and the other Loan Documents to which it is a party, (c) ratifies and confirms all security interests previously granted by it to the Administrative Agent for the benefit of the Secured Parties under the Loan Documents, as amended hereby, and (d) acknowledges that its respective covenants and other obligations set forth in the Credit Agreement and the other Loan Documents to which it is a party remain in full force and effect as amended 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Amendment, and the terms and provisions hereof, the Credit Agreement and the other Loan Documents constitute the entire understanding and agreement between the parties hereto with respect to the subject matter hereof and supersede any and all prior or contemporaneous amendments or understandings with respect to the subject matter hereof, whether express or implied, oral or written.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Integration</w:t>
      </w:r>
      <w:r>
        <w:rPr>
          <w:rFonts w:ascii="Times New Roman" w:hAnsi="Times New Roman"/>
          <w:caps w:val="false"/>
          <w:smallCaps w:val="false"/>
          <w:sz w:val="20"/>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Severability</w:t>
      </w:r>
      <w:r>
        <w:rPr>
          <w:rFonts w:ascii="Times New Roman" w:hAnsi="Times New Roman"/>
          <w:caps w:val="false"/>
          <w:smallCaps w:val="false"/>
          <w:sz w:val="20"/>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Costs and Expenses</w:t>
      </w:r>
      <w:r>
        <w:rPr>
          <w:rFonts w:ascii="Times New Roman" w:hAnsi="Times New Roman"/>
          <w:caps w:val="false"/>
          <w:smallCaps w:val="false"/>
          <w:sz w:val="20"/>
        </w:rPr>
        <w:t>. As an inducement to the Administrative Agent and the Lenders entering into this Amendment and as otherwise required under the Loan Documents, the Borrower hereby agrees to pay pursuant to Section 12.04 of the Credit Agreement, following execution and delivery of this Amendment, all reasonable out-of-pocket cost and expenses of the Administrative Agent and the Lenders incurred in connection with this Amendment and the matters contemplated herein, including all reasonable attorney’s fees.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Loan Document</w:t>
      </w:r>
      <w:r>
        <w:rPr>
          <w:rFonts w:ascii="Times New Roman" w:hAnsi="Times New Roman"/>
          <w:caps w:val="false"/>
          <w:smallCaps w:val="false"/>
          <w:sz w:val="20"/>
        </w:rPr>
        <w:t>. This Amendment shall constitute a Loan Document for all purposes of the Credit Agreement and the other Loan Documents. The occurrence and continuation of any Event of Default under this Amendment shall entitle the Administrative Agent and the Lenders to exercise all rights and remedies available to them under Section 9.02 of the Credit Agreement. Each reference in the Credit Agreement to “this Agreement”, “hereunder”, “hereof”, “herein”, or words of like import, and each reference to the Credit Agreement in any other Loan Document shall be deemed a reference to the Credit Agreement as amended 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IN WITNESS WHEREOF, the parties have entered into this Amendment as of the date first above written.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809" w:type="dxa"/>
        <w:jc w:val="left"/>
        <w:tblInd w:w="0" w:type="dxa"/>
        <w:tblCellMar>
          <w:top w:w="0" w:type="dxa"/>
          <w:left w:w="0" w:type="dxa"/>
          <w:bottom w:w="0" w:type="dxa"/>
          <w:right w:w="0" w:type="dxa"/>
        </w:tblCellMar>
      </w:tblPr>
      <w:tblGrid>
        <w:gridCol w:w="1385"/>
        <w:gridCol w:w="879"/>
        <w:gridCol w:w="2545"/>
      </w:tblGrid>
      <w:tr>
        <w:trPr/>
        <w:tc>
          <w:tcPr>
            <w:tcW w:w="1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BORROWER:</w:t>
            </w:r>
          </w:p>
        </w:tc>
        <w:tc>
          <w:tcPr>
            <w:tcW w:w="342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PHARMACEUTICALS, INC.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By:</w:t>
            </w:r>
          </w:p>
        </w:tc>
        <w:tc>
          <w:tcPr>
            <w:tcW w:w="254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Doyle</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Name:</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Anthony Doyle</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Title:</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GUARANTORS:</w:t>
            </w:r>
          </w:p>
        </w:tc>
        <w:tc>
          <w:tcPr>
            <w:tcW w:w="342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IRELAND LIMITED</w:t>
            </w:r>
          </w:p>
        </w:tc>
      </w:tr>
      <w:tr>
        <w:trPr/>
        <w:tc>
          <w:tcPr>
            <w:tcW w:w="1385" w:type="dxa"/>
            <w:tcBorders/>
            <w:shd w:fill="auto" w:val="clear"/>
            <w:vAlign w:val="center"/>
          </w:tcPr>
          <w:p>
            <w:pPr>
              <w:pStyle w:val="TableContents"/>
              <w:spacing w:before="0" w:after="283"/>
              <w:rPr/>
            </w:pPr>
            <w:r>
              <w:rPr/>
              <w:t> </w:t>
            </w:r>
          </w:p>
        </w:tc>
        <w:tc>
          <w:tcPr>
            <w:tcW w:w="342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incorporated under the laws of Ireland</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By:</w:t>
            </w:r>
          </w:p>
        </w:tc>
        <w:tc>
          <w:tcPr>
            <w:tcW w:w="254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Brian McInerney</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Name:</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Brian McInerney</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342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UK LIMITED</w:t>
            </w:r>
          </w:p>
        </w:tc>
      </w:tr>
      <w:tr>
        <w:trPr/>
        <w:tc>
          <w:tcPr>
            <w:tcW w:w="1385" w:type="dxa"/>
            <w:tcBorders/>
            <w:shd w:fill="auto" w:val="clear"/>
            <w:vAlign w:val="center"/>
          </w:tcPr>
          <w:p>
            <w:pPr>
              <w:pStyle w:val="TableContents"/>
              <w:spacing w:before="0" w:after="283"/>
              <w:rPr/>
            </w:pPr>
            <w:r>
              <w:rPr/>
              <w:t> </w:t>
            </w:r>
          </w:p>
        </w:tc>
        <w:tc>
          <w:tcPr>
            <w:tcW w:w="342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incorporated under the laws of England</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By:</w:t>
            </w:r>
          </w:p>
        </w:tc>
        <w:tc>
          <w:tcPr>
            <w:tcW w:w="2545" w:type="dxa"/>
            <w:tcBorders>
              <w:bottom w:val="single" w:sz="2" w:space="0" w:color="000000"/>
            </w:tcBorders>
            <w:shd w:fill="auto" w:val="clear"/>
            <w:tcMar>
              <w:bottom w:w="28" w:type="dxa"/>
            </w:tcMar>
            <w:vAlign w:val="center"/>
          </w:tcPr>
          <w:p>
            <w:pPr>
              <w:pStyle w:val="TableContents"/>
              <w:spacing w:before="0" w:after="0"/>
              <w:ind w:left="0" w:right="0" w:hanging="0"/>
              <w:rPr>
                <w:caps w:val="false"/>
                <w:smallCaps w:val="false"/>
              </w:rPr>
            </w:pPr>
            <w:r>
              <w:rPr>
                <w:caps w:val="false"/>
                <w:smallCaps w:val="false"/>
              </w:rPr>
              <w:t> </w:t>
            </w:r>
            <w:r>
              <w:rPr>
                <w:rFonts w:ascii="Times New Roman" w:hAnsi="Times New Roman"/>
                <w:caps w:val="false"/>
                <w:smallCaps w:val="false"/>
                <w:sz w:val="20"/>
              </w:rPr>
              <w:t>/s/ Luke Robinson</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Name:</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Luke Robinson</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Title:</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Director</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342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US Sales Co., LLC</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By:</w:t>
            </w:r>
          </w:p>
        </w:tc>
        <w:tc>
          <w:tcPr>
            <w:tcW w:w="254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Doyle</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Name:</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Anthony Doyle</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Title:</w:t>
            </w:r>
          </w:p>
        </w:tc>
        <w:tc>
          <w:tcPr>
            <w:tcW w:w="25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385" w:type="dxa"/>
            <w:tcBorders/>
            <w:shd w:fill="auto" w:val="clear"/>
            <w:vAlign w:val="center"/>
          </w:tcPr>
          <w:p>
            <w:pPr>
              <w:pStyle w:val="TableContents"/>
              <w:spacing w:before="0" w:after="283"/>
              <w:rPr/>
            </w:pPr>
            <w:r>
              <w:rPr/>
              <w:t> </w:t>
            </w:r>
          </w:p>
        </w:tc>
        <w:tc>
          <w:tcPr>
            <w:tcW w:w="879" w:type="dxa"/>
            <w:tcBorders/>
            <w:shd w:fill="auto" w:val="clear"/>
            <w:vAlign w:val="center"/>
          </w:tcPr>
          <w:p>
            <w:pPr>
              <w:pStyle w:val="TableContents"/>
              <w:spacing w:before="0" w:after="283"/>
              <w:rPr/>
            </w:pPr>
            <w:r>
              <w:rPr/>
              <w:t> </w:t>
            </w:r>
          </w:p>
        </w:tc>
        <w:tc>
          <w:tcPr>
            <w:tcW w:w="254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Amendment Number One to Credit Agreement]</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tbl>
      <w:tblPr>
        <w:tblW w:w="9594" w:type="dxa"/>
        <w:jc w:val="left"/>
        <w:tblInd w:w="0" w:type="dxa"/>
        <w:tblCellMar>
          <w:top w:w="0" w:type="dxa"/>
          <w:left w:w="0" w:type="dxa"/>
          <w:bottom w:w="0" w:type="dxa"/>
          <w:right w:w="0" w:type="dxa"/>
        </w:tblCellMar>
      </w:tblPr>
      <w:tblGrid>
        <w:gridCol w:w="2420"/>
        <w:gridCol w:w="1674"/>
        <w:gridCol w:w="5500"/>
      </w:tblGrid>
      <w:tr>
        <w:trPr/>
        <w:tc>
          <w:tcPr>
            <w:tcW w:w="24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AGENT:</w:t>
            </w:r>
          </w:p>
        </w:tc>
        <w:tc>
          <w:tcPr>
            <w:tcW w:w="7174" w:type="dxa"/>
            <w:gridSpan w:val="2"/>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ATHYRIUM OPPORTUNITIES III CO-INVEST 1 LP, as Administrative Agent</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7174" w:type="dxa"/>
            <w:gridSpan w:val="2"/>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By: ATHYRIUM OPPORTUNITIES ASSOCIATES CO-INVEST LLC, its General Partner</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550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 Rashida Adams</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55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Rashida Adams</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55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Signatory</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LENDER:</w:t>
            </w:r>
          </w:p>
        </w:tc>
        <w:tc>
          <w:tcPr>
            <w:tcW w:w="7174" w:type="dxa"/>
            <w:gridSpan w:val="2"/>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ATHYRIUM OPPORTUNITIES III CO-INVEST 1 LP</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7174" w:type="dxa"/>
            <w:gridSpan w:val="2"/>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By: ATHYRIUM OPPORTUNITIES ASSOCIATES CO-INVEST LLC, its General Partner</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550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 Rashida Adams</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55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Rashida Adams</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550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Signatory</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r>
        <w:trPr/>
        <w:tc>
          <w:tcPr>
            <w:tcW w:w="2420" w:type="dxa"/>
            <w:tcBorders/>
            <w:shd w:fill="auto" w:val="clear"/>
            <w:vAlign w:val="center"/>
          </w:tcPr>
          <w:p>
            <w:pPr>
              <w:pStyle w:val="TableContents"/>
              <w:spacing w:before="0" w:after="283"/>
              <w:rPr/>
            </w:pPr>
            <w:r>
              <w:rPr/>
              <w:t> </w:t>
            </w:r>
          </w:p>
        </w:tc>
        <w:tc>
          <w:tcPr>
            <w:tcW w:w="1674" w:type="dxa"/>
            <w:tcBorders/>
            <w:shd w:fill="auto" w:val="clear"/>
            <w:vAlign w:val="center"/>
          </w:tcPr>
          <w:p>
            <w:pPr>
              <w:pStyle w:val="TableContents"/>
              <w:spacing w:before="0" w:after="283"/>
              <w:rPr/>
            </w:pPr>
            <w:r>
              <w:rPr/>
              <w:t> </w:t>
            </w:r>
          </w:p>
        </w:tc>
        <w:tc>
          <w:tcPr>
            <w:tcW w:w="550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Amendment Number One to Credit Agreement]</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ANNEX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Attached]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Annex A to Amendment Number 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CONFORMED THROUGH AMENDMENT NUMBER ONE TO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December 7,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BIOCRYST PHARMACEUTICALS, INC.,</w:t>
        <w:br/>
        <w:t>as the Borrower,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BIOCRYST IRELAND LIMITED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 Guarantor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other Guarantors from time to time party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Lenders from time to time party hereto</w:t>
        <w:br/>
        <w:br/>
        <w:t>and</w:t>
        <w:br/>
        <w:br/>
        <w:t>ATHYRIUM OPPORTUNITIES III CO-INVEST 1 LP,</w:t>
        <w:br/>
        <w:t>as Administrative Agent</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i</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tbl>
      <w:tblPr>
        <w:tblW w:w="5469" w:type="dxa"/>
        <w:jc w:val="left"/>
        <w:tblInd w:w="0" w:type="dxa"/>
        <w:tblCellMar>
          <w:top w:w="0" w:type="dxa"/>
          <w:left w:w="0" w:type="dxa"/>
          <w:bottom w:w="0" w:type="dxa"/>
          <w:right w:w="0" w:type="dxa"/>
        </w:tblCellMar>
      </w:tblPr>
      <w:tblGrid>
        <w:gridCol w:w="465"/>
        <w:gridCol w:w="4564"/>
        <w:gridCol w:w="440"/>
      </w:tblGrid>
      <w:tr>
        <w:trPr/>
        <w:tc>
          <w:tcPr>
            <w:tcW w:w="465" w:type="dxa"/>
            <w:tcBorders/>
            <w:shd w:fill="auto" w:val="clear"/>
            <w:vAlign w:val="center"/>
          </w:tcPr>
          <w:p>
            <w:pPr>
              <w:pStyle w:val="TableContents"/>
              <w:spacing w:before="0" w:after="283"/>
              <w:rPr/>
            </w:pPr>
            <w:r>
              <w:rPr/>
              <w:t> </w:t>
            </w:r>
          </w:p>
        </w:tc>
        <w:tc>
          <w:tcPr>
            <w:tcW w:w="4564"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465" w:type="dxa"/>
            <w:tcBorders/>
            <w:shd w:fill="auto" w:val="clear"/>
            <w:vAlign w:val="center"/>
          </w:tcPr>
          <w:p>
            <w:pPr>
              <w:pStyle w:val="TableContents"/>
              <w:spacing w:before="0" w:after="283"/>
              <w:rPr/>
            </w:pPr>
            <w:r>
              <w:rPr/>
              <w:t> </w:t>
            </w:r>
          </w:p>
        </w:tc>
        <w:tc>
          <w:tcPr>
            <w:tcW w:w="4564"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rPr/>
            </w:pPr>
            <w:r>
              <w:rPr/>
              <w:t> </w:t>
            </w:r>
          </w:p>
        </w:tc>
      </w:tr>
      <w:tr>
        <w:trPr/>
        <w:tc>
          <w:tcPr>
            <w:tcW w:w="5029"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I DEFINITIONS AND ACCOUNTING TERMS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1.01</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Defined Terms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1.02</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Interpretive Provisions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1.03</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Accounting Terms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1.04</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Times of Day</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1.05</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LIBOR Determinations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5029"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II THE COMMITMENTS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2.01</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Commitments.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2.02</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Borrowings.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2.03</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Prepayments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2.04</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Termination of Commitments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2.05</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Repayment of Loans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2.06</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Interest; Other Amounts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2.07</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Fees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2.08</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Evidence of Debt</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2.09</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Computation of Interest</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2.10</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Payments Generally</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2.11</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Sharing of Payments by Lenders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2.12</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Defaulting Lenders.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5029"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III TAXES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3.01</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Taxes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3.02</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Survival</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53</w:t>
            </w:r>
          </w:p>
        </w:tc>
      </w:tr>
      <w:tr>
        <w:trPr/>
        <w:tc>
          <w:tcPr>
            <w:tcW w:w="5029"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IV GUARANTY</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4.01</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Guaranty</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4.02</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Obligations Unconditional</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4.03</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Reinstatement</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4.04</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Certain Additional Waivers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4.05</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Remedies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4.06</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Rights of Contribution</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4.07</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Guarantee of Payment; Continuing Guarantee</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4.08</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Limitations.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4.09</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Guarantor Intent</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5029"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V CONDITIONS PRECEDENT TO BORROWINGS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5.01</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Conditions to Initial Borrowing</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5.02</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Conditions to all Borrowings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w:t>
            </w:r>
          </w:p>
        </w:tc>
      </w:tr>
      <w:tr>
        <w:trPr/>
        <w:tc>
          <w:tcPr>
            <w:tcW w:w="5029"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VI REPRESENTATIONS AND WARRANTIES</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6.01</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Existence, Qualification and Power</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r>
        <w:trPr/>
        <w:tc>
          <w:tcPr>
            <w:tcW w:w="46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6.02</w:t>
            </w:r>
          </w:p>
        </w:tc>
        <w:tc>
          <w:tcPr>
            <w:tcW w:w="456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Authorization; No Contravention</w:t>
            </w:r>
          </w:p>
        </w:tc>
        <w:tc>
          <w:tcPr>
            <w:tcW w:w="44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bl>
    <w:p>
      <w:pPr>
        <w:pStyle w:val="TextBody"/>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5370" w:type="dxa"/>
        <w:jc w:val="left"/>
        <w:tblInd w:w="0" w:type="dxa"/>
        <w:tblCellMar>
          <w:top w:w="0" w:type="dxa"/>
          <w:left w:w="0" w:type="dxa"/>
          <w:bottom w:w="0" w:type="dxa"/>
          <w:right w:w="0" w:type="dxa"/>
        </w:tblCellMar>
      </w:tblPr>
      <w:tblGrid>
        <w:gridCol w:w="380"/>
        <w:gridCol w:w="4760"/>
        <w:gridCol w:w="230"/>
      </w:tblGrid>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6.03</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Governmental Authorization; Other Consents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6.04</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Binding Effect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6.05</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Financial Statements; No Material Adverse Effect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6.06</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Litigation</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6.07</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 Default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6.08</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Ownership of Property; Liens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6.09</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Environmental Compliance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63</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6.10</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Insurance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6.11</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6.12</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ERISA Compliance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64</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6.13</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Subsidiaries and Capitalization; Management Fees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6.14</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Margin Regulations; Investment Company Act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6.15</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Disclosure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6.16</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Compliance with Laws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6.17</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Intellectual Property; Licenses, Etc.</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6.18</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Solvency</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6.19</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Perfection of Security Interests in the Collateral</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6.20</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Business Locations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6.21</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Sanctions Concerns; Anti-Corruption Laws; PATRIOT Act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6.22</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Material Contracts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6.23</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Compliance.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6.24</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Labor Matters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6.25</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Affected Financial Institution</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6.26</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Ranking of Loans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6.27</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Consummation of the Royalty Financing</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6.28</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Regulation H</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6.29</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Data Privacy.</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6.30</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Centre of Main Interests and Establishments.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6.31</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JPR Royalty Sub.</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6.32</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Royalty and Other Payments.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6.33</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Non-Competes.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5140"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VII AFFIRMATIVE COVENANTS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7.01</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Financial Statements; Lender Calls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76</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7.02</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Certificates; Other Information</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7.03</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Notices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7.04</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Payment of Obligations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7.05</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Preservation of Existence, Etc.</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7.06</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Maintenance of Properties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7.07</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Maintenance of Insurance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7.08</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Compliance with Laws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7.09</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Books and Records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83</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7.10</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Inspection Rights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7.11</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Use of Proceeds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7.12</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Additional Subsidiaries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84</w:t>
            </w:r>
          </w:p>
        </w:tc>
      </w:tr>
      <w:tr>
        <w:trPr/>
        <w:tc>
          <w:tcPr>
            <w:tcW w:w="380"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7.13</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ERISA Compliance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ii</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485"/>
        <w:gridCol w:w="9385"/>
        <w:gridCol w:w="335"/>
      </w:tblGrid>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7.14</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Pledged Assets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7.15</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Compliance with Material Contracts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7.16</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Deposit Accounts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7.17</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Regulatory Compliance</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7.18</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Intellectual Property; Consent of Licensors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7.19</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Anti-Corruption Laws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7.20</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Post-Closing Obligations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7.21</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JPR Royalty Sub - Indenture.</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7.22</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Restrictions on Cash</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7.23</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People with Significant Control Regime</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w:t>
            </w:r>
          </w:p>
        </w:tc>
      </w:tr>
      <w:tr>
        <w:trPr/>
        <w:tc>
          <w:tcPr>
            <w:tcW w:w="9870"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VIII NEGATIVE COVENANTS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8.01</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Liens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8.02</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Investments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92</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8.03</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Indebtedness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8.04</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Fundamental Changes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8.05</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Dispositions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94</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8.06</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Restricted Payments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8.07</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Nature of Business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8.08</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Transactions with Affiliates and Insiders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8.09</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Burdensome Agreements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8.10</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Use of Proceeds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8.11</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Prepayment of Other Indebtedness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8.12</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Organization Documents; Fiscal Year; Legal Name, Jurisdiction of Formation and Form of Entity; Certain Amendments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97</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8.13</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Ownership of Subsidiaries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97</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8.14</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Sale Leasebacks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8.15</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Sanctions; Anti-Corruption Laws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8.16</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Minimum Liquidity.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8.17</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Minimum Orladeyo Consolidated U.S. Net Product Sales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8.18</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MDCP.</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9870"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IX EVENTS OF DEFAULT AND REMEDIES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9.01</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Events of Default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9.02</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Remedies Upon Event of Default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9.03</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Application of Funds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9.04</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Cure Right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r>
      <w:tr>
        <w:trPr/>
        <w:tc>
          <w:tcPr>
            <w:tcW w:w="9870"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X INCREASED COSTS AND INABILITY TO DETERMINE RATES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10.01</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Increased Costs, Etc.</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10.02</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Mitigation Obligations; Replacement of Lenders.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10.03</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Inability to Determine Rates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10.04</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Illegality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10.05</w:t>
            </w:r>
          </w:p>
        </w:tc>
        <w:tc>
          <w:tcPr>
            <w:tcW w:w="93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Survival</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iii</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6675" w:type="dxa"/>
        <w:jc w:val="left"/>
        <w:tblInd w:w="0" w:type="dxa"/>
        <w:tblCellMar>
          <w:top w:w="0" w:type="dxa"/>
          <w:left w:w="0" w:type="dxa"/>
          <w:bottom w:w="0" w:type="dxa"/>
          <w:right w:w="0" w:type="dxa"/>
        </w:tblCellMar>
      </w:tblPr>
      <w:tblGrid>
        <w:gridCol w:w="485"/>
        <w:gridCol w:w="5855"/>
        <w:gridCol w:w="335"/>
      </w:tblGrid>
      <w:tr>
        <w:trPr/>
        <w:tc>
          <w:tcPr>
            <w:tcW w:w="6340"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XI ADMINISTRATIVE AGENT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11.01</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Appointment and Authority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11.02</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Rights as a Lender</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11.03</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Exculpatory Provisions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11.04</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Reliance by Administrative Agent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112</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11.05</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Delegation of Duties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112</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11.06</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Resignation of Administrative Agent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112</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11.07</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Non-Reliance on Administrative Agent and Other Lenders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113</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11.08</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Administrative Agent May File Proofs of Claim</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113</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11.09</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Collateral and Guaranty Matters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w:t>
            </w:r>
          </w:p>
        </w:tc>
      </w:tr>
      <w:tr>
        <w:trPr/>
        <w:tc>
          <w:tcPr>
            <w:tcW w:w="6340" w:type="dxa"/>
            <w:gridSpan w:val="2"/>
            <w:tcBorders/>
            <w:shd w:fill="auto" w:val="clear"/>
            <w:vAlign w:val="center"/>
          </w:tcPr>
          <w:p>
            <w:pPr>
              <w:pStyle w:val="TableContents"/>
              <w:spacing w:before="0" w:after="0"/>
              <w:ind w:left="0" w:right="0" w:hanging="0"/>
              <w:rPr>
                <w:rFonts w:ascii="Times New Roman" w:hAnsi="Times New Roman"/>
                <w:caps/>
                <w:sz w:val="20"/>
              </w:rPr>
            </w:pPr>
            <w:r>
              <w:rPr>
                <w:rFonts w:ascii="Times New Roman" w:hAnsi="Times New Roman"/>
                <w:caps/>
                <w:sz w:val="20"/>
              </w:rPr>
              <w:t>Article XII MISCELLANEOUS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12.01</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Amendments, Etc.</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12.02</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Notices and Other Communications; Facsimile Copies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12.03</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 Waiver; Cumulative Remedies; Enforcement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12.04</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Expenses; Indemnity; and Damage Waiver</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12.05</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Marshalling; Payments Set Aside</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12.06</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Successors and Assigns; Transfers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12.07</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Treatment of Certain Information; Confidentiality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124</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12.08</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Set-off</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124</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12.09</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Interest Rate Limitation</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12.10</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Counterparts; Integration; Effectiveness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12.11</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Survival of Representations and Warranties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12.12</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Severability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12.13</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Replacement of Lenders.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12.14</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Governing Law; Jurisdiction; Etc.</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127</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12.15</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Waiver of Right to Trial by Jury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12.16</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Judgment Currency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128</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12.17</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Electronic Execution of Assignments and Certain Other Documents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12.18</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USA PATRIOT Act</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12.19</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 Advisory or Fiduciary Relationship</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129</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12.20</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Acknowledgement and Consent to Bail-In of EEA Financial Institutions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12.21</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Publicity</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130</w:t>
            </w:r>
          </w:p>
        </w:tc>
      </w:tr>
      <w:tr>
        <w:trPr/>
        <w:tc>
          <w:tcPr>
            <w:tcW w:w="485" w:type="dxa"/>
            <w:tcBorders/>
            <w:shd w:fill="auto"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12.22</w:t>
            </w:r>
          </w:p>
        </w:tc>
        <w:tc>
          <w:tcPr>
            <w:tcW w:w="58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Conflicts</w:t>
            </w:r>
          </w:p>
        </w:tc>
        <w:tc>
          <w:tcPr>
            <w:tcW w:w="335"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131</w:t>
            </w:r>
          </w:p>
        </w:tc>
      </w:tr>
    </w:tbl>
    <w:p>
      <w:pPr>
        <w:pStyle w:val="TextBody"/>
        <w:spacing w:before="0" w:after="0"/>
        <w:ind w:left="0" w:right="0" w:hanging="0"/>
        <w:rPr>
          <w:caps w:val="false"/>
          <w:smallCaps w:val="false"/>
        </w:rPr>
      </w:pPr>
      <w:r>
        <w:rPr>
          <w:caps w:val="false"/>
          <w:smallCaps w:val="false"/>
        </w:rPr>
        <w:t> </w:t>
      </w:r>
    </w:p>
    <w:tbl>
      <w:tblPr>
        <w:tblW w:w="4060" w:type="dxa"/>
        <w:jc w:val="left"/>
        <w:tblInd w:w="0" w:type="dxa"/>
        <w:tblCellMar>
          <w:top w:w="0" w:type="dxa"/>
          <w:left w:w="0" w:type="dxa"/>
          <w:bottom w:w="0" w:type="dxa"/>
          <w:right w:w="0" w:type="dxa"/>
        </w:tblCellMar>
      </w:tblPr>
      <w:tblGrid>
        <w:gridCol w:w="605"/>
        <w:gridCol w:w="3455"/>
      </w:tblGrid>
      <w:tr>
        <w:trPr/>
        <w:tc>
          <w:tcPr>
            <w:tcW w:w="4060" w:type="dxa"/>
            <w:gridSpan w:val="2"/>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SCHEDULES</w:t>
            </w:r>
          </w:p>
        </w:tc>
      </w:tr>
      <w:tr>
        <w:trPr/>
        <w:tc>
          <w:tcPr>
            <w:tcW w:w="4060" w:type="dxa"/>
            <w:gridSpan w:val="2"/>
            <w:tcBorders/>
            <w:shd w:fill="auto" w:val="cle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A</w:t>
            </w:r>
          </w:p>
        </w:tc>
        <w:tc>
          <w:tcPr>
            <w:tcW w:w="3455" w:type="dxa"/>
            <w:tcBorders/>
            <w:shd w:fill="auto" w:val="clear"/>
            <w:vAlign w:val="center"/>
          </w:tcPr>
          <w:p>
            <w:pPr>
              <w:pStyle w:val="TableContents"/>
              <w:spacing w:before="0" w:after="0"/>
              <w:ind w:left="0" w:right="0" w:hanging="0"/>
              <w:jc w:val="both"/>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Complement Inhibitor</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3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Products, Services and Facilities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2.01</w:t>
            </w:r>
          </w:p>
        </w:tc>
        <w:tc>
          <w:tcPr>
            <w:tcW w:w="3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Commitments and Applicable Percentages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6.1</w:t>
            </w:r>
          </w:p>
        </w:tc>
        <w:tc>
          <w:tcPr>
            <w:tcW w:w="3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Insurance</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6.13(a)</w:t>
            </w:r>
          </w:p>
        </w:tc>
        <w:tc>
          <w:tcPr>
            <w:tcW w:w="3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6.13(b)</w:t>
            </w:r>
          </w:p>
        </w:tc>
        <w:tc>
          <w:tcPr>
            <w:tcW w:w="3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Capitalization</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6.17</w:t>
            </w:r>
          </w:p>
        </w:tc>
        <w:tc>
          <w:tcPr>
            <w:tcW w:w="3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IP Rights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6.20(a)</w:t>
            </w:r>
          </w:p>
        </w:tc>
        <w:tc>
          <w:tcPr>
            <w:tcW w:w="345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Locations of Real Property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iv</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5500" w:type="dxa"/>
        <w:jc w:val="left"/>
        <w:tblInd w:w="0" w:type="dxa"/>
        <w:tblCellMar>
          <w:top w:w="0" w:type="dxa"/>
          <w:left w:w="0" w:type="dxa"/>
          <w:bottom w:w="0" w:type="dxa"/>
          <w:right w:w="0" w:type="dxa"/>
        </w:tblCellMar>
      </w:tblPr>
      <w:tblGrid>
        <w:gridCol w:w="605"/>
        <w:gridCol w:w="4895"/>
      </w:tblGrid>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6.20(b)</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Taxpayer and Organizational Identification Numbers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6.20(c)</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Legal Name, State of Organization and Structure</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6.22</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Material Contracts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6.23</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Compliance</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6.32</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Royalty and Other Payments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7.2</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Post-Closing Obligations</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8.01</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Liens Existing on the Closing Date</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8.02</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Investments Existing on the Closing Date</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8.03</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Indebtedness Existing on the Closing Date</w:t>
            </w:r>
          </w:p>
        </w:tc>
      </w:tr>
      <w:tr>
        <w:trPr/>
        <w:tc>
          <w:tcPr>
            <w:tcW w:w="605"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12.02</w:t>
            </w:r>
          </w:p>
        </w:tc>
        <w:tc>
          <w:tcPr>
            <w:tcW w:w="489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Addresses for Notices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v</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p>
      <w:pPr>
        <w:pStyle w:val="TextBody"/>
        <w:spacing w:before="0" w:after="0"/>
        <w:ind w:left="0" w:right="0" w:hanging="0"/>
        <w:rPr>
          <w:caps w:val="false"/>
          <w:smallCaps w:val="false"/>
        </w:rPr>
      </w:pPr>
      <w:r>
        <w:rPr>
          <w:caps w:val="false"/>
          <w:smallCaps w:val="false"/>
        </w:rPr>
        <w:t> </w:t>
      </w:r>
    </w:p>
    <w:tbl>
      <w:tblPr>
        <w:tblW w:w="3340" w:type="dxa"/>
        <w:jc w:val="left"/>
        <w:tblInd w:w="0" w:type="dxa"/>
        <w:tblCellMar>
          <w:top w:w="0" w:type="dxa"/>
          <w:left w:w="0" w:type="dxa"/>
          <w:bottom w:w="0" w:type="dxa"/>
          <w:right w:w="0" w:type="dxa"/>
        </w:tblCellMar>
      </w:tblPr>
      <w:tblGrid>
        <w:gridCol w:w="320"/>
        <w:gridCol w:w="3020"/>
      </w:tblGrid>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Loan Notice </w:t>
            </w:r>
          </w:p>
        </w:tc>
      </w:tr>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B-1</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Term A Note</w:t>
            </w:r>
          </w:p>
        </w:tc>
      </w:tr>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B-2</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Term B Note</w:t>
            </w:r>
          </w:p>
        </w:tc>
      </w:tr>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B-3</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Term C Note</w:t>
            </w:r>
          </w:p>
        </w:tc>
      </w:tr>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Assignment and Assumption</w:t>
            </w:r>
          </w:p>
        </w:tc>
      </w:tr>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Compliance Certificate</w:t>
            </w:r>
          </w:p>
        </w:tc>
      </w:tr>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Joinder Agreement</w:t>
            </w:r>
          </w:p>
        </w:tc>
      </w:tr>
      <w:tr>
        <w:trPr/>
        <w:tc>
          <w:tcPr>
            <w:tcW w:w="320" w:type="dxa"/>
            <w:tcBorders/>
            <w:shd w:fill="auto" w:val="clear"/>
            <w:vAlign w:val="center"/>
          </w:tcPr>
          <w:p>
            <w:pPr>
              <w:pStyle w:val="TableContents"/>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w:t>
            </w:r>
          </w:p>
        </w:tc>
        <w:tc>
          <w:tcPr>
            <w:tcW w:w="302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Orladeyo Label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160" w:right="0" w:hanging="144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vi</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CREDIT AGREEMENT</w:t>
      </w:r>
    </w:p>
    <w:p>
      <w:pPr>
        <w:pStyle w:val="TextBody"/>
        <w:spacing w:before="0" w:after="0"/>
        <w:ind w:left="16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CREDIT AGREEMENT is entered into as of December 7, 2020 among BIOCRYST PHARMACEUTICALS, INC., a Delaware corporation (the “</w:t>
      </w:r>
      <w:r>
        <w:rPr>
          <w:rFonts w:ascii="Times New Roman" w:hAnsi="Times New Roman"/>
          <w:caps w:val="false"/>
          <w:smallCaps w:val="false"/>
          <w:sz w:val="20"/>
          <w:u w:val="single"/>
        </w:rPr>
        <w:t>Borrower</w:t>
      </w:r>
      <w:r>
        <w:rPr>
          <w:rFonts w:ascii="Times New Roman" w:hAnsi="Times New Roman"/>
          <w:caps w:val="false"/>
          <w:smallCaps w:val="false"/>
          <w:sz w:val="20"/>
        </w:rPr>
        <w:t>”), the Guarantors (defined herein) listed on the signature pages hereto and from time to time party hereto, the Lenders (defined herein) from time to time party hereto and ATHYRIUM OPPORTUNITIES III CO-INVEST 1 LP, a Delaware limited partnership, as Administrative Agent for the Lenders (each as defined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Borrower has requested that the Lenders make an investment in the Borrower in the form of term loan facilities and the Lenders are willing to do so on the terms and conditions set forth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consideration of the mutual covenants and agreements herein contained, the parties hereto covenant and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w:t>
        <w:br/>
        <w:br/>
        <w:t>DEFINITIONS AND ACCOUNTING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caps w:val="false"/>
          <w:smallCaps w:val="false"/>
          <w:sz w:val="20"/>
          <w:u w:val="single"/>
        </w:rPr>
        <w:t>Defined Terms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this Agreement, the following terms shall have the meanings set forth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2020 RP Buyer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Buyer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as such term is defined in the 2020 RP Royalty Purchase Agreement as in effect on the date hereof.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2020 RP Revenue Participation Right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Revenue Participation Right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2020 RP Royalty Purchase Agreement as in effect on the Amendment No. 1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2020 RP Royalty Financing</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subject to the Royalty Financing Restrictions, that certain true sale of the 2020 RP Revenue Participation Right to RPI 2019 Intermediate Finance Trust, a Delaware statutory trust, on the Term A Borrowing Date pursuant to the terms of the 2020 RP Royalty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2020 RP Royalty Purchase Agreement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Purchase and Sale Agreement, dated as of December 7, 2020, between the Borrower and RPI 2019 Intermediate Finance Trust, a Delaware statutory trust, as may be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2020 RP Royalty Financing Documents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2020 RP Royalty Purchase Agreement, the 2020 RP Royalty Financing Side Letter, the Intercreditor Agreement and any other agreement, instrument or document entered into from time to time in connection therewith, in each case,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2020 RP Royalty Financing Side Letter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letter agreement, dated as of December 7, 2020 between the Borrower and RPI 2019 Intermediate Finance Trust, a Delaware statutory trust,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2021 RP Buyer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Buyer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as such term is defined in the 2021 RP Royalty Purchase Agreement as in effect on the Amendment No. 1 Effective Date.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2021 RP Revenue Participation Right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2021 Revenue Participation Right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2021 RP Royalty Purchase Agreement as in effect on the Amendment No. 1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2021 RP Royalty Financing</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subject to the Royalty Financing Restrictions, that certain true sale of the 2021 RP Revenue Participation Right to RPI 2019 Intermediate Finance Trust, a Delaware statutory trust, on the Amendment No. 1 Effective Date pursuant to the terms of the 2021 RP Royalty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2021 RP Royalty Purchase Agreement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2021 Purchase and Sale Agreement, dated as of the Amendment No. 1 Effective Date, between the Borrower and RPI 2019 Intermediate Finance Trust, a Delaware statutory trust, as may be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2021 RP Royalty Financing Documents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2021 RP Royalty Purchase Agreement, the 2021 RP Royalty Financing Side Letter, the Intercreditor Agreement and any other agreement, instrument or document entered into from time to time in connection therewith, in each case,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2021 RP Royalty Financing Side Letter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letter agreement, dated as of the Amendment No. 1 Effective Date between the Borrower and RPI 2019 Intermediate Finance Trust, a Delaware statutory trust,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Accrediting Organization</w:t>
      </w:r>
      <w:r>
        <w:rPr>
          <w:rFonts w:ascii="Times New Roman" w:hAnsi="Times New Roman"/>
          <w:caps w:val="false"/>
          <w:smallCaps w:val="false"/>
          <w:sz w:val="20"/>
        </w:rPr>
        <w:t>” means any Person from which any Loan Party or Subsidiary has received an accreditation as of the Closing Date or thereafter.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Acquisition</w:t>
      </w:r>
      <w:r>
        <w:rPr>
          <w:rFonts w:ascii="Times New Roman" w:hAnsi="Times New Roman"/>
          <w:caps w:val="false"/>
          <w:smallCaps w:val="false"/>
          <w:sz w:val="20"/>
        </w:rPr>
        <w:t>” means, with respect to any Person, (a) the acquisition by such Person, in a single transaction or in a series of related transactions, of (i) assets of another person which constitute all or substantially all of the assets of such Person, or of any division, line of business or other business unit of such Person or (ii) at least a majority of the Voting Stock of another Person or (b) a Product Acquisition, in each case whether or not involving a merger, amalgamation or consolidation with such other Person and whether for cash, property, services, assumption of Indebtedness, securities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Administrative Agent</w:t>
      </w:r>
      <w:r>
        <w:rPr>
          <w:rFonts w:ascii="Times New Roman" w:hAnsi="Times New Roman"/>
          <w:caps w:val="false"/>
          <w:smallCaps w:val="false"/>
          <w:sz w:val="20"/>
        </w:rPr>
        <w:t>” means Athyrium Opportunities III Co-Invest 1 LP, a Delaware limited partnership, in its capacity as administrative agent under any of the Loan Documents, or any successor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Administrative Agent</w:t>
      </w:r>
      <w:r>
        <w:rPr>
          <w:rFonts w:ascii="Times New Roman" w:hAnsi="Times New Roman"/>
          <w:caps w:val="false"/>
          <w:smallCaps w:val="false"/>
          <w:sz w:val="20"/>
        </w:rPr>
        <w:t>’</w:t>
      </w:r>
      <w:r>
        <w:rPr>
          <w:rFonts w:ascii="Times New Roman" w:hAnsi="Times New Roman"/>
          <w:caps w:val="false"/>
          <w:smallCaps w:val="false"/>
          <w:sz w:val="20"/>
          <w:u w:val="single"/>
        </w:rPr>
        <w:t>s Office</w:t>
      </w:r>
      <w:r>
        <w:rPr>
          <w:rFonts w:ascii="Times New Roman" w:hAnsi="Times New Roman"/>
          <w:caps w:val="false"/>
          <w:smallCaps w:val="false"/>
          <w:sz w:val="20"/>
        </w:rPr>
        <w:t xml:space="preserve">” means the Administrative Agent’s address and, as appropriate, account as set forth on </w:t>
      </w:r>
      <w:r>
        <w:rPr>
          <w:rFonts w:ascii="Times New Roman" w:hAnsi="Times New Roman"/>
          <w:caps w:val="false"/>
          <w:smallCaps w:val="false"/>
          <w:sz w:val="20"/>
          <w:u w:val="single"/>
        </w:rPr>
        <w:t>Schedule 12.02</w:t>
      </w:r>
      <w:r>
        <w:rPr>
          <w:rFonts w:ascii="Times New Roman" w:hAnsi="Times New Roman"/>
          <w:caps w:val="false"/>
          <w:smallCaps w:val="false"/>
          <w:sz w:val="20"/>
        </w:rPr>
        <w:t xml:space="preserve"> or such other address or account as the Administrative Agent may from time to time notify the Borrower and the Lenders.</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Affected Financial Institution</w:t>
      </w:r>
      <w:r>
        <w:rPr>
          <w:rFonts w:ascii="Times New Roman" w:hAnsi="Times New Roman"/>
          <w:caps w:val="false"/>
          <w:smallCaps w:val="false"/>
          <w:sz w:val="20"/>
        </w:rPr>
        <w:t>” means (a) any EEA Financial Institution or (b) UK Financial Institution.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with respect to a specified Person, (a) another Person that directly, or indirectly through one or more intermediaries, Controls or is Controlled by or is under common Control with the Person specified and (b) other than with respect to any Lender and the Administrative Agent, any manager, officer or director of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Agreement</w:t>
      </w:r>
      <w:r>
        <w:rPr>
          <w:rFonts w:ascii="Times New Roman" w:hAnsi="Times New Roman"/>
          <w:caps w:val="false"/>
          <w:smallCaps w:val="false"/>
          <w:sz w:val="20"/>
        </w:rPr>
        <w:t>” means this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Amendment No. 1</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that certain Amendment Number One to Credit Agreement, dated as of the Amendment No. 1 Effective Date, among the Borrower, the Guarantors party thereto, the Lenders party thereto and the Administrative Agent.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Amendment No. 1 Effective Date</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November 19, 2021.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Applicable Percentage</w:t>
      </w:r>
      <w:r>
        <w:rPr>
          <w:rFonts w:ascii="Times New Roman" w:hAnsi="Times New Roman"/>
          <w:caps w:val="false"/>
          <w:smallCaps w:val="false"/>
          <w:sz w:val="20"/>
        </w:rPr>
        <w:t xml:space="preserve">” means with respect to any Lender at any time, (a) in respect of the Term A Facility, with respect to any Term A Lender at any time, the percentage (carried out to the ninth decimal place) of the Term A Facility represented by (i) at any time during the Term A Availability Period, such Term A Lender’s Term A Commitment at such time and (ii) thereafter, the outstanding principal amount of such Term A Lender’s Term A Loans at such time, (b) in respect of the Term B Facility, with respect to any Term B Lender at such time, the percentage (carried out to the ninth decimal place) of the Term B Facility represented by (i) at any time during the Term B Availability Period, such Term B Lender’s Term B Commitment at such time and (ii) at any time thereafter, the outstanding principal amount of such Term B Lender’s Term B Loans at such time and (c) in respect of the Term C Facility, with respect to any Term C Lender at such time, the percentage (carried out to the ninth decimal place) of the Term C Facility represented by (i) at any time during the Term C Availability Period, such Term C Lender’s Term C Commitment at such time and (ii) at any time thereafter, the outstanding principal amount of such Term C Lender’s Term C Loans at such time. The initial Applicable Percentage of each Lender in respect of each Facility is set forth opposite the name of such Lender on </w:t>
      </w:r>
      <w:r>
        <w:rPr>
          <w:rFonts w:ascii="Times New Roman" w:hAnsi="Times New Roman"/>
          <w:caps w:val="false"/>
          <w:smallCaps w:val="false"/>
          <w:sz w:val="20"/>
          <w:u w:val="single"/>
        </w:rPr>
        <w:t>Schedule 2.01</w:t>
      </w:r>
      <w:r>
        <w:rPr>
          <w:rFonts w:ascii="Times New Roman" w:hAnsi="Times New Roman"/>
          <w:caps w:val="false"/>
          <w:smallCaps w:val="false"/>
          <w:sz w:val="20"/>
        </w:rPr>
        <w:t xml:space="preserve"> or in the Assignment and Assumption pursuant to which such Lender becomes a party hereto,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Appropriate Lender</w:t>
      </w:r>
      <w:r>
        <w:rPr>
          <w:rFonts w:ascii="Times New Roman" w:hAnsi="Times New Roman"/>
          <w:caps w:val="false"/>
          <w:smallCaps w:val="false"/>
          <w:sz w:val="20"/>
        </w:rPr>
        <w:t>” means, at any time, with respect to any Facility, a Lender that has a Commitment with respect to such Facility or holds a Loan under such Facility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Approved Fund</w:t>
      </w:r>
      <w:r>
        <w:rPr>
          <w:rFonts w:ascii="Times New Roman" w:hAnsi="Times New Roman"/>
          <w:caps w:val="false"/>
          <w:smallCaps w:val="false"/>
          <w:sz w:val="20"/>
        </w:rPr>
        <w:t>” means any Fund that is administered or managed by (a) a Lender, (b) an Affiliate of a Lender or (c) an entity or an Affiliate of an entity that administers or manages a Lender.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Assignment and Assumption</w:t>
      </w:r>
      <w:r>
        <w:rPr>
          <w:rFonts w:ascii="Times New Roman" w:hAnsi="Times New Roman"/>
          <w:caps w:val="false"/>
          <w:smallCaps w:val="false"/>
          <w:sz w:val="20"/>
        </w:rPr>
        <w:t xml:space="preserve">” means an assignment and assumption agreement entered into by a Lender and an Eligible Assignee (with the consent of any party whose consent is required by </w:t>
      </w:r>
      <w:r>
        <w:rPr>
          <w:rFonts w:ascii="Times New Roman" w:hAnsi="Times New Roman"/>
          <w:caps w:val="false"/>
          <w:smallCaps w:val="false"/>
          <w:sz w:val="20"/>
          <w:u w:val="single"/>
        </w:rPr>
        <w:t>Section 12.06(b)</w:t>
      </w:r>
      <w:r>
        <w:rPr>
          <w:rFonts w:ascii="Times New Roman" w:hAnsi="Times New Roman"/>
          <w:caps w:val="false"/>
          <w:smallCaps w:val="false"/>
          <w:sz w:val="20"/>
        </w:rPr>
        <w:t xml:space="preserve">, and accepted by the Administrative Agent), in substantially the form of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hereto or any other form (including electronic documentation generated by MarkitClear or other electronic platform) approved by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Athyrium</w:t>
      </w:r>
      <w:r>
        <w:rPr>
          <w:rFonts w:ascii="Times New Roman" w:hAnsi="Times New Roman"/>
          <w:caps w:val="false"/>
          <w:smallCaps w:val="false"/>
          <w:sz w:val="20"/>
        </w:rPr>
        <w:t>” means Athyrium Capital Management, LP and its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Attributable Indebtedness</w:t>
      </w:r>
      <w:r>
        <w:rPr>
          <w:rFonts w:ascii="Times New Roman" w:hAnsi="Times New Roman"/>
          <w:caps w:val="false"/>
          <w:smallCaps w:val="false"/>
          <w:sz w:val="20"/>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of any Person, the outstanding principal amount of such financing, after taking into account reserve accounts and making appropriate adjustments, determined by the Administrative Agent in its reasonable judgment.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Audited Financial Statements</w:t>
      </w:r>
      <w:r>
        <w:rPr>
          <w:rFonts w:ascii="Times New Roman" w:hAnsi="Times New Roman"/>
          <w:caps w:val="false"/>
          <w:smallCaps w:val="false"/>
          <w:sz w:val="20"/>
        </w:rPr>
        <w:t>” means the audited consolidated balance sheet of the Borrower and its Subsidiaries for the fiscal year of the Borrower ended December 31, 2019, and the related consolidated statements of income or operations, shareholders’ equity and cash flows of the Borrower and its Subsidiaries for such fiscal year, including the notes thereto, audited by independent public accountants of recognized national standing and prepared in conformity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 xml:space="preserve">Back-Up Security </w:t>
      </w:r>
      <w:r>
        <w:rPr>
          <w:rFonts w:ascii="Times New Roman" w:hAnsi="Times New Roman"/>
          <w:caps w:val="false"/>
          <w:smallCaps w:val="false"/>
          <w:strike/>
          <w:color w:val="FF0000"/>
          <w:sz w:val="20"/>
          <w:u w:val="single"/>
        </w:rPr>
        <w:t>Interest</w:t>
      </w:r>
      <w:r>
        <w:rPr>
          <w:rFonts w:ascii="Times New Roman" w:hAnsi="Times New Roman"/>
          <w:b/>
          <w:caps w:val="false"/>
          <w:smallCaps w:val="false"/>
          <w:color w:val="0000FF"/>
          <w:sz w:val="20"/>
          <w:u w:val="single"/>
          <w:bdr w:val="double" w:sz="2" w:space="1" w:color="000000"/>
        </w:rPr>
        <w:t>Interests</w:t>
      </w:r>
      <w:r>
        <w:rPr>
          <w:rFonts w:ascii="Times New Roman" w:hAnsi="Times New Roman"/>
          <w:caps w:val="false"/>
          <w:smallCaps w:val="false"/>
          <w:sz w:val="20"/>
        </w:rPr>
        <w:t xml:space="preserve">” means, </w:t>
      </w:r>
      <w:r>
        <w:rPr>
          <w:rFonts w:ascii="Times New Roman" w:hAnsi="Times New Roman"/>
          <w:b/>
          <w:caps w:val="false"/>
          <w:smallCaps w:val="false"/>
          <w:color w:val="0000FF"/>
          <w:sz w:val="20"/>
          <w:u w:val="single"/>
          <w:bdr w:val="double" w:sz="2" w:space="1" w:color="000000"/>
        </w:rPr>
        <w:t>collectively, (i)</w:t>
      </w:r>
      <w:r>
        <w:rPr>
          <w:rFonts w:ascii="Times New Roman" w:hAnsi="Times New Roman"/>
          <w:caps w:val="false"/>
          <w:smallCaps w:val="false"/>
          <w:sz w:val="20"/>
        </w:rPr>
        <w:t xml:space="preserve"> the “Back-Up Security Interest” as such term is defined in the </w:t>
      </w:r>
      <w:r>
        <w:rPr>
          <w:rFonts w:ascii="Times New Roman" w:hAnsi="Times New Roman"/>
          <w:caps w:val="false"/>
          <w:smallCaps w:val="false"/>
          <w:strike/>
          <w:color w:val="FF0000"/>
          <w:sz w:val="20"/>
        </w:rPr>
        <w:t>Royalty Financing</w:t>
      </w:r>
      <w:r>
        <w:rPr>
          <w:rFonts w:ascii="Times New Roman" w:hAnsi="Times New Roman"/>
          <w:b/>
          <w:caps w:val="false"/>
          <w:smallCaps w:val="false"/>
          <w:color w:val="0000FF"/>
          <w:sz w:val="20"/>
          <w:u w:val="single"/>
          <w:bdr w:val="double" w:sz="2" w:space="1" w:color="000000"/>
        </w:rPr>
        <w:t xml:space="preserve">2021 RP Royalty Purchase Agreement as in effect on the Amendment No. 1 Effective Date, which modifies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Back-Up Security Interest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2020 RP Royalty Purchase</w:t>
      </w:r>
      <w:r>
        <w:rPr>
          <w:rFonts w:ascii="Times New Roman" w:hAnsi="Times New Roman"/>
          <w:caps w:val="false"/>
          <w:smallCaps w:val="false"/>
          <w:sz w:val="20"/>
        </w:rPr>
        <w:t xml:space="preserve"> Agreement as in effect on the date hereof </w:t>
      </w:r>
      <w:r>
        <w:rPr>
          <w:rFonts w:ascii="Times New Roman" w:hAnsi="Times New Roman"/>
          <w:b/>
          <w:caps w:val="false"/>
          <w:smallCaps w:val="false"/>
          <w:color w:val="0000FF"/>
          <w:sz w:val="20"/>
          <w:u w:val="single"/>
          <w:bdr w:val="double" w:sz="2" w:space="1" w:color="000000"/>
        </w:rPr>
        <w:t xml:space="preserve">and (ii)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Back-Up Security Interest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OMERS Royalty Purchase Agreement as in effect on the Amendment No. 1 Effective Date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Bail-In Action</w:t>
      </w:r>
      <w:r>
        <w:rPr>
          <w:rFonts w:ascii="Times New Roman" w:hAnsi="Times New Roman"/>
          <w:caps w:val="false"/>
          <w:smallCaps w:val="false"/>
          <w:sz w:val="20"/>
        </w:rPr>
        <w:t>” means the exercise of any Write-Down and Conversion Powers by the applicable Resolution Authority in respect of any liability of an Affected Financial Institution.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Bail-In Legislation</w:t>
      </w:r>
      <w:r>
        <w:rPr>
          <w:rFonts w:ascii="Times New Roman" w:hAnsi="Times New Roman"/>
          <w:caps w:val="false"/>
          <w:smallCaps w:val="false"/>
          <w:sz w:val="20"/>
        </w:rPr>
        <w:t xml:space="preserve">” means, </w:t>
      </w:r>
      <w:r>
        <w:rPr>
          <w:rFonts w:ascii="Times New Roman" w:hAnsi="Times New Roman"/>
          <w:b/>
          <w:caps w:val="false"/>
          <w:smallCaps w:val="false"/>
          <w:color w:val="0000FF"/>
          <w:sz w:val="20"/>
          <w:u w:val="single"/>
          <w:bdr w:val="double" w:sz="2" w:space="1" w:color="000000"/>
        </w:rPr>
        <w:t>(a)</w:t>
      </w:r>
      <w:r>
        <w:rPr>
          <w:rFonts w:ascii="Times New Roman" w:hAnsi="Times New Roman"/>
          <w:caps w:val="false"/>
          <w:smallCaps w:val="false"/>
          <w:sz w:val="20"/>
        </w:rPr>
        <w:t xml:space="preserve">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insolvency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BCX9930</w:t>
      </w:r>
      <w:r>
        <w:rPr>
          <w:rFonts w:ascii="Times New Roman" w:hAnsi="Times New Roman"/>
          <w:caps w:val="false"/>
          <w:smallCaps w:val="false"/>
          <w:sz w:val="20"/>
        </w:rPr>
        <w:t>” means the molecule described in investigational new drug application (IND) 142,217 filed with the FDA and in analogous filings in jurisdictions outside the United States and referenced by the Borrower as “BCX9930”.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BCX9930 Product Family</w:t>
      </w:r>
      <w:r>
        <w:rPr>
          <w:rFonts w:ascii="Times New Roman" w:hAnsi="Times New Roman"/>
          <w:caps w:val="false"/>
          <w:smallCaps w:val="false"/>
          <w:sz w:val="20"/>
        </w:rPr>
        <w:t>” means (a) BCX9930,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BCX9930 Net Product Sales</w:t>
      </w:r>
      <w:r>
        <w:rPr>
          <w:rFonts w:ascii="Times New Roman" w:hAnsi="Times New Roman"/>
          <w:caps w:val="false"/>
          <w:smallCaps w:val="false"/>
          <w:sz w:val="20"/>
        </w:rPr>
        <w:t>” means, for any period, consolidated net revenues of the Borrower and its Subsidiaries from sales of the BCX9930 Product Family in any jurisdiction for such period, all as determined and reported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(a) with respect to a corporation, the board of directors of the corporation or any committee thereof duly authorized to act on behalf of such board, (b) with respect to a partnership, the Board of Directors of the general partner of the partnership, (c) with respect to a limited liability company, the managing member or members or any controlling committee of managing members thereof, and (d) with respect to any other Person, the board or committee of such Person serving a similar function.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Borrower</w:t>
      </w:r>
      <w:r>
        <w:rPr>
          <w:rFonts w:ascii="Times New Roman" w:hAnsi="Times New Roman"/>
          <w:caps w:val="false"/>
          <w:smallCaps w:val="false"/>
          <w:sz w:val="20"/>
        </w:rPr>
        <w:t>” has the meaning set forth in the introductory paragraph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Borrowing</w:t>
      </w:r>
      <w:r>
        <w:rPr>
          <w:rFonts w:ascii="Times New Roman" w:hAnsi="Times New Roman"/>
          <w:caps w:val="false"/>
          <w:smallCaps w:val="false"/>
          <w:sz w:val="20"/>
        </w:rPr>
        <w:t>” means a Term A Borrowing, a Term B Borrowing or a Term C Borrowing, as the context may require.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other than a Saturday, Sunday or other day on which commercial banks are authorized to close under the Laws of, or are in fact closed in, New York, New York.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Businesses</w:t>
      </w:r>
      <w:r>
        <w:rPr>
          <w:rFonts w:ascii="Times New Roman" w:hAnsi="Times New Roman"/>
          <w:caps w:val="false"/>
          <w:smallCaps w:val="false"/>
          <w:sz w:val="20"/>
        </w:rPr>
        <w:t>” means, at any time, a collective reference to the businesses operated by the Borrower and its Subsidiaries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FF0000"/>
        </w:rPr>
      </w:pPr>
      <w:r>
        <w:rPr>
          <w:caps w:val="false"/>
          <w:smallCaps w:val="false"/>
          <w:strike/>
          <w:color w:val="FF0000"/>
          <w:u w:val="single"/>
        </w:rPr>
        <w:t>“</w:t>
      </w:r>
      <w:r>
        <w:rPr>
          <w:rFonts w:ascii="Times New Roman" w:hAnsi="Times New Roman"/>
          <w:caps w:val="false"/>
          <w:smallCaps w:val="false"/>
          <w:strike/>
          <w:color w:val="FF0000"/>
          <w:sz w:val="20"/>
          <w:u w:val="single"/>
        </w:rPr>
        <w:t>Buyer</w:t>
      </w:r>
      <w:r>
        <w:rPr>
          <w:rFonts w:ascii="Times New Roman" w:hAnsi="Times New Roman"/>
          <w:caps w:val="false"/>
          <w:smallCaps w:val="false"/>
          <w:color w:val="FF0000"/>
          <w:sz w:val="20"/>
        </w:rPr>
        <w:t>”</w:t>
      </w:r>
      <w:r>
        <w:rPr>
          <w:rFonts w:ascii="Times New Roman" w:hAnsi="Times New Roman"/>
          <w:caps w:val="false"/>
          <w:smallCaps w:val="false"/>
          <w:strike/>
          <w:color w:val="FF0000"/>
          <w:sz w:val="20"/>
        </w:rPr>
        <w:t xml:space="preserve"> means the </w:t>
      </w:r>
      <w:r>
        <w:rPr>
          <w:rFonts w:ascii="Times New Roman" w:hAnsi="Times New Roman"/>
          <w:caps w:val="false"/>
          <w:smallCaps w:val="false"/>
          <w:color w:val="FF0000"/>
          <w:sz w:val="20"/>
        </w:rPr>
        <w:t>“</w:t>
      </w:r>
      <w:r>
        <w:rPr>
          <w:rFonts w:ascii="Times New Roman" w:hAnsi="Times New Roman"/>
          <w:caps w:val="false"/>
          <w:smallCaps w:val="false"/>
          <w:strike/>
          <w:color w:val="FF0000"/>
          <w:sz w:val="20"/>
        </w:rPr>
        <w:t>Buyer</w:t>
      </w:r>
      <w:r>
        <w:rPr>
          <w:rFonts w:ascii="Times New Roman" w:hAnsi="Times New Roman"/>
          <w:caps w:val="false"/>
          <w:smallCaps w:val="false"/>
          <w:color w:val="FF0000"/>
          <w:sz w:val="20"/>
        </w:rPr>
        <w:t>”</w:t>
      </w:r>
      <w:r>
        <w:rPr>
          <w:rFonts w:ascii="Times New Roman" w:hAnsi="Times New Roman"/>
          <w:caps w:val="false"/>
          <w:smallCaps w:val="false"/>
          <w:strike/>
          <w:color w:val="FF0000"/>
          <w:sz w:val="20"/>
        </w:rPr>
        <w:t xml:space="preserve"> as such term is defined in the Royalty Financing Agreement as in effect on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Buyers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collectively, the 2020 RP Buyer, the 2021 RP Buyer and the OMERS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Capital Lease</w:t>
      </w:r>
      <w:r>
        <w:rPr>
          <w:rFonts w:ascii="Times New Roman" w:hAnsi="Times New Roman"/>
          <w:caps w:val="false"/>
          <w:smallCaps w:val="false"/>
          <w:sz w:val="20"/>
        </w:rPr>
        <w:t>” means, as applied to any Person, any lease of any property by that Person as lessee which, in accordance with GAAP, is required to be accounted for as a capital lease on the balance sheet of that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Cash Equivalents</w:t>
      </w:r>
      <w:r>
        <w:rPr>
          <w:rFonts w:ascii="Times New Roman" w:hAnsi="Times New Roman"/>
          <w:caps w:val="false"/>
          <w:smallCaps w:val="false"/>
          <w:sz w:val="20"/>
        </w:rPr>
        <w:t>” means, as at any date, (a) securities issued or directly and fully guaranteed or insured by the United States or any agency or instrumentality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full faith and credit of the United States is pledged in support thereof) having maturities of not more than twelve months from the date of acquisition, (b) Dollar denominated time deposits and certificates of deposit of (i) any United States commercial bank of recognized standing having capital and surplus in excess of $[***] or (ii) any bank whose short-term commercial paper rating from S&amp;P is at least A-1 or the equivalent thereof or from Moody’s is at least P-1 or the equivalent thereof (any such bank being an “</w:t>
      </w:r>
      <w:r>
        <w:rPr>
          <w:rFonts w:ascii="Times New Roman" w:hAnsi="Times New Roman"/>
          <w:caps w:val="false"/>
          <w:smallCaps w:val="false"/>
          <w:sz w:val="20"/>
          <w:u w:val="single"/>
        </w:rPr>
        <w:t>Approved Bank</w:t>
      </w:r>
      <w:r>
        <w:rPr>
          <w:rFonts w:ascii="Times New Roman" w:hAnsi="Times New Roman"/>
          <w:caps w:val="false"/>
          <w:smallCaps w:val="false"/>
          <w:sz w:val="20"/>
        </w:rPr>
        <w:t>”), in each case with maturities of not more than 270 days from the date of acquisition, (c) commercial paper and variable or fixed rate notes issued by any Approved Bank (or by the parent company thereof) or any variable or fixed rate notes issued by, or guaranteed by, any domestic corporation rated A-1 (or the equivalent thereof) or better by S&amp;P or P-1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 and the portfolios of which are limited to Investments of the character described in the foregoing subdivisions (a) through (d).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Cash Pay Election</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2.06(d)</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cGCP</w:t>
      </w:r>
      <w:r>
        <w:rPr>
          <w:rFonts w:ascii="Times New Roman" w:hAnsi="Times New Roman"/>
          <w:caps w:val="false"/>
          <w:smallCaps w:val="false"/>
          <w:sz w:val="20"/>
        </w:rPr>
        <w:t>” means the then current Good Clinical Practices that establish the international ethical and scientific quality standards for designing, conducting, recording and reporting clinical trials that are promulgated or endorsed for the United States by the FDA (including through ICH E6 and 21 CFR Parts 50, 54, 56 and 312) and for outside the United States by comparable Governmental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cGLP</w:t>
      </w:r>
      <w:r>
        <w:rPr>
          <w:rFonts w:ascii="Times New Roman" w:hAnsi="Times New Roman"/>
          <w:caps w:val="false"/>
          <w:smallCaps w:val="false"/>
          <w:sz w:val="20"/>
        </w:rPr>
        <w:t>” means the then current Good Laboratory Practices that establish the international ethical and scientific quality standards for designing, conducting, recording and reporting non-clinical and laboratory testing that are promulgated or endorsed for the United States by the FDA and for outside the United States by comparable Governmental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cGMP</w:t>
      </w:r>
      <w:r>
        <w:rPr>
          <w:rFonts w:ascii="Times New Roman" w:hAnsi="Times New Roman"/>
          <w:caps w:val="false"/>
          <w:smallCaps w:val="false"/>
          <w:sz w:val="20"/>
        </w:rPr>
        <w:t>” means the then current Good Manufacturing Practice for drugs and biologics (including the regulations for drugs and finished pharmaceutical products contained in 21 C.F.R. Parts 210 and 211 and related Guidance documents issued by the United States Food and Drug Administration), or medical devices (including the Quality System Regulations contained in 21 C.F.R. Part 820, as applicable, and related Guidance documents issued by the United States Food and Drug Administration), and for outside the United States by comparable Governmental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CHAMPVA</w:t>
      </w:r>
      <w:r>
        <w:rPr>
          <w:rFonts w:ascii="Times New Roman" w:hAnsi="Times New Roman"/>
          <w:caps w:val="false"/>
          <w:smallCaps w:val="false"/>
          <w:sz w:val="20"/>
        </w:rPr>
        <w:t>” means, collectively, the Civilian Health and Medical Program of the Department of Veterans Affairs, and all laws and implementing rules and regulations and requirements pertaining to such program, in each case as the same may be amended, supplemented or otherwise modified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in Law</w:t>
      </w:r>
      <w:r>
        <w:rPr>
          <w:rFonts w:ascii="Times New Roman" w:hAnsi="Times New Roman"/>
          <w:caps w:val="false"/>
          <w:smallCaps w:val="false"/>
          <w:sz w:val="20"/>
        </w:rPr>
        <w:t xml:space="preserve">” means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Change of Control</w:t>
      </w:r>
      <w:r>
        <w:rPr>
          <w:rFonts w:ascii="Times New Roman" w:hAnsi="Times New Roman"/>
          <w:caps w:val="false"/>
          <w:smallCaps w:val="false"/>
          <w:sz w:val="20"/>
        </w:rPr>
        <w:t>” means the occurrence of any of the following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Equity Interests representing 35% or more of the aggregate ordinary voting power in the election of the Board of Directors of the Borrower represented by the issued and outstanding Equity Interests of the Borrower on a fully-diluted basis (and taking into account all such securities that such person or group has the right to acquire pursuant to any option right);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during any period of twelve (12) consecutive months, a majority of the members of the Board of Directors of the Borrower cease to be composed of individuals (i) who were members of that Board of Directors on the first day of such period, (ii) whose election, appointment or nomination to that Board of Directors was approved by individuals referred to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above constituting at the time of such election, appointment or nomination at least a majority of that Board of Directors, or (iii) whose election, appointment or nomination to that Board of Directors was approved by individuals referred to in </w:t>
      </w:r>
      <w:r>
        <w:rPr>
          <w:rFonts w:ascii="Times New Roman" w:hAnsi="Times New Roman"/>
          <w:caps w:val="false"/>
          <w:smallCaps w:val="false"/>
          <w:sz w:val="20"/>
          <w:u w:val="single"/>
        </w:rPr>
        <w:t>clauses</w:t>
      </w:r>
      <w:r>
        <w:rPr>
          <w:rFonts w:ascii="Times New Roman" w:hAnsi="Times New Roman"/>
          <w:caps w:val="false"/>
          <w:smallCaps w:val="false"/>
          <w:sz w:val="20"/>
        </w:rPr>
        <w:t xml:space="preserve"> </w:t>
      </w:r>
      <w:r>
        <w:rPr>
          <w:rFonts w:ascii="Times New Roman" w:hAnsi="Times New Roman"/>
          <w:caps w:val="false"/>
          <w:smallCaps w:val="false"/>
          <w:sz w:val="20"/>
          <w:u w:val="single"/>
        </w:rPr>
        <w:t>(i)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xml:space="preserve"> above constituting at the time of such election or nomination at least a majority of that Board of Directors;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(c)    any “Change of Control” (or any comparable term) shall occur under any document, instrument or other agreement evidencing any Indebtedness with an aggregate principal amount in excess of the Threshold Amount;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(d)    except to the extent expressly permitted by this Agreement, the Borrower shall cease to directly or indirectly own, beneficially and of record (other than director’s qualifying shares of investments by foreign nationals to the extent mandated by applicable Laws), 100% of the issued and outstanding Equity Interests of each Subsidiary of the Borrower.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CLIA</w:t>
      </w:r>
      <w:r>
        <w:rPr>
          <w:rFonts w:ascii="Times New Roman" w:hAnsi="Times New Roman"/>
          <w:caps w:val="false"/>
          <w:smallCaps w:val="false"/>
          <w:sz w:val="20"/>
        </w:rPr>
        <w:t>” means the Clinical Laboratory Improvement Amendments (42 U.S.C. § 263a) and the implementing regulations at 42 C.F.R. pt. 493.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Clinical Trial Material</w:t>
      </w:r>
      <w:r>
        <w:rPr>
          <w:rFonts w:ascii="Times New Roman" w:hAnsi="Times New Roman"/>
          <w:caps w:val="false"/>
          <w:smallCaps w:val="false"/>
          <w:sz w:val="20"/>
        </w:rPr>
        <w:t>” means any raw materials, parts, or supplies used in the ordinary course of development of a Product for which regulatory approval has not yet been obtained and that are used exclusively for purposes of supporting clinical and preclinical research.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Closing Date</w:t>
      </w:r>
      <w:r>
        <w:rPr>
          <w:rFonts w:ascii="Times New Roman" w:hAnsi="Times New Roman"/>
          <w:caps w:val="false"/>
          <w:smallCaps w:val="false"/>
          <w:sz w:val="20"/>
        </w:rPr>
        <w:t>” means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CMS</w:t>
      </w:r>
      <w:r>
        <w:rPr>
          <w:rFonts w:ascii="Times New Roman" w:hAnsi="Times New Roman"/>
          <w:caps w:val="false"/>
          <w:smallCaps w:val="false"/>
          <w:sz w:val="20"/>
        </w:rPr>
        <w:t>” means the U.S. Centers for Medicare and Medicaid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Collateral</w:t>
      </w:r>
      <w:r>
        <w:rPr>
          <w:rFonts w:ascii="Times New Roman" w:hAnsi="Times New Roman"/>
          <w:caps w:val="false"/>
          <w:smallCaps w:val="false"/>
          <w:sz w:val="20"/>
        </w:rPr>
        <w:t>” means a collective reference to all real and personal property with respect to which Liens in favor of the Administrative Agent, for the benefit of the Secured Parties, are purported to be granted pursuant to and in accordance with the terms of the Collateral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Collateral Access Agreement</w:t>
      </w:r>
      <w:r>
        <w:rPr>
          <w:rFonts w:ascii="Times New Roman" w:hAnsi="Times New Roman"/>
          <w:caps w:val="false"/>
          <w:smallCaps w:val="false"/>
          <w:sz w:val="20"/>
        </w:rPr>
        <w:t>” means an agreement in form and substance reasonably satisfactory to the Administrative Agent pursuant to which a lessor of real property on which Collateral is stored or otherwise located, or a warehouseman, processor or other bailee of inventory or other property owned by any Loan Party, acknowledges the Liens of the Administrative Agent and waives (or, if approved by the Administrative Agent, subordinates) any Liens held by such Person on such property, and permits the Administrative Agent reasonable access to any Collateral stored or otherwise located thereon.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Collateral Documents</w:t>
      </w:r>
      <w:r>
        <w:rPr>
          <w:rFonts w:ascii="Times New Roman" w:hAnsi="Times New Roman"/>
          <w:caps w:val="false"/>
          <w:smallCaps w:val="false"/>
          <w:sz w:val="20"/>
        </w:rPr>
        <w:t xml:space="preserve">” means a collective reference to the Security Agreement, the Pledge Agreement, the Deposit Account Control Agreements, the Perfection and Due Diligence Certificate, the Collateral Access Agreements, the Real Property Security Documents, the IP Security Agreements, the Irish Security Documents and other security documents as may be executed and delivered by the Loan Parties pursuant to the terms of </w:t>
      </w:r>
      <w:r>
        <w:rPr>
          <w:rFonts w:ascii="Times New Roman" w:hAnsi="Times New Roman"/>
          <w:caps w:val="false"/>
          <w:smallCaps w:val="false"/>
          <w:sz w:val="20"/>
          <w:u w:val="single"/>
        </w:rPr>
        <w:t>Section 7.12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7.14</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7.20</w:t>
      </w:r>
      <w:r>
        <w:rPr>
          <w:rFonts w:ascii="Times New Roman" w:hAnsi="Times New Roman"/>
          <w:caps w:val="false"/>
          <w:smallCaps w:val="false"/>
          <w:sz w:val="20"/>
        </w:rPr>
        <w:t xml:space="preserve"> or pursuant to the terms of any Collateral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Commitment</w:t>
      </w:r>
      <w:r>
        <w:rPr>
          <w:rFonts w:ascii="Times New Roman" w:hAnsi="Times New Roman"/>
          <w:caps w:val="false"/>
          <w:smallCaps w:val="false"/>
          <w:sz w:val="20"/>
        </w:rPr>
        <w:t>” means a Term A Commitment, a Term B Commitment or a Term C Commitment, as the context may require.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Companies Act</w:t>
      </w:r>
      <w:r>
        <w:rPr>
          <w:rFonts w:ascii="Times New Roman" w:hAnsi="Times New Roman"/>
          <w:caps w:val="false"/>
          <w:smallCaps w:val="false"/>
          <w:sz w:val="20"/>
        </w:rPr>
        <w:t>” means the Companies Act 2014, of Ireland.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Complement Inhibitor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inhibitor described on Schedule A attached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Complement Inhibitor Product Family</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(a) the Complement Inhibitor,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Complement Inhibitor Net Product Sales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for any period, consolidated net revenues of the Borrower and its Subsidiaries from sales of the Complement Inhibitor Product Family in any jurisdiction for such period, all as determined and reported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means a certificate substantially in the form of </w:t>
      </w:r>
      <w:r>
        <w:rPr>
          <w:rFonts w:ascii="Times New Roman" w:hAnsi="Times New Roman"/>
          <w:caps w:val="false"/>
          <w:smallCaps w:val="false"/>
          <w:sz w:val="20"/>
          <w:u w:val="single"/>
        </w:rPr>
        <w:t>Exhibit D</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means all non-public information, whether written, oral or in any electronic, visual or other medium, that is the subject of reasonable efforts to keep it confidential and that is owned by the Borrower or any Subsidiary or that the Borrower or any Subsidiary is licensed, authorized or otherwise granted rights under or to, and that is used by the Borrower or any other Person to manufacture, develop, import, market, promote, advertise, offer for sale, sell, use and/or otherwise distribute or provide a Product 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Consolidated Revenues</w:t>
      </w:r>
      <w:r>
        <w:rPr>
          <w:rFonts w:ascii="Times New Roman" w:hAnsi="Times New Roman"/>
          <w:caps w:val="false"/>
          <w:smallCaps w:val="false"/>
          <w:sz w:val="20"/>
        </w:rPr>
        <w:t xml:space="preserve">” means, for any period, for the Borrower and its Subsidiaries on a consolidated basis, revenues for such period as determined and reported in accordance with GAAP;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“Consolidated Revenues” shall exclude the revenues generated by any Subsidiary to the extent that the declaration or payment of dividends or similar distributions by that Subsidiary of the income resulting from such revenues is not at the time permitted by operation of the terms of its Organization Documents or any agreement, instrument, judgment, decree, order, statute, rule or governmental regulation applicable to that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Contractual Obligation</w:t>
      </w:r>
      <w:r>
        <w:rPr>
          <w:rFonts w:ascii="Times New Roman" w:hAnsi="Times New Roman"/>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Control</w:t>
      </w:r>
      <w:r>
        <w:rPr>
          <w:rFonts w:ascii="Times New Roman" w:hAnsi="Times New Roman"/>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caps w:val="false"/>
          <w:smallCaps w:val="false"/>
          <w:sz w:val="20"/>
          <w:u w:val="single"/>
        </w:rPr>
        <w:t>Controlling</w:t>
      </w:r>
      <w:r>
        <w:rPr>
          <w:rFonts w:ascii="Times New Roman" w:hAnsi="Times New Roman"/>
          <w:caps w:val="false"/>
          <w:smallCaps w:val="false"/>
          <w:sz w:val="20"/>
        </w:rPr>
        <w:t>” and “</w:t>
      </w:r>
      <w:r>
        <w:rPr>
          <w:rFonts w:ascii="Times New Roman" w:hAnsi="Times New Roman"/>
          <w:caps w:val="false"/>
          <w:smallCaps w:val="false"/>
          <w:sz w:val="20"/>
          <w:u w:val="single"/>
        </w:rPr>
        <w:t>Controlled</w:t>
      </w:r>
      <w:r>
        <w:rPr>
          <w:rFonts w:ascii="Times New Roman" w:hAnsi="Times New Roman"/>
          <w:caps w:val="false"/>
          <w:smallCaps w:val="false"/>
          <w:sz w:val="20"/>
        </w:rPr>
        <w:t>” have meanings correlative thereto. Without limiting the generality of the foregoing, a Person shall be deemed to be Controlled by another Person if such other Person possesses, directly or indirectly, power to vote [***]% or more of the securities having ordinary voting power for the election of directors, managing general partners or the equivalent.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Convertible Bond Indebtedness</w:t>
      </w:r>
      <w:r>
        <w:rPr>
          <w:rFonts w:ascii="Times New Roman" w:hAnsi="Times New Roman"/>
          <w:caps w:val="false"/>
          <w:smallCaps w:val="false"/>
          <w:sz w:val="20"/>
        </w:rPr>
        <w:t xml:space="preserve">” means Indebtedness having a feature which entitles the holder thereof to convert or exchange all or a portion of such Indebtedness into shares of common capital stock of the Borrower;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(a) the principal amount (or accreted value, if applicable) of such Convertible Bond Indebtedness does not exceed $[***], (b) such Convertible Bond Indebtedness shall be unsecured, (c) no Subsidiary shall Guarantee such Convertible Bond Indebtedness, (d) such Convertible Bond Indebtedness shall not mature, and no scheduled or mandatory principal payments, repayments, prepayments, cash settlements, repurchases, redemptions or sinking fund or like payments (but excluding, for the avoidance of doubt, regularly scheduled cash interest payments and conversion of such Convertible Bond Indebtedness into shares of common capital stock of the Borrower in accordance with the terms thereof) of such Convertible Bond Indebtedness shall be required at any time on or prior to the date that is one (1) year after the Maturity Date, other than upon a “Change of Control”, “fundamental change”, “make-whole fundamental change” or similar event, (e) such Convertible Bond Indebtedness shall (i) not include (A) any financial maintenance covenants or (B) other covenants and defaults that are, taken as a whole, more restrictive on the Borrower and its Subsidiaries than the covenants and defaults set forth in the Loan Documents and (ii) have a cash interest rate of less than the greater of (x) [***] percent ([***]%) per annum and (y) such cash interest rate as the Administrative Agent, in its sole discretion, shall approve in writing after the Closing Date, upon the request of the Borrower in light of changes to market interest rates for similar convertible notes, (f) such Convertible Bond Indebtedness shall include conversion, redemption and fundamental change provisions that are customary for public market convertible indebtedness (pursuant to a public offering or an offering under Rule 144A or Regulation S of the Securities Act), (g) such Convertible Bond Indebtedness shall be subordinated in right of payment to the Obligations pursuant to the terms of a subordination, intercreditor, or other similar agreement (or terms of subordination incorporated into the indenture under which such Convertible Bond Indebtedness is issued), in each case, in form and substance, and on terms, approved by the Administrative Agent in writing in its sole discretion, (h) no Default or Event of Default shall have occurred and be continuing at the time of incurrence of such Convertible Bond Indebtedness or could result therefrom and (i) the Borrower shall have delivered to the Administrative Agent a certificate of a Responsible Financial Officer of the Borrower certifying as to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Copyright License</w:t>
      </w:r>
      <w:r>
        <w:rPr>
          <w:rFonts w:ascii="Times New Roman" w:hAnsi="Times New Roman"/>
          <w:caps w:val="false"/>
          <w:smallCaps w:val="false"/>
          <w:sz w:val="20"/>
        </w:rPr>
        <w:t>” means any agreement, whether written or oral, providing for the grant of any right to use any Work under any Copyright.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Copyrights</w:t>
      </w:r>
      <w:r>
        <w:rPr>
          <w:rFonts w:ascii="Times New Roman" w:hAnsi="Times New Roman"/>
          <w:caps w:val="false"/>
          <w:smallCaps w:val="false"/>
          <w:sz w:val="20"/>
        </w:rPr>
        <w:t>” means (a) all proprietary rights afforded Works pursuant to Title 17 of the United States Code, including, without limitation, all rights in mask works, copyrights and original designs, and all proprietary rights afforded such Works by other countries for the full term thereof (and including all rights accruing by virtue of bilateral or international treaties and conventions thereto), whether registered or unregistered, including, but not limited to, all applications for registration, renewals, extensions, reversions or restorations thereof now or hereafter provided for by law and all rights to make applications for registrations and recordations, regardless of the medium of fixation or means of expression, which are owned by the Borrower or any Subsidiary or which the Borrower or any Subsidiary is licensed, authorized or otherwise granted rights under or to the Borrower or the Borrower; and (b) all copyright rights under the copyright laws of the United States and all other countries for the full term thereof (and including all rights accruing by virtue of bilateral or international copyright treaties and conventions), whether registered or unregistered, including, but not limited to, all applications for registration, renewals, extensions, reversions or restorations of copyrights now or hereafter provided for by law and all rights to make applications for copyright registrations and recordations, regardless of the medium of fixation or means of expression, which are owned by the Borrower or any Subsidiary or which the Borrower or any Subsidiary is licensed, authorized or otherwise granted rights under or to, and which are used by the Borrower or any other Person to manufacture, develop, import, market, promote, advertise, offer for sale, sell, use, provide and/or otherwise distribute a Product 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Covered Party</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12.21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Cure Right</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9.04</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Debt Issuance</w:t>
      </w:r>
      <w:r>
        <w:rPr>
          <w:rFonts w:ascii="Times New Roman" w:hAnsi="Times New Roman"/>
          <w:caps w:val="false"/>
          <w:smallCaps w:val="false"/>
          <w:sz w:val="20"/>
        </w:rPr>
        <w:t xml:space="preserve">” means the issuance by any Loan Party or any Subsidiary of any Indebtedness other than Indebtedness permitted under </w:t>
      </w:r>
      <w:r>
        <w:rPr>
          <w:rFonts w:ascii="Times New Roman" w:hAnsi="Times New Roman"/>
          <w:caps w:val="false"/>
          <w:smallCaps w:val="false"/>
          <w:sz w:val="20"/>
          <w:u w:val="single"/>
        </w:rPr>
        <w:t>Section 8.03</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Debtor Relief Laws</w:t>
      </w:r>
      <w:r>
        <w:rPr>
          <w:rFonts w:ascii="Times New Roman" w:hAnsi="Times New Roman"/>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Default</w:t>
      </w:r>
      <w:r>
        <w:rPr>
          <w:rFonts w:ascii="Times New Roman" w:hAnsi="Times New Roman"/>
          <w:caps w:val="false"/>
          <w:smallCaps w:val="false"/>
          <w:sz w:val="20"/>
        </w:rPr>
        <w:t>” means any event or condition that constitutes an Event of Default or that, with the giving of any notice, the passage of time, or both, would be an Event of Default.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Default Rate</w:t>
      </w:r>
      <w:r>
        <w:rPr>
          <w:rFonts w:ascii="Times New Roman" w:hAnsi="Times New Roman"/>
          <w:caps w:val="false"/>
          <w:smallCaps w:val="false"/>
          <w:sz w:val="20"/>
        </w:rPr>
        <w:t xml:space="preserve">” means an interest rate equal to the sum of (a) Three-Month LIBOR for the applicable Interest Period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(b) [***]% per annum, to the fullest extent permitted by applicable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Defaulting Lender</w:t>
      </w:r>
      <w:r>
        <w:rPr>
          <w:rFonts w:ascii="Times New Roman" w:hAnsi="Times New Roman"/>
          <w:caps w:val="false"/>
          <w:smallCaps w:val="false"/>
          <w:sz w:val="20"/>
        </w:rPr>
        <w:t xml:space="preserve">” means, subject to </w:t>
      </w:r>
      <w:r>
        <w:rPr>
          <w:rFonts w:ascii="Times New Roman" w:hAnsi="Times New Roman"/>
          <w:caps w:val="false"/>
          <w:smallCaps w:val="false"/>
          <w:sz w:val="20"/>
          <w:u w:val="single"/>
        </w:rPr>
        <w:t>Section 2.12(b)</w:t>
      </w:r>
      <w:r>
        <w:rPr>
          <w:rFonts w:ascii="Times New Roman" w:hAnsi="Times New Roman"/>
          <w:caps w:val="false"/>
          <w:smallCaps w:val="false"/>
          <w:sz w:val="20"/>
        </w:rPr>
        <w:t>, any Lender, as determined by the Administrative Agent, that (a) has failed to perform any of its funding obligations hereunder, including with respect to any Term A Commitments, any Term B Commitments or any Term C Commitments, within three (3) Business Days of the date required to be funded by it hereunder, (b) has notified the Borrower or the Administrative Agent that it does not intend to comply with its funding obligations hereunder or (c)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Interests in that Lender or any direct or indirect parent company thereof by a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Delaware Divided LLC</w:t>
      </w:r>
      <w:r>
        <w:rPr>
          <w:rFonts w:ascii="Times New Roman" w:hAnsi="Times New Roman"/>
          <w:caps w:val="false"/>
          <w:smallCaps w:val="false"/>
          <w:sz w:val="20"/>
        </w:rPr>
        <w:t>” means any Delaware LLC which has been formed upon the consummation of a Delaware LLC Division.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Delaware LLC</w:t>
      </w:r>
      <w:r>
        <w:rPr>
          <w:rFonts w:ascii="Times New Roman" w:hAnsi="Times New Roman"/>
          <w:caps w:val="false"/>
          <w:smallCaps w:val="false"/>
          <w:sz w:val="20"/>
        </w:rPr>
        <w:t>” means any limited liability company organized or formed under the laws of the State of Delaware.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Delaware LLC Division</w:t>
      </w:r>
      <w:r>
        <w:rPr>
          <w:rFonts w:ascii="Times New Roman" w:hAnsi="Times New Roman"/>
          <w:caps w:val="false"/>
          <w:smallCaps w:val="false"/>
          <w:sz w:val="20"/>
        </w:rPr>
        <w:t>” means the statutory division of any Delaware LLC into two or more Delaware LLCs pursuant to Section 18-217 of the Delaware Limited Liability Company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Deposit Account</w:t>
      </w:r>
      <w:r>
        <w:rPr>
          <w:rFonts w:ascii="Times New Roman" w:hAnsi="Times New Roman"/>
          <w:caps w:val="false"/>
          <w:smallCaps w:val="false"/>
          <w:sz w:val="20"/>
        </w:rPr>
        <w:t>” means a “deposit account” (as defined in Article 9 of the Uniform Commercial Code), investment account, securities account or other account in which funds are held or invested to or for the credit or account of any Loan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Deposit Account Control Agreement</w:t>
      </w:r>
      <w:r>
        <w:rPr>
          <w:rFonts w:ascii="Times New Roman" w:hAnsi="Times New Roman"/>
          <w:caps w:val="false"/>
          <w:smallCaps w:val="false"/>
          <w:sz w:val="20"/>
        </w:rPr>
        <w:t>” means any account control agreement by and among a Loan Party, the applicable depository bank or securities intermediary (as the case may be) and the Administrative Agent, in each case in form and substance reasonably satisfactory to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Designated Jurisdiction</w:t>
      </w:r>
      <w:r>
        <w:rPr>
          <w:rFonts w:ascii="Times New Roman" w:hAnsi="Times New Roman"/>
          <w:caps w:val="false"/>
          <w:smallCaps w:val="false"/>
          <w:sz w:val="20"/>
        </w:rPr>
        <w:t>” means any country or territory to the extent that such country or territory is the subject of any Sanction.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Disposition</w:t>
      </w:r>
      <w:r>
        <w:rPr>
          <w:rFonts w:ascii="Times New Roman" w:hAnsi="Times New Roman"/>
          <w:caps w:val="false"/>
          <w:smallCaps w:val="false"/>
          <w:sz w:val="20"/>
        </w:rPr>
        <w:t>” or “</w:t>
      </w:r>
      <w:r>
        <w:rPr>
          <w:rFonts w:ascii="Times New Roman" w:hAnsi="Times New Roman"/>
          <w:caps w:val="false"/>
          <w:smallCaps w:val="false"/>
          <w:sz w:val="20"/>
          <w:u w:val="single"/>
        </w:rPr>
        <w:t>Dispose</w:t>
      </w:r>
      <w:r>
        <w:rPr>
          <w:rFonts w:ascii="Times New Roman" w:hAnsi="Times New Roman"/>
          <w:caps w:val="false"/>
          <w:smallCaps w:val="false"/>
          <w:sz w:val="20"/>
        </w:rPr>
        <w:t>” means the sale, transfer, license, lease or other disposition (including any Sale and Leaseback Transaction or any issuance by any Subsidiary of its Equity Interests) of any property by any Loan Party or any Subsidiary, including any sale, assignment, transfer or other disposal, with or without recourse, of any notes or accounts receivable or any rights and claims associated therewith (including any disposition, allocation, transfer or conveyance of property to a Delaware Divided LLC pursuant to a Delaware LLC Division), but excluding the following: (a) the sale, lease, license, transfer or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other disposition of inventory in the ordinary course of business (including Stockpile Sales), (b) the sale, lease, license, transfer or other disposition in the ordinary course of business of surplus, obsolete or worn out equipment no longer used or useful in the conduct of business of any Loan Party or any Subsidiary, (c) any sale, lease, license, transfer or other disposition of property to any Loan Party or any Subsidiary;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if the transferor of such property is a Loan Party, (i) the transferee thereof must be a Loan Party or (ii) to the extent such transaction constitutes an Investment, such transaction is permitted under </w:t>
      </w:r>
      <w:r>
        <w:rPr>
          <w:rFonts w:ascii="Times New Roman" w:hAnsi="Times New Roman"/>
          <w:caps w:val="false"/>
          <w:smallCaps w:val="false"/>
          <w:sz w:val="20"/>
          <w:u w:val="single"/>
        </w:rPr>
        <w:t>Section 8.02</w:t>
      </w:r>
      <w:r>
        <w:rPr>
          <w:rFonts w:ascii="Times New Roman" w:hAnsi="Times New Roman"/>
          <w:caps w:val="false"/>
          <w:smallCaps w:val="false"/>
          <w:sz w:val="20"/>
        </w:rPr>
        <w:t xml:space="preserve">, (d) the abandonment or other disposition of IP Rights that are not material and are no longer used or useful in any material respect in the business of the Borrower and its Subsidiaries taken as a whole, (e) licenses, sublicenses, leases or subleases (other than relating to intellectual property) granted to third parties in the ordinary course of business and not interfering with the Businesses, (f) any Involuntary Disposition, (g) dispositions of cash and Cash Equivalents in the ordinary course of business pursuant to transactions permitted hereunder, (h) dispositions consisting of the sale, transfer, assignment or other disposition of unpaid and overdue accounts receivable in connection with the collection, compromise or settlement thereof in the ordinary course of business and not as part of a financing transaction, (i) the sale of the “Revenue Participation </w:t>
      </w:r>
      <w:r>
        <w:rPr>
          <w:rFonts w:ascii="Times New Roman" w:hAnsi="Times New Roman"/>
          <w:caps w:val="false"/>
          <w:smallCaps w:val="false"/>
          <w:strike/>
          <w:color w:val="FF0000"/>
          <w:sz w:val="20"/>
        </w:rPr>
        <w:t>Rights</w:t>
      </w:r>
      <w:r>
        <w:rPr>
          <w:rFonts w:ascii="Times New Roman" w:hAnsi="Times New Roman"/>
          <w:b/>
          <w:caps w:val="false"/>
          <w:smallCaps w:val="false"/>
          <w:color w:val="0000FF"/>
          <w:sz w:val="20"/>
          <w:u w:val="single"/>
          <w:bdr w:val="double" w:sz="2" w:space="1" w:color="000000"/>
        </w:rPr>
        <w:t>Rights</w:t>
      </w:r>
      <w:r>
        <w:rPr>
          <w:rFonts w:ascii="Times New Roman" w:hAnsi="Times New Roman"/>
          <w:caps w:val="false"/>
          <w:smallCaps w:val="false"/>
          <w:sz w:val="20"/>
        </w:rPr>
        <w:t xml:space="preserve">” (or other comparable term) in accordance with the terms of the Royalty Financing Documents or the terms of the Other Royalty Financing Documents, (j) any disposition of the equity interests of JPR Royalty Sub pursuant to an exercise of remedies under the Pledge and Security Agreement (as defined in the JPR Indenture) or in connection with the compromise or settlement of claims with holders of Indebtedness issued under the JPR Indenture, (k) dispositions of Clinical Trial Material that, in the good faith determination of Borrower, is no longer used or useful in the conduct of the business of Borrower and its Subsidiaries, (l) the sale, transfer or other disposition of a de minimis number of shares of the Equity Interests of a Non-U.S. Subsidiary in order to qualify members of the governing body of such Subsidiary if required by applicable Law, (m) to the extent constituting a Disposition, Liens permitted by </w:t>
      </w:r>
      <w:r>
        <w:rPr>
          <w:rFonts w:ascii="Times New Roman" w:hAnsi="Times New Roman"/>
          <w:caps w:val="false"/>
          <w:smallCaps w:val="false"/>
          <w:sz w:val="20"/>
          <w:u w:val="single"/>
        </w:rPr>
        <w:t>Section 8.01</w:t>
      </w:r>
      <w:r>
        <w:rPr>
          <w:rFonts w:ascii="Times New Roman" w:hAnsi="Times New Roman"/>
          <w:caps w:val="false"/>
          <w:smallCaps w:val="false"/>
          <w:sz w:val="20"/>
        </w:rPr>
        <w:t xml:space="preserve"> and Investments permitted by </w:t>
      </w:r>
      <w:r>
        <w:rPr>
          <w:rFonts w:ascii="Times New Roman" w:hAnsi="Times New Roman"/>
          <w:caps w:val="false"/>
          <w:smallCaps w:val="false"/>
          <w:sz w:val="20"/>
          <w:u w:val="single"/>
        </w:rPr>
        <w:t>Section 8.02</w:t>
      </w:r>
      <w:r>
        <w:rPr>
          <w:rFonts w:ascii="Times New Roman" w:hAnsi="Times New Roman"/>
          <w:caps w:val="false"/>
          <w:smallCaps w:val="false"/>
          <w:sz w:val="20"/>
        </w:rPr>
        <w:t xml:space="preserve"> and (n) the unwinding of Swap Contracts permitted by </w:t>
      </w:r>
      <w:r>
        <w:rPr>
          <w:rFonts w:ascii="Times New Roman" w:hAnsi="Times New Roman"/>
          <w:caps w:val="false"/>
          <w:smallCaps w:val="false"/>
          <w:sz w:val="20"/>
          <w:u w:val="single"/>
        </w:rPr>
        <w:t>Section 8.03(d)</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Disqualified Capital Stock</w:t>
      </w:r>
      <w:r>
        <w:rPr>
          <w:rFonts w:ascii="Times New Roman" w:hAnsi="Times New Roman"/>
          <w:caps w:val="false"/>
          <w:smallCaps w:val="false"/>
          <w:sz w:val="20"/>
        </w:rPr>
        <w:t xml:space="preserve">” means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the one hundred and eighty-first (181st) day after the Maturity Date, (b) requires the payment of any cash dividends at any time prior to the one hundred and eighty-first (181st) day after the Maturity Date, (c) contains any repurchase obligation which may come into effect prior to payment in full of all Obligations, or (d) is convertible into or exchangeable (unless at the sole option of the issuer thereof) for (i) debt securities or (ii) any Equity Interests referred to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xml:space="preserve"> above, in each case at any time prior to the one hundred and eighty-first (181st) day after the Maturity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Dollar</w:t>
      </w:r>
      <w:r>
        <w:rPr>
          <w:rFonts w:ascii="Times New Roman" w:hAnsi="Times New Roman"/>
          <w:caps w:val="false"/>
          <w:smallCaps w:val="false"/>
          <w:sz w:val="20"/>
        </w:rPr>
        <w:t>” and “</w:t>
      </w:r>
      <w:r>
        <w:rPr>
          <w:rFonts w:ascii="Times New Roman" w:hAnsi="Times New Roman"/>
          <w:caps w:val="false"/>
          <w:smallCaps w:val="false"/>
          <w:sz w:val="20"/>
          <w:u w:val="single"/>
        </w:rPr>
        <w:t>$</w:t>
      </w:r>
      <w:r>
        <w:rPr>
          <w:rFonts w:ascii="Times New Roman" w:hAnsi="Times New Roman"/>
          <w:caps w:val="false"/>
          <w:smallCaps w:val="false"/>
          <w:sz w:val="20"/>
        </w:rPr>
        <w:t>” mean lawful money of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Domain Names</w:t>
      </w:r>
      <w:r>
        <w:rPr>
          <w:rFonts w:ascii="Times New Roman" w:hAnsi="Times New Roman"/>
          <w:caps w:val="false"/>
          <w:smallCaps w:val="false"/>
          <w:sz w:val="20"/>
        </w:rPr>
        <w:t>” means all domain names and URLs that are registered and/or owned by the Borrower or any Subsidiary or which the Borrower or any Subsidiary is licensed, authorized or otherwise granted rights under or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Earn Out Obligations</w:t>
      </w:r>
      <w:r>
        <w:rPr>
          <w:rFonts w:ascii="Times New Roman" w:hAnsi="Times New Roman"/>
          <w:caps w:val="false"/>
          <w:smallCaps w:val="false"/>
          <w:sz w:val="20"/>
        </w:rPr>
        <w:t>” means, with respect to an Acquisition, all obligations of the Borrower or any Subsidiary to make earn out or other contingency payments (including purchase price adjustments, non-competition and consulting agreements, other indemnity obligations, royalty payments and sale, or development and other milestone payments) pursuant to the documentation relating to such Acquisition. For purposes of determining the aggregate consideration paid for an Acquisition at the time of such Acquisition, the amount of any Earn Out Obligations shall be deemed to be the maximum amount of the earn-out payments in respect thereof as specified in the documents relating to such Acquisition.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EEA Financial Institution</w:t>
      </w:r>
      <w:r>
        <w:rPr>
          <w:rFonts w:ascii="Times New Roman" w:hAnsi="Times New Roman"/>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of this definition, or (c) any financial institution established in an EEA Member Country which is a subsidiary of an institution described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this definition and is subject to consolidated supervision with its parent.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EEA Member Country</w:t>
      </w:r>
      <w:r>
        <w:rPr>
          <w:rFonts w:ascii="Times New Roman" w:hAnsi="Times New Roman"/>
          <w:caps w:val="false"/>
          <w:smallCaps w:val="false"/>
          <w:sz w:val="20"/>
        </w:rPr>
        <w:t>” means any of the member states of the European Union, Iceland, Liechtenstein, and Norway.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EEA Resolution Authority</w:t>
      </w:r>
      <w:r>
        <w:rPr>
          <w:rFonts w:ascii="Times New Roman" w:hAnsi="Times New Roman"/>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Eligible Assets</w:t>
      </w:r>
      <w:r>
        <w:rPr>
          <w:rFonts w:ascii="Times New Roman" w:hAnsi="Times New Roman"/>
          <w:caps w:val="false"/>
          <w:smallCaps w:val="false"/>
          <w:sz w:val="20"/>
        </w:rPr>
        <w:t>” means long-term assets that are used or useful in the same or a similar line of business as the Borrower and its Subsidiaries were engaged in on the Closing Date (or any reasonable extension or expansions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Eligible Assignee</w:t>
      </w:r>
      <w:r>
        <w:rPr>
          <w:rFonts w:ascii="Times New Roman" w:hAnsi="Times New Roman"/>
          <w:caps w:val="false"/>
          <w:smallCaps w:val="false"/>
          <w:sz w:val="20"/>
        </w:rPr>
        <w:t xml:space="preserve">” means any Person that meets the requirements to be an assignee under </w:t>
      </w:r>
      <w:r>
        <w:rPr>
          <w:rFonts w:ascii="Times New Roman" w:hAnsi="Times New Roman"/>
          <w:caps w:val="false"/>
          <w:smallCaps w:val="false"/>
          <w:sz w:val="20"/>
          <w:u w:val="single"/>
        </w:rPr>
        <w:t>Section 12.06</w:t>
      </w:r>
      <w:r>
        <w:rPr>
          <w:rFonts w:ascii="Times New Roman" w:hAnsi="Times New Roman"/>
          <w:caps w:val="false"/>
          <w:smallCaps w:val="false"/>
          <w:sz w:val="20"/>
        </w:rPr>
        <w:t xml:space="preserve"> (subject to such consents, if any, as may be required under </w:t>
      </w:r>
      <w:r>
        <w:rPr>
          <w:rFonts w:ascii="Times New Roman" w:hAnsi="Times New Roman"/>
          <w:caps w:val="false"/>
          <w:smallCaps w:val="false"/>
          <w:sz w:val="20"/>
          <w:u w:val="single"/>
        </w:rPr>
        <w:t>Section 12.06(b)(iii)</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English Subsidiary</w:t>
      </w:r>
      <w:r>
        <w:rPr>
          <w:rFonts w:ascii="Times New Roman" w:hAnsi="Times New Roman"/>
          <w:caps w:val="false"/>
          <w:smallCaps w:val="false"/>
          <w:sz w:val="20"/>
        </w:rPr>
        <w:t>” means (a) BioCryst UK Limited and (b) any other Subsidiary that is organized under the laws of England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Environmental Laws</w:t>
      </w:r>
      <w:r>
        <w:rPr>
          <w:rFonts w:ascii="Times New Roman" w:hAnsi="Times New Roman"/>
          <w:caps w:val="false"/>
          <w:smallCaps w:val="false"/>
          <w:sz w:val="20"/>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Environmental Liability</w:t>
      </w:r>
      <w:r>
        <w:rPr>
          <w:rFonts w:ascii="Times New Roman" w:hAnsi="Times New Roman"/>
          <w:caps w:val="false"/>
          <w:smallCaps w:val="false"/>
          <w:sz w:val="20"/>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membership or trust interests therein), whether voting or nonvoting, and whether or not such shares, warrants, options, rights or other interests are outstanding on any date of determination, but excluding, for the avoidance of doubt, any Convertible Bond Indebtedness to the extent that the same have not yet been converted into shares of common capital stock of the Borrower.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ERISA Affiliate</w:t>
      </w:r>
      <w:r>
        <w:rPr>
          <w:rFonts w:ascii="Times New Roman" w:hAnsi="Times New Roman"/>
          <w:caps w:val="false"/>
          <w:smallCaps w:val="false"/>
          <w:sz w:val="20"/>
        </w:rPr>
        <w:t>” 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ERISA Event</w:t>
      </w:r>
      <w:r>
        <w:rPr>
          <w:rFonts w:ascii="Times New Roman" w:hAnsi="Times New Roman"/>
          <w:caps w:val="false"/>
          <w:smallCaps w:val="false"/>
          <w:sz w:val="20"/>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the Borrower or any ERISA Affiliate.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EU Bail-In Legislation Schedule</w:t>
      </w:r>
      <w:r>
        <w:rPr>
          <w:rFonts w:ascii="Times New Roman" w:hAnsi="Times New Roman"/>
          <w:caps w:val="false"/>
          <w:smallCaps w:val="false"/>
          <w:sz w:val="20"/>
        </w:rPr>
        <w:t>” means the EU Bail-In Legislation Schedule published by the Loan Market Association (or any successor person), as in effect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Event of Default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9.01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Examiner</w:t>
      </w:r>
      <w:r>
        <w:rPr>
          <w:rFonts w:ascii="Times New Roman" w:hAnsi="Times New Roman"/>
          <w:caps w:val="false"/>
          <w:smallCaps w:val="false"/>
          <w:sz w:val="20"/>
        </w:rPr>
        <w:t>” means an examiner appointed under Section 509 of the Companies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Business Interruption Proceeds</w:t>
      </w:r>
      <w:r>
        <w:rPr>
          <w:rFonts w:ascii="Times New Roman" w:hAnsi="Times New Roman"/>
          <w:caps w:val="false"/>
          <w:smallCaps w:val="false"/>
          <w:sz w:val="20"/>
        </w:rPr>
        <w:t>” means (a) cash proceeds of business interruption insurance not in excess of $[***] in any fiscal year (the “</w:t>
      </w:r>
      <w:r>
        <w:rPr>
          <w:rFonts w:ascii="Times New Roman" w:hAnsi="Times New Roman"/>
          <w:caps w:val="false"/>
          <w:smallCaps w:val="false"/>
          <w:sz w:val="20"/>
          <w:u w:val="single"/>
        </w:rPr>
        <w:t>Annual Business Interruption Cap</w:t>
      </w:r>
      <w:r>
        <w:rPr>
          <w:rFonts w:ascii="Times New Roman" w:hAnsi="Times New Roman"/>
          <w:caps w:val="false"/>
          <w:smallCaps w:val="false"/>
          <w:sz w:val="20"/>
        </w:rPr>
        <w:t>”) and (b) any cash proceeds of business interruption insurance in excess of the Annual Business Interruption Cap in any fiscal year which are actually applied to operating expenses or to rebuild or replace the property or remedy the event or occurrence giving rise to the business interruption event in respect of which such business interruption insurance proceeds are being 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Prepayment Amount</w:t>
      </w:r>
      <w:r>
        <w:rPr>
          <w:rFonts w:ascii="Times New Roman" w:hAnsi="Times New Roman"/>
          <w:caps w:val="false"/>
          <w:smallCaps w:val="false"/>
          <w:sz w:val="20"/>
        </w:rPr>
        <w:t xml:space="preserve">” has the meaning provided in </w:t>
      </w:r>
      <w:r>
        <w:rPr>
          <w:rFonts w:ascii="Times New Roman" w:hAnsi="Times New Roman"/>
          <w:caps w:val="false"/>
          <w:smallCaps w:val="false"/>
          <w:sz w:val="20"/>
          <w:u w:val="single"/>
        </w:rPr>
        <w:t>Section 2.03(b)(vi)</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Property</w:t>
      </w:r>
      <w:r>
        <w:rPr>
          <w:rFonts w:ascii="Times New Roman" w:hAnsi="Times New Roman"/>
          <w:caps w:val="false"/>
          <w:smallCaps w:val="false"/>
          <w:sz w:val="20"/>
        </w:rPr>
        <w:t xml:space="preserve">” means, with respect to any Loan Party, including any Person that becomes a Loan Party after the Closing Date as contemplated by </w:t>
      </w:r>
      <w:r>
        <w:rPr>
          <w:rFonts w:ascii="Times New Roman" w:hAnsi="Times New Roman"/>
          <w:caps w:val="false"/>
          <w:smallCaps w:val="false"/>
          <w:sz w:val="20"/>
          <w:u w:val="single"/>
        </w:rPr>
        <w:t>Section 7.12</w:t>
      </w:r>
      <w:r>
        <w:rPr>
          <w:rFonts w:ascii="Times New Roman" w:hAnsi="Times New Roman"/>
          <w:caps w:val="false"/>
          <w:smallCaps w:val="false"/>
          <w:sz w:val="20"/>
        </w:rPr>
        <w:t xml:space="preserve">, (a) any property which, subject to the terms of </w:t>
      </w:r>
      <w:r>
        <w:rPr>
          <w:rFonts w:ascii="Times New Roman" w:hAnsi="Times New Roman"/>
          <w:caps w:val="false"/>
          <w:smallCaps w:val="false"/>
          <w:sz w:val="20"/>
          <w:u w:val="single"/>
        </w:rPr>
        <w:t>Section 8.09</w:t>
      </w:r>
      <w:r>
        <w:rPr>
          <w:rFonts w:ascii="Times New Roman" w:hAnsi="Times New Roman"/>
          <w:caps w:val="false"/>
          <w:smallCaps w:val="false"/>
          <w:sz w:val="20"/>
        </w:rPr>
        <w:t xml:space="preserve">, is subject to a Lien of the type described in Section 8.01(i) pursuant to documents which prohibit such Loan Party from granting any other Liens in such property, (b)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United States Patent and Trademark Office of a statement of use or an amendment to allege use pursuant to 15 U.S.C. Section 1060(a) (or any successor provision), such intent-to-use trademark application shall no longer constitute “Excluded Property” and shall be considered Collateral, (c) any permit, lease, license, contract or other agreement of a Loan Party if the grant of a security interest in such permit, lease, license, contract or other agreement in the manner contemplated by the Collateral Documents, under the terms thereof or under applicable Law, is prohibited and would result in the termination thereof or give the other parties thereto the right to terminate, accelerate or otherwise alter such Loan Party’s rights, titles and interests thereunder (including upon the giving of notice or the lapse of time or both); provided, that, (x) any such limitation described in this clause (c) on the security interests granted under the Collateral Documents shall only apply to the extent that any such prohibition would not be rendered ineffective pursuant to the Uniform Commercial Code or any other applicable Law or principles of equity and (y) in the event of the termination or elimination of any such prohibition or the requirement for any consent contained in any applicable Law, permit, lease, license, contract or other agreement, to the extent sufficient to permit any such item to become Collateral, a security interest in such permit, lease, license, contract or other agreement shall be automatically and simultaneously granted under the applicable Collateral Document and such permit, lease, license, contract or other agreement shall no longer constitute “Excluded Property” and shall be considered Collateral, (d) the equity interests in JPR Royalty Sub to the extent that Borrower is prohibited from pledging such interests pursuant to the terms of the Pledge and Security Agreement (as defined in the JPR Indenture), provided that, upon the termination or expiration of such prohibition or termination of, or payment in full of the “Secured Obligations” under the JPR Indenture, the equity interests in JPR Royalty Sub shall automatically be subject to the security interest granted in favor of Agent hereunder and shall become part of the “Collateral”, (e) the HSBC Cash Collateral Accounts </w:t>
      </w:r>
      <w:r>
        <w:rPr>
          <w:rFonts w:ascii="Times New Roman" w:hAnsi="Times New Roman"/>
          <w:caps w:val="false"/>
          <w:smallCaps w:val="false"/>
          <w:strike/>
          <w:color w:val="FF0000"/>
          <w:sz w:val="20"/>
        </w:rPr>
        <w:t xml:space="preserve">and </w:t>
      </w:r>
      <w:r>
        <w:rPr>
          <w:rFonts w:ascii="Times New Roman" w:hAnsi="Times New Roman"/>
          <w:caps w:val="false"/>
          <w:smallCaps w:val="false"/>
          <w:sz w:val="20"/>
        </w:rPr>
        <w:t xml:space="preserve">(f) the Equity Interests of any Non-U.S. Subsidiary (other than any Irish Subsidiary and any English Subsidiary) to the extent not required to be pledged to secure the Obligations pursuant to </w:t>
      </w:r>
      <w:r>
        <w:rPr>
          <w:rFonts w:ascii="Times New Roman" w:hAnsi="Times New Roman"/>
          <w:caps w:val="false"/>
          <w:smallCaps w:val="false"/>
          <w:sz w:val="20"/>
          <w:u w:val="single"/>
        </w:rPr>
        <w:t>Section 7.14(a)</w:t>
      </w:r>
      <w:r>
        <w:rPr>
          <w:rFonts w:ascii="Times New Roman" w:hAnsi="Times New Roman"/>
          <w:caps w:val="false"/>
          <w:smallCaps w:val="false"/>
          <w:strike/>
          <w:color w:val="FF0000"/>
          <w:sz w:val="20"/>
          <w:u w:val="single"/>
        </w:rPr>
        <w:t>.</w:t>
      </w:r>
      <w:r>
        <w:rPr>
          <w:rFonts w:ascii="Times New Roman" w:hAnsi="Times New Roman"/>
          <w:b/>
          <w:caps w:val="false"/>
          <w:smallCaps w:val="false"/>
          <w:color w:val="0000FF"/>
          <w:sz w:val="20"/>
          <w:u w:val="single"/>
          <w:bdr w:val="double" w:sz="2" w:space="1" w:color="000000"/>
        </w:rPr>
        <w:t>, (g) the Participation Right (as defined in the 2020 RP Royalty Purchase Agreement as in effect on the Closing Date), solely to the extent that title thereto has been transferred to the 2020 RP Buyer pursuant to the terms of the 2020 RP Royalty Purchase Agreement, (h) the 2021 Revenue Participation Right (as defined in the 2021 RP Royalty Purchase Agreement as in effect on the Amendment No. 1 Effective Date), solely to the extent that title thereto has been transferred to the 2021 RP Buyer pursuant to the terms of the 2021 RP Royalty Purchase Agreement and (i) the Revenue Participation Right (as defined in the OMERS Royalty Purchase Agreement as in effect on the Amendment No. 1 Effective Date) solely to the extent that title thereto has been transferred to the OMERS Buyer pursuant to the terms of the OMERS Royalty Purchase Agreement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Excluded Subsidiary</w:t>
      </w:r>
      <w:r>
        <w:rPr>
          <w:rFonts w:ascii="Times New Roman" w:hAnsi="Times New Roman"/>
          <w:caps w:val="false"/>
          <w:smallCaps w:val="false"/>
          <w:sz w:val="20"/>
        </w:rPr>
        <w:t xml:space="preserve">” means (a) subject to </w:t>
      </w:r>
      <w:r>
        <w:rPr>
          <w:rFonts w:ascii="Times New Roman" w:hAnsi="Times New Roman"/>
          <w:caps w:val="false"/>
          <w:smallCaps w:val="false"/>
          <w:sz w:val="20"/>
          <w:u w:val="single"/>
        </w:rPr>
        <w:t>Section 7.21(c)</w:t>
      </w:r>
      <w:r>
        <w:rPr>
          <w:rFonts w:ascii="Times New Roman" w:hAnsi="Times New Roman"/>
          <w:caps w:val="false"/>
          <w:smallCaps w:val="false"/>
          <w:sz w:val="20"/>
        </w:rPr>
        <w:t>, JPR Royalty Sub, (b) any Immaterial Non-U.S. Subsidiary, (c) MDCP, (d) any Non-U.S. Regulatory Approval Subsidiaries, (e) any Non-U.S. Subsidiary (other than any English Subsidiary and any Irish Subsidiary), the grant or perfection of a security interest in the assets of such Non-U.S. Subsidiary in support of, or the guaranteeing of, the Obligations would result in material adverse tax consequences to the Borrower and its Subsidiaries (as reasonably determined by the Borrower with the consent of the Administrative Agent) and (f) any Non-U.S. Subsidiary (other than any English Subsidiary and any Irish Subsidiary) with respect to which it is reasonably agreed by the Borrower and the Administrative Agent that the cost or other consequences of providing a guarantee of the Obligations shall outweigh the benefits to be obtained by the Lenders therefrom as a result of capital maintenance rules, corporate benefit requirements or similar Laws of the jurisdiction of organization of such Non-U.S.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Exempt Immaterial Subsidiary</w:t>
      </w:r>
      <w:r>
        <w:rPr>
          <w:rFonts w:ascii="Times New Roman" w:hAnsi="Times New Roman"/>
          <w:caps w:val="false"/>
          <w:smallCaps w:val="false"/>
          <w:sz w:val="20"/>
        </w:rPr>
        <w:t xml:space="preserve">” means at any time, an Exempt Subsidiary that (a) as of the last day of the fiscal quarter of the Borrower most recently ended for which the Borrower was required to deliver financial statements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did not have (together with its Subsidiaries, on a consolidated basis) assets in excess of (i) [***]% of the consolidated total assets of the Borrower and its Subsidiaries at the end of such fiscal quarter for any one Exempt Immaterial Subsidiary and (ii) [***]% of the consolidated total assets of the Borrower and its Subsidiaries at the end of such fiscal quarter for all Exempt Immaterial Subsidiaries in the aggregate and (b) for the period of four fiscal quarters most recently ended for which the Borrower was required to deliver financial statements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did not have (together with its Subsidiaries, on a consolidated basis) Consolidated Revenues (without giving effect to proviso in the definition thereof) attributable to such Exempt Subsidiary for such period in excess of (i) [***]% of Consolidated Revenues for such period for any one Exempt Immaterial Subsidiary and (ii) [***]% of Consolidated Revenues for such period for all Exempt Immaterial Subsidiaries in the aggregate.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Exempt Subsidiary</w:t>
      </w:r>
      <w:r>
        <w:rPr>
          <w:rFonts w:ascii="Times New Roman" w:hAnsi="Times New Roman"/>
          <w:caps w:val="false"/>
          <w:smallCaps w:val="false"/>
          <w:sz w:val="20"/>
        </w:rPr>
        <w:t>” means any of the following: (a) BioCryst UK, Ltd., BioCryst Deutschland GmbH and BioCryst France SAS and (b) any other Non U.S. Subsidiary that is formed after the Closing Date (but, for the avoidance of doubt, excluding any Non-U.S. Subsidiary that is acquired after the Closing Date) and organized under the laws of France, Germany, Ireland, [***], Japan, [***] or United Kingdom.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Existing Indebtedness</w:t>
      </w:r>
      <w:r>
        <w:rPr>
          <w:rFonts w:ascii="Times New Roman" w:hAnsi="Times New Roman"/>
          <w:caps w:val="false"/>
          <w:smallCaps w:val="false"/>
          <w:sz w:val="20"/>
        </w:rPr>
        <w:t>” means all Indebtedness for borrowed money of the Borrower and its Subsidiaries in existence immediately prior to the Term A Borrowing Date, including the MidCap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Extraordinary Receipts</w:t>
      </w:r>
      <w:r>
        <w:rPr>
          <w:rFonts w:ascii="Times New Roman" w:hAnsi="Times New Roman"/>
          <w:caps w:val="false"/>
          <w:smallCaps w:val="false"/>
          <w:sz w:val="20"/>
        </w:rPr>
        <w:t xml:space="preserve">” means any cash received by or paid to or for the account of any Person not in the ordinary course of business, including (1) tax refunds, (2) pension plan reversions, (3) indemnity payments (other than to the extent such indemnity payments are (i) immediately payable to a Person that is not an Affiliate of the Borrower or any of its Subsidiaries or (ii) received by the Borrower or any of its Subsidiaries as reimbursement for (A) actual losses or costs incurred by the Borrower or any of its Subsidiaries or (B) any payment previously made, in each case by the Company and its Subsidiaries in connection with any such indemnity payments), and (4) proceeds of judgments, settlements or other consideration of any kind in connection with any cause of action (other than to the extent (i) an amount equal to such proceeds of judgments, settlements or causes of action or such proceeds of judgments, settlements or causes of action have already been paid or are immediately payable to a Person that is not the Borrower or any of its Subsidiaries or Affiliates in accordance with requirements of law, settlements of the underlying events related thereto or with contractual obligations entered into in the ordinary course of business in effect prior to such judgment, settlement or cause or action or (ii) such proceeds of judgments, settlements or causes of action are received by the Borrower or any of its Subsidiaries as reimbursement for (A) actual losses or (B) any out-of-pocket costs, in each case incurred or made by the Borrower and its Subsidiaries prior to the receipt thereof directly related to the event resulting from the subject judgment, settlement or cause of action); provided, that Extraordinary Receipts shall in any event not include (x) proceeds described in </w:t>
      </w:r>
      <w:r>
        <w:rPr>
          <w:rFonts w:ascii="Times New Roman" w:hAnsi="Times New Roman"/>
          <w:caps w:val="false"/>
          <w:smallCaps w:val="false"/>
          <w:sz w:val="20"/>
          <w:u w:val="single"/>
        </w:rPr>
        <w:t>Section 2.03(b)(i)</w:t>
      </w:r>
      <w:r>
        <w:rPr>
          <w:rFonts w:ascii="Times New Roman" w:hAnsi="Times New Roman"/>
          <w:caps w:val="false"/>
          <w:smallCaps w:val="false"/>
          <w:sz w:val="20"/>
        </w:rPr>
        <w:t xml:space="preserve"> hereof, (y) proceeds of purchase price adjustments in connection with any Permitted Acquisition and (z) proceeds of issuances of common equity or other Equity Interests (other than Disqualified Capital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Facility</w:t>
      </w:r>
      <w:r>
        <w:rPr>
          <w:rFonts w:ascii="Times New Roman" w:hAnsi="Times New Roman"/>
          <w:caps w:val="false"/>
          <w:smallCaps w:val="false"/>
          <w:sz w:val="20"/>
        </w:rPr>
        <w:t>” means the Term A Facility, the Term B Facility or the Term C Facility, as the context may require.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Facility Termination Date</w:t>
      </w:r>
      <w:r>
        <w:rPr>
          <w:rFonts w:ascii="Times New Roman" w:hAnsi="Times New Roman"/>
          <w:caps w:val="false"/>
          <w:smallCaps w:val="false"/>
          <w:sz w:val="20"/>
        </w:rPr>
        <w:t>” means the date as of which all of the following shall have occurred: (a) all of the Commitments have terminated and (b) all Obligations have been paid in full in cash (other than contingent indemnification obligations for which no claim has been asserted).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Facilities</w:t>
      </w:r>
      <w:r>
        <w:rPr>
          <w:rFonts w:ascii="Times New Roman" w:hAnsi="Times New Roman"/>
          <w:caps w:val="false"/>
          <w:smallCaps w:val="false"/>
          <w:sz w:val="20"/>
        </w:rPr>
        <w:t>” means, at any time, a collective reference to the facilities (including any laboratory) and real properties owned, leased or operated by any Loan Party or any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FATCA</w:t>
      </w:r>
      <w:r>
        <w:rPr>
          <w:rFonts w:ascii="Times New Roman" w:hAnsi="Times New Roman"/>
          <w:caps w:val="false"/>
          <w:smallCaps w:val="false"/>
          <w:sz w:val="20"/>
        </w:rPr>
        <w:t>” means Sections 1471 through 1474 of the Internal Revenue Code as of the Closing Date (or any amended or successor version that is substantively comparable and not materially more onerous to comply with) and any current or future regulations thereunder, official interpretations thereof, any agreement entered into pursuant to Section 1471(b)(1) of the Internal Revenue Code and any treaty, law, regulation or intergovernmental agreements entered into (which facilitates the implementation of any law or regulation)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FDA</w:t>
      </w:r>
      <w:r>
        <w:rPr>
          <w:rFonts w:ascii="Times New Roman" w:hAnsi="Times New Roman"/>
          <w:caps w:val="false"/>
          <w:smallCaps w:val="false"/>
          <w:sz w:val="20"/>
        </w:rPr>
        <w:t>” means the United States Food and Drug Administration or any successor entity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FDCA</w:t>
      </w:r>
      <w:r>
        <w:rPr>
          <w:rFonts w:ascii="Times New Roman" w:hAnsi="Times New Roman"/>
          <w:caps w:val="false"/>
          <w:smallCaps w:val="false"/>
          <w:sz w:val="20"/>
        </w:rPr>
        <w:t>” means the Federal Food, Drug, and Cosmetic Act, as amended, 21 U.S.C. Section 301 et seq. and all regulations promulgated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Federal Funds Rate</w:t>
      </w:r>
      <w:r>
        <w:rPr>
          <w:rFonts w:ascii="Times New Roman" w:hAnsi="Times New Roman"/>
          <w:caps w:val="false"/>
          <w:smallCaps w:val="false"/>
          <w:sz w:val="20"/>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if such day is not a Business Day, the Federal Funds Rate for such day shall be such rate on such transactions on the next preceding Business Day as so published on the next succeeding Business Day.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Flood Hazard Property</w:t>
      </w:r>
      <w:r>
        <w:rPr>
          <w:rFonts w:ascii="Times New Roman" w:hAnsi="Times New Roman"/>
          <w:caps w:val="false"/>
          <w:smallCaps w:val="false"/>
          <w:sz w:val="20"/>
        </w:rPr>
        <w:t>” means any real property subject to a Mortgage that is in an area designated by the Federal Emergency Management Agency as having special flood or mudslide hazards.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FRB</w:t>
      </w:r>
      <w:r>
        <w:rPr>
          <w:rFonts w:ascii="Times New Roman" w:hAnsi="Times New Roman"/>
          <w:caps w:val="false"/>
          <w:smallCaps w:val="false"/>
          <w:sz w:val="20"/>
        </w:rPr>
        <w:t>” means the Board of Governors of the Federal Reserve System of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Fund</w:t>
      </w:r>
      <w:r>
        <w:rPr>
          <w:rFonts w:ascii="Times New Roman" w:hAnsi="Times New Roman"/>
          <w:caps w:val="false"/>
          <w:smallCaps w:val="false"/>
          <w:sz w:val="20"/>
        </w:rPr>
        <w:t>” means any Person (other than a natural Person) that is (or will be) engaged in making, purchasing, holding or otherwise investing in notes, loans and/or similar extensions of credit in the ordinary course of its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GAAP</w:t>
      </w:r>
      <w:r>
        <w:rPr>
          <w:rFonts w:ascii="Times New Roman" w:hAnsi="Times New Roman"/>
          <w:caps w:val="false"/>
          <w:smallCaps w:val="false"/>
          <w:sz w:val="20"/>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Government Account Debtor</w:t>
      </w:r>
      <w:r>
        <w:rPr>
          <w:rFonts w:ascii="Times New Roman" w:hAnsi="Times New Roman"/>
          <w:caps w:val="false"/>
          <w:smallCaps w:val="false"/>
          <w:sz w:val="20"/>
        </w:rPr>
        <w:t>” means the United States government or a political subdivision thereof, or any state, county or municipality or department, agency or instrumentality thereof, that is responsible for payment of an Account under any Government Reimbursement Program, or any agent, administrator, intermediary or carrier for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Government Account Debtor Account</w:t>
      </w:r>
      <w:r>
        <w:rPr>
          <w:rFonts w:ascii="Times New Roman" w:hAnsi="Times New Roman"/>
          <w:caps w:val="false"/>
          <w:smallCaps w:val="false"/>
          <w:sz w:val="20"/>
        </w:rPr>
        <w:t xml:space="preserve">” means a Deposit Account in the name of a Loan Party that receives all incoming payments from Government Account Debtors and other account debtors of the Loan Parties, which Deposit Account shall be subject to the requirements of </w:t>
      </w:r>
      <w:r>
        <w:rPr>
          <w:rFonts w:ascii="Times New Roman" w:hAnsi="Times New Roman"/>
          <w:caps w:val="false"/>
          <w:smallCaps w:val="false"/>
          <w:sz w:val="20"/>
          <w:u w:val="single"/>
        </w:rPr>
        <w:t>Section 7.16(b)(ii)</w:t>
      </w:r>
      <w:r>
        <w:rPr>
          <w:rFonts w:ascii="Times New Roman" w:hAnsi="Times New Roman"/>
          <w:caps w:val="false"/>
          <w:smallCaps w:val="false"/>
          <w:sz w:val="20"/>
        </w:rPr>
        <w:t xml:space="preserv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Governmental Authority</w:t>
      </w:r>
      <w:r>
        <w:rPr>
          <w:rFonts w:ascii="Times New Roman" w:hAnsi="Times New Roman"/>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Government Reimbursement Program</w:t>
      </w:r>
      <w:r>
        <w:rPr>
          <w:rFonts w:ascii="Times New Roman" w:hAnsi="Times New Roman"/>
          <w:caps w:val="false"/>
          <w:smallCaps w:val="false"/>
          <w:sz w:val="20"/>
        </w:rPr>
        <w:t>” means (a) Medicare, (b) Medicaid, (c) the Federal Employees Health Benefit Program under 5 U.S.C. §§ 8902 et seq., (d) TRICARE, (e) CHAMPVA, or (f) if applicable within the context of this Agreement, any agent, administrator, administrative contractor, intermediary or carrier for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Guarantee</w:t>
      </w:r>
      <w:r>
        <w:rPr>
          <w:rFonts w:ascii="Times New Roman" w:hAnsi="Times New Roman"/>
          <w:caps w:val="false"/>
          <w:smallCaps w:val="false"/>
          <w:sz w:val="20"/>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or (c) any direct or indirect liability, contingent or not, of that Person for (i) any obligations for undrawn letters of credit for the account of that Person or (ii) all obligations from any interest rate, currency or commodity swap agreement, interest rate cap or collar agreement, or other agreement or arrangement designated to protect a Person against fluctuation in interest rates, currency exchange rates or commodity prices.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Guarantors</w:t>
      </w:r>
      <w:r>
        <w:rPr>
          <w:rFonts w:ascii="Times New Roman" w:hAnsi="Times New Roman"/>
          <w:caps w:val="false"/>
          <w:smallCaps w:val="false"/>
          <w:sz w:val="20"/>
        </w:rPr>
        <w:t xml:space="preserve">” means (a) each Subsidiary of the Borrower identified as a “Guarantor” on the signature pages hereto and (b) each other Person that joins as a Guarantor (i) pursuant to </w:t>
      </w:r>
      <w:r>
        <w:rPr>
          <w:rFonts w:ascii="Times New Roman" w:hAnsi="Times New Roman"/>
          <w:caps w:val="false"/>
          <w:smallCaps w:val="false"/>
          <w:sz w:val="20"/>
          <w:u w:val="single"/>
        </w:rPr>
        <w:t>Section 7.12</w:t>
      </w:r>
      <w:r>
        <w:rPr>
          <w:rFonts w:ascii="Times New Roman" w:hAnsi="Times New Roman"/>
          <w:caps w:val="false"/>
          <w:smallCaps w:val="false"/>
          <w:sz w:val="20"/>
        </w:rPr>
        <w:t xml:space="preserve"> (and “Guarantor” shall mean, as the context may require, each of them individually) or (ii) subject to the Administrative Agent’s prior written consent, at the written election of the Borrower, in each case of the foregoing clauses (a) and (b), together with their successors and permitted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Guaranty</w:t>
      </w:r>
      <w:r>
        <w:rPr>
          <w:rFonts w:ascii="Times New Roman" w:hAnsi="Times New Roman"/>
          <w:caps w:val="false"/>
          <w:smallCaps w:val="false"/>
          <w:sz w:val="20"/>
        </w:rPr>
        <w:t xml:space="preserve">” means the Guaranty made by the Guarantors in favor of the Secured Parties pursuant to </w:t>
      </w:r>
      <w:r>
        <w:rPr>
          <w:rFonts w:ascii="Times New Roman" w:hAnsi="Times New Roman"/>
          <w:caps w:val="false"/>
          <w:smallCaps w:val="false"/>
          <w:sz w:val="20"/>
          <w:u w:val="single"/>
        </w:rPr>
        <w:t>Article IV</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Hazardous Materials</w:t>
      </w:r>
      <w:r>
        <w:rPr>
          <w:rFonts w:ascii="Times New Roman" w:hAnsi="Times New Roman"/>
          <w:caps w:val="false"/>
          <w:smallCaps w:val="false"/>
          <w:sz w:val="20"/>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Healthcare Laws</w:t>
      </w:r>
      <w:r>
        <w:rPr>
          <w:rFonts w:ascii="Times New Roman" w:hAnsi="Times New Roman"/>
          <w:caps w:val="false"/>
          <w:smallCaps w:val="false"/>
          <w:sz w:val="20"/>
        </w:rPr>
        <w:t>” means all applicable Laws relating to the procurement, testing, development, clinical and non-clinical evaluation or investigation, product approval, manufacture, production, distribution, dispensing, importation, exportation, use, handling, quality, reimbursement, sale, labeling, advertising, promotion, or postmarket requirements of any drug product or any ingredient or component thereof, including as applicable the FDCA and similar state or foreign laws, controlled substances laws, consumer product safety laws, Medicare, Medicaid, TRICARE, HIPAA, CLIA, the Patient Protection and Affordable Care Act (P.L. 111-1468), all federal and state fraud and abuse laws, including, without limitation, the federal Anti-Kickback Statute (42 U.S.C. §1320a-7b), the civil False Claims Act (31 U.S.C. §3729 et seq.) and all laws, policies, procedures, requirements and regulations pursuant to which Permits are issued, in each case, as the same may be amended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HHS</w:t>
      </w:r>
      <w:r>
        <w:rPr>
          <w:rFonts w:ascii="Times New Roman" w:hAnsi="Times New Roman"/>
          <w:caps w:val="false"/>
          <w:smallCaps w:val="false"/>
          <w:sz w:val="20"/>
        </w:rPr>
        <w:t>” means the United States Department of Health and Human Services and any successor agency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HIPAA</w:t>
      </w:r>
      <w:r>
        <w:rPr>
          <w:rFonts w:ascii="Times New Roman" w:hAnsi="Times New Roman"/>
          <w:caps w:val="false"/>
          <w:smallCaps w:val="false"/>
          <w:sz w:val="20"/>
        </w:rPr>
        <w:t>” means (a) the Health Insurance Portability and Accountability Act of 1996; (b) the Health Information Technology for Economic and Clinical Health Act (Title XIII of the American Recovery and Reinvestment Act of 2009); and (c) any state or local laws regulating the privacy and/or security of individually identifiable information imposing a more restrictive standard, in each case as the same may be amended, modified or supplemented from time to time, any successor statutes thereto, and any and all rules or regulations promulgated from time to time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HSBC Cash Collateral Accounts</w:t>
      </w:r>
      <w:r>
        <w:rPr>
          <w:rFonts w:ascii="Times New Roman" w:hAnsi="Times New Roman"/>
          <w:caps w:val="false"/>
          <w:smallCaps w:val="false"/>
          <w:sz w:val="20"/>
        </w:rPr>
        <w:t>” means, collectively, Deposit Account #[***] and Deposit Account #[***] of the Borrower established and maintained at HSBC Bank for the sole purpose of securing the Borrower’s obligations under the HSBC Letter of Credit; provided that (a) no such Deposit Account shall hold an aggregate of cash and cash equivalents in excess of [***] percent ([***]%) of the aggregate face amount of the letters of credit it is securing and (b) with respect to all such Deposit Accounts, the aggregate amount deposited there in at any time does not exceed [***] Dollars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HSBC Letter of Credit</w:t>
      </w:r>
      <w:r>
        <w:rPr>
          <w:rFonts w:ascii="Times New Roman" w:hAnsi="Times New Roman"/>
          <w:caps w:val="false"/>
          <w:smallCaps w:val="false"/>
          <w:sz w:val="20"/>
        </w:rPr>
        <w:t>” means the letter of credit issued by HSBC Bank in favor of the landlord with respect to the Borrower’s leased real property located at 2100 Riverchase Center, Ste. 200 / Building 200, Birmingham, AL 35244, in an aggregate face amount equal to One Million Four Hundred Thousand Dollars ($1,400,000).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Immaterial Non-U.S. Subsidiary</w:t>
      </w:r>
      <w:r>
        <w:rPr>
          <w:rFonts w:ascii="Times New Roman" w:hAnsi="Times New Roman"/>
          <w:caps w:val="false"/>
          <w:smallCaps w:val="false"/>
          <w:sz w:val="20"/>
        </w:rPr>
        <w:t xml:space="preserve">” means at any time a Non-U.S. Subsidiary that (a) as of the last day of the fiscal quarter of the Borrower most recently ended for which the Borrower was required to deliver financial statements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did not have (together with its Subsidiaries, on a consolidated basis) assets in excess of (i) [***]% of the consolidated total assets of the Borrower and its Subsidiaries at the end of such fiscal quarter for any one Immaterial Non-U.S. Subsidiary and (ii) [***]% of the consolidated total assets of the Borrower and its Subsidiaries at the end of such fiscal quarter for all Immaterial Non-U.S. Subsidiaries in the aggregate and (b) for the period of four fiscal quarters most recently ended for which the Borrower was required to deliver financial statements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did not have (together with its Subsidiaries, on a consolidated basis) Consolidated Revenues (without giving effect to proviso in the definition thereof) attributable to such Non-U.S. Subsidiary for such period in excess of (i) [***]% of Consolidated Revenues for such period for any one Immaterial Non-U.S. Subsidiary and (ii) [***]% of Consolidated Revenues for such period for all Immaterial Non-U.S. Subsidiaries in the aggregate;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no event will any Non U.S. Subsidiary (x) that is organized under the laws of France, Germany, Ireland, [***], Japan, [***] or United Kingdom or (y) which is acquired pursuant to a Permitted Acquisition, in each case, constitute an Immaterial Non-U.S.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Indebtedness</w:t>
      </w:r>
      <w:r>
        <w:rPr>
          <w:rFonts w:ascii="Times New Roman" w:hAnsi="Times New Roman"/>
          <w:caps w:val="false"/>
          <w:smallCaps w:val="false"/>
          <w:sz w:val="20"/>
        </w:rPr>
        <w:t>” means, as to any Person at a particular time, without duplication, all of the following, whether or not included as indebtedness or liabilities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(a)    all obligations, whether current or long-term, for borrowed money (including the Obligations) and all obligations of such Person evidenced by bonds, debentures, notes, loan agreements or other similar instruments;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(b)    all purchase money Indebtedness;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(c)    the principal portion of all obligations under conditional sale or other title retention agreements relating to property purchased by such Person or any Subsidiary thereof (other than customary reservations or retentions of title under agreements with suppliers entered into in the ordinary course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(d)    all obligations arising under letters of credit (including standby and commercial), bankers’ acceptances, bank guaranties, surety bonds and similar instruments;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(e)    all obligations in respect of the deferred purchase price of property or services (other than trade accounts payable in the ordinary course of business and, in each case, not due more than 90 days after the date on which such trade account payable was created), including, without limitation, any Earn Out Obligations that have become a liability on the balance sheet in accordance with GAAP;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(f)    the Attributable Indebtedness of Capital Leases, Securitization Transactions and Synthetic Leases;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all obligations of such Person to purchase, redeem, retire, defease or otherwise make any payment in respect of any Disqualified Capital Stock in such Person or any other Person, valued, in the case of a redeemable preferred interest, at the greater of its voluntary or involuntary liquidation preference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accrued and unpaid dividends;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(h)    all Indebtedness of others secured by (or for which the holder of such Indebtedness has an existing right, contingent or otherwise, to be secured by) any Lien on, or payable out of the proceeds of production from, property owned or acquired by such Person, whether or not the obligations secured thereby have been assumed;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(i)    the Swap Termination Value of any Swap Contract;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all Guarantees with respect to outstanding Indebtedness of the types specified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w:t>
      </w:r>
      <w:r>
        <w:rPr>
          <w:rFonts w:ascii="Times New Roman" w:hAnsi="Times New Roman"/>
          <w:caps w:val="false"/>
          <w:smallCaps w:val="false"/>
          <w:sz w:val="20"/>
        </w:rPr>
        <w:t xml:space="preserve"> above of any other Person;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all Indebtedness of the types referred to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(j)</w:t>
      </w:r>
      <w:r>
        <w:rPr>
          <w:rFonts w:ascii="Times New Roman" w:hAnsi="Times New Roman"/>
          <w:caps w:val="false"/>
          <w:smallCaps w:val="false"/>
          <w:sz w:val="20"/>
        </w:rPr>
        <w:t xml:space="preserve"> above of any partnership or joint venture (other than a joint venture that is itself a corporation or limited liability company) in which such Person or a Subsidiary thereof is a general partner or joint venturer, unless such Indebtedness is expressly made non-recourse to such Person or such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Indemnitee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12.04(b)</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Indirect Lender</w:t>
      </w:r>
      <w:r>
        <w:rPr>
          <w:rFonts w:ascii="Times New Roman" w:hAnsi="Times New Roman"/>
          <w:caps w:val="false"/>
          <w:smallCaps w:val="false"/>
          <w:sz w:val="20"/>
        </w:rPr>
        <w:t>” means any Person that is not a U.S. Person and either (1) directly holds equity interests in a Lender that is treated as a partnership or disregarded entity for United States federal income tax purposes or (2) directly holds equity interests in a U.S. Person that is treated as a partnership or disregarded entity for U.S. federal income tax purposes that, directly, or indirectly through entities each of which is treated a partnership or a disregarded entity for U.S. federal income tax purposes, holds equity interests in a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Information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12.07</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Intercreditor Agreement</w:t>
      </w:r>
      <w:r>
        <w:rPr>
          <w:rFonts w:ascii="Times New Roman" w:hAnsi="Times New Roman"/>
          <w:caps w:val="false"/>
          <w:smallCaps w:val="false"/>
          <w:sz w:val="20"/>
        </w:rPr>
        <w:t xml:space="preserve">” means the </w:t>
      </w:r>
      <w:r>
        <w:rPr>
          <w:rFonts w:ascii="Times New Roman" w:hAnsi="Times New Roman"/>
          <w:b/>
          <w:caps w:val="false"/>
          <w:smallCaps w:val="false"/>
          <w:color w:val="0000FF"/>
          <w:sz w:val="20"/>
          <w:u w:val="single"/>
          <w:bdr w:val="double" w:sz="2" w:space="1" w:color="000000"/>
        </w:rPr>
        <w:t>Amended and Restated</w:t>
      </w:r>
      <w:r>
        <w:rPr>
          <w:rFonts w:ascii="Times New Roman" w:hAnsi="Times New Roman"/>
          <w:caps w:val="false"/>
          <w:smallCaps w:val="false"/>
          <w:sz w:val="20"/>
        </w:rPr>
        <w:t xml:space="preserve"> Intercreditor Agreement</w:t>
      </w:r>
      <w:r>
        <w:rPr>
          <w:rFonts w:ascii="Times New Roman" w:hAnsi="Times New Roman"/>
          <w:b/>
          <w:caps w:val="false"/>
          <w:smallCaps w:val="false"/>
          <w:sz w:val="20"/>
        </w:rPr>
        <w:t>,</w:t>
      </w:r>
      <w:r>
        <w:rPr>
          <w:rFonts w:ascii="Times New Roman" w:hAnsi="Times New Roman"/>
          <w:caps w:val="false"/>
          <w:smallCaps w:val="false"/>
          <w:sz w:val="20"/>
        </w:rPr>
        <w:t xml:space="preserve"> dated as of the </w:t>
      </w:r>
      <w:r>
        <w:rPr>
          <w:rFonts w:ascii="Times New Roman" w:hAnsi="Times New Roman"/>
          <w:caps w:val="false"/>
          <w:smallCaps w:val="false"/>
          <w:strike/>
          <w:color w:val="FF0000"/>
          <w:sz w:val="20"/>
        </w:rPr>
        <w:t>Closing</w:t>
      </w:r>
      <w:r>
        <w:rPr>
          <w:rFonts w:ascii="Times New Roman" w:hAnsi="Times New Roman"/>
          <w:b/>
          <w:caps w:val="false"/>
          <w:smallCaps w:val="false"/>
          <w:color w:val="0000FF"/>
          <w:sz w:val="20"/>
          <w:u w:val="single"/>
          <w:bdr w:val="double" w:sz="2" w:space="1" w:color="000000"/>
        </w:rPr>
        <w:t>Amendment No. 1 Effective</w:t>
      </w:r>
      <w:r>
        <w:rPr>
          <w:rFonts w:ascii="Times New Roman" w:hAnsi="Times New Roman"/>
          <w:caps w:val="false"/>
          <w:smallCaps w:val="false"/>
          <w:sz w:val="20"/>
        </w:rPr>
        <w:t xml:space="preserve"> Date</w:t>
      </w:r>
      <w:r>
        <w:rPr>
          <w:rFonts w:ascii="Times New Roman" w:hAnsi="Times New Roman"/>
          <w:b/>
          <w:caps w:val="false"/>
          <w:smallCaps w:val="false"/>
          <w:color w:val="0000FF"/>
          <w:sz w:val="20"/>
          <w:u w:val="single"/>
          <w:bdr w:val="double" w:sz="2" w:space="1" w:color="000000"/>
        </w:rPr>
        <w:t>,</w:t>
      </w:r>
      <w:r>
        <w:rPr>
          <w:rFonts w:ascii="Times New Roman" w:hAnsi="Times New Roman"/>
          <w:caps w:val="false"/>
          <w:smallCaps w:val="false"/>
          <w:sz w:val="20"/>
        </w:rPr>
        <w:t xml:space="preserve"> by and among the Administrative Agent</w:t>
      </w:r>
      <w:r>
        <w:rPr>
          <w:rFonts w:ascii="Times New Roman" w:hAnsi="Times New Roman"/>
          <w:b/>
          <w:caps w:val="false"/>
          <w:smallCaps w:val="false"/>
          <w:color w:val="0000FF"/>
          <w:sz w:val="20"/>
          <w:u w:val="single"/>
          <w:bdr w:val="double" w:sz="2" w:space="1" w:color="000000"/>
        </w:rPr>
        <w:t>, the 2020 RP Buyer,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the 2021 RP Buyer</w:t>
      </w:r>
      <w:r>
        <w:rPr>
          <w:rFonts w:ascii="Times New Roman" w:hAnsi="Times New Roman"/>
          <w:caps w:val="false"/>
          <w:smallCaps w:val="false"/>
          <w:sz w:val="20"/>
        </w:rPr>
        <w:t xml:space="preserve"> and the </w:t>
      </w:r>
      <w:r>
        <w:rPr>
          <w:rFonts w:ascii="Times New Roman" w:hAnsi="Times New Roman"/>
          <w:b/>
          <w:caps w:val="false"/>
          <w:smallCaps w:val="false"/>
          <w:color w:val="0000FF"/>
          <w:sz w:val="20"/>
          <w:u w:val="single"/>
          <w:bdr w:val="double" w:sz="2" w:space="1" w:color="000000"/>
        </w:rPr>
        <w:t>OMERS</w:t>
      </w:r>
      <w:r>
        <w:rPr>
          <w:rFonts w:ascii="Times New Roman" w:hAnsi="Times New Roman"/>
          <w:caps w:val="false"/>
          <w:smallCaps w:val="false"/>
          <w:sz w:val="20"/>
        </w:rPr>
        <w:t xml:space="preserve"> Buyer, and acknowledged and agreed to by the Borrower and the Guarantors as amended, amended and restated, supplemented and otherwise modified from time to time in accordance with the terms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Interest Period</w:t>
      </w:r>
      <w:r>
        <w:rPr>
          <w:rFonts w:ascii="Times New Roman" w:hAnsi="Times New Roman"/>
          <w:caps w:val="false"/>
          <w:smallCaps w:val="false"/>
          <w:sz w:val="20"/>
        </w:rPr>
        <w:t>” means, with respect to any Borrowing (a) initially, the period beginning on (and including) the date of such Borrowing and ending on (and including) the next following Interest Payment Date, and (b) thereafter, the period beginning on (and including) the first day immediately following such Interest Payment Date and ending on the earlier of (and including) (i) the next following Interest Payment Date and (ii) the Maturity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Interest Payment Date</w:t>
      </w:r>
      <w:r>
        <w:rPr>
          <w:rFonts w:ascii="Times New Roman" w:hAnsi="Times New Roman"/>
          <w:caps w:val="false"/>
          <w:smallCaps w:val="false"/>
          <w:sz w:val="20"/>
        </w:rPr>
        <w:t>” means (a) the last Business Day of each March, June, September and December, and (b) the Maturity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Interim Financial Statements</w:t>
      </w:r>
      <w:r>
        <w:rPr>
          <w:rFonts w:ascii="Times New Roman" w:hAnsi="Times New Roman"/>
          <w:caps w:val="false"/>
          <w:smallCaps w:val="false"/>
          <w:sz w:val="20"/>
        </w:rPr>
        <w:t>” means the unaudited consolidated financial statements of the Borrower and its Subsidiaries for each of the fiscal quarters ended March 31, 2020, June 30, 2020 and September 30, 2020, including balance sheets and statements of income or operations, shareholders’ equity and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Internal Revenue Code</w:t>
      </w:r>
      <w:r>
        <w:rPr>
          <w:rFonts w:ascii="Times New Roman" w:hAnsi="Times New Roman"/>
          <w:caps w:val="false"/>
          <w:smallCaps w:val="false"/>
          <w:sz w:val="20"/>
        </w:rPr>
        <w:t>” means the United States Internal Revenue Code of 1986, as amended.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Internal Revenue Service</w:t>
      </w:r>
      <w:r>
        <w:rPr>
          <w:rFonts w:ascii="Times New Roman" w:hAnsi="Times New Roman"/>
          <w:caps w:val="false"/>
          <w:smallCaps w:val="false"/>
          <w:sz w:val="20"/>
        </w:rPr>
        <w:t>” means the United States Internal Revenue Service, as amended.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Investment</w:t>
      </w:r>
      <w:r>
        <w:rPr>
          <w:rFonts w:ascii="Times New Roman" w:hAnsi="Times New Roman"/>
          <w:caps w:val="false"/>
          <w:smallCaps w:val="false"/>
          <w:sz w:val="20"/>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 but giving effect to any repayments of principal in the case of Investments in the form of loans and any return of capital or return on Investment in the case of equity Investments, but in each case not in excess of the amount of the initial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Involuntary Disposition</w:t>
      </w:r>
      <w:r>
        <w:rPr>
          <w:rFonts w:ascii="Times New Roman" w:hAnsi="Times New Roman"/>
          <w:caps w:val="false"/>
          <w:smallCaps w:val="false"/>
          <w:sz w:val="20"/>
        </w:rPr>
        <w:t>” means any loss of, damage to or destruction of, or any condemnation or other taking for public use of, any property of any Loan Party or any of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IP Rights</w:t>
      </w:r>
      <w:r>
        <w:rPr>
          <w:rFonts w:ascii="Times New Roman" w:hAnsi="Times New Roman"/>
          <w:caps w:val="false"/>
          <w:smallCaps w:val="false"/>
          <w:sz w:val="20"/>
        </w:rPr>
        <w:t>” means, collectively, all Confidential Information, all Copyrights, all Copyright Licenses, all Domain Names, all Permits, all Other Intellectual Property, all Other IP Agreements, all Patents, all Patent Licenses, all Proprietary Databases, all Proprietary Software, all Trademarks, all Trademark Licenses, all Trade Secrets, all Websites and all Website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IP Security Agreement</w:t>
      </w:r>
      <w:r>
        <w:rPr>
          <w:rFonts w:ascii="Times New Roman" w:hAnsi="Times New Roman"/>
          <w:caps w:val="false"/>
          <w:smallCaps w:val="false"/>
          <w:sz w:val="20"/>
        </w:rPr>
        <w:t>” means notices of grant of security interest in the form required by the Security Agreement executed and delivered by a Loan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Irish All Asset Debenture</w:t>
      </w:r>
      <w:r>
        <w:rPr>
          <w:rFonts w:ascii="Times New Roman" w:hAnsi="Times New Roman"/>
          <w:caps w:val="false"/>
          <w:smallCaps w:val="false"/>
          <w:sz w:val="20"/>
        </w:rPr>
        <w:t>” means that certain Irish law governed all asset debenture (other than Excluded Property) dated as of the Closing Date executed in favor of the Administrative Agent, for the benefit of the Secured Parties, by each of the Loan Parties that is an Irish Subsidiary, in form and substance reasonably acceptable to the Administrative Agent, as amended or modified from time to time in accordance with the terms hereof, to include such other agreements, third-party assessments, certificates, notices, acknowledgments of such notices and documents that the Administrative Agent may reasonable request in connection therewith as is customary or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Irish Security Documents</w:t>
      </w:r>
      <w:r>
        <w:rPr>
          <w:rFonts w:ascii="Times New Roman" w:hAnsi="Times New Roman"/>
          <w:caps w:val="false"/>
          <w:smallCaps w:val="false"/>
          <w:sz w:val="20"/>
        </w:rPr>
        <w:t>” means, collectively, the Irish All Asset Debenture and the Irish Share Charge.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Irish Share Charge</w:t>
      </w:r>
      <w:r>
        <w:rPr>
          <w:rFonts w:ascii="Times New Roman" w:hAnsi="Times New Roman"/>
          <w:caps w:val="false"/>
          <w:smallCaps w:val="false"/>
          <w:sz w:val="20"/>
        </w:rPr>
        <w:t>” means that certain Irish law governed share charge dated as of the Closing Date executed in favor of the Administrative Agent, for the benefit of the Secured Parties, by each of the Loan Parties holding any Equity Interests in an Irish Subsidiary, in form and substance reasonably acceptable to the Administrative Agent, as amended or modified from time to time in accordance with the terms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Irish Subsidiary</w:t>
      </w:r>
      <w:r>
        <w:rPr>
          <w:rFonts w:ascii="Times New Roman" w:hAnsi="Times New Roman"/>
          <w:caps w:val="false"/>
          <w:smallCaps w:val="false"/>
          <w:sz w:val="20"/>
        </w:rPr>
        <w:t>” means any Subsidiary that is incorporated under the laws of Ireland.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Joinder Agreement</w:t>
      </w:r>
      <w:r>
        <w:rPr>
          <w:rFonts w:ascii="Times New Roman" w:hAnsi="Times New Roman"/>
          <w:caps w:val="false"/>
          <w:smallCaps w:val="false"/>
          <w:sz w:val="20"/>
        </w:rPr>
        <w:t xml:space="preserve">” means a joinder agreement substantially in the form of </w:t>
      </w:r>
      <w:r>
        <w:rPr>
          <w:rFonts w:ascii="Times New Roman" w:hAnsi="Times New Roman"/>
          <w:caps w:val="false"/>
          <w:smallCaps w:val="false"/>
          <w:sz w:val="20"/>
          <w:u w:val="single"/>
        </w:rPr>
        <w:t>Exhibit E</w:t>
      </w:r>
      <w:r>
        <w:rPr>
          <w:rFonts w:ascii="Times New Roman" w:hAnsi="Times New Roman"/>
          <w:caps w:val="false"/>
          <w:smallCaps w:val="false"/>
          <w:sz w:val="20"/>
        </w:rPr>
        <w:t xml:space="preserve"> executed and delivered by a Subsidiary in accordance with the provisions of </w:t>
      </w:r>
      <w:r>
        <w:rPr>
          <w:rFonts w:ascii="Times New Roman" w:hAnsi="Times New Roman"/>
          <w:caps w:val="false"/>
          <w:smallCaps w:val="false"/>
          <w:sz w:val="20"/>
          <w:u w:val="single"/>
        </w:rPr>
        <w:t>Section 7.12</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JPR Indenture</w:t>
      </w:r>
      <w:r>
        <w:rPr>
          <w:rFonts w:ascii="Times New Roman" w:hAnsi="Times New Roman"/>
          <w:caps w:val="false"/>
          <w:smallCaps w:val="false"/>
          <w:sz w:val="20"/>
        </w:rPr>
        <w:t>” means that certain Indenture, dated as of March 9, 2011, by and between JPR Royalty Sub and U.S. Bank, National Association, as in effect on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JPR Royalty Sub</w:t>
      </w:r>
      <w:r>
        <w:rPr>
          <w:rFonts w:ascii="Times New Roman" w:hAnsi="Times New Roman"/>
          <w:caps w:val="false"/>
          <w:smallCaps w:val="false"/>
          <w:sz w:val="20"/>
        </w:rPr>
        <w:t>” means JPR Royalty Sub LLC, 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Key Products</w:t>
      </w:r>
      <w:r>
        <w:rPr>
          <w:rFonts w:ascii="Times New Roman" w:hAnsi="Times New Roman"/>
          <w:caps w:val="false"/>
          <w:smallCaps w:val="false"/>
          <w:sz w:val="20"/>
        </w:rPr>
        <w:t>” means, collectively, the Orladeyo Product Family</w:t>
      </w:r>
      <w:r>
        <w:rPr>
          <w:rFonts w:ascii="Times New Roman" w:hAnsi="Times New Roman"/>
          <w:caps w:val="false"/>
          <w:smallCaps w:val="false"/>
          <w:strike/>
          <w:color w:val="FF0000"/>
          <w:sz w:val="20"/>
        </w:rPr>
        <w:t xml:space="preserve"> and</w:t>
      </w:r>
      <w:r>
        <w:rPr>
          <w:rFonts w:ascii="Times New Roman" w:hAnsi="Times New Roman"/>
          <w:b/>
          <w:caps w:val="false"/>
          <w:smallCaps w:val="false"/>
          <w:color w:val="0000FF"/>
          <w:sz w:val="20"/>
          <w:u w:val="single"/>
          <w:bdr w:val="double" w:sz="2" w:space="1" w:color="000000"/>
        </w:rPr>
        <w:t>,</w:t>
      </w:r>
      <w:r>
        <w:rPr>
          <w:rFonts w:ascii="Times New Roman" w:hAnsi="Times New Roman"/>
          <w:caps w:val="false"/>
          <w:smallCaps w:val="false"/>
          <w:sz w:val="20"/>
        </w:rPr>
        <w:t xml:space="preserve"> the BCX9930 Product Family </w:t>
      </w:r>
      <w:r>
        <w:rPr>
          <w:rFonts w:ascii="Times New Roman" w:hAnsi="Times New Roman"/>
          <w:b/>
          <w:caps w:val="false"/>
          <w:smallCaps w:val="false"/>
          <w:color w:val="0000FF"/>
          <w:sz w:val="20"/>
          <w:u w:val="single"/>
          <w:bdr w:val="double" w:sz="2" w:space="1" w:color="000000"/>
        </w:rPr>
        <w:t>and the Complement Inhibitor Product Family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Key Territories</w:t>
      </w:r>
      <w:r>
        <w:rPr>
          <w:rFonts w:ascii="Times New Roman" w:hAnsi="Times New Roman"/>
          <w:caps w:val="false"/>
          <w:smallCaps w:val="false"/>
          <w:sz w:val="20"/>
        </w:rPr>
        <w:t>” means the United States, France, Germany, [***], [***] and the United Kingdom.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Laws</w:t>
      </w:r>
      <w:r>
        <w:rPr>
          <w:rFonts w:ascii="Times New Roman" w:hAnsi="Times New Roman"/>
          <w:caps w:val="false"/>
          <w:smallCaps w:val="false"/>
          <w:sz w:val="20"/>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Legal Reservations</w:t>
      </w:r>
      <w:r>
        <w:rPr>
          <w:rFonts w:ascii="Times New Roman" w:hAnsi="Times New Roman"/>
          <w:caps w:val="false"/>
          <w:smallCaps w:val="false"/>
          <w:sz w:val="20"/>
        </w:rPr>
        <w:t>” means: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principle that equitable remedies may be granted or refused at the discretion of a court and the limitation of enforcement by laws relating to insolvency, reorganisation and other laws generally affecting the rights of creditors;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time barring of claims under the Statute of Limitation 1957 and defences of set-off or counterclaim;</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the principle that security expressed to be fixed security may take effect as floating security;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any other matters which are set out as qualifications or reservations as to matters of law of general application in any legal opinions delivered pursuant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Lenders</w:t>
      </w:r>
      <w:r>
        <w:rPr>
          <w:rFonts w:ascii="Times New Roman" w:hAnsi="Times New Roman"/>
          <w:caps w:val="false"/>
          <w:smallCaps w:val="false"/>
          <w:sz w:val="20"/>
        </w:rPr>
        <w:t>” means each of the Persons identified as a “Lender” on the signature pages hereto and their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Lending Office</w:t>
      </w:r>
      <w:r>
        <w:rPr>
          <w:rFonts w:ascii="Times New Roman" w:hAnsi="Times New Roman"/>
          <w:caps w:val="false"/>
          <w:smallCaps w:val="false"/>
          <w:sz w:val="20"/>
        </w:rPr>
        <w:t xml:space="preserve">” means, as to any Lender, the office address of such Lender and, as appropriate, account of such Lender set forth on </w:t>
      </w:r>
      <w:r>
        <w:rPr>
          <w:rFonts w:ascii="Times New Roman" w:hAnsi="Times New Roman"/>
          <w:caps w:val="false"/>
          <w:smallCaps w:val="false"/>
          <w:sz w:val="20"/>
          <w:u w:val="single"/>
        </w:rPr>
        <w:t>Schedule 12.02</w:t>
      </w:r>
      <w:r>
        <w:rPr>
          <w:rFonts w:ascii="Times New Roman" w:hAnsi="Times New Roman"/>
          <w:caps w:val="false"/>
          <w:smallCaps w:val="false"/>
          <w:sz w:val="20"/>
        </w:rPr>
        <w:t xml:space="preserve"> or such other address or account as such Lender may from time to time notify the Borrower and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w:t>
      </w:r>
      <w:r>
        <w:rPr>
          <w:rFonts w:ascii="Times New Roman" w:hAnsi="Times New Roman"/>
          <w:caps w:val="false"/>
          <w:smallCaps w:val="false"/>
          <w:sz w:val="20"/>
        </w:rPr>
        <w:t xml:space="preserve">” means an extension of credit by a Lender to the Borrower under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in the form of a Term A Loan, a Term B Loan or a Term C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 Documents</w:t>
      </w:r>
      <w:r>
        <w:rPr>
          <w:rFonts w:ascii="Times New Roman" w:hAnsi="Times New Roman"/>
          <w:caps w:val="false"/>
          <w:smallCaps w:val="false"/>
          <w:sz w:val="20"/>
        </w:rPr>
        <w:t>” means this Agreement, each Note, each Joinder Agreement, each Collateral Document, the Intercreditor Agreement and any other agreement, instrument or document designated by its terms as a “Loan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 Notice</w:t>
      </w:r>
      <w:r>
        <w:rPr>
          <w:rFonts w:ascii="Times New Roman" w:hAnsi="Times New Roman"/>
          <w:caps w:val="false"/>
          <w:smallCaps w:val="false"/>
          <w:sz w:val="20"/>
        </w:rPr>
        <w:t xml:space="preserve">” means a notice of a Borrowing of Loans pursuant to </w:t>
      </w:r>
      <w:r>
        <w:rPr>
          <w:rFonts w:ascii="Times New Roman" w:hAnsi="Times New Roman"/>
          <w:caps w:val="false"/>
          <w:smallCaps w:val="false"/>
          <w:sz w:val="20"/>
          <w:u w:val="single"/>
        </w:rPr>
        <w:t>Section 2.02(a),</w:t>
      </w:r>
      <w:r>
        <w:rPr>
          <w:rFonts w:ascii="Times New Roman" w:hAnsi="Times New Roman"/>
          <w:caps w:val="false"/>
          <w:smallCaps w:val="false"/>
          <w:sz w:val="20"/>
        </w:rPr>
        <w:t xml:space="preserve"> which shall be substantially in the form of </w:t>
      </w:r>
      <w:r>
        <w:rPr>
          <w:rFonts w:ascii="Times New Roman" w:hAnsi="Times New Roman"/>
          <w:caps w:val="false"/>
          <w:smallCaps w:val="false"/>
          <w:sz w:val="20"/>
          <w:u w:val="single"/>
        </w:rPr>
        <w:t>Exhibit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Loan Parties</w:t>
      </w:r>
      <w:r>
        <w:rPr>
          <w:rFonts w:ascii="Times New Roman" w:hAnsi="Times New Roman"/>
          <w:caps w:val="false"/>
          <w:smallCaps w:val="false"/>
          <w:sz w:val="20"/>
        </w:rPr>
        <w:t>” means, collectively, the Borrower and each Guarantor.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Make-Whole Amount</w:t>
      </w:r>
      <w:r>
        <w:rPr>
          <w:rFonts w:ascii="Times New Roman" w:hAnsi="Times New Roman"/>
          <w:caps w:val="false"/>
          <w:smallCaps w:val="false"/>
          <w:sz w:val="20"/>
        </w:rPr>
        <w:t xml:space="preserve">” means, on any date of determination, with respect to any amount of any Loan that is repaid or required to be repaid prior to the date as set forth in clause (a) of the definition of “Maturity Date”, an amount equal to the amount, if any, by which (a) the sum of (i) one hundred two percent (102%) of the principal amount of the Loan repaid or required to be repaid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the present value as of such date of determination (as determined by the Administrative Agent in accordance with customary practice) of all interest that would have accrued on the principal amount of the Loans repaid or required to be repaid through and including the second anniversary of the date of the Borrowing of such Loan, computed using a discount rate equal to the Three-Month Treasury Rate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 PIK Election was made for the most recently completed Interest Period, this present value computation shall be calculated assuming that the Borrower would have made the PIK Election for all of the remaining periods eligible for such PIK Election)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one half of one percent (0.50%), exceeds (b) the principal amount of the Loan repaid or required to be repaid.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Market Withdrawal</w:t>
      </w:r>
      <w:r>
        <w:rPr>
          <w:rFonts w:ascii="Times New Roman" w:hAnsi="Times New Roman"/>
          <w:caps w:val="false"/>
          <w:smallCaps w:val="false"/>
          <w:sz w:val="20"/>
        </w:rPr>
        <w:t>” means a Person’s removal or correction of a distributed product which involves a minor violation that would not be subject to legal action by the FDA, CMS or any other Governmental Authority or which involves no violation, e.g., normal stock rotation practices, routine equipment adjustments and repairs, etc., as that term is defined in 21 C.F.R. 7.3(j).</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means (a) a material adverse change in, or a material adverse effect upon, the business, assets, properties, liabilities (actual or contingent), or condition (financial or otherwise) of the Borrower and its Subsidiaries taken as a whole, (b) a material impairment of the rights and remedies of the Administrative Agent or any Lender under any Loan Document to which it is a party or a material impairment in the perfection, value or priority of the Administrative Agent’s security interests in the Collateral, (c) a material impairment of the ability of any Loan Party to perform its obligations under any Loan Document to which it is a party, or (d) a material adverse effect upon the legality, validity, binding effect or enforceability against any Loan Party of any Loan Document to which it is a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Contracts</w:t>
      </w:r>
      <w:r>
        <w:rPr>
          <w:rFonts w:ascii="Times New Roman" w:hAnsi="Times New Roman"/>
          <w:caps w:val="false"/>
          <w:smallCaps w:val="false"/>
          <w:sz w:val="20"/>
        </w:rPr>
        <w:t xml:space="preserve">” means (i) the Organization Documents of the Loan Parties, (ii) those agreements listed on </w:t>
      </w:r>
      <w:r>
        <w:rPr>
          <w:rFonts w:ascii="Times New Roman" w:hAnsi="Times New Roman"/>
          <w:caps w:val="false"/>
          <w:smallCaps w:val="false"/>
          <w:sz w:val="20"/>
          <w:u w:val="single"/>
        </w:rPr>
        <w:t>Schedule 6.22</w:t>
      </w:r>
      <w:r>
        <w:rPr>
          <w:rFonts w:ascii="Times New Roman" w:hAnsi="Times New Roman"/>
          <w:caps w:val="false"/>
          <w:smallCaps w:val="false"/>
          <w:sz w:val="20"/>
        </w:rPr>
        <w:t xml:space="preserve">, (iii) the Royalty Financing Documents and any Other Royalty Financing Documents and (iv) after the Closing Date, any agreement of the type described in any of clauses (a) through (g) of </w:t>
      </w:r>
      <w:r>
        <w:rPr>
          <w:rFonts w:ascii="Times New Roman" w:hAnsi="Times New Roman"/>
          <w:caps w:val="false"/>
          <w:smallCaps w:val="false"/>
          <w:sz w:val="20"/>
          <w:u w:val="single"/>
        </w:rPr>
        <w:t>Section 6.22</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IP Rights</w:t>
      </w:r>
      <w:r>
        <w:rPr>
          <w:rFonts w:ascii="Times New Roman" w:hAnsi="Times New Roman"/>
          <w:caps w:val="false"/>
          <w:smallCaps w:val="false"/>
          <w:sz w:val="20"/>
        </w:rPr>
        <w:t>” means IP Rights (i) with respect to each of the Key Products and (ii) any other Product material to the Loan Parties, their respective properties or the conduct or operation of their respective businesses taken as a whole.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Product</w:t>
      </w:r>
      <w:r>
        <w:rPr>
          <w:rFonts w:ascii="Times New Roman" w:hAnsi="Times New Roman"/>
          <w:caps w:val="false"/>
          <w:smallCaps w:val="false"/>
          <w:sz w:val="20"/>
        </w:rPr>
        <w:t>” means (a) each of the Key Products and (b) each other Product the loss of which could reasonably be expected, either individually or, together with its related (as determined based on the applicable drug substance) Products in the aggregate,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Material Required Permit</w:t>
      </w:r>
      <w:r>
        <w:rPr>
          <w:rFonts w:ascii="Times New Roman" w:hAnsi="Times New Roman"/>
          <w:caps w:val="false"/>
          <w:smallCaps w:val="false"/>
          <w:sz w:val="20"/>
        </w:rPr>
        <w:t>” means (a) any Required Permit with respect to any Material Product in any Key Territory or Ireland and (b) any other Required Permit where, in the case of this clause (b), the loss of which, the failure to possess or maintain, or any restriction placed thereon, in each case, could reasonably be expected, either individually or in the aggregate, to result in (i) a material adverse effect on any Product Development and Commercialization Activities or (ii)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Maturity Date</w:t>
      </w:r>
      <w:r>
        <w:rPr>
          <w:rFonts w:ascii="Times New Roman" w:hAnsi="Times New Roman"/>
          <w:caps w:val="false"/>
          <w:smallCaps w:val="false"/>
          <w:sz w:val="20"/>
        </w:rPr>
        <w:t xml:space="preserve">” means (a) December 7, 2025, or (b) if earlier, such earlier date on which the Loans are accelerated in whole pursuant to </w:t>
      </w:r>
      <w:r>
        <w:rPr>
          <w:rFonts w:ascii="Times New Roman" w:hAnsi="Times New Roman"/>
          <w:caps w:val="false"/>
          <w:smallCaps w:val="false"/>
          <w:sz w:val="20"/>
          <w:u w:val="single"/>
        </w:rPr>
        <w:t>Section 9.02</w:t>
      </w:r>
      <w:r>
        <w:rPr>
          <w:rFonts w:ascii="Times New Roman" w:hAnsi="Times New Roman"/>
          <w:caps w:val="false"/>
          <w:smallCaps w:val="false"/>
          <w:sz w:val="20"/>
        </w:rPr>
        <w:t xml:space="preserve"> 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if such date is not a Business Day, the Maturity Date shall be the first Business Day immediately preceding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Maximum Rate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12.09</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MDCP</w:t>
      </w:r>
      <w:r>
        <w:rPr>
          <w:rFonts w:ascii="Times New Roman" w:hAnsi="Times New Roman"/>
          <w:caps w:val="false"/>
          <w:smallCaps w:val="false"/>
          <w:sz w:val="20"/>
        </w:rPr>
        <w:t>” means MDCP, LLC, 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Medicaid</w:t>
      </w:r>
      <w:r>
        <w:rPr>
          <w:rFonts w:ascii="Times New Roman" w:hAnsi="Times New Roman"/>
          <w:caps w:val="false"/>
          <w:smallCaps w:val="false"/>
          <w:sz w:val="20"/>
        </w:rPr>
        <w:t>” shall mean a medical assistance program administered by a state agency and approved by the CMS pursuant to Title XIX of the Social Security Act, (42 U.S.C. §§ 1396 et seq.) and the regulations promulgated thereunder, or any successor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Medicare</w:t>
      </w:r>
      <w:r>
        <w:rPr>
          <w:rFonts w:ascii="Times New Roman" w:hAnsi="Times New Roman"/>
          <w:caps w:val="false"/>
          <w:smallCaps w:val="false"/>
          <w:sz w:val="20"/>
        </w:rPr>
        <w:t>” means that certain federal program providing health insurance for eligible elderly and other individuals, under which physicians, hospitals, skilled nursing homes, home health care and other providers are paid for certain covered services they provide to the beneficiaries of such program, which program is more fully described in Title XVIII of the Social Security Act (42 U.S.C. §§ 1395 et seq.) and the regulations promulgated thereunder, or any successor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MidCap Indebtedness</w:t>
      </w:r>
      <w:r>
        <w:rPr>
          <w:rFonts w:ascii="Times New Roman" w:hAnsi="Times New Roman"/>
          <w:caps w:val="false"/>
          <w:smallCaps w:val="false"/>
          <w:sz w:val="20"/>
        </w:rPr>
        <w:t>” means the all Indebtedness or other obligations of the Borrower and its Subsidiaries outstanding under that certain Second Amended and Restated Credit and Security Agreement, dated as of February 5, 2019, by and among the Borrower, the Subsidiaries of the Borrower party thereto from time to time, MidCap Financial Trust, as administrative agent, and the lenders party thereto from time to time, the “Security Documents” (as defined therein) and all other agreements and documents entered into in connection therewith, in each case, as amended, modified or otherwise supplemented from time to time prior to the Term A Borrowing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Moody</w:t>
      </w:r>
      <w:r>
        <w:rPr>
          <w:rFonts w:ascii="Times New Roman" w:hAnsi="Times New Roman"/>
          <w:caps w:val="false"/>
          <w:smallCaps w:val="false"/>
          <w:sz w:val="20"/>
        </w:rPr>
        <w:t>’</w:t>
      </w:r>
      <w:r>
        <w:rPr>
          <w:rFonts w:ascii="Times New Roman" w:hAnsi="Times New Roman"/>
          <w:caps w:val="false"/>
          <w:smallCaps w:val="false"/>
          <w:sz w:val="20"/>
          <w:u w:val="single"/>
        </w:rPr>
        <w:t>s</w:t>
      </w:r>
      <w:r>
        <w:rPr>
          <w:rFonts w:ascii="Times New Roman" w:hAnsi="Times New Roman"/>
          <w:caps w:val="false"/>
          <w:smallCaps w:val="false"/>
          <w:sz w:val="20"/>
        </w:rPr>
        <w:t>” means Moody’s Investors Service, Inc. and any successor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Mortgages</w:t>
      </w:r>
      <w:r>
        <w:rPr>
          <w:rFonts w:ascii="Times New Roman" w:hAnsi="Times New Roman"/>
          <w:caps w:val="false"/>
          <w:smallCaps w:val="false"/>
          <w:sz w:val="20"/>
        </w:rPr>
        <w:t>” means, individually or collectively, as the context requires, each of the mortgages, deeds of trust or deeds to secure debt that purport to grant to the Administrative Agent, for the benefit of the Secured Parties, a security interest in the fee interest and/or leasehold interests of any Loan Party in real property (other than Excluded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Multiemployer Plan</w:t>
      </w:r>
      <w:r>
        <w:rPr>
          <w:rFonts w:ascii="Times New Roman" w:hAnsi="Times New Roman"/>
          <w:caps w:val="false"/>
          <w:smallCaps w:val="false"/>
          <w:sz w:val="20"/>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Multiple Employer Plan</w:t>
      </w:r>
      <w:r>
        <w:rPr>
          <w:rFonts w:ascii="Times New Roman" w:hAnsi="Times New Roman"/>
          <w:caps w:val="false"/>
          <w:smallCaps w:val="false"/>
          <w:sz w:val="20"/>
        </w:rPr>
        <w:t>” means a Plan which has two or more contributing sponsors (including the Borrower or any ERISA Affiliate) at least two of whom are not under common control, as such a plan is described in Section 4064 of ERISA.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NDA</w:t>
      </w:r>
      <w:r>
        <w:rPr>
          <w:rFonts w:ascii="Times New Roman" w:hAnsi="Times New Roman"/>
          <w:caps w:val="false"/>
          <w:smallCaps w:val="false"/>
          <w:sz w:val="20"/>
        </w:rPr>
        <w:t>” means a new drug application filed with the FDA pursuant to Section 505(b) of the FDCA, along with all supplements and amendments thereto, and any similar application for marketing authorization required by any country, jurisdiction or Governmental Authority other than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Net Cash Proceeds</w:t>
      </w:r>
      <w:r>
        <w:rPr>
          <w:rFonts w:ascii="Times New Roman" w:hAnsi="Times New Roman"/>
          <w:caps w:val="false"/>
          <w:smallCaps w:val="false"/>
          <w:sz w:val="20"/>
        </w:rPr>
        <w:t>” means the aggregate cash or Cash Equivalents proceeds received by any Loan Party or any Subsidiary in respect of any Disposition, Debt Issuance, Involuntary Disposition or Extraordinary Receipt (other than Excluded Business Interruption Proceeds), net of (a) reasonable direct costs incurred in connection therewith (including, without limitation, legal, accounting and investment banking fees, and sales commissions), (b) Taxes paid or payable as a result thereof, (c) in the case of any Disposition, the amount necessary to retire any Indebtedness secured by a Permitted Lien (ranking senior to any Lien of the Administrative Agent) on the related property and (d) in the case of any Extraordinary Receipt, reasonable direct costs incurred in connection with the collection of such proceeds, awards or other payments; it being understood that “Net Cash Proceeds” shall include, without limitation, any cash or Cash Equivalents received upon the sale or other disposition of any non-cash consideration received by any Loan Party or any Subsidiary in any Disposition, Involuntary Disposition or Extraordinary Receipt.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Net Cash Proceeds - Licensing</w:t>
      </w:r>
      <w:r>
        <w:rPr>
          <w:rFonts w:ascii="Times New Roman" w:hAnsi="Times New Roman"/>
          <w:caps w:val="false"/>
          <w:smallCaps w:val="false"/>
          <w:sz w:val="20"/>
        </w:rPr>
        <w:t>” means Net Cash Proceeds received by the Borrower or any Subsidiary in respect of any Non-Permitted License or Permitted License, including, without limitation, all upfront payments, royalties, milestone payments, sublicense revenues or other proceeds received in connection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 xml:space="preserve">Net Cash Proceeds </w:t>
      </w:r>
      <w:r>
        <w:rPr>
          <w:rFonts w:ascii="Times New Roman" w:hAnsi="Times New Roman"/>
          <w:caps w:val="false"/>
          <w:smallCaps w:val="false"/>
          <w:sz w:val="20"/>
        </w:rPr>
        <w:t>–</w:t>
      </w:r>
      <w:r>
        <w:rPr>
          <w:rFonts w:ascii="Times New Roman" w:hAnsi="Times New Roman"/>
          <w:caps w:val="false"/>
          <w:smallCaps w:val="false"/>
          <w:sz w:val="20"/>
          <w:u w:val="single"/>
        </w:rPr>
        <w:t xml:space="preserve"> Non-Permitted Royalty Financing</w:t>
      </w:r>
      <w:r>
        <w:rPr>
          <w:rFonts w:ascii="Times New Roman" w:hAnsi="Times New Roman"/>
          <w:caps w:val="false"/>
          <w:smallCaps w:val="false"/>
          <w:sz w:val="20"/>
        </w:rPr>
        <w:t>” means Net Cash Proceeds received by the Borrower or any Subsidiary in respect of any Non-Permitted Royalty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Non-Consenting Lender</w:t>
      </w:r>
      <w:r>
        <w:rPr>
          <w:rFonts w:ascii="Times New Roman" w:hAnsi="Times New Roman"/>
          <w:caps w:val="false"/>
          <w:smallCaps w:val="false"/>
          <w:sz w:val="20"/>
        </w:rPr>
        <w:t xml:space="preserve">” means any Lender that does not approve any consent, waiver or amendment that (a) requires the approval of all Lenders or all affected Lenders in accordance with the terms of </w:t>
      </w:r>
      <w:r>
        <w:rPr>
          <w:rFonts w:ascii="Times New Roman" w:hAnsi="Times New Roman"/>
          <w:caps w:val="false"/>
          <w:smallCaps w:val="false"/>
          <w:sz w:val="20"/>
          <w:u w:val="single"/>
        </w:rPr>
        <w:t>Section 12.01(a)</w:t>
      </w:r>
      <w:r>
        <w:rPr>
          <w:rFonts w:ascii="Times New Roman" w:hAnsi="Times New Roman"/>
          <w:caps w:val="false"/>
          <w:smallCaps w:val="false"/>
          <w:sz w:val="20"/>
        </w:rPr>
        <w:t xml:space="preserve"> and (b) has been approved by the Required Lenders.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Non-FDA Governmental Action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9.01(s)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Non-Key Products</w:t>
      </w:r>
      <w:r>
        <w:rPr>
          <w:rFonts w:ascii="Times New Roman" w:hAnsi="Times New Roman"/>
          <w:caps w:val="false"/>
          <w:smallCaps w:val="false"/>
          <w:sz w:val="20"/>
        </w:rPr>
        <w:t>” means Products of the Borrower and its Subsidiaries other than the Key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Non-Key Territories</w:t>
      </w:r>
      <w:r>
        <w:rPr>
          <w:rFonts w:ascii="Times New Roman" w:hAnsi="Times New Roman"/>
          <w:caps w:val="false"/>
          <w:smallCaps w:val="false"/>
          <w:sz w:val="20"/>
        </w:rPr>
        <w:t>” means any jurisdiction other than the Key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Non-Permitted License</w:t>
      </w:r>
      <w:r>
        <w:rPr>
          <w:rFonts w:ascii="Times New Roman" w:hAnsi="Times New Roman"/>
          <w:caps w:val="false"/>
          <w:smallCaps w:val="false"/>
          <w:sz w:val="20"/>
        </w:rPr>
        <w:t>” means any exclusive or non-exclusive license or sublicense of a Key Product (or any IP Rights related to a Key Product) in any Key Territory. For the avoidance of doubt, but subject to the definition of Permitted License, Non-Permitted Licenses shall not include (i) any exclusive or non-exclusive license or sublicense of a Key Product (or any IP Rights related to a Key Product) in a Non-Key Territory and (ii) any exclusive or non-exclusive license or sublicense of a Product that is not a Key Product (or any IP Rights related to such Product that is not a Key Product) in any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Non-Permitted Royalty Financing</w:t>
      </w:r>
      <w:r>
        <w:rPr>
          <w:rFonts w:ascii="Times New Roman" w:hAnsi="Times New Roman"/>
          <w:caps w:val="false"/>
          <w:smallCaps w:val="false"/>
          <w:sz w:val="20"/>
        </w:rPr>
        <w:t xml:space="preserve">” means the sale, transfer or financing of a right to receive any sales or revenue or other consideration with respect to a Product (or any IP Rights related a Product) other than the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Financings</w:t>
      </w:r>
      <w:r>
        <w:rPr>
          <w:rFonts w:ascii="Times New Roman" w:hAnsi="Times New Roman"/>
          <w:caps w:val="false"/>
          <w:smallCaps w:val="false"/>
          <w:sz w:val="20"/>
        </w:rPr>
        <w:t xml:space="preserve"> and any Other Royalty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Non-U.S. Regulatory Approval Subsidiary</w:t>
      </w:r>
      <w:r>
        <w:rPr>
          <w:rFonts w:ascii="Times New Roman" w:hAnsi="Times New Roman"/>
          <w:caps w:val="false"/>
          <w:smallCaps w:val="false"/>
          <w:sz w:val="20"/>
        </w:rPr>
        <w:t xml:space="preserve">” means any Non-U.S. Subsidiary organized under the laws of any of any jurisdiction (other than France, Germany, Ireland, [***], Japan, [***] and the United Kingdom), all of the assets of which consist of a local law regulatory approval;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no event will any Non U.S. Subsidiary which is acquired pursuant to a Permitted Acquisition constitute a Non-U.S. Regulatory Approval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Non-U.S. Subsidiary</w:t>
      </w:r>
      <w:r>
        <w:rPr>
          <w:rFonts w:ascii="Times New Roman" w:hAnsi="Times New Roman"/>
          <w:caps w:val="false"/>
          <w:smallCaps w:val="false"/>
          <w:sz w:val="20"/>
        </w:rPr>
        <w:t>” means any Subsidiary that is not a U.S.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Note</w:t>
      </w:r>
      <w:r>
        <w:rPr>
          <w:rFonts w:ascii="Times New Roman" w:hAnsi="Times New Roman"/>
          <w:caps w:val="false"/>
          <w:smallCaps w:val="false"/>
          <w:sz w:val="20"/>
        </w:rPr>
        <w:t>” or “</w:t>
      </w:r>
      <w:r>
        <w:rPr>
          <w:rFonts w:ascii="Times New Roman" w:hAnsi="Times New Roman"/>
          <w:caps w:val="false"/>
          <w:smallCaps w:val="false"/>
          <w:sz w:val="20"/>
          <w:u w:val="single"/>
        </w:rPr>
        <w:t>Notes</w:t>
      </w:r>
      <w:r>
        <w:rPr>
          <w:rFonts w:ascii="Times New Roman" w:hAnsi="Times New Roman"/>
          <w:caps w:val="false"/>
          <w:smallCaps w:val="false"/>
          <w:sz w:val="20"/>
        </w:rPr>
        <w:t>” means the Term A Notes, the Term B Notes, and the Term C Notes, individually or collectively, as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Obligations</w:t>
      </w:r>
      <w:r>
        <w:rPr>
          <w:rFonts w:ascii="Times New Roman" w:hAnsi="Times New Roman"/>
          <w:caps w:val="false"/>
          <w:smallCaps w:val="false"/>
          <w:sz w:val="20"/>
        </w:rPr>
        <w:t>” means (a) all advances to, and debts, liabilities, obligations, covenants and duties of, any Loan Party arising under any Loan Document or otherwise with respect to any Loan (including any PIK Interest Payments)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OFAC</w:t>
      </w:r>
      <w:r>
        <w:rPr>
          <w:rFonts w:ascii="Times New Roman" w:hAnsi="Times New Roman"/>
          <w:caps w:val="false"/>
          <w:smallCaps w:val="false"/>
          <w:sz w:val="20"/>
        </w:rPr>
        <w:t>” means the Office of Foreign Assets Control of the United States Department of the Treasury.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OMERS Buyer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Buyer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as such term is defined in the OMERS Royalty Purchase Agreement as in effect on the Amendment No. 1 Effective Date.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OMERS Royalty Financing</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subject to the Royalty Financing Restrictions, that certain true sale of the OMERS Revenue Participation Right to OCM IP Healthcare Holdings Limited, an Ontario corporation, on the Amendment No. 1 Effective Date pursuant to the terms of the OMERS Royalty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OMERS Royalty Purchase Agreement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Purchase and Sale Agreement, dated as of the Amendment No. 1 Effective Date, between the Borrower and OCM IP Healthcare Holdings Limited, an Ontario corporation,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OMERS Royalty Financing Documents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OMERS Royalty Purchase Agreement, the OMERS Royalty Financing Side Letter, the Intercreditor Agreement and any other agreement, instrument or document entered into from time to time in connection therewith, in each case,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OMERS Royalty Financing Side Letter</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letter agreement, dated as of the Amendment No. 1 Effective Date between the Borrower and OCM IP Healthcare Holdings Limited, an Ontario corporation,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OMERS Revenue Participation Right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Revenue Participation Right</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OMERS Royalty Purchase Agreement as in effect on the Amendment No. 1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OMERS Royalty Payments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 xml:space="preserve">means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Royalty Payments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OMERS Royalty Purchase Agreement as in effect on the Amendment No. 1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Operating Lease</w:t>
      </w:r>
      <w:r>
        <w:rPr>
          <w:rFonts w:ascii="Times New Roman" w:hAnsi="Times New Roman"/>
          <w:caps w:val="false"/>
          <w:smallCaps w:val="false"/>
          <w:sz w:val="20"/>
        </w:rPr>
        <w:t>” means any lease of any Facility separate and distinct from the owner of the applicable Facility, and all amendments thereto and extensions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Organization Documents</w:t>
      </w:r>
      <w:r>
        <w:rPr>
          <w:rFonts w:ascii="Times New Roman" w:hAnsi="Times New Roman"/>
          <w:caps w:val="false"/>
          <w:smallCaps w:val="false"/>
          <w:sz w:val="20"/>
        </w:rPr>
        <w:t xml:space="preserve">” means, (a) with respect to any corporation, the certificate or articles of incorporation and the bylaws, (b) with respect to any limited liability company, the certificate or articles of formation, incorporation or organization and operating agreement or constitutional documents, and (c) with respect to any partnership, joint venture, trust or other form of business entity, the partnership, joint venture or other applicable agreement of formation or organization, including in each case of the foregoing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(c)</w:t>
      </w:r>
      <w:r>
        <w:rPr>
          <w:rFonts w:ascii="Times New Roman" w:hAnsi="Times New Roman"/>
          <w:caps w:val="false"/>
          <w:smallCaps w:val="false"/>
          <w:sz w:val="20"/>
        </w:rPr>
        <w:t xml:space="preserve"> the equivalent or comparable constitutive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Orladeyo</w:t>
      </w:r>
      <w:r>
        <w:rPr>
          <w:rFonts w:ascii="Times New Roman" w:hAnsi="Times New Roman"/>
          <w:caps w:val="false"/>
          <w:smallCaps w:val="false"/>
          <w:sz w:val="20"/>
        </w:rPr>
        <w:t>” means the Product described in the NDA No. 214094 filed with the FDA and analogous applications in jurisdictions outside the United States and referenced by the Borrower as ORLADEYO™ (berotralstat).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Orladeyo Product Family</w:t>
      </w:r>
      <w:r>
        <w:rPr>
          <w:rFonts w:ascii="Times New Roman" w:hAnsi="Times New Roman"/>
          <w:caps w:val="false"/>
          <w:smallCaps w:val="false"/>
          <w:sz w:val="20"/>
        </w:rPr>
        <w:t>” means (a) Orladeyo,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Orladeyo Consolidated U.S. Net Product Sales</w:t>
      </w:r>
      <w:r>
        <w:rPr>
          <w:rFonts w:ascii="Times New Roman" w:hAnsi="Times New Roman"/>
          <w:caps w:val="false"/>
          <w:smallCaps w:val="false"/>
          <w:sz w:val="20"/>
        </w:rPr>
        <w:t>” means, for any period, consolidated net revenues of the Loan Parties from sales of Orladeyo in the United States for the usage by patients in the United States for such period, excluding (i) the revenues of any Subsidiary to the extent that the declaration or payment of dividends or similar distributions by that Subsidiary of the income resulting from such revenues is not at the time permitted by operation of the terms of its Organization Documents or any agreement, instrument, judgment, decree, order, statute, rule or governmental regulation applicable to that Subsidiary, (ii) for the avoidance of doubt, distribution income, service payments, royalty payments, license income, and all other forms of non-product sales during such period and (iii) the aggregate amount of all payments paid or required to be paid in respect of such period under the Royalty Financing Documents and, for the avoidance of doubt and without limiting the restrictions set forth in the definitions of Other Royalty Financings and Royalty Financing Restrictions, the Other Royalty Financing Documents, all as determined and reported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Orladeyo Net Product Sales</w:t>
      </w:r>
      <w:r>
        <w:rPr>
          <w:rFonts w:ascii="Times New Roman" w:hAnsi="Times New Roman"/>
          <w:caps w:val="false"/>
          <w:smallCaps w:val="false"/>
          <w:sz w:val="20"/>
        </w:rPr>
        <w:t>” means, for any period, consolidated net revenues of the Borrower and its Subsidiaries from sales of the Orladeyo Product Family in any jurisdiction for such period, all as determined and reported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Other Intellectual Property</w:t>
      </w:r>
      <w:r>
        <w:rPr>
          <w:rFonts w:ascii="Times New Roman" w:hAnsi="Times New Roman"/>
          <w:caps w:val="false"/>
          <w:smallCaps w:val="false"/>
          <w:sz w:val="20"/>
        </w:rPr>
        <w:t>” means all worldwide intellectual property rights, industrial property rights, proprietary rights and common-law rights, whether registered or unregistered, which are not otherwise included in Confidential Information, Copyrights, Copyright Licenses, Domain Names, Permits, Other IP Agreements, Patents, Patent Licenses, Trademarks and Trademark Licenses, Proprietary Databases, Proprietary Software, Websites, Website Agreements and Trade Secrets, including, without limitation, all rights to and under all new and useful algorithms, concepts, data (including all clinical data relating to a Product or Service), databases, designs, discoveries, inventions, know-how, methods, processes, protocols, show-how, software (other than commercially available, off-the-shelf software), specifications for Products and processes for Services, techniques, technology, trade dress and all improvements thereof and thereto, which is owned by the Borrower or any Subsidiary or which the Borrower or any Subsidiary is licensed, authorized or otherwise granted rights under or to, and which is used by the Borrower or any other Person to advertise, develop, manufacture, import, market, promote, offer for sale, sell, use, provide and/or otherwise distribute a Product 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Other IP Agreements</w:t>
      </w:r>
      <w:r>
        <w:rPr>
          <w:rFonts w:ascii="Times New Roman" w:hAnsi="Times New Roman"/>
          <w:caps w:val="false"/>
          <w:smallCaps w:val="false"/>
          <w:sz w:val="20"/>
        </w:rPr>
        <w:t>” means any agreement, whether written or oral, providing for the grant of any right under any Confidential Information, Permits, Proprietary Database, Proprietary Software, Trade Secret and/or any other IP Rights, to the extent that the grant of any such right is not otherwise the subject of a Copyright License, Trademark License, Patent License or Website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Other Royalty Financings</w:t>
      </w:r>
      <w:r>
        <w:rPr>
          <w:rFonts w:ascii="Times New Roman" w:hAnsi="Times New Roman"/>
          <w:caps w:val="false"/>
          <w:smallCaps w:val="false"/>
          <w:sz w:val="20"/>
        </w:rPr>
        <w:t>” means one or more future royalty financings through true sales by the Borrower of a synthetic royalty tied to annual net sales of (i) BCX9930 within the Key Territories, (ii) BCX9930 within the Non-Key Territories</w:t>
      </w:r>
      <w:r>
        <w:rPr>
          <w:rFonts w:ascii="Times New Roman" w:hAnsi="Times New Roman"/>
          <w:b/>
          <w:caps w:val="false"/>
          <w:smallCaps w:val="false"/>
          <w:color w:val="0000FF"/>
          <w:sz w:val="20"/>
          <w:u w:val="single"/>
          <w:bdr w:val="double" w:sz="2" w:space="1" w:color="000000"/>
        </w:rPr>
        <w:t>, (iii) the Complement Inhibitor within the Key Territories, (iv) the Complement Inhibitor within the Non-Key Territories</w:t>
      </w:r>
      <w:r>
        <w:rPr>
          <w:rFonts w:ascii="Times New Roman" w:hAnsi="Times New Roman"/>
          <w:caps w:val="false"/>
          <w:smallCaps w:val="false"/>
          <w:sz w:val="20"/>
        </w:rPr>
        <w:t xml:space="preserve"> and/or (</w:t>
      </w:r>
      <w:r>
        <w:rPr>
          <w:rFonts w:ascii="Times New Roman" w:hAnsi="Times New Roman"/>
          <w:caps w:val="false"/>
          <w:smallCaps w:val="false"/>
          <w:strike/>
          <w:color w:val="FF0000"/>
          <w:sz w:val="20"/>
        </w:rPr>
        <w:t>iii</w:t>
      </w:r>
      <w:r>
        <w:rPr>
          <w:rFonts w:ascii="Times New Roman" w:hAnsi="Times New Roman"/>
          <w:b/>
          <w:caps w:val="false"/>
          <w:smallCaps w:val="false"/>
          <w:color w:val="0000FF"/>
          <w:sz w:val="20"/>
          <w:u w:val="single"/>
          <w:bdr w:val="double" w:sz="2" w:space="1" w:color="000000"/>
        </w:rPr>
        <w:t>v</w:t>
      </w:r>
      <w:r>
        <w:rPr>
          <w:rFonts w:ascii="Times New Roman" w:hAnsi="Times New Roman"/>
          <w:caps w:val="false"/>
          <w:smallCaps w:val="false"/>
          <w:sz w:val="20"/>
        </w:rPr>
        <w:t>) the Non-Key Products, pursuant to the terms of the Other Royalty Financing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Other Royalty Financing Documents</w:t>
      </w:r>
      <w:r>
        <w:rPr>
          <w:rFonts w:ascii="Times New Roman" w:hAnsi="Times New Roman"/>
          <w:caps w:val="false"/>
          <w:smallCaps w:val="false"/>
          <w:sz w:val="20"/>
        </w:rPr>
        <w:t>” means the documents governing or evidencing any Other Royalty Financing, which shall, in each case, be subject to the Royalty Financing Restrictions.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Outstanding Amount</w:t>
      </w:r>
      <w:r>
        <w:rPr>
          <w:rFonts w:ascii="Times New Roman" w:hAnsi="Times New Roman"/>
          <w:caps w:val="false"/>
          <w:smallCaps w:val="false"/>
          <w:sz w:val="20"/>
        </w:rPr>
        <w:t>” means with respect to any Loans on any date, the aggregate outstanding principal amount thereof after giving effect to any borrowings and prepayments or repayments of any Loans occurring on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12.06(h)</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12.06(d)</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Patent License</w:t>
      </w:r>
      <w:r>
        <w:rPr>
          <w:rFonts w:ascii="Times New Roman" w:hAnsi="Times New Roman"/>
          <w:caps w:val="false"/>
          <w:smallCaps w:val="false"/>
          <w:sz w:val="20"/>
        </w:rPr>
        <w:t>” means any agreement, whether written or oral, providing for the grant of any right under any Patent.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Patents</w:t>
      </w:r>
      <w:r>
        <w:rPr>
          <w:rFonts w:ascii="Times New Roman" w:hAnsi="Times New Roman"/>
          <w:caps w:val="false"/>
          <w:smallCaps w:val="false"/>
          <w:sz w:val="20"/>
        </w:rPr>
        <w:t>” means all letters patent and patent applications in the United States and all other countries (and all letters patent that issue therefrom) and all reissues, extensions, renewals, divisions and continuations (including continuations-in-part and continuing prosecution applications) thereof, for the full term thereof, together with the right to claim the priority thereto, which are owned by the Borrower or any Subsidiary or which the Borrower or any Subsidiary is licensed, authorized or otherwise granted rights under or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PATRIOT Act</w:t>
      </w:r>
      <w:r>
        <w:rPr>
          <w:rFonts w:ascii="Times New Roman" w:hAnsi="Times New Roman"/>
          <w:caps w:val="false"/>
          <w:smallCaps w:val="false"/>
          <w:sz w:val="20"/>
        </w:rPr>
        <w:t>” means the USA PATRIOT Act (Title III of Pub. L. 107-56 (signed into law October 26, 2001)).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PBGC</w:t>
      </w:r>
      <w:r>
        <w:rPr>
          <w:rFonts w:ascii="Times New Roman" w:hAnsi="Times New Roman"/>
          <w:caps w:val="false"/>
          <w:smallCaps w:val="false"/>
          <w:sz w:val="20"/>
        </w:rPr>
        <w:t>” means the Pension Benefit Guaranty Corporation or any successor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Pension Act</w:t>
      </w:r>
      <w:r>
        <w:rPr>
          <w:rFonts w:ascii="Times New Roman" w:hAnsi="Times New Roman"/>
          <w:caps w:val="false"/>
          <w:smallCaps w:val="false"/>
          <w:sz w:val="20"/>
        </w:rPr>
        <w:t>” means the Pension Protection Act of 2006.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Pension Funding Rules</w:t>
      </w:r>
      <w:r>
        <w:rPr>
          <w:rFonts w:ascii="Times New Roman" w:hAnsi="Times New Roman"/>
          <w:caps w:val="false"/>
          <w:smallCaps w:val="false"/>
          <w:sz w:val="20"/>
        </w:rPr>
        <w:t>” means the rules of the Internal Revenue Code and ERISA regarding minimum required contributions (including any installment payment thereof) to Pension Plans and set forth in Section 412, 430, 431, 432 and 436 of the Internal Revenue Code and Sections 302, 303, 304 and 305 of ERISA.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Pension Plan</w:t>
      </w:r>
      <w:r>
        <w:rPr>
          <w:rFonts w:ascii="Times New Roman" w:hAnsi="Times New Roman"/>
          <w:caps w:val="false"/>
          <w:smallCaps w:val="false"/>
          <w:sz w:val="20"/>
        </w:rPr>
        <w:t>” means any employee pension benefit plan (including a Multiple Employer Plan or a Multiemployer Plan) that is maintained or is contributed to by the Borrower or any ERISA Affiliate and that is either covered by Title IV of ERISA or is subject to minimum funding standards under Section 412 of the Internal Revenue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Perfection and Due Diligence Certificate</w:t>
      </w:r>
      <w:r>
        <w:rPr>
          <w:rFonts w:ascii="Times New Roman" w:hAnsi="Times New Roman"/>
          <w:caps w:val="false"/>
          <w:smallCaps w:val="false"/>
          <w:sz w:val="20"/>
        </w:rPr>
        <w:t>” means that certain Perfection and Due Diligence Certificate dated as of the Closing Date executed by the Loan Parties and certified to the Lenders and the Administrative Agent, as amended or modified from time to time in accordance with the terms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Permits</w:t>
      </w:r>
      <w:r>
        <w:rPr>
          <w:rFonts w:ascii="Times New Roman" w:hAnsi="Times New Roman"/>
          <w:caps w:val="false"/>
          <w:smallCaps w:val="false"/>
          <w:sz w:val="20"/>
        </w:rPr>
        <w:t>” means licenses, certificates, accreditations, product clearances or approvals, provider numbers or provider authorizations, marketing authorizations, other authorizations, registrations, permits, consents and approvals issued in connection with the conduct of the Borrower’s or any Subsidiary’s business or to comply with any applicable Laws, including those issued by any Governmental Authority or any other Person, including, without limitation, those relating to Environmental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Acquisition</w:t>
      </w:r>
      <w:r>
        <w:rPr>
          <w:rFonts w:ascii="Times New Roman" w:hAnsi="Times New Roman"/>
          <w:caps w:val="false"/>
          <w:smallCaps w:val="false"/>
          <w:sz w:val="20"/>
        </w:rPr>
        <w:t xml:space="preserve">” means an Investment consisting of an Acquisition by a Loan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(x) the Required Lenders have consented thereto in writing or (y) (a) no Default or Event of Default shall have occurred and be continuing or would result from such Acquisition, (b) the property acquired (or the property of the Person acquired) in such Acquisition is used or useful in the same or a reasonably related line of business as the Borrower and its Subsidiaries were engaged in on the Closing Date (or any reasonable extensions or expansions thereof), (c) the Administrative Agent shall have received all items in respect of the Equity Interests or property acquired in such Acquisition required to be delivered by the terms of </w:t>
      </w:r>
      <w:r>
        <w:rPr>
          <w:rFonts w:ascii="Times New Roman" w:hAnsi="Times New Roman"/>
          <w:caps w:val="false"/>
          <w:smallCaps w:val="false"/>
          <w:sz w:val="20"/>
          <w:u w:val="single"/>
        </w:rPr>
        <w:t>Section 7.12</w:t>
      </w:r>
      <w:r>
        <w:rPr>
          <w:rFonts w:ascii="Times New Roman" w:hAnsi="Times New Roman"/>
          <w:caps w:val="false"/>
          <w:smallCaps w:val="false"/>
          <w:sz w:val="20"/>
        </w:rPr>
        <w:t xml:space="preserve"> and/or </w:t>
      </w:r>
      <w:r>
        <w:rPr>
          <w:rFonts w:ascii="Times New Roman" w:hAnsi="Times New Roman"/>
          <w:caps w:val="false"/>
          <w:smallCaps w:val="false"/>
          <w:sz w:val="20"/>
          <w:u w:val="single"/>
        </w:rPr>
        <w:t>Section 7.14</w:t>
      </w:r>
      <w:r>
        <w:rPr>
          <w:rFonts w:ascii="Times New Roman" w:hAnsi="Times New Roman"/>
          <w:caps w:val="false"/>
          <w:smallCaps w:val="false"/>
          <w:sz w:val="20"/>
        </w:rPr>
        <w:t xml:space="preserve">, (d) such Acquisition shall not be a “hostile” acquisition and shall have been approved by the Board of Directors and/or the shareholders (or equivalent) of the applicable Loan Party and the target of such Acquisition, (e) the Borrower shall have delivered to the Administrative Agent pro forma financial statements for the Borrower and its Subsidiaries after giving effect to such Acquisition for the twelve month period ending as of the most recent fiscal quarter end in a form satisfactory to the Administrative Agent, (f) the representations and warranties made by the Loan Parties in each Loan Document shall be true and correct in all material respects (and in all respects if any such representation or warranty is already qualified by materiality or reference to Material Adverse Effect) both (i) at and as if made as of the date of execution of the definitive documentation for such Acquisition (assuming for such purposes that such Acquisition has been consummated) and (ii) at and as if made as of the date of such Acquisition (assuming for such purposes that such Acquisition has been consummated) except to the extent any such representation and warranty expressly relates to an earlier date, in which case it shall be true and correct in all material respects (and in all respects if any such representation or warranty is already qualified by materiality or reference to Material Adverse Effect) as of such earlier date, (g) Borrower shall have demonstrated to the reasonable satisfaction of the Administrative Agent that, after giving effect to such Acquisition on a pro forma basis, the Loan Parties are in compliance with the financial covenants set forth in </w:t>
      </w:r>
      <w:r>
        <w:rPr>
          <w:rFonts w:ascii="Times New Roman" w:hAnsi="Times New Roman"/>
          <w:caps w:val="false"/>
          <w:smallCaps w:val="false"/>
          <w:sz w:val="20"/>
          <w:u w:val="single"/>
        </w:rPr>
        <w:t>Section 8.16</w:t>
      </w:r>
      <w:r>
        <w:rPr>
          <w:rFonts w:ascii="Times New Roman" w:hAnsi="Times New Roman"/>
          <w:caps w:val="false"/>
          <w:smallCaps w:val="false"/>
          <w:sz w:val="20"/>
        </w:rPr>
        <w:t xml:space="preserve"> and, if the Term C Borrowing Date has occurred and for so long as the Borrower has not exercised the Cure Right in accordance with </w:t>
      </w:r>
      <w:r>
        <w:rPr>
          <w:rFonts w:ascii="Times New Roman" w:hAnsi="Times New Roman"/>
          <w:caps w:val="false"/>
          <w:smallCaps w:val="false"/>
          <w:sz w:val="20"/>
          <w:u w:val="single"/>
        </w:rPr>
        <w:t>Section 9.04</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(h) the aggregate consideration (including cash and non-cash consideration, deferred purchase price and any Earn Out Obligations) paid by the Borrower and its Subsidiaries for all such Acquisitions during the term of this Agreement shall not exceed $[***] in the aggregate, and (i) Borrower shall have delivered to the Administrative Agent a certificate of a Responsible Financial Officer of Borrower certifying that the foregoing conditions have been satisfied.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Contingent Obligations</w:t>
      </w:r>
      <w:r>
        <w:rPr>
          <w:rFonts w:ascii="Times New Roman" w:hAnsi="Times New Roman"/>
          <w:caps w:val="false"/>
          <w:smallCaps w:val="false"/>
          <w:sz w:val="20"/>
        </w:rPr>
        <w:t xml:space="preserve">” means (a) Guarantees resulting from endorsements for collection or deposit in the ordinary course of business; (b) Guarantees incurred in the ordinary course of business with respect to surety and appeal bonds, performance bonds and other similar obligations not to exceed [***] Dollars ($[***]) in the aggregate at any time outstanding; (c) Guarantees arising under indemnity agreements with title insurers; (d) Guarantees arising with respect to customary indemnification obligations in favor of purchasers in connection with Dispositions of personal property assets permitted hereunder; (e) Guarantees arising under the Loan Documents; (f) [reserved]; (g) Guarantees existing or arising in connection with any security deposit or letter of credit obtained for the sole purpose of securing a lease of real property, or in connection with ancillary bank services such as a corporate credit card facility, provided that the aggregate face amount of all such security deposits, letters of credit and ancillary bank services does not at any time exceed [***] Dollars ($[***]); and (h) the HSBC Letter of Credit secured solely by Liens permitted under </w:t>
      </w:r>
      <w:r>
        <w:rPr>
          <w:rFonts w:ascii="Times New Roman" w:hAnsi="Times New Roman"/>
          <w:caps w:val="false"/>
          <w:smallCaps w:val="false"/>
          <w:sz w:val="20"/>
          <w:u w:val="single"/>
        </w:rPr>
        <w:t>Section 8.01(s)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Licenses</w:t>
      </w:r>
      <w:r>
        <w:rPr>
          <w:rFonts w:ascii="Times New Roman" w:hAnsi="Times New Roman"/>
          <w:caps w:val="false"/>
          <w:smallCaps w:val="false"/>
          <w:sz w:val="20"/>
        </w:rPr>
        <w:t xml:space="preserve">” means, collectively, (a) the licenses set forth in </w:t>
      </w:r>
      <w:r>
        <w:rPr>
          <w:rFonts w:ascii="Times New Roman" w:hAnsi="Times New Roman"/>
          <w:caps w:val="false"/>
          <w:smallCaps w:val="false"/>
          <w:sz w:val="20"/>
          <w:u w:val="single"/>
        </w:rPr>
        <w:t>Schedule 1.01</w:t>
      </w:r>
      <w:r>
        <w:rPr>
          <w:rFonts w:ascii="Times New Roman" w:hAnsi="Times New Roman"/>
          <w:caps w:val="false"/>
          <w:smallCaps w:val="false"/>
          <w:sz w:val="20"/>
        </w:rPr>
        <w:t xml:space="preserve">, and (b) exclusive and non-exclusive licenses and sublicenses (other than any Non-Permitted License) entered into after the Closing Date for the use of IP Rights of the Borrower or any of its Subsidiaries entered into in the ordinary course of business and not interfering in any material respect with the business of any Loan Party or any of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solely with respect to clause (b) above, with respect to each such license and sublicense, (i) no Event of Default has occurred or is continuing at the time of such license or sublicense, (ii) after giving effect thereto, the Borrower and its Subsidiaries retain sufficient rights to use or benefit from the subject IP Rights as to enable them to conduct their business in the ordinary course, (iii) such license or sublicense constitutes an arm’s-length transaction, the terms of which, on their face, (x) do not provide for a sale or assignment of any IP Rights and (y) do not restrict the ability of the Borrower or any of its Subsidiaries, as applicable, to pledge, grant a Lien on, or assign or otherwise transfer any IP Rights of the Borrower or any Subsidiary (except, in the case of this clause (y) with respect to such license or sublicense, customary non-assignment provisions that restrict the assignability of such license or sublicense but do not otherwise restrict the ability of the Borrower or any Subsidiary (as applicable) to pledge, grant a Lien on or assign or otherwise transfer any other IP Rights), (iv) all upfront payments, royalties, milestone payments, sublicense revenues or other proceeds (other than upfront payments, royalties, milestone payments, sublicense revenues or other proceeds of less than $[***] in the aggregate per Permitted License) arising from the licensing agreement that are payable to a Loan Party are paid to a Deposit Account that is governed by a Deposit Account Control Agreement or solely in the case of a Deposit Account of Loan Party that is a Non-U.S Subsidiary, in which the Administrative Agent otherwise has a first-priority, perfected security interest for the benefit of the Secured Parties, (v) in the case of any exclusive license or sublicense, (A) the Borrower delivers ten (10) days’ prior written notice and a brief summary of the terms of the proposed license or sublicense to the Administrative Agent and delivers to the Administrative Agent copies of the final executed licensing documents in connection with such exclusive license or sublicense promptly upon consummation thereof and (B) any such license or sublicense could not result in a legal transfer of title of the licensed or sublicensed property and (vi) such license has been approved by the Borrower’s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xml:space="preserve">” means, at any time, Liens in respect of property of any Loan Party or any of its Subsidiaries permitted to exist at such time pursuant to the terms of </w:t>
      </w:r>
      <w:r>
        <w:rPr>
          <w:rFonts w:ascii="Times New Roman" w:hAnsi="Times New Roman"/>
          <w:caps w:val="false"/>
          <w:smallCaps w:val="false"/>
          <w:sz w:val="20"/>
          <w:u w:val="single"/>
        </w:rPr>
        <w:t>Section 8.01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natural person, corporation, limited liability company, trust, unincorporated organization, joint venture, association, company, partnership, Governmental Authority or any other legal entity, whether acting in an individual, fiduciary or other capacity.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PHSA</w:t>
      </w:r>
      <w:r>
        <w:rPr>
          <w:rFonts w:ascii="Times New Roman" w:hAnsi="Times New Roman"/>
          <w:caps w:val="false"/>
          <w:smallCaps w:val="false"/>
          <w:sz w:val="20"/>
        </w:rPr>
        <w:t>” means the Public Health Service Act, 42 U.S.C. Section 201 et seq., as amended, and all regulations promulgated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PIK Election</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2.06(d)</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PIK Interest</w:t>
      </w:r>
      <w:r>
        <w:rPr>
          <w:rFonts w:ascii="Times New Roman" w:hAnsi="Times New Roman"/>
          <w:caps w:val="false"/>
          <w:smallCaps w:val="false"/>
          <w:sz w:val="20"/>
        </w:rPr>
        <w:t xml:space="preserve">” shall have the meaning set forth </w:t>
      </w:r>
      <w:r>
        <w:rPr>
          <w:rFonts w:ascii="Times New Roman" w:hAnsi="Times New Roman"/>
          <w:caps w:val="false"/>
          <w:smallCaps w:val="false"/>
          <w:sz w:val="20"/>
          <w:u w:val="single"/>
        </w:rPr>
        <w:t>Section 2.06(d)</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PIK Interest Payment</w:t>
      </w:r>
      <w:r>
        <w:rPr>
          <w:rFonts w:ascii="Times New Roman" w:hAnsi="Times New Roman"/>
          <w:caps w:val="false"/>
          <w:smallCaps w:val="false"/>
          <w:sz w:val="20"/>
        </w:rPr>
        <w:t xml:space="preserve">” shall have the meaning set forth in </w:t>
      </w:r>
      <w:r>
        <w:rPr>
          <w:rFonts w:ascii="Times New Roman" w:hAnsi="Times New Roman"/>
          <w:caps w:val="false"/>
          <w:smallCaps w:val="false"/>
          <w:sz w:val="20"/>
          <w:u w:val="single"/>
        </w:rPr>
        <w:t>Section 2.06(d)</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Plan</w:t>
      </w:r>
      <w:r>
        <w:rPr>
          <w:rFonts w:ascii="Times New Roman" w:hAnsi="Times New Roman"/>
          <w:caps w:val="false"/>
          <w:smallCaps w:val="false"/>
          <w:sz w:val="20"/>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 or otherwise has any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Pledge Agreement</w:t>
      </w:r>
      <w:r>
        <w:rPr>
          <w:rFonts w:ascii="Times New Roman" w:hAnsi="Times New Roman"/>
          <w:caps w:val="false"/>
          <w:smallCaps w:val="false"/>
          <w:sz w:val="20"/>
        </w:rPr>
        <w:t>” means the pledge agreement dated as of the Closing Date executed in favor of the Administrative Agent, for the benefit of the Secured Parties, by each of the Loan Parties, as amended or modified from time to time in accordance with the terms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Product</w:t>
      </w:r>
      <w:r>
        <w:rPr>
          <w:rFonts w:ascii="Times New Roman" w:hAnsi="Times New Roman"/>
          <w:caps w:val="false"/>
          <w:smallCaps w:val="false"/>
          <w:sz w:val="20"/>
        </w:rPr>
        <w:t xml:space="preserve">” means any current or future service or product researched, designed, developed, imported, exported, manufactured, licensed, marketed, advertised, sold, offered for sale, performed, distributed, promoted, tested, provided or commercialized by or on behalf of the Borrower or any Subsidiary, including any such product in development or which may be developed in connection with or that embody, in whole or in part, the IP Rights, including those products set forth on </w:t>
      </w:r>
      <w:r>
        <w:rPr>
          <w:rFonts w:ascii="Times New Roman" w:hAnsi="Times New Roman"/>
          <w:caps w:val="false"/>
          <w:smallCaps w:val="false"/>
          <w:sz w:val="20"/>
          <w:u w:val="single"/>
        </w:rPr>
        <w:t>Schedule 1.01</w:t>
      </w:r>
      <w:r>
        <w:rPr>
          <w:rFonts w:ascii="Times New Roman" w:hAnsi="Times New Roman"/>
          <w:caps w:val="false"/>
          <w:smallCaps w:val="false"/>
          <w:sz w:val="20"/>
        </w:rPr>
        <w:t xml:space="preserve"> (as updated from time to time in accordance with the terms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if the Borrower shall fail to comply with its obligations under this Agreement to give notice to the Administrative Agent and update </w:t>
      </w:r>
      <w:r>
        <w:rPr>
          <w:rFonts w:ascii="Times New Roman" w:hAnsi="Times New Roman"/>
          <w:caps w:val="false"/>
          <w:smallCaps w:val="false"/>
          <w:sz w:val="20"/>
          <w:u w:val="single"/>
        </w:rPr>
        <w:t>Schedule 1.01</w:t>
      </w:r>
      <w:r>
        <w:rPr>
          <w:rFonts w:ascii="Times New Roman" w:hAnsi="Times New Roman"/>
          <w:caps w:val="false"/>
          <w:smallCaps w:val="false"/>
          <w:sz w:val="20"/>
        </w:rPr>
        <w:t xml:space="preserve"> prior to manufacturing, selling, developing, testing or marketing any new Product, any such improperly undisclosed Product shall be deemed to be included in this definition.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Product Acquisition</w:t>
      </w:r>
      <w:r>
        <w:rPr>
          <w:rFonts w:ascii="Times New Roman" w:hAnsi="Times New Roman"/>
          <w:caps w:val="false"/>
          <w:smallCaps w:val="false"/>
          <w:sz w:val="20"/>
        </w:rPr>
        <w:t>” means any transaction or series of related transactions for the purpose of or resulting, directly or indirectly, in the acquisition of a product license or a product line, and/or related IP Rights acquired or licensed by a Loan Party or any of its Subsidiaries from a Person (other than a Loan Party, any Subsidiary thereof or any Affiliate thereof) to facilitate the advertisement, development, importing, manufacturing, marketing, offering for sale, promotion, sale, testing, use or distribution of such product or product line by a Loan Party or a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Product Collateral</w:t>
      </w:r>
      <w:r>
        <w:rPr>
          <w:rFonts w:ascii="Times New Roman" w:hAnsi="Times New Roman"/>
          <w:caps w:val="false"/>
          <w:smallCaps w:val="false"/>
          <w:sz w:val="20"/>
        </w:rPr>
        <w:t>” means</w:t>
      </w:r>
      <w:r>
        <w:rPr>
          <w:rFonts w:ascii="Times New Roman" w:hAnsi="Times New Roman"/>
          <w:b/>
          <w:caps w:val="false"/>
          <w:smallCaps w:val="false"/>
          <w:color w:val="0000FF"/>
          <w:sz w:val="20"/>
          <w:u w:val="single"/>
          <w:bdr w:val="double" w:sz="2" w:space="1" w:color="000000"/>
        </w:rPr>
        <w:t>, collectively, (i)</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the “Product Collateral” as such term is defined in the </w:t>
      </w:r>
      <w:r>
        <w:rPr>
          <w:rFonts w:ascii="Times New Roman" w:hAnsi="Times New Roman"/>
          <w:caps w:val="false"/>
          <w:smallCaps w:val="false"/>
          <w:strike/>
          <w:color w:val="FF0000"/>
          <w:sz w:val="20"/>
        </w:rPr>
        <w:t>Royalty Financing</w:t>
      </w:r>
      <w:r>
        <w:rPr>
          <w:rFonts w:ascii="Times New Roman" w:hAnsi="Times New Roman"/>
          <w:b/>
          <w:caps w:val="false"/>
          <w:smallCaps w:val="false"/>
          <w:color w:val="0000FF"/>
          <w:sz w:val="20"/>
          <w:u w:val="single"/>
          <w:bdr w:val="double" w:sz="2" w:space="1" w:color="000000"/>
        </w:rPr>
        <w:t xml:space="preserve">2021 RP Royalty Purchase Agreement as in effect on the Amendment No. 1 Effective Date, which amends the term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Product Collateral</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2020 RP Royalty Purchase</w:t>
      </w:r>
      <w:r>
        <w:rPr>
          <w:rFonts w:ascii="Times New Roman" w:hAnsi="Times New Roman"/>
          <w:caps w:val="false"/>
          <w:smallCaps w:val="false"/>
          <w:sz w:val="20"/>
        </w:rPr>
        <w:t xml:space="preserve"> Agreement as in effect on the date hereof </w:t>
      </w:r>
      <w:r>
        <w:rPr>
          <w:rFonts w:ascii="Times New Roman" w:hAnsi="Times New Roman"/>
          <w:b/>
          <w:caps w:val="false"/>
          <w:smallCaps w:val="false"/>
          <w:color w:val="0000FF"/>
          <w:sz w:val="20"/>
          <w:u w:val="single"/>
          <w:bdr w:val="double" w:sz="2" w:space="1" w:color="000000"/>
        </w:rPr>
        <w:t xml:space="preserve">and (ii) the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Product Collateral</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as such term is defined in the OMERS Royalty Purchase Agreement as in effect on the Amendment No. 1 Effective Date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Product Development and Commercialization Activities</w:t>
      </w:r>
      <w:r>
        <w:rPr>
          <w:rFonts w:ascii="Times New Roman" w:hAnsi="Times New Roman"/>
          <w:caps w:val="false"/>
          <w:smallCaps w:val="false"/>
          <w:sz w:val="20"/>
        </w:rPr>
        <w:t>” means, with respect to any Material Product, any combination of research, development, manufacture, import, use, sale, importation, storage, labeling, marketing, promotion, supply, distribution, testing, packaging, purchasing or other commercialization activities, receipt of payment in respect of any of the foregoing, or like activities the purpose of which is to develop or commercially exploit such Material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Proprietary Databases</w:t>
      </w:r>
      <w:r>
        <w:rPr>
          <w:rFonts w:ascii="Times New Roman" w:hAnsi="Times New Roman"/>
          <w:caps w:val="false"/>
          <w:smallCaps w:val="false"/>
          <w:sz w:val="20"/>
        </w:rPr>
        <w:t>” means any material non-public proprietary database that is owned by the Borrower or any Subsidiary or that the Borrower or any Subsidiary is licensed, authorized or otherwise granted rights under or to, and that is used by the Borrower or any other Person to manufacture, develop, import, market, promote, advertise, offer for sale, sell, use and/or otherwise distribute or provide a Product 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60"/>
        <w:jc w:val="both"/>
        <w:rPr>
          <w:caps w:val="false"/>
          <w:smallCaps w:val="false"/>
        </w:rPr>
      </w:pPr>
      <w:r>
        <w:rPr>
          <w:caps w:val="false"/>
          <w:smallCaps w:val="false"/>
          <w:u w:val="single"/>
        </w:rPr>
        <w:t>“</w:t>
      </w:r>
      <w:r>
        <w:rPr>
          <w:rFonts w:ascii="Times New Roman" w:hAnsi="Times New Roman"/>
          <w:caps w:val="false"/>
          <w:smallCaps w:val="false"/>
          <w:sz w:val="20"/>
          <w:u w:val="single"/>
        </w:rPr>
        <w:t>Proprietary Software</w:t>
      </w:r>
      <w:r>
        <w:rPr>
          <w:rFonts w:ascii="Times New Roman" w:hAnsi="Times New Roman"/>
          <w:caps w:val="false"/>
          <w:smallCaps w:val="false"/>
          <w:sz w:val="20"/>
        </w:rPr>
        <w:t>” means any proprietary software owned, licensed or otherwise used, other than any software that is generally commercially available, off-the-shelf and/or open source including, without limitation, the object code and source code forms of such software and all associated documentation, which is owned by the Borrower or any Subsidiary or which the Borrower or any Subsidiary is licensed, authorized or otherwise granted rights under or to, and that is used by the Borrower or any other Person to manufacture, develop, import, market, promote, advertise, offer for sale, sell, use and/or otherwise distribute or provide a Product 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Qualified Capital Stock</w:t>
      </w:r>
      <w:r>
        <w:rPr>
          <w:rFonts w:ascii="Times New Roman" w:hAnsi="Times New Roman"/>
          <w:caps w:val="false"/>
          <w:smallCaps w:val="false"/>
          <w:sz w:val="20"/>
        </w:rPr>
        <w:t>” of any Person means any Equity Interests of such Person that are not Disqualified Capital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Real Property Security Documents</w:t>
      </w:r>
      <w:r>
        <w:rPr>
          <w:rFonts w:ascii="Times New Roman" w:hAnsi="Times New Roman"/>
          <w:caps w:val="false"/>
          <w:smallCaps w:val="false"/>
          <w:sz w:val="20"/>
        </w:rPr>
        <w:t>” means with respect to the fee interest and/or leasehold interest of any Loan Party in any real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900" w:right="0" w:firstLine="720"/>
        <w:rPr>
          <w:rFonts w:ascii="Times New Roman" w:hAnsi="Times New Roman"/>
          <w:caps w:val="false"/>
          <w:smallCaps w:val="false"/>
          <w:sz w:val="20"/>
        </w:rPr>
      </w:pPr>
      <w:r>
        <w:rPr>
          <w:rFonts w:ascii="Times New Roman" w:hAnsi="Times New Roman"/>
          <w:caps w:val="false"/>
          <w:smallCaps w:val="false"/>
          <w:sz w:val="20"/>
        </w:rPr>
        <w:t>(a)    a fully executed and notarized Mortgage encumbering the fee interest of such Loan Party in such real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if requested by the Administrative Agent in its sole discretion, maps or plats of an as-built survey of the sites of such real property certified to the Administrative Agent and the title insurance company issuing the policies referred to in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of this definition in a manner satisfactory to each of the Administrative Agent and such title insurance company, dated a date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National Society of Professional Surveyors, Inc. in 2016 with items 2, 3, 4, 6(b), 7(a), 7(b)(1), 7(c), 8, 9, 10, 11(a), 13, 14, 16,17, 18 and 19 on Table A thereof completed;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(c)    ALTA mortgagee title insurance policies issued by a title insurance company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satisfactory to the Administrative Agent and shall include such endorsements as are requested by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(d)    evidence as to (i) whether such real property is a Flood Hazard Property and (ii) if such real property is a Flood Hazard Property, (A) whether the community in which such real property is located is participating in the National Flood Insurance Program, (B) the applicable Loan Party’s written acknowledgment of receipt of written notification from the Administrative Agent (1) as to the fact that such real property is a Flood Hazard Property and (2) as to whether the community in which each such Flood Hazard Property is located is participating in the National Flood Insurance Program and (C) copies of insurance policies or certificates of insurance of the Borrower and its Subsidiaries evidencing flood insurance satisfactory to the Administrative Agent and naming the Administrative Agent and its successors and/or assigns as sole loss payee on behalf of the Secured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(e)    if requested by the Administrative Agent in its sole discretion, an environmental assessment report, as to such real property, in form and substance and from professional firms acceptable to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(f)    if requested by the Administrative Agent in its sole discretion, 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 property, the permitted uses of such real property under such zoning designation and, if available, zoning requirements as to parking, lot size, ingress, egress and building setbacks);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(g)    in the case of a leasehold interest of any Loan Party in such real property, (i) such Collateral Access Agreements as may be required by the Administrative Agent, and (ii) evidence that the applicable lease, a memorandum of lease with respect thereto, or other evidence of such lease in form and substance satisfactory to the Administrative Agent, has been or will be recorded in all places to the extent necessary or desirable, in the judgment of the Administrative Agent, so as to enable the Mortgage encumbering such leasehold interest to effectively create a valid and enforceable first priority lien (subject to Permitted Liens) on such leasehold interest in favor of the Administrative Agent (or such other Person as may be required or desired under local law);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720"/>
        <w:jc w:val="both"/>
        <w:rPr>
          <w:rFonts w:ascii="Times New Roman" w:hAnsi="Times New Roman"/>
          <w:caps w:val="false"/>
          <w:smallCaps w:val="false"/>
          <w:sz w:val="20"/>
        </w:rPr>
      </w:pPr>
      <w:r>
        <w:rPr>
          <w:rFonts w:ascii="Times New Roman" w:hAnsi="Times New Roman"/>
          <w:caps w:val="false"/>
          <w:smallCaps w:val="false"/>
          <w:sz w:val="20"/>
        </w:rPr>
        <w:t>(h)    if requested by the Administrative Agent in its sole discretion, an opinion of legal counsel to the Loan Party granting the Mortgage on such real property, addressed to the Administrative Agent and each Lender, in form and substance reasonably acceptable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Recipient</w:t>
      </w:r>
      <w:r>
        <w:rPr>
          <w:rFonts w:ascii="Times New Roman" w:hAnsi="Times New Roman"/>
          <w:caps w:val="false"/>
          <w:smallCaps w:val="false"/>
          <w:sz w:val="20"/>
        </w:rPr>
        <w:t>” means the Administrative Agent and any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Register</w:t>
      </w:r>
      <w:r>
        <w:rPr>
          <w:rFonts w:ascii="Times New Roman" w:hAnsi="Times New Roman"/>
          <w:caps w:val="false"/>
          <w:smallCaps w:val="false"/>
          <w:sz w:val="20"/>
        </w:rPr>
        <w:t xml:space="preserve">” has the meaning provided in </w:t>
      </w:r>
      <w:r>
        <w:rPr>
          <w:rFonts w:ascii="Times New Roman" w:hAnsi="Times New Roman"/>
          <w:caps w:val="false"/>
          <w:smallCaps w:val="false"/>
          <w:sz w:val="20"/>
          <w:u w:val="single"/>
        </w:rPr>
        <w:t>Section 12.06(c)</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Related Parties</w:t>
      </w:r>
      <w:r>
        <w:rPr>
          <w:rFonts w:ascii="Times New Roman" w:hAnsi="Times New Roman"/>
          <w:caps w:val="false"/>
          <w:smallCaps w:val="false"/>
          <w:sz w:val="20"/>
        </w:rPr>
        <w:t>” means, with respect to any Person, such Person’s Affiliates and the partners, directors, officers, employees, agents, trustees, administrators, managers, consultants, advisors, sub-advisors and representatives of such Person and of such Person’s Affiliates.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Repatriation</w:t>
      </w:r>
      <w:r>
        <w:rPr>
          <w:rFonts w:ascii="Times New Roman" w:hAnsi="Times New Roman"/>
          <w:caps w:val="false"/>
          <w:smallCaps w:val="false"/>
          <w:sz w:val="20"/>
        </w:rPr>
        <w:t>” and “</w:t>
      </w:r>
      <w:r>
        <w:rPr>
          <w:rFonts w:ascii="Times New Roman" w:hAnsi="Times New Roman"/>
          <w:caps w:val="false"/>
          <w:smallCaps w:val="false"/>
          <w:sz w:val="20"/>
          <w:u w:val="single"/>
        </w:rPr>
        <w:t>Repatriated</w:t>
      </w:r>
      <w:r>
        <w:rPr>
          <w:rFonts w:ascii="Times New Roman" w:hAnsi="Times New Roman"/>
          <w:caps w:val="false"/>
          <w:smallCaps w:val="false"/>
          <w:sz w:val="20"/>
        </w:rPr>
        <w:t xml:space="preserve">” has the meaning provided in </w:t>
      </w:r>
      <w:r>
        <w:rPr>
          <w:rFonts w:ascii="Times New Roman" w:hAnsi="Times New Roman"/>
          <w:caps w:val="false"/>
          <w:smallCaps w:val="false"/>
          <w:sz w:val="20"/>
          <w:u w:val="single"/>
        </w:rPr>
        <w:t>Section 2.03(b)(vi)</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Reportable Event</w:t>
      </w:r>
      <w:r>
        <w:rPr>
          <w:rFonts w:ascii="Times New Roman" w:hAnsi="Times New Roman"/>
          <w:caps w:val="false"/>
          <w:smallCaps w:val="false"/>
          <w:sz w:val="20"/>
        </w:rPr>
        <w:t>” means any of the events set forth in Section 4043(c) of ERISA, other than events for which the thirty-day notice period has been waived.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Required Lenders</w:t>
      </w:r>
      <w:r>
        <w:rPr>
          <w:rFonts w:ascii="Times New Roman" w:hAnsi="Times New Roman"/>
          <w:caps w:val="false"/>
          <w:smallCaps w:val="false"/>
          <w:sz w:val="20"/>
        </w:rPr>
        <w:t>” means, at any time, Lenders having Total Credit Exposures representing more than fifty percent (50%) of the Total Credit Exposures of all Lenders. The Total Credit Exposure of any Defaulting Lender shall be disregarded in determining Required Lenders at any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Required Permit</w:t>
      </w:r>
      <w:r>
        <w:rPr>
          <w:rFonts w:ascii="Times New Roman" w:hAnsi="Times New Roman"/>
          <w:caps w:val="false"/>
          <w:smallCaps w:val="false"/>
          <w:sz w:val="20"/>
        </w:rPr>
        <w:t>” means a Permit (a) issued or required under Laws applicable to the business or Facilities of the Borrower or any Subsidiary or necessary to be eligible to receive payment and compensation from and to participate in any material Third Party Payor Arrangements or any Government Reimbursement Program, or in the manufacturing, testing, developing, importing, exporting, possession, ownership, warehousing, marketing, promoting, sale, labeling, furnishing, distribution or delivery of goods or services under Laws applicable to the business or Facilities of the Borrower or any Subsidiary (including without limitation, at any point in time, all licenses, approvals and permits issued by the FDA, CMS or any other Governmental Authority necessary for the testing, development, manufacture, marketing, sale or provision of any Product or Service by the Borrower or any Subsidiary as such activities are being conducted by the Borrower or such Subsidiary with respect to such Product or Service at such time), or (b) issued by any Person from which the Borrower or any Subsidiary has, as of the Closing Date, received an accreditation.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Resolution Authority</w:t>
      </w:r>
      <w:r>
        <w:rPr>
          <w:rFonts w:ascii="Times New Roman" w:hAnsi="Times New Roman"/>
          <w:caps w:val="false"/>
          <w:smallCaps w:val="false"/>
          <w:sz w:val="20"/>
        </w:rPr>
        <w:t>” means an EEA Resolution Authority or, with respect to any UK Financial Institution, a UK Resolution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Responsible Financial Officer</w:t>
      </w:r>
      <w:r>
        <w:rPr>
          <w:rFonts w:ascii="Times New Roman" w:hAnsi="Times New Roman"/>
          <w:caps w:val="false"/>
          <w:smallCaps w:val="false"/>
          <w:sz w:val="20"/>
        </w:rPr>
        <w:t>” means the chief financial officer, treasurer or assistant treasurer of the Borrower. Any document delivered hereunder that is signed by a Responsible Financial Officer of the Borrower shall be conclusively presumed to have been authorized by all necessary corporate, partnership and/or other action on the part of the Borrower and such Responsible Financial Officer shall be conclusively presumed to have acted on behalf of the Borrower.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Responsible Officer</w:t>
      </w:r>
      <w:r>
        <w:rPr>
          <w:rFonts w:ascii="Times New Roman" w:hAnsi="Times New Roman"/>
          <w:caps w:val="false"/>
          <w:smallCaps w:val="false"/>
          <w:sz w:val="20"/>
        </w:rPr>
        <w:t xml:space="preserve">” means the chief executive officer, president, chief financial officer, chief operating officer, chief legal officer, general counsel, treasurer, assistant treasurer or any senior vice president of a Loan Party or in the case of a Non-U.S. Subsidiary that is a Loan Party, any of its directors, and, solely for purposes of the delivery of certificates pursuant to </w:t>
      </w:r>
      <w:r>
        <w:rPr>
          <w:rFonts w:ascii="Times New Roman" w:hAnsi="Times New Roman"/>
          <w:caps w:val="false"/>
          <w:smallCaps w:val="false"/>
          <w:sz w:val="20"/>
          <w:u w:val="single"/>
        </w:rPr>
        <w:t>Sections 5.01</w:t>
      </w:r>
      <w:r>
        <w:rPr>
          <w:rFonts w:ascii="Times New Roman" w:hAnsi="Times New Roman"/>
          <w:caps w:val="false"/>
          <w:smallCaps w:val="false"/>
          <w:sz w:val="20"/>
        </w:rPr>
        <w:t xml:space="preserve"> or </w:t>
      </w:r>
      <w:r>
        <w:rPr>
          <w:rFonts w:ascii="Times New Roman" w:hAnsi="Times New Roman"/>
          <w:caps w:val="false"/>
          <w:smallCaps w:val="false"/>
          <w:sz w:val="20"/>
          <w:u w:val="single"/>
        </w:rPr>
        <w:t>7.12(b)</w:t>
      </w:r>
      <w:r>
        <w:rPr>
          <w:rFonts w:ascii="Times New Roman" w:hAnsi="Times New Roman"/>
          <w:caps w:val="false"/>
          <w:smallCaps w:val="false"/>
          <w:sz w:val="20"/>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Restricted Payment</w:t>
      </w:r>
      <w:r>
        <w:rPr>
          <w:rFonts w:ascii="Times New Roman" w:hAnsi="Times New Roman"/>
          <w:caps w:val="false"/>
          <w:smallCaps w:val="false"/>
          <w:sz w:val="20"/>
        </w:rPr>
        <w:t>” means (a) any dividend or other distribution, direct or indirect, on account of any shares (or equivalent) of any class of Equity Interests of any Loan Party or any of its Subsidiaries, now or hereafter outstanding, (b) any redemption, retirement, sinking fund or similar payment, purchase or other acquisition for value, direct or indirect, of any shares (or equivalent) of any class of Equity Interests of any Loan Party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(d) any payment made in respect of management, consulting, transaction or similar advisory fees (other than normal and reasonable compensation (including in the form of Equity Interests) and reimbursement of expenses of officers and directors in the ordinary course of business) to or for the account of any officer, director or holder (or any Affiliate of any holder) of at least 5% of the Equity Interests of any Loan Party or any of its Subsidiaries, (e) any payment made to the holders of Convertible Bond Indebtedness and (f) any payment made to any “Buyer” (or other comparable term) pursuant to the Royalty Financing Documents or the Other Royalty Financing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 xml:space="preserve">Revenue Participation </w:t>
      </w:r>
      <w:r>
        <w:rPr>
          <w:rFonts w:ascii="Times New Roman" w:hAnsi="Times New Roman"/>
          <w:caps w:val="false"/>
          <w:smallCaps w:val="false"/>
          <w:strike/>
          <w:color w:val="FF0000"/>
          <w:sz w:val="20"/>
          <w:u w:val="single"/>
        </w:rPr>
        <w:t>Right</w:t>
      </w:r>
      <w:r>
        <w:rPr>
          <w:rFonts w:ascii="Times New Roman" w:hAnsi="Times New Roman"/>
          <w:b/>
          <w:caps w:val="false"/>
          <w:smallCaps w:val="false"/>
          <w:color w:val="0000FF"/>
          <w:sz w:val="20"/>
          <w:u w:val="single"/>
          <w:bdr w:val="double" w:sz="2" w:space="1" w:color="000000"/>
        </w:rPr>
        <w:t>Rights</w:t>
      </w:r>
      <w:r>
        <w:rPr>
          <w:rFonts w:ascii="Times New Roman" w:hAnsi="Times New Roman"/>
          <w:caps w:val="false"/>
          <w:smallCaps w:val="false"/>
          <w:sz w:val="20"/>
        </w:rPr>
        <w:t>” means</w:t>
      </w:r>
      <w:r>
        <w:rPr>
          <w:rFonts w:ascii="Times New Roman" w:hAnsi="Times New Roman"/>
          <w:b/>
          <w:caps w:val="false"/>
          <w:smallCaps w:val="false"/>
          <w:color w:val="0000FF"/>
          <w:sz w:val="20"/>
          <w:u w:val="single"/>
          <w:bdr w:val="double" w:sz="2" w:space="1" w:color="000000"/>
        </w:rPr>
        <w:t>, collectively,</w:t>
      </w:r>
      <w:r>
        <w:rPr>
          <w:rFonts w:ascii="Times New Roman" w:hAnsi="Times New Roman"/>
          <w:caps w:val="false"/>
          <w:smallCaps w:val="false"/>
          <w:sz w:val="20"/>
        </w:rPr>
        <w:t xml:space="preserve"> the </w:t>
      </w:r>
      <w:r>
        <w:rPr>
          <w:rFonts w:ascii="Times New Roman" w:hAnsi="Times New Roman"/>
          <w:caps w:val="false"/>
          <w:smallCaps w:val="false"/>
          <w:strike/>
          <w:color w:val="FF0000"/>
          <w:sz w:val="20"/>
        </w:rPr>
        <w:t>“</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Revenue Participation Right</w:t>
      </w:r>
      <w:r>
        <w:rPr>
          <w:rFonts w:ascii="Times New Roman" w:hAnsi="Times New Roman"/>
          <w:caps w:val="false"/>
          <w:smallCaps w:val="false"/>
          <w:strike/>
          <w:color w:val="FF0000"/>
          <w:sz w:val="20"/>
        </w:rPr>
        <w:t>” as such term is defined in the Royalty Financing Agreement as in effect on the date hereof</w:t>
      </w:r>
      <w:r>
        <w:rPr>
          <w:rFonts w:ascii="Times New Roman" w:hAnsi="Times New Roman"/>
          <w:b/>
          <w:caps w:val="false"/>
          <w:smallCaps w:val="false"/>
          <w:color w:val="0000FF"/>
          <w:sz w:val="20"/>
          <w:u w:val="single"/>
          <w:bdr w:val="double" w:sz="2" w:space="1" w:color="000000"/>
        </w:rPr>
        <w:t>, the 2021 RP Revenue Participation Right and the OMERS Revenue Participation Right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Royalty Financed BCX9930 Net Sales</w:t>
      </w:r>
      <w:r>
        <w:rPr>
          <w:rFonts w:ascii="Times New Roman" w:hAnsi="Times New Roman"/>
          <w:caps w:val="false"/>
          <w:smallCaps w:val="false"/>
          <w:sz w:val="20"/>
        </w:rPr>
        <w:t xml:space="preserve">” means, for any fiscal year, consolidated net revenues of the Borrower and its Subsidiaries from sales of BCX9930 </w:t>
      </w:r>
      <w:r>
        <w:rPr>
          <w:rFonts w:ascii="Times New Roman" w:hAnsi="Times New Roman"/>
          <w:caps w:val="false"/>
          <w:smallCaps w:val="false"/>
          <w:strike/>
          <w:color w:val="FF0000"/>
          <w:sz w:val="20"/>
        </w:rPr>
        <w:t>in any Key Territory</w:t>
      </w:r>
      <w:r>
        <w:rPr>
          <w:rFonts w:ascii="Times New Roman" w:hAnsi="Times New Roman"/>
          <w:caps w:val="false"/>
          <w:smallCaps w:val="false"/>
          <w:sz w:val="20"/>
        </w:rPr>
        <w:t xml:space="preserve"> for such period</w:t>
      </w:r>
      <w:r>
        <w:rPr>
          <w:rFonts w:ascii="Times New Roman" w:hAnsi="Times New Roman"/>
          <w:b/>
          <w:caps w:val="false"/>
          <w:smallCaps w:val="false"/>
          <w:color w:val="0000FF"/>
          <w:sz w:val="20"/>
          <w:u w:val="single"/>
          <w:bdr w:val="double" w:sz="2" w:space="1" w:color="000000"/>
        </w:rPr>
        <w:t>, whether worldwide or within the Key Territories and/or the Non-Key Territories</w:t>
      </w:r>
      <w:r>
        <w:rPr>
          <w:rFonts w:ascii="Times New Roman" w:hAnsi="Times New Roman"/>
          <w:caps w:val="false"/>
          <w:smallCaps w:val="false"/>
          <w:sz w:val="20"/>
        </w:rPr>
        <w:t xml:space="preserve">, </w:t>
      </w:r>
      <w:r>
        <w:rPr>
          <w:rFonts w:ascii="Times New Roman" w:hAnsi="Times New Roman"/>
          <w:caps w:val="false"/>
          <w:smallCaps w:val="false"/>
          <w:sz w:val="20"/>
          <w:u w:val="single"/>
        </w:rPr>
        <w:t>including</w:t>
      </w:r>
      <w:r>
        <w:rPr>
          <w:rFonts w:ascii="Times New Roman" w:hAnsi="Times New Roman"/>
          <w:caps w:val="false"/>
          <w:smallCaps w:val="false"/>
          <w:sz w:val="20"/>
        </w:rPr>
        <w:t xml:space="preserve"> distribution income, service payments, royalty payments and license income during such fiscal year, all as determined and reported in accordance with GAAP, but </w:t>
      </w:r>
      <w:r>
        <w:rPr>
          <w:rFonts w:ascii="Times New Roman" w:hAnsi="Times New Roman"/>
          <w:caps w:val="false"/>
          <w:smallCaps w:val="false"/>
          <w:sz w:val="20"/>
          <w:u w:val="single"/>
        </w:rPr>
        <w:t>excluding</w:t>
      </w:r>
      <w:r>
        <w:rPr>
          <w:rFonts w:ascii="Times New Roman" w:hAnsi="Times New Roman"/>
          <w:caps w:val="false"/>
          <w:smallCaps w:val="false"/>
          <w:sz w:val="20"/>
        </w:rPr>
        <w:t xml:space="preserve"> the revenues of any Subsidiary to the extent that the declaration or payment of dividends or similar distributions by that Subsidiary of the income resulting from such revenues is not at the time permitted by operation of the terms of its Organization Documents or any agreement, instrument, judgment, decree, order, statute, rule or governmental regulation applicable to that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Royalty Financed Complement Inhibitor Net Sales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for any fiscal year, consolidated net revenues of the Borrower and its Subsidiaries from sales of the Complement Inhibitor for such period, whether worldwide or within the Key Territories and/or the Non-Key Territories, including distribution income, service payments, royalty payments and license income during such fiscal year, all as determined and reported in accordance with GAAP, but excluding the revenues of any Subsidiary to the extent that the declaration or payment of dividends or similar distributions by that Subsidiary of the income resulting from such revenues is not at the time permitted by operation of the terms of its Organization Documents or any agreement, instrument, judgment, decree, order, statute, rule or governmental regulation applicable to that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 xml:space="preserve">Royalty </w:t>
      </w:r>
      <w:r>
        <w:rPr>
          <w:rFonts w:ascii="Times New Roman" w:hAnsi="Times New Roman"/>
          <w:caps w:val="false"/>
          <w:smallCaps w:val="false"/>
          <w:strike/>
          <w:color w:val="FF0000"/>
          <w:sz w:val="20"/>
          <w:u w:val="single"/>
        </w:rPr>
        <w:t>Financing</w:t>
      </w:r>
      <w:r>
        <w:rPr>
          <w:rFonts w:ascii="Times New Roman" w:hAnsi="Times New Roman"/>
          <w:b/>
          <w:caps w:val="false"/>
          <w:smallCaps w:val="false"/>
          <w:color w:val="0000FF"/>
          <w:sz w:val="20"/>
          <w:u w:val="single"/>
          <w:bdr w:val="double" w:sz="2" w:space="1" w:color="000000"/>
        </w:rPr>
        <w:t>Financings</w:t>
      </w:r>
      <w:r>
        <w:rPr>
          <w:rFonts w:ascii="Times New Roman" w:hAnsi="Times New Roman"/>
          <w:caps w:val="false"/>
          <w:smallCaps w:val="false"/>
          <w:sz w:val="20"/>
        </w:rPr>
        <w:t xml:space="preserve">” means, </w:t>
      </w:r>
      <w:r>
        <w:rPr>
          <w:rFonts w:ascii="Times New Roman" w:hAnsi="Times New Roman"/>
          <w:caps w:val="false"/>
          <w:smallCaps w:val="false"/>
          <w:strike/>
          <w:color w:val="FF0000"/>
          <w:sz w:val="20"/>
        </w:rPr>
        <w:t>subject to</w:t>
      </w:r>
      <w:r>
        <w:rPr>
          <w:rFonts w:ascii="Times New Roman" w:hAnsi="Times New Roman"/>
          <w:b/>
          <w:caps w:val="false"/>
          <w:smallCaps w:val="false"/>
          <w:color w:val="0000FF"/>
          <w:sz w:val="20"/>
          <w:u w:val="single"/>
          <w:bdr w:val="double" w:sz="2" w:space="1" w:color="000000"/>
        </w:rPr>
        <w:t>collectively,</w:t>
      </w:r>
      <w:r>
        <w:rPr>
          <w:rFonts w:ascii="Times New Roman" w:hAnsi="Times New Roman"/>
          <w:caps w:val="false"/>
          <w:smallCaps w:val="false"/>
          <w:sz w:val="20"/>
        </w:rPr>
        <w:t xml:space="preserve">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w:t>
      </w:r>
      <w:r>
        <w:rPr>
          <w:rFonts w:ascii="Times New Roman" w:hAnsi="Times New Roman"/>
          <w:caps w:val="false"/>
          <w:smallCaps w:val="false"/>
          <w:strike/>
          <w:color w:val="FF0000"/>
          <w:sz w:val="20"/>
        </w:rPr>
        <w:t>Restrictions, that certain true sale of the Revenue Participating Right to RPI 2019 Intermediate Finance Trust, a Delaware statutory trust, on the Term A Borrowing Date pursuant to the terms of the</w:t>
      </w:r>
      <w:r>
        <w:rPr>
          <w:rFonts w:ascii="Times New Roman" w:hAnsi="Times New Roman"/>
          <w:b/>
          <w:caps w:val="false"/>
          <w:smallCaps w:val="false"/>
          <w:color w:val="0000FF"/>
          <w:sz w:val="20"/>
          <w:u w:val="single"/>
          <w:bdr w:val="double" w:sz="2" w:space="1" w:color="000000"/>
        </w:rPr>
        <w:t>, the 2021 RP</w:t>
      </w:r>
      <w:r>
        <w:rPr>
          <w:rFonts w:ascii="Times New Roman" w:hAnsi="Times New Roman"/>
          <w:caps w:val="false"/>
          <w:smallCaps w:val="false"/>
          <w:sz w:val="20"/>
        </w:rPr>
        <w:t xml:space="preserve"> Royalty Financing </w:t>
      </w:r>
      <w:r>
        <w:rPr>
          <w:rFonts w:ascii="Times New Roman" w:hAnsi="Times New Roman"/>
          <w:caps w:val="false"/>
          <w:smallCaps w:val="false"/>
          <w:strike/>
          <w:color w:val="FF0000"/>
          <w:sz w:val="20"/>
        </w:rPr>
        <w:t>Agreement</w:t>
      </w:r>
      <w:r>
        <w:rPr>
          <w:rFonts w:ascii="Times New Roman" w:hAnsi="Times New Roman"/>
          <w:b/>
          <w:caps w:val="false"/>
          <w:smallCaps w:val="false"/>
          <w:color w:val="0000FF"/>
          <w:sz w:val="20"/>
          <w:u w:val="single"/>
          <w:bdr w:val="double" w:sz="2" w:space="1" w:color="000000"/>
        </w:rPr>
        <w:t>and the OMERS Royalty Financing</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 xml:space="preserve">Royalty </w:t>
      </w:r>
      <w:r>
        <w:rPr>
          <w:rFonts w:ascii="Times New Roman" w:hAnsi="Times New Roman"/>
          <w:caps w:val="false"/>
          <w:smallCaps w:val="false"/>
          <w:strike/>
          <w:color w:val="FF0000"/>
          <w:sz w:val="20"/>
          <w:u w:val="single"/>
        </w:rPr>
        <w:t>Financing Agreement</w:t>
      </w:r>
      <w:r>
        <w:rPr>
          <w:rFonts w:ascii="Times New Roman" w:hAnsi="Times New Roman"/>
          <w:b/>
          <w:caps w:val="false"/>
          <w:smallCaps w:val="false"/>
          <w:color w:val="0000FF"/>
          <w:sz w:val="20"/>
          <w:u w:val="single"/>
          <w:bdr w:val="double" w:sz="2" w:space="1" w:color="000000"/>
        </w:rPr>
        <w:t>Purchase Agreements</w:t>
      </w:r>
      <w:r>
        <w:rPr>
          <w:rFonts w:ascii="Times New Roman" w:hAnsi="Times New Roman"/>
          <w:caps w:val="false"/>
          <w:smallCaps w:val="false"/>
          <w:sz w:val="20"/>
        </w:rPr>
        <w:t>” means</w:t>
      </w:r>
      <w:r>
        <w:rPr>
          <w:rFonts w:ascii="Times New Roman" w:hAnsi="Times New Roman"/>
          <w:b/>
          <w:caps w:val="false"/>
          <w:smallCaps w:val="false"/>
          <w:color w:val="0000FF"/>
          <w:sz w:val="20"/>
          <w:u w:val="single"/>
          <w:bdr w:val="double" w:sz="2" w:space="1" w:color="000000"/>
        </w:rPr>
        <w:t>, collectively,</w:t>
      </w:r>
      <w:r>
        <w:rPr>
          <w:rFonts w:ascii="Times New Roman" w:hAnsi="Times New Roman"/>
          <w:caps w:val="false"/>
          <w:smallCaps w:val="false"/>
          <w:sz w:val="20"/>
        </w:rPr>
        <w:t xml:space="preserve"> the </w:t>
      </w:r>
      <w:r>
        <w:rPr>
          <w:rFonts w:ascii="Times New Roman" w:hAnsi="Times New Roman"/>
          <w:b/>
          <w:caps w:val="false"/>
          <w:smallCaps w:val="false"/>
          <w:color w:val="0000FF"/>
          <w:sz w:val="20"/>
          <w:u w:val="single"/>
          <w:bdr w:val="double" w:sz="2" w:space="1" w:color="000000"/>
        </w:rPr>
        <w:t>2020 RP Royalty</w:t>
      </w:r>
      <w:r>
        <w:rPr>
          <w:rFonts w:ascii="Times New Roman" w:hAnsi="Times New Roman"/>
          <w:caps w:val="false"/>
          <w:smallCaps w:val="false"/>
          <w:sz w:val="20"/>
        </w:rPr>
        <w:t xml:space="preserve"> Purchase </w:t>
      </w:r>
      <w:r>
        <w:rPr>
          <w:rFonts w:ascii="Times New Roman" w:hAnsi="Times New Roman"/>
          <w:caps w:val="false"/>
          <w:smallCaps w:val="false"/>
          <w:strike/>
          <w:color w:val="FF0000"/>
          <w:sz w:val="20"/>
        </w:rPr>
        <w:t>and Sale</w:t>
      </w:r>
      <w:r>
        <w:rPr>
          <w:rFonts w:ascii="Times New Roman" w:hAnsi="Times New Roman"/>
          <w:caps w:val="false"/>
          <w:smallCaps w:val="false"/>
          <w:sz w:val="20"/>
        </w:rPr>
        <w:t xml:space="preserve"> Agreement, </w:t>
      </w:r>
      <w:r>
        <w:rPr>
          <w:rFonts w:ascii="Times New Roman" w:hAnsi="Times New Roman"/>
          <w:caps w:val="false"/>
          <w:smallCaps w:val="false"/>
          <w:strike/>
          <w:color w:val="FF0000"/>
          <w:sz w:val="20"/>
        </w:rPr>
        <w:t>dated as of December 7, 2020, between the Borrower and RPI 2019 Intermediate Finance Trust, a Delaware statutory trust, as amended, supplement or otherwise modified from time to time in accordance with the terms of the Loan Documents</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the 2021 RP Royalty Purchase Agreement and the OMERS Royalty Purchase Agreement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Royalty Financing Documents</w:t>
      </w:r>
      <w:r>
        <w:rPr>
          <w:rFonts w:ascii="Times New Roman" w:hAnsi="Times New Roman"/>
          <w:caps w:val="false"/>
          <w:smallCaps w:val="false"/>
          <w:sz w:val="20"/>
        </w:rPr>
        <w:t xml:space="preserve">” means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w:t>
      </w:r>
      <w:r>
        <w:rPr>
          <w:rFonts w:ascii="Times New Roman" w:hAnsi="Times New Roman"/>
          <w:caps w:val="false"/>
          <w:smallCaps w:val="false"/>
          <w:color w:val="FF0000"/>
          <w:sz w:val="20"/>
        </w:rPr>
        <w:t xml:space="preserve"> </w:t>
      </w:r>
      <w:r>
        <w:rPr>
          <w:rFonts w:ascii="Times New Roman" w:hAnsi="Times New Roman"/>
          <w:caps w:val="false"/>
          <w:smallCaps w:val="false"/>
          <w:strike/>
          <w:color w:val="FF0000"/>
          <w:sz w:val="20"/>
        </w:rPr>
        <w:t>Agreement</w:t>
      </w:r>
      <w:r>
        <w:rPr>
          <w:rFonts w:ascii="Times New Roman" w:hAnsi="Times New Roman"/>
          <w:b/>
          <w:caps w:val="false"/>
          <w:smallCaps w:val="false"/>
          <w:color w:val="0000FF"/>
          <w:sz w:val="20"/>
          <w:u w:val="single"/>
          <w:bdr w:val="double" w:sz="2" w:space="1" w:color="000000"/>
        </w:rPr>
        <w:t>Documents</w:t>
      </w:r>
      <w:r>
        <w:rPr>
          <w:rFonts w:ascii="Times New Roman" w:hAnsi="Times New Roman"/>
          <w:caps w:val="false"/>
          <w:smallCaps w:val="false"/>
          <w:sz w:val="20"/>
        </w:rPr>
        <w:t xml:space="preserve">, the </w:t>
      </w:r>
      <w:r>
        <w:rPr>
          <w:rFonts w:ascii="Times New Roman" w:hAnsi="Times New Roman"/>
          <w:b/>
          <w:caps w:val="false"/>
          <w:smallCaps w:val="false"/>
          <w:color w:val="0000FF"/>
          <w:sz w:val="20"/>
          <w:u w:val="single"/>
          <w:bdr w:val="double" w:sz="2" w:space="1" w:color="000000"/>
        </w:rPr>
        <w:t>2021 RP</w:t>
      </w:r>
      <w:r>
        <w:rPr>
          <w:rFonts w:ascii="Times New Roman" w:hAnsi="Times New Roman"/>
          <w:caps w:val="false"/>
          <w:smallCaps w:val="false"/>
          <w:sz w:val="20"/>
        </w:rPr>
        <w:t xml:space="preserve"> Royalty Financing </w:t>
      </w:r>
      <w:r>
        <w:rPr>
          <w:rFonts w:ascii="Times New Roman" w:hAnsi="Times New Roman"/>
          <w:caps w:val="false"/>
          <w:smallCaps w:val="false"/>
          <w:strike/>
          <w:color w:val="FF0000"/>
          <w:sz w:val="20"/>
        </w:rPr>
        <w:t>Side Letter, the Intercreditor Agreement and any other agreement, instrument or document entered into from time to time in connection therewith, in each case, as amended, supplemented or otherwise modified from time to time in accordance with the terms of the Loan</w:t>
      </w:r>
      <w:r>
        <w:rPr>
          <w:rFonts w:ascii="Times New Roman" w:hAnsi="Times New Roman"/>
          <w:b/>
          <w:caps w:val="false"/>
          <w:smallCaps w:val="false"/>
          <w:color w:val="0000FF"/>
          <w:sz w:val="20"/>
          <w:u w:val="single"/>
          <w:bdr w:val="double" w:sz="2" w:space="1" w:color="000000"/>
        </w:rPr>
        <w:t>Documents and the OMERS Royalty Financing</w:t>
      </w:r>
      <w:r>
        <w:rPr>
          <w:rFonts w:ascii="Times New Roman" w:hAnsi="Times New Roman"/>
          <w:caps w:val="false"/>
          <w:smallCaps w:val="false"/>
          <w:sz w:val="20"/>
        </w:rPr>
        <w:t xml:space="preserve">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Royalty Financing Restrictions</w:t>
      </w:r>
      <w:r>
        <w:rPr>
          <w:rFonts w:ascii="Times New Roman" w:hAnsi="Times New Roman"/>
          <w:caps w:val="false"/>
          <w:smallCaps w:val="false"/>
          <w:sz w:val="20"/>
        </w:rPr>
        <w:t xml:space="preserve">” means with respect to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any</w:t>
      </w:r>
      <w:r>
        <w:rPr>
          <w:rFonts w:ascii="Times New Roman" w:hAnsi="Times New Roman"/>
          <w:caps w:val="false"/>
          <w:smallCaps w:val="false"/>
          <w:sz w:val="20"/>
        </w:rPr>
        <w:t xml:space="preserve"> Royalty Financing or any Other Royalty Financing, that</w:t>
      </w:r>
      <w:r>
        <w:rPr>
          <w:rFonts w:ascii="Times New Roman" w:hAnsi="Times New Roman"/>
          <w:b/>
          <w:caps w:val="false"/>
          <w:smallCaps w:val="false"/>
          <w:color w:val="0000FF"/>
          <w:sz w:val="20"/>
          <w:u w:val="single"/>
          <w:bdr w:val="double" w:sz="2" w:space="1" w:color="00000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neither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such</w:t>
      </w:r>
      <w:r>
        <w:rPr>
          <w:rFonts w:ascii="Times New Roman" w:hAnsi="Times New Roman"/>
          <w:caps w:val="false"/>
          <w:smallCaps w:val="false"/>
          <w:sz w:val="20"/>
        </w:rPr>
        <w:t xml:space="preserve"> Royalty Financing nor any such Other Royalty Financing shall have or provide for any (a) payment or return minimums, (b) redemption or buy-back obligations or any financial or other covenants (except for (x) customary exceptions such as royalty payments, reporting, audits, tax treatment and withholding, diligence, confidentiality, licensing and prosecution, maintenance and defense of IP Rights and (y) in the case of the Royalty Financing Documents, restrictions on Indebtedness pursuant to Section 6.8 of the </w:t>
      </w:r>
      <w:r>
        <w:rPr>
          <w:rFonts w:ascii="Times New Roman" w:hAnsi="Times New Roman"/>
          <w:b/>
          <w:caps w:val="false"/>
          <w:smallCaps w:val="false"/>
          <w:color w:val="0000FF"/>
          <w:sz w:val="20"/>
          <w:u w:val="single"/>
          <w:bdr w:val="double" w:sz="2" w:space="1" w:color="000000"/>
        </w:rPr>
        <w:t>2021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w:t>
      </w:r>
      <w:r>
        <w:rPr>
          <w:rFonts w:ascii="Times New Roman" w:hAnsi="Times New Roman"/>
          <w:caps w:val="false"/>
          <w:smallCaps w:val="false"/>
          <w:strike/>
          <w:color w:val="FF0000"/>
          <w:sz w:val="20"/>
        </w:rPr>
        <w:t>date hereof</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Amendment No. 1 Effective Date and the OMERS Royalty Purchase Agreement as in effect on the Amendment No. 1 Effective Date</w:t>
      </w:r>
      <w:r>
        <w:rPr>
          <w:rFonts w:ascii="Times New Roman" w:hAnsi="Times New Roman"/>
          <w:caps w:val="false"/>
          <w:smallCaps w:val="false"/>
          <w:sz w:val="20"/>
        </w:rPr>
        <w:t xml:space="preserve"> (but, in any event, shall permit the Indebtedness and other Obligations pursuant to the Loan Documents), (c) Lien on any asset of the Borrower or any of its Subsidiaries (including on the Borrower’s or such Subsidiary’s IP Rights, regulatory permits, receivables or other agreements), except (</w:t>
      </w:r>
      <w:r>
        <w:rPr>
          <w:rFonts w:ascii="Times New Roman" w:hAnsi="Times New Roman"/>
          <w:caps w:val="false"/>
          <w:smallCaps w:val="false"/>
          <w:strike/>
          <w:color w:val="FF0000"/>
          <w:sz w:val="20"/>
        </w:rPr>
        <w:t>i</w:t>
      </w:r>
      <w:r>
        <w:rPr>
          <w:rFonts w:ascii="Times New Roman" w:hAnsi="Times New Roman"/>
          <w:b/>
          <w:caps w:val="false"/>
          <w:smallCaps w:val="false"/>
          <w:color w:val="0000FF"/>
          <w:sz w:val="20"/>
          <w:u w:val="single"/>
          <w:bdr w:val="double" w:sz="2" w:space="1" w:color="000000"/>
        </w:rPr>
        <w:t>x</w:t>
      </w:r>
      <w:r>
        <w:rPr>
          <w:rFonts w:ascii="Times New Roman" w:hAnsi="Times New Roman"/>
          <w:caps w:val="false"/>
          <w:smallCaps w:val="false"/>
          <w:sz w:val="20"/>
        </w:rPr>
        <w:t xml:space="preserve">) in the case of the Royalty Financing Documents, but subject to the Intercreditor Agreement, the Back-Up Security </w:t>
      </w:r>
      <w:r>
        <w:rPr>
          <w:rFonts w:ascii="Times New Roman" w:hAnsi="Times New Roman"/>
          <w:caps w:val="false"/>
          <w:smallCaps w:val="false"/>
          <w:strike/>
          <w:color w:val="FF0000"/>
          <w:sz w:val="20"/>
        </w:rPr>
        <w:t>Interest</w:t>
      </w:r>
      <w:r>
        <w:rPr>
          <w:rFonts w:ascii="Times New Roman" w:hAnsi="Times New Roman"/>
          <w:b/>
          <w:caps w:val="false"/>
          <w:smallCaps w:val="false"/>
          <w:color w:val="0000FF"/>
          <w:sz w:val="20"/>
          <w:u w:val="single"/>
          <w:bdr w:val="double" w:sz="2" w:space="1" w:color="000000"/>
        </w:rPr>
        <w:t>Interests</w:t>
      </w:r>
      <w:r>
        <w:rPr>
          <w:rFonts w:ascii="Times New Roman" w:hAnsi="Times New Roman"/>
          <w:caps w:val="false"/>
          <w:smallCaps w:val="false"/>
          <w:sz w:val="20"/>
        </w:rPr>
        <w:t xml:space="preserve"> in respect of the Revenue Participation </w:t>
      </w:r>
      <w:r>
        <w:rPr>
          <w:rFonts w:ascii="Times New Roman" w:hAnsi="Times New Roman"/>
          <w:caps w:val="false"/>
          <w:smallCaps w:val="false"/>
          <w:strike/>
          <w:color w:val="FF0000"/>
          <w:sz w:val="20"/>
        </w:rPr>
        <w:t>Right</w:t>
      </w:r>
      <w:r>
        <w:rPr>
          <w:rFonts w:ascii="Times New Roman" w:hAnsi="Times New Roman"/>
          <w:b/>
          <w:caps w:val="false"/>
          <w:smallCaps w:val="false"/>
          <w:color w:val="0000FF"/>
          <w:sz w:val="20"/>
          <w:u w:val="single"/>
          <w:bdr w:val="double" w:sz="2" w:space="1" w:color="000000"/>
        </w:rPr>
        <w:t>Rights</w:t>
      </w:r>
      <w:r>
        <w:rPr>
          <w:rFonts w:ascii="Times New Roman" w:hAnsi="Times New Roman"/>
          <w:caps w:val="false"/>
          <w:smallCaps w:val="false"/>
          <w:sz w:val="20"/>
        </w:rPr>
        <w:t xml:space="preserve"> and the Product Collateral and (</w:t>
      </w:r>
      <w:r>
        <w:rPr>
          <w:rFonts w:ascii="Times New Roman" w:hAnsi="Times New Roman"/>
          <w:caps w:val="false"/>
          <w:smallCaps w:val="false"/>
          <w:strike/>
          <w:color w:val="FF0000"/>
          <w:sz w:val="20"/>
        </w:rPr>
        <w:t>ii</w:t>
      </w:r>
      <w:r>
        <w:rPr>
          <w:rFonts w:ascii="Times New Roman" w:hAnsi="Times New Roman"/>
          <w:b/>
          <w:caps w:val="false"/>
          <w:smallCaps w:val="false"/>
          <w:color w:val="0000FF"/>
          <w:sz w:val="20"/>
          <w:u w:val="single"/>
          <w:bdr w:val="double" w:sz="2" w:space="1" w:color="000000"/>
        </w:rPr>
        <w:t>y</w:t>
      </w:r>
      <w:r>
        <w:rPr>
          <w:rFonts w:ascii="Times New Roman" w:hAnsi="Times New Roman"/>
          <w:caps w:val="false"/>
          <w:smallCaps w:val="false"/>
          <w:sz w:val="20"/>
        </w:rPr>
        <w:t xml:space="preserve">) in the case of any Other Royalty Financing Documents, but subject to the execution and delivery of an intercreditor agreement in form and substance acceptable to the Administrative Agent, the grant by the Borrower of a backup security interest in the synthetic royalty purchased pursuant to such Other Royalty Financing Documents upon the recharacterization of the applicable Other Royalty Financing as a secured loan, </w:t>
      </w:r>
      <w:r>
        <w:rPr>
          <w:rFonts w:ascii="Times New Roman" w:hAnsi="Times New Roman"/>
          <w:b/>
          <w:caps w:val="false"/>
          <w:smallCaps w:val="false"/>
          <w:color w:val="0000FF"/>
          <w:sz w:val="20"/>
          <w:u w:val="single"/>
          <w:bdr w:val="double" w:sz="2" w:space="1" w:color="000000"/>
        </w:rPr>
        <w:t>but</w:t>
      </w:r>
      <w:r>
        <w:rPr>
          <w:rFonts w:ascii="Times New Roman" w:hAnsi="Times New Roman"/>
          <w:caps w:val="false"/>
          <w:smallCaps w:val="false"/>
          <w:sz w:val="20"/>
        </w:rPr>
        <w:t xml:space="preserve"> not in any other asset of the Borrower or any Subsidiary, or (d) negative pledge restricting incurrence of any Lien on any asset of the Borrower or any of its Subsidiaries or other burdensome restrictions consisting of restrictions on making Restricted Payments to any Loan Party, paying Indebtedness or other obligations owed to any Loan Party, making loans or advances to any Loan Party, transferring any of its property to any Loan Party, or either pledging its property pursuant to or acting as a Loan Party pursuant to the Loan Documents or any renewals, refinancings, exchanges, refundings or extension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trike/>
          <w:color w:val="FF0000"/>
          <w:sz w:val="20"/>
        </w:rPr>
        <w:t>neither the</w:t>
      </w:r>
      <w:r>
        <w:rPr>
          <w:rFonts w:ascii="Times New Roman" w:hAnsi="Times New Roman"/>
          <w:b/>
          <w:caps w:val="false"/>
          <w:smallCaps w:val="false"/>
          <w:color w:val="0000FF"/>
          <w:sz w:val="20"/>
          <w:u w:val="single"/>
          <w:bdr w:val="double" w:sz="2" w:space="1" w:color="000000"/>
        </w:rPr>
        <w:t>no</w:t>
      </w:r>
      <w:r>
        <w:rPr>
          <w:rFonts w:ascii="Times New Roman" w:hAnsi="Times New Roman"/>
          <w:caps w:val="false"/>
          <w:smallCaps w:val="false"/>
          <w:sz w:val="20"/>
        </w:rPr>
        <w:t xml:space="preserve"> Royalty Financing nor any </w:t>
      </w:r>
      <w:r>
        <w:rPr>
          <w:rFonts w:ascii="Times New Roman" w:hAnsi="Times New Roman"/>
          <w:caps w:val="false"/>
          <w:smallCaps w:val="false"/>
          <w:strike/>
          <w:color w:val="FF0000"/>
          <w:sz w:val="20"/>
        </w:rPr>
        <w:t>such</w:t>
      </w:r>
      <w:r>
        <w:rPr>
          <w:rFonts w:ascii="Times New Roman" w:hAnsi="Times New Roman"/>
          <w:caps w:val="false"/>
          <w:smallCaps w:val="false"/>
          <w:color w:val="FF0000"/>
          <w:sz w:val="20"/>
        </w:rPr>
        <w:t xml:space="preserve"> </w:t>
      </w:r>
      <w:r>
        <w:rPr>
          <w:rFonts w:ascii="Times New Roman" w:hAnsi="Times New Roman"/>
          <w:caps w:val="false"/>
          <w:smallCaps w:val="false"/>
          <w:sz w:val="20"/>
        </w:rPr>
        <w:t xml:space="preserve">Other Royalty Financing shall be structured in a manner that adversely affects the Borrower’s or any Subsidiary’s receipt of proceeds of Orladeyo Net Product Sales </w:t>
      </w:r>
      <w:r>
        <w:rPr>
          <w:rFonts w:ascii="Times New Roman" w:hAnsi="Times New Roman"/>
          <w:caps w:val="false"/>
          <w:smallCaps w:val="false"/>
          <w:strike/>
          <w:color w:val="FF0000"/>
          <w:sz w:val="20"/>
        </w:rPr>
        <w:t>or</w:t>
      </w:r>
      <w:r>
        <w:rPr>
          <w:rFonts w:ascii="Times New Roman" w:hAnsi="Times New Roman"/>
          <w:b/>
          <w:caps w:val="false"/>
          <w:smallCaps w:val="false"/>
          <w:color w:val="0000FF"/>
          <w:sz w:val="20"/>
          <w:u w:val="single"/>
          <w:bdr w:val="double" w:sz="2" w:space="1" w:color="000000"/>
        </w:rPr>
        <w:t>,</w:t>
      </w:r>
      <w:r>
        <w:rPr>
          <w:rFonts w:ascii="Times New Roman" w:hAnsi="Times New Roman"/>
          <w:caps w:val="false"/>
          <w:smallCaps w:val="false"/>
          <w:sz w:val="20"/>
        </w:rPr>
        <w:t xml:space="preserve"> BCX9930 Net Product Sales</w:t>
      </w:r>
      <w:r>
        <w:rPr>
          <w:rFonts w:ascii="Times New Roman" w:hAnsi="Times New Roman"/>
          <w:caps w:val="false"/>
          <w:smallCaps w:val="false"/>
          <w:strike/>
          <w:color w:val="FF0000"/>
          <w:sz w:val="20"/>
        </w:rPr>
        <w:t>, expect</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or Complement Inhibitor Net Product Sales, except</w:t>
      </w:r>
      <w:r>
        <w:rPr>
          <w:rFonts w:ascii="Times New Roman" w:hAnsi="Times New Roman"/>
          <w:caps w:val="false"/>
          <w:smallCaps w:val="false"/>
          <w:sz w:val="20"/>
        </w:rPr>
        <w:t xml:space="preserve"> (x) in the case of the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Financings</w:t>
      </w:r>
      <w:r>
        <w:rPr>
          <w:rFonts w:ascii="Times New Roman" w:hAnsi="Times New Roman"/>
          <w:caps w:val="false"/>
          <w:smallCaps w:val="false"/>
          <w:sz w:val="20"/>
        </w:rPr>
        <w:t xml:space="preserve">, the sale of the Revenue Participation </w:t>
      </w:r>
      <w:r>
        <w:rPr>
          <w:rFonts w:ascii="Times New Roman" w:hAnsi="Times New Roman"/>
          <w:caps w:val="false"/>
          <w:smallCaps w:val="false"/>
          <w:strike/>
          <w:color w:val="FF0000"/>
          <w:sz w:val="20"/>
        </w:rPr>
        <w:t>Right</w:t>
      </w:r>
      <w:r>
        <w:rPr>
          <w:rFonts w:ascii="Times New Roman" w:hAnsi="Times New Roman"/>
          <w:b/>
          <w:caps w:val="false"/>
          <w:smallCaps w:val="false"/>
          <w:color w:val="0000FF"/>
          <w:sz w:val="20"/>
          <w:u w:val="single"/>
          <w:bdr w:val="double" w:sz="2" w:space="1" w:color="000000"/>
        </w:rPr>
        <w:t>Rights</w:t>
      </w:r>
      <w:r>
        <w:rPr>
          <w:rFonts w:ascii="Times New Roman" w:hAnsi="Times New Roman"/>
          <w:caps w:val="false"/>
          <w:smallCaps w:val="false"/>
          <w:sz w:val="20"/>
        </w:rPr>
        <w:t xml:space="preserve"> and (y) in the case of any Other Royalty Financing, the sale of the right to receive a portion of the proceeds of BCX9930 Net Product Sales</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and/or Complement Inhibitor Net Product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b/>
          <w:caps w:val="false"/>
          <w:smallCaps w:val="false"/>
          <w:color w:val="0000FF"/>
          <w:sz w:val="20"/>
          <w:u w:val="single"/>
          <w:bdr w:val="double" w:sz="2" w:space="1" w:color="000000"/>
        </w:rPr>
        <w:t>(A)</w:t>
      </w:r>
      <w:r>
        <w:rPr>
          <w:rFonts w:ascii="Times New Roman" w:hAnsi="Times New Roman"/>
          <w:caps w:val="false"/>
          <w:smallCaps w:val="false"/>
          <w:sz w:val="20"/>
        </w:rPr>
        <w:t xml:space="preserve"> in the case of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for any fiscal quarter, the terms of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shall provide for a royalty participation rate not to exceed (a) the Orladeyo Direct Sales Royalty Rate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multiplied by aggregate Orladeyo Direct Sales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during such fiscal quarter, (b) the Orladeyo Indirect Revenue Sharing Rate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multiplied by aggregate Orladeyo Indirect Revenue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during such fiscal quarter, (c) [***] percent ([***]%) of Product Partnering Revenue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attributable to Orladeyo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for such fiscal quarter, (d) [***] percent ([***]%) of BCX9930 Net Sales (as each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(other than Product Partnering Revenue (as each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attributable to BCX9930 (as each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for such fiscal quarter and (e) [***] percent ([***]%) of BCX9930 Product Partnering Revenue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attributable to BCX9930 (as such term is defined in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hereof) for such fiscal quarter, </w:t>
      </w:r>
      <w:r>
        <w:rPr>
          <w:rFonts w:ascii="Times New Roman" w:hAnsi="Times New Roman"/>
          <w:caps w:val="false"/>
          <w:smallCaps w:val="false"/>
          <w:strike/>
          <w:color w:val="FF0000"/>
          <w:sz w:val="20"/>
        </w:rPr>
        <w:t>(iv) in the case 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 xml:space="preserve">(B) in the case of the 2021 RP Royalty Financing, for any fiscal quarter, the terms of the 2021 RP Royalty Financing Documents shall provide for a royalty participation rate not to exceed (a) the 2021 Orladeyo Direct Sales Royalty Rate (as such term is defined in the 2021 RP Royalty Purchase Agreement as in effect on the Amendment No. 1 Effective Date) multiplied by aggregate Orladeyo Direct Sales (as such term is defined in the 2021 RP Royalty Purchase Agreement as in effect on the Amendment No. 1 Effective Date) during such fiscal quarter, (b) the 2021 Orladeyo Indirect Revenue Sharing Rate (as such term is defined in the 2021 RP Royalty Purchase Agreement as in effect on the Amendment No. 1 Effective Date) multiplied by aggregate Orladeyo Indirect Revenue (as such term is defined in the 2021 RP Royalty Purchase Agreement as in effect on the Amendment No. 1 Effective Date) during such fiscal quarter, (c) [***] percent ([***]%) of Product Partnering Revenue (as such term is defined in the 2021 RP Royalty Purchase Agreement as in effect on the Amendment No. 1 Effective Date) attributable to Orladeyo (as such term is defined in the 2021 RP Royalty Purchase Agreement as in effect on the Amendment No. 1 Effective Date) for such fiscal quarter, (d) the 2021 Combined BCX9930 and Complement Inhibitor Royalty Rate (as such term is defined in the 2021 RP Royalty Purchase Agreement as in effect on the Amendment No. 1 Effective Date) multiplied by aggregate Combined BCX9930 and Complement Inhibitor Net Sales (as such term is defined in the 2021 RP Royalty Purchase Agreement as in effect on the Amendment No. 1 Effective Date) (other than Product Partnering Revenue (as such term is defined in the 2021 RP Royalty Purchase Agreement as in effect on the Amendment No. 1 Effective Date) attributable to BCX9930 (as such term is defined in the 2021 RP Royalty Purchase Agreement as in effect on the Amendment No. 1 Effective Date) or Complement Inhibitor (as such term is defined in the 2021 RP Royalty Purchase Agreement as in effect on the Amendment No. 1 Effective Date)) during such fiscal quarter and (e) the 2021 Combined BCX9930 and Complement Inhibitor Product Partnering Revenue Sharing Rate (as such term is defined in the 2021 RP Royalty Purchase Agreement as in effect on the Amendment No. 1 Effective Date) multiplied by aggregate Product Partnering Revenue (as such term is defined in the 2021 RP Royalty Purchase Agreement as in effect on the Amendment No. 1 Effective Date) attributable to BCX9930 (as such term is defined in the 2021 RP Royalty Purchase Agreement as in effect on the Amendment No. 1 Effective Date) and Complement Inhibitor (as such term is defined in the 2021 RP Royalty Purchase Agreement as in effect on the Amendment No. 1 Effective Date) during such fiscal quarter,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(C) in the case of the OMERS Royalty Financing, for any fiscal quarter, the terms of the OMERS Royalty Financing Documents shall provide for a royalty participation rate not to exceed (a) the Direct Sales Royalty Rate (as such term is defined in the OMERS Royalty Purchase Agreement as in effect on the Amendment No. 1 Effective Date) multiplied by aggregate Direct Sales (as such term is defined in the OMERS Royalty Purchase Agreement as in effect on the date Amendment No. 1 Effective Date) during such fiscal quarter, (b) the Indirect Revenue Sharing Rate (as such term is defined in the OMERS Royalty Purchase Agreement as in effect on the Amendment No. 1 Effective Date) multiplied by aggregate Indirect Revenue (as such term is defined in the OMERS Royalty Purchase Agreement as in effect on the Amendment No. 1 Effective Date) during such fiscal quarter, and (c)(x) if the Direct Sales Royalty Rate (as such term is defined in the OMERS Royalty Purchase Agreement as in effect on the Amendment No. 1 Effective Date) is calculated under the Regime A Royalty Rate (as such term is defined in the OMERS Royalty Purchase Agreement as in effect on the Amendment No. 1 Effective Date), [***] percent ([***]%) of Product Partnering Revenue (as such term is defined in the OMERS Royalty Purchase Agreement as in effect on the Amendment No. 1 Effective Date) attributable to the Product (as such term is defined in the OMERS Royalty Purchase Agreement as in effect on the Amendment No. 1 Effective Date) for such fiscal quarter or (x) if the Direct Sales Royalty Rate (as such term is defined in the OMERS Royalty Purchase Agreement as in effect on the Amendment No. 1 Effective Date) is calculated under the Regime B Royalty Rate (as such term is defined in the OMERS Royalty Purchase Agreement as in effect on the Amendment No. 1 Effective Date), [***] percent ([***]%) of Product Partnering Revenue (as such term is defined in the OMERS Royalty Purchase Agreement as in effect on the Amendment No. 1 Effective Date) attributable to the Product (as such term is defined in the OMERS Royalty Purchase Agreement as in effect on the Amendment No. 1 Effective Date) for such fiscal quarter,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u w:val="single"/>
          <w:bdr w:val="double" w:sz="2" w:space="1" w:color="000000"/>
        </w:rPr>
        <w:t>(D) without limiting the restrictions on the 2020 RP Royalty Financing and the 2021 RP Royalty Financing set forth above in this clause (iii), in the case of</w:t>
      </w:r>
      <w:r>
        <w:rPr>
          <w:rFonts w:ascii="Times New Roman" w:hAnsi="Times New Roman"/>
          <w:b/>
          <w:caps w:val="false"/>
          <w:smallCaps w:val="false"/>
          <w:sz w:val="20"/>
        </w:rPr>
        <w:t xml:space="preserve"> </w:t>
      </w:r>
      <w:r>
        <w:rPr>
          <w:rFonts w:ascii="Times New Roman" w:hAnsi="Times New Roman"/>
          <w:caps w:val="false"/>
          <w:smallCaps w:val="false"/>
          <w:sz w:val="20"/>
        </w:rPr>
        <w:t>all Other Royalty Financings of BCX9930</w:t>
      </w:r>
      <w:r>
        <w:rPr>
          <w:rFonts w:ascii="Times New Roman" w:hAnsi="Times New Roman"/>
          <w:b/>
          <w:caps w:val="false"/>
          <w:smallCaps w:val="false"/>
          <w:color w:val="0000FF"/>
          <w:sz w:val="20"/>
          <w:u w:val="single"/>
          <w:bdr w:val="double" w:sz="2" w:space="1" w:color="000000"/>
        </w:rPr>
        <w:t>, whether worldwide or</w:t>
      </w:r>
      <w:r>
        <w:rPr>
          <w:rFonts w:ascii="Times New Roman" w:hAnsi="Times New Roman"/>
          <w:caps w:val="false"/>
          <w:smallCaps w:val="false"/>
          <w:sz w:val="20"/>
        </w:rPr>
        <w:t xml:space="preserve"> within the Key </w:t>
      </w:r>
      <w:r>
        <w:rPr>
          <w:rFonts w:ascii="Times New Roman" w:hAnsi="Times New Roman"/>
          <w:b/>
          <w:caps w:val="false"/>
          <w:smallCaps w:val="false"/>
          <w:color w:val="0000FF"/>
          <w:sz w:val="20"/>
          <w:u w:val="single"/>
          <w:bdr w:val="double" w:sz="2" w:space="1" w:color="000000"/>
        </w:rPr>
        <w:t>Territories and/or the Non-Key</w:t>
      </w:r>
      <w:r>
        <w:rPr>
          <w:rFonts w:ascii="Times New Roman" w:hAnsi="Times New Roman"/>
          <w:caps w:val="false"/>
          <w:smallCaps w:val="false"/>
          <w:sz w:val="20"/>
        </w:rPr>
        <w:t xml:space="preserve"> Territories, the royalty participation rate with respect </w:t>
      </w:r>
      <w:r>
        <w:rPr>
          <w:rFonts w:ascii="Times New Roman" w:hAnsi="Times New Roman"/>
          <w:caps w:val="false"/>
          <w:smallCaps w:val="false"/>
          <w:strike/>
          <w:color w:val="FF0000"/>
          <w:sz w:val="20"/>
        </w:rPr>
        <w:t>thereto</w:t>
      </w:r>
      <w:r>
        <w:rPr>
          <w:rFonts w:ascii="Times New Roman" w:hAnsi="Times New Roman"/>
          <w:b/>
          <w:caps w:val="false"/>
          <w:smallCaps w:val="false"/>
          <w:color w:val="0000FF"/>
          <w:sz w:val="20"/>
          <w:u w:val="single"/>
          <w:bdr w:val="double" w:sz="2" w:space="1" w:color="000000"/>
        </w:rPr>
        <w:t>to all such Other Royalty Financings</w:t>
      </w:r>
      <w:r>
        <w:rPr>
          <w:rFonts w:ascii="Times New Roman" w:hAnsi="Times New Roman"/>
          <w:caps w:val="false"/>
          <w:smallCaps w:val="false"/>
          <w:sz w:val="20"/>
        </w:rPr>
        <w:t xml:space="preserve"> shall not </w:t>
      </w:r>
      <w:r>
        <w:rPr>
          <w:rFonts w:ascii="Times New Roman" w:hAnsi="Times New Roman"/>
          <w:b/>
          <w:caps w:val="false"/>
          <w:smallCaps w:val="false"/>
          <w:color w:val="0000FF"/>
          <w:sz w:val="20"/>
          <w:u w:val="single"/>
          <w:bdr w:val="double" w:sz="2" w:space="1" w:color="000000"/>
        </w:rPr>
        <w:t>in the aggregate</w:t>
      </w:r>
      <w:r>
        <w:rPr>
          <w:rFonts w:ascii="Times New Roman" w:hAnsi="Times New Roman"/>
          <w:caps w:val="false"/>
          <w:smallCaps w:val="false"/>
          <w:sz w:val="20"/>
        </w:rPr>
        <w:t xml:space="preserve"> exceed [***] percent ([***]%) of </w:t>
      </w:r>
      <w:r>
        <w:rPr>
          <w:rFonts w:ascii="Times New Roman" w:hAnsi="Times New Roman"/>
          <w:b/>
          <w:caps w:val="false"/>
          <w:smallCaps w:val="false"/>
          <w:color w:val="0000FF"/>
          <w:sz w:val="20"/>
          <w:u w:val="single"/>
          <w:bdr w:val="double" w:sz="2" w:space="1" w:color="000000"/>
        </w:rPr>
        <w:t>aggregate</w:t>
      </w:r>
      <w:r>
        <w:rPr>
          <w:rFonts w:ascii="Times New Roman" w:hAnsi="Times New Roman"/>
          <w:caps w:val="false"/>
          <w:smallCaps w:val="false"/>
          <w:sz w:val="20"/>
        </w:rPr>
        <w:t xml:space="preserve"> Royalty Financed BCX9930 Net Sales </w:t>
      </w:r>
      <w:r>
        <w:rPr>
          <w:rFonts w:ascii="Times New Roman" w:hAnsi="Times New Roman"/>
          <w:caps w:val="false"/>
          <w:smallCaps w:val="false"/>
          <w:strike/>
          <w:color w:val="FF0000"/>
          <w:sz w:val="20"/>
        </w:rPr>
        <w:t xml:space="preserve">in the aggregate for all Other Royalty Financings, (v) </w:t>
      </w:r>
      <w:r>
        <w:rPr>
          <w:rFonts w:ascii="Times New Roman" w:hAnsi="Times New Roman"/>
          <w:b/>
          <w:caps w:val="false"/>
          <w:smallCaps w:val="false"/>
          <w:color w:val="0000FF"/>
          <w:sz w:val="20"/>
          <w:u w:val="single"/>
          <w:bdr w:val="double" w:sz="2" w:space="1" w:color="000000"/>
        </w:rPr>
        <w:t xml:space="preserve">(it being understood that, for purposes of this clause (D), with respect to any Other Royalty Financing that provides for multiple tiers of royalty participation rates, the royalty participation rate with respect to such Other Royalty Financing shall be deemed to be the royalty participation rate at the highest of such tiers),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(E) without limiting the restrictions on the 2020 RP Royalty Financing and the 2021 RP Royalty Financing set forth above in this clause (iii), in the case of all Other Royalty Financings of Complement Inhibitor, whether worldwide or within the Key Territories and/or the Non-Key Territories, the royalty participation rate with respect to all such Other Royalty Financings shall not in the aggregate exceed [***] percent ([***]%) of aggregate Royalty Financed Complement Inhibitor Net Sales (it being understood that, for purposes of this clause (E), with respect to any Other Royalty Financing that provides for multiple tiers of royalty participation rates, the royalty participation rate with respect to such Other Royalty Financing shall be deemed to be the royalty participation rate at the highest of such tiers),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u w:val="single"/>
          <w:bdr w:val="double" w:sz="2" w:space="1" w:color="000000"/>
        </w:rPr>
        <w:t>(iv)</w:t>
      </w:r>
      <w:r>
        <w:rPr>
          <w:rFonts w:ascii="Times New Roman" w:hAnsi="Times New Roman"/>
          <w:caps w:val="false"/>
          <w:smallCaps w:val="false"/>
          <w:sz w:val="20"/>
        </w:rPr>
        <w:t xml:space="preserve"> in the case of all Other Royalty Financings, shall not have covenants and defaults that are more restrictive on the Borrower and its Subsidiaries than the covenants and defaults set forth in the Royalty Financing Documents (but, in any event, the Other Royalty Financing Documents shall not include a restriction on the incurrence or maintenance of Indebtedness) or that conflict with, or prevent Borrower and its Subsidiaries from complying with, the covenants and defaults set forth in the Royalty Financing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vi</w:t>
      </w:r>
      <w:r>
        <w:rPr>
          <w:rFonts w:ascii="Times New Roman" w:hAnsi="Times New Roman"/>
          <w:b/>
          <w:caps w:val="false"/>
          <w:smallCaps w:val="false"/>
          <w:color w:val="0000FF"/>
          <w:sz w:val="20"/>
          <w:u w:val="single"/>
          <w:bdr w:val="double" w:sz="2" w:space="1" w:color="000000"/>
        </w:rPr>
        <w:t>v</w:t>
      </w:r>
      <w:r>
        <w:rPr>
          <w:rFonts w:ascii="Times New Roman" w:hAnsi="Times New Roman"/>
          <w:caps w:val="false"/>
          <w:smallCaps w:val="false"/>
          <w:sz w:val="20"/>
        </w:rPr>
        <w:t xml:space="preserve">) the Borrower shall cause any successor or permitted assignee of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rPr>
        <w:t>any</w:t>
      </w:r>
      <w:r>
        <w:rPr>
          <w:rFonts w:ascii="Times New Roman" w:hAnsi="Times New Roman"/>
          <w:caps w:val="false"/>
          <w:smallCaps w:val="false"/>
          <w:sz w:val="20"/>
        </w:rPr>
        <w:t xml:space="preserve"> Buyer under the Royalty Financing Documents to become a party to the Intercreditor Agreement in accordance with the terms thereof concurrently with such succession or assignment,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vii</w:t>
      </w:r>
      <w:r>
        <w:rPr>
          <w:rFonts w:ascii="Times New Roman" w:hAnsi="Times New Roman"/>
          <w:b/>
          <w:caps w:val="false"/>
          <w:smallCaps w:val="false"/>
          <w:color w:val="0000FF"/>
          <w:sz w:val="20"/>
          <w:u w:val="single"/>
          <w:bdr w:val="double" w:sz="2" w:space="1" w:color="000000"/>
        </w:rPr>
        <w:t>vi</w:t>
      </w:r>
      <w:r>
        <w:rPr>
          <w:rFonts w:ascii="Times New Roman" w:hAnsi="Times New Roman"/>
          <w:caps w:val="false"/>
          <w:smallCaps w:val="false"/>
          <w:sz w:val="20"/>
        </w:rPr>
        <w:t>) the Borrower shall cause any successor or permitted assignee of the purchaser or buyer under the Other Royalty Financing Documents to become a party to the intercreditor agreement contemplated by clause (</w:t>
      </w:r>
      <w:r>
        <w:rPr>
          <w:rFonts w:ascii="Times New Roman" w:hAnsi="Times New Roman"/>
          <w:b/>
          <w:caps w:val="false"/>
          <w:smallCaps w:val="false"/>
          <w:color w:val="0000FF"/>
          <w:sz w:val="20"/>
          <w:u w:val="single"/>
          <w:bdr w:val="double" w:sz="2" w:space="1" w:color="000000"/>
        </w:rPr>
        <w:t>i)(</w:t>
      </w:r>
      <w:r>
        <w:rPr>
          <w:rFonts w:ascii="Times New Roman" w:hAnsi="Times New Roman"/>
          <w:caps w:val="false"/>
          <w:smallCaps w:val="false"/>
          <w:sz w:val="20"/>
        </w:rPr>
        <w:t>c)(</w:t>
      </w:r>
      <w:r>
        <w:rPr>
          <w:rFonts w:ascii="Times New Roman" w:hAnsi="Times New Roman"/>
          <w:caps w:val="false"/>
          <w:smallCaps w:val="false"/>
          <w:strike/>
          <w:color w:val="FF0000"/>
          <w:sz w:val="20"/>
        </w:rPr>
        <w:t>ii</w:t>
      </w:r>
      <w:r>
        <w:rPr>
          <w:rFonts w:ascii="Times New Roman" w:hAnsi="Times New Roman"/>
          <w:b/>
          <w:caps w:val="false"/>
          <w:smallCaps w:val="false"/>
          <w:color w:val="0000FF"/>
          <w:sz w:val="20"/>
          <w:u w:val="single"/>
          <w:bdr w:val="double" w:sz="2" w:space="1" w:color="000000"/>
        </w:rPr>
        <w:t>y</w:t>
      </w:r>
      <w:r>
        <w:rPr>
          <w:rFonts w:ascii="Times New Roman" w:hAnsi="Times New Roman"/>
          <w:caps w:val="false"/>
          <w:smallCaps w:val="false"/>
          <w:sz w:val="20"/>
        </w:rPr>
        <w:t>) above to which such purchaser or buyer is a party in accordance with the terms thereof concurrently with such succession or assignment.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FF0000"/>
        </w:rPr>
      </w:pPr>
      <w:r>
        <w:rPr>
          <w:caps w:val="false"/>
          <w:smallCaps w:val="false"/>
          <w:strike/>
          <w:color w:val="FF0000"/>
          <w:u w:val="single"/>
        </w:rPr>
        <w:t>“</w:t>
      </w:r>
      <w:r>
        <w:rPr>
          <w:rFonts w:ascii="Times New Roman" w:hAnsi="Times New Roman"/>
          <w:caps w:val="false"/>
          <w:smallCaps w:val="false"/>
          <w:strike/>
          <w:color w:val="FF0000"/>
          <w:sz w:val="20"/>
          <w:u w:val="single"/>
        </w:rPr>
        <w:t>Royalty Financing Side Letter</w:t>
      </w:r>
      <w:r>
        <w:rPr>
          <w:rFonts w:ascii="Times New Roman" w:hAnsi="Times New Roman"/>
          <w:caps w:val="false"/>
          <w:smallCaps w:val="false"/>
          <w:color w:val="FF0000"/>
          <w:sz w:val="20"/>
        </w:rPr>
        <w:t>”</w:t>
      </w:r>
      <w:r>
        <w:rPr>
          <w:rFonts w:ascii="Times New Roman" w:hAnsi="Times New Roman"/>
          <w:caps w:val="false"/>
          <w:smallCaps w:val="false"/>
          <w:strike/>
          <w:color w:val="FF0000"/>
          <w:sz w:val="20"/>
        </w:rPr>
        <w:t xml:space="preserve"> means the letter agreement dated as of December 7, 2020 between the Borrower and RPI 2019 Intermediate Finance Trust, a Delaware statutory trust, as amended, supplemented or otherwise modified from time to time in accordance with the terms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color w:val="0000FF"/>
          <w:u w:val="single"/>
          <w:bdr w:val="double" w:sz="2" w:space="1" w:color="000000"/>
        </w:rPr>
      </w:pPr>
      <w:r>
        <w:rPr>
          <w:caps w:val="false"/>
          <w:smallCaps w:val="false"/>
          <w:color w:val="0000FF"/>
          <w:u w:val="single"/>
          <w:bdr w:val="double" w:sz="2" w:space="1" w:color="000000"/>
        </w:rPr>
        <w:t>“</w:t>
      </w:r>
      <w:r>
        <w:rPr>
          <w:rFonts w:ascii="Times New Roman" w:hAnsi="Times New Roman"/>
          <w:b/>
          <w:caps w:val="false"/>
          <w:smallCaps w:val="false"/>
          <w:color w:val="0000FF"/>
          <w:sz w:val="20"/>
          <w:u w:val="single"/>
          <w:bdr w:val="double" w:sz="2" w:space="1" w:color="000000"/>
        </w:rPr>
        <w:t>Royalty Payments</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means the RP Royalty Payments and the OMERS Royalty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color w:val="0000FF"/>
          <w:sz w:val="20"/>
          <w:u w:val="single"/>
          <w:bdr w:val="double" w:sz="2" w:space="1" w:color="000000"/>
        </w:rPr>
        <w:t>RP</w:t>
      </w:r>
      <w:r>
        <w:rPr>
          <w:rFonts w:ascii="Times New Roman" w:hAnsi="Times New Roman"/>
          <w:caps w:val="false"/>
          <w:smallCaps w:val="false"/>
          <w:sz w:val="20"/>
          <w:u w:val="single"/>
        </w:rPr>
        <w:t xml:space="preserve"> Royalty </w:t>
      </w:r>
      <w:r>
        <w:rPr>
          <w:rFonts w:ascii="Times New Roman" w:hAnsi="Times New Roman"/>
          <w:caps w:val="false"/>
          <w:smallCaps w:val="false"/>
          <w:strike/>
          <w:color w:val="FF0000"/>
          <w:sz w:val="20"/>
          <w:u w:val="single"/>
        </w:rPr>
        <w:t>Payment</w:t>
      </w:r>
      <w:r>
        <w:rPr>
          <w:rFonts w:ascii="Times New Roman" w:hAnsi="Times New Roman"/>
          <w:b/>
          <w:caps w:val="false"/>
          <w:smallCaps w:val="false"/>
          <w:color w:val="0000FF"/>
          <w:sz w:val="20"/>
          <w:u w:val="single"/>
          <w:bdr w:val="double" w:sz="2" w:space="1" w:color="000000"/>
        </w:rPr>
        <w:t>Payments</w:t>
      </w:r>
      <w:r>
        <w:rPr>
          <w:rFonts w:ascii="Times New Roman" w:hAnsi="Times New Roman"/>
          <w:caps w:val="false"/>
          <w:smallCaps w:val="false"/>
          <w:sz w:val="20"/>
        </w:rPr>
        <w:t xml:space="preserve">” means the “Royalty </w:t>
      </w:r>
      <w:r>
        <w:rPr>
          <w:rFonts w:ascii="Times New Roman" w:hAnsi="Times New Roman"/>
          <w:caps w:val="false"/>
          <w:smallCaps w:val="false"/>
          <w:strike/>
          <w:color w:val="FF0000"/>
          <w:sz w:val="20"/>
          <w:u w:val="single"/>
        </w:rPr>
        <w:t>Payment</w:t>
      </w:r>
      <w:r>
        <w:rPr>
          <w:rFonts w:ascii="Times New Roman" w:hAnsi="Times New Roman"/>
          <w:b/>
          <w:caps w:val="false"/>
          <w:smallCaps w:val="false"/>
          <w:color w:val="0000FF"/>
          <w:sz w:val="20"/>
          <w:u w:val="single"/>
          <w:bdr w:val="double" w:sz="2" w:space="1" w:color="000000"/>
        </w:rPr>
        <w:t>Payments</w:t>
      </w:r>
      <w:r>
        <w:rPr>
          <w:rFonts w:ascii="Times New Roman" w:hAnsi="Times New Roman"/>
          <w:caps w:val="false"/>
          <w:smallCaps w:val="false"/>
          <w:sz w:val="20"/>
        </w:rPr>
        <w:t xml:space="preserve">” as such term is defined in the </w:t>
      </w:r>
      <w:r>
        <w:rPr>
          <w:rFonts w:ascii="Times New Roman" w:hAnsi="Times New Roman"/>
          <w:b/>
          <w:caps w:val="false"/>
          <w:smallCaps w:val="false"/>
          <w:color w:val="0000FF"/>
          <w:sz w:val="20"/>
          <w:u w:val="single"/>
          <w:bdr w:val="double" w:sz="2" w:space="1" w:color="000000"/>
        </w:rPr>
        <w:t>2021 RP</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as in effect on the date </w:t>
      </w:r>
      <w:r>
        <w:rPr>
          <w:rFonts w:ascii="Times New Roman" w:hAnsi="Times New Roman"/>
          <w:caps w:val="false"/>
          <w:smallCaps w:val="false"/>
          <w:strike/>
          <w:color w:val="FF0000"/>
          <w:sz w:val="20"/>
        </w:rPr>
        <w:t>hereof</w:t>
      </w:r>
      <w:r>
        <w:rPr>
          <w:rFonts w:ascii="Times New Roman" w:hAnsi="Times New Roman"/>
          <w:b/>
          <w:caps w:val="false"/>
          <w:smallCaps w:val="false"/>
          <w:color w:val="0000FF"/>
          <w:sz w:val="20"/>
          <w:u w:val="single"/>
          <w:bdr w:val="double" w:sz="2" w:space="1" w:color="000000"/>
        </w:rPr>
        <w:t>Amendment No. 1 Effective Date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S&amp;P</w:t>
      </w:r>
      <w:r>
        <w:rPr>
          <w:rFonts w:ascii="Times New Roman" w:hAnsi="Times New Roman"/>
          <w:caps w:val="false"/>
          <w:smallCaps w:val="false"/>
          <w:sz w:val="20"/>
        </w:rPr>
        <w:t>” means Standard &amp; Poor’s Financial Services LLC, a subsidiary of McGraw-Hill Financial, Inc., and any successor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Safety Notices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6.23(i)</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Sale and Leaseback Transaction</w:t>
      </w:r>
      <w:r>
        <w:rPr>
          <w:rFonts w:ascii="Times New Roman" w:hAnsi="Times New Roman"/>
          <w:caps w:val="false"/>
          <w:smallCaps w:val="false"/>
          <w:sz w:val="20"/>
        </w:rPr>
        <w:t>” means, with respect to any Loan Party or any Subsidiary, any arrangement, directly or indirectly, with any Person whereby the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Sanction(s)</w:t>
      </w:r>
      <w:r>
        <w:rPr>
          <w:rFonts w:ascii="Times New Roman" w:hAnsi="Times New Roman"/>
          <w:caps w:val="false"/>
          <w:smallCaps w:val="false"/>
          <w:sz w:val="20"/>
        </w:rPr>
        <w:t>” means any sanction administered or enforced by the United States government (including, without limitation, OFAC), the United Nations Security Council, the European Union, Her Majesty’s Treasury (“</w:t>
      </w:r>
      <w:r>
        <w:rPr>
          <w:rFonts w:ascii="Times New Roman" w:hAnsi="Times New Roman"/>
          <w:caps w:val="false"/>
          <w:smallCaps w:val="false"/>
          <w:sz w:val="20"/>
          <w:u w:val="single"/>
        </w:rPr>
        <w:t>HMT</w:t>
      </w:r>
      <w:r>
        <w:rPr>
          <w:rFonts w:ascii="Times New Roman" w:hAnsi="Times New Roman"/>
          <w:caps w:val="false"/>
          <w:smallCaps w:val="false"/>
          <w:sz w:val="20"/>
        </w:rPr>
        <w:t>”) or other relevant sanctions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Scheduled Unavailability Date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10.03(c)</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w:t>
      </w:r>
      <w:r>
        <w:rPr>
          <w:rFonts w:ascii="Times New Roman" w:hAnsi="Times New Roman"/>
          <w:caps w:val="false"/>
          <w:smallCaps w:val="false"/>
          <w:sz w:val="20"/>
        </w:rPr>
        <w:t>” means the Securities and Exchange Commission, or any Governmental Authority succeeding to any of its principal functions.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Secured Parties</w:t>
      </w:r>
      <w:r>
        <w:rPr>
          <w:rFonts w:ascii="Times New Roman" w:hAnsi="Times New Roman"/>
          <w:caps w:val="false"/>
          <w:smallCaps w:val="false"/>
          <w:sz w:val="20"/>
        </w:rPr>
        <w:t xml:space="preserve">” means, collectively, the Administrative Agent, the Lenders, the Indemnitees, each co-agent or sub‐agent appointed by the Administrative Agent from time to time pursuant to </w:t>
      </w:r>
      <w:r>
        <w:rPr>
          <w:rFonts w:ascii="Times New Roman" w:hAnsi="Times New Roman"/>
          <w:caps w:val="false"/>
          <w:smallCaps w:val="false"/>
          <w:sz w:val="20"/>
          <w:u w:val="single"/>
        </w:rPr>
        <w:t>Section 11.05</w:t>
      </w:r>
      <w:r>
        <w:rPr>
          <w:rFonts w:ascii="Times New Roman" w:hAnsi="Times New Roman"/>
          <w:caps w:val="false"/>
          <w:smallCaps w:val="false"/>
          <w:sz w:val="20"/>
        </w:rPr>
        <w:t xml:space="preserve"> and each of the foregoing Persons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Securitization Transaction</w:t>
      </w:r>
      <w:r>
        <w:rPr>
          <w:rFonts w:ascii="Times New Roman" w:hAnsi="Times New Roman"/>
          <w:caps w:val="false"/>
          <w:smallCaps w:val="false"/>
          <w:sz w:val="20"/>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Security Agreement</w:t>
      </w:r>
      <w:r>
        <w:rPr>
          <w:rFonts w:ascii="Times New Roman" w:hAnsi="Times New Roman"/>
          <w:caps w:val="false"/>
          <w:smallCaps w:val="false"/>
          <w:sz w:val="20"/>
        </w:rPr>
        <w:t>” means the security agreement dated as of the Closing Date executed in favor of the Administrative Agent, for the benefit of the Secured Parties, by each of the Loan Parties, as amended or modified from time to time in accordance with the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Services</w:t>
      </w:r>
      <w:r>
        <w:rPr>
          <w:rFonts w:ascii="Times New Roman" w:hAnsi="Times New Roman"/>
          <w:caps w:val="false"/>
          <w:smallCaps w:val="false"/>
          <w:sz w:val="20"/>
        </w:rPr>
        <w:t>” means services provided by the Borrower or any Affiliate thereof to un-Affiliated Persons, including without limitation any sales, laboratory analysis, testing, consulting, marketing, commercialization and any other healthcare-related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Small Business Act</w:t>
      </w:r>
      <w:r>
        <w:rPr>
          <w:rFonts w:ascii="Times New Roman" w:hAnsi="Times New Roman"/>
          <w:caps w:val="false"/>
          <w:smallCaps w:val="false"/>
          <w:sz w:val="20"/>
        </w:rPr>
        <w:t>” means the Small Business Act (15 U.S. Code Chapter 14A – Aid to Small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Small Business Administration</w:t>
      </w:r>
      <w:r>
        <w:rPr>
          <w:rFonts w:ascii="Times New Roman" w:hAnsi="Times New Roman"/>
          <w:caps w:val="false"/>
          <w:smallCaps w:val="false"/>
          <w:sz w:val="20"/>
        </w:rPr>
        <w:t>” means the U.S. Small Business Administration.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Solvent</w:t>
      </w:r>
      <w:r>
        <w:rPr>
          <w:rFonts w:ascii="Times New Roman" w:hAnsi="Times New Roman"/>
          <w:caps w:val="false"/>
          <w:smallCaps w:val="false"/>
          <w:sz w:val="20"/>
        </w:rPr>
        <w:t>” or “</w:t>
      </w:r>
      <w:r>
        <w:rPr>
          <w:rFonts w:ascii="Times New Roman" w:hAnsi="Times New Roman"/>
          <w:caps w:val="false"/>
          <w:smallCaps w:val="false"/>
          <w:sz w:val="20"/>
          <w:u w:val="single"/>
        </w:rPr>
        <w:t>Solvency</w:t>
      </w:r>
      <w:r>
        <w:rPr>
          <w:rFonts w:ascii="Times New Roman" w:hAnsi="Times New Roman"/>
          <w:caps w:val="false"/>
          <w:smallCaps w:val="false"/>
          <w:sz w:val="20"/>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 (e) 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Specified Products</w:t>
      </w:r>
      <w:r>
        <w:rPr>
          <w:rFonts w:ascii="Times New Roman" w:hAnsi="Times New Roman"/>
          <w:caps w:val="false"/>
          <w:smallCaps w:val="false"/>
          <w:sz w:val="20"/>
        </w:rPr>
        <w:t xml:space="preserve">” means (a) means the molecule described in investigational new drug applications (IND) [***] filed with the FDA and referenced by the Borrower as “BCX4430 (galidesivir)” and (b) means the Product described in the NDA No. 206426 filed with the FDA and referenced by the Borrower as RAPIVAB™(peramivir injection), in each case, as in existence as of the Closing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the avoidance of doubt, no Specified Product shall include any Key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Stockpile Sales</w:t>
      </w:r>
      <w:r>
        <w:rPr>
          <w:rFonts w:ascii="Times New Roman" w:hAnsi="Times New Roman"/>
          <w:caps w:val="false"/>
          <w:smallCaps w:val="false"/>
          <w:sz w:val="20"/>
        </w:rPr>
        <w:t>” means (a) “Non-Commercial Sales” as defined in the Purchase and Sale Agreement dated as of March 9, 2011 between the Borrower and JPR Royalty Sub, LLC as in effect on the date hereof and entered into in connection with the JPR Indenture, but excluding, for the avoidance of doubt, any sales, transfers, leases, licenses or other dispositions of any Key Product and (b) any sales (but excluding, for the avoidance of doubt, any license, lease or other disposition) of a Product for a profit in the ordinary course of business to Governmental Authorities to supply stockpiles for use in a public health emergency.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 Notwithstanding the foregoing, until discharge of the JPR Indenture pursuant to and in accordance with Section 11.1 thereof, unless expressly provided herein, Subsidiaries of the Borrower shall not include JPR Royalty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Swap Contract</w:t>
      </w:r>
      <w:r>
        <w:rPr>
          <w:rFonts w:ascii="Times New Roman" w:hAnsi="Times New Roman"/>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aps w:val="false"/>
          <w:smallCaps w:val="false"/>
          <w:sz w:val="20"/>
          <w:u w:val="single"/>
        </w:rPr>
        <w:t>Master Agreement</w:t>
      </w:r>
      <w:r>
        <w:rPr>
          <w:rFonts w:ascii="Times New Roman" w:hAnsi="Times New Roman"/>
          <w:caps w:val="false"/>
          <w:smallCaps w:val="false"/>
          <w:sz w:val="20"/>
        </w:rPr>
        <w:t>”), including any such obligations or liabilities under any Master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Swap Termination Value</w:t>
      </w:r>
      <w:r>
        <w:rPr>
          <w:rFonts w:ascii="Times New Roman" w:hAnsi="Times New Roman"/>
          <w:caps w:val="false"/>
          <w:smallCaps w:val="false"/>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caps w:val="false"/>
          <w:smallCaps w:val="false"/>
          <w:sz w:val="20"/>
          <w:u w:val="single"/>
        </w:rPr>
        <w:t>clause (a)</w:t>
      </w:r>
      <w:r>
        <w:rPr>
          <w:rFonts w:ascii="Times New Roman" w:hAnsi="Times New Roman"/>
          <w:caps w:val="false"/>
          <w:smallCaps w:val="false"/>
          <w:sz w:val="20"/>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Synthetic Lease</w:t>
      </w:r>
      <w:r>
        <w:rPr>
          <w:rFonts w:ascii="Times New Roman" w:hAnsi="Times New Roman"/>
          <w:caps w:val="false"/>
          <w:smallCaps w:val="false"/>
          <w:sz w:val="20"/>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Taxes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3.01(a)</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Availability Period</w:t>
      </w:r>
      <w:r>
        <w:rPr>
          <w:rFonts w:ascii="Times New Roman" w:hAnsi="Times New Roman"/>
          <w:caps w:val="false"/>
          <w:smallCaps w:val="false"/>
          <w:sz w:val="20"/>
        </w:rPr>
        <w:t xml:space="preserve">” means the period commencing on and including the Closing Date and ending on the earliest of (a) June 1, 2021, (b) the date of termination of the Term A Commitments pursuant to </w:t>
      </w:r>
      <w:r>
        <w:rPr>
          <w:rFonts w:ascii="Times New Roman" w:hAnsi="Times New Roman"/>
          <w:caps w:val="false"/>
          <w:smallCaps w:val="false"/>
          <w:sz w:val="20"/>
          <w:u w:val="single"/>
        </w:rPr>
        <w:t>Section 2.04</w:t>
      </w:r>
      <w:r>
        <w:rPr>
          <w:rFonts w:ascii="Times New Roman" w:hAnsi="Times New Roman"/>
          <w:caps w:val="false"/>
          <w:smallCaps w:val="false"/>
          <w:sz w:val="20"/>
        </w:rPr>
        <w:t xml:space="preserve"> and (c) the date of termination of the Term A Commitments pursuant to </w:t>
      </w:r>
      <w:r>
        <w:rPr>
          <w:rFonts w:ascii="Times New Roman" w:hAnsi="Times New Roman"/>
          <w:caps w:val="false"/>
          <w:smallCaps w:val="false"/>
          <w:sz w:val="20"/>
          <w:u w:val="single"/>
        </w:rPr>
        <w:t>Section 9.02.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Borrowing</w:t>
      </w:r>
      <w:r>
        <w:rPr>
          <w:rFonts w:ascii="Times New Roman" w:hAnsi="Times New Roman"/>
          <w:caps w:val="false"/>
          <w:smallCaps w:val="false"/>
          <w:sz w:val="20"/>
        </w:rPr>
        <w:t xml:space="preserve">” means a borrowing consisting of simultaneous Term A Loans made by each of the Term A Lenders pursuant to </w:t>
      </w:r>
      <w:r>
        <w:rPr>
          <w:rFonts w:ascii="Times New Roman" w:hAnsi="Times New Roman"/>
          <w:caps w:val="false"/>
          <w:smallCaps w:val="false"/>
          <w:sz w:val="20"/>
          <w:u w:val="single"/>
        </w:rPr>
        <w:t>Section 2.01(a).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Borrowing Date</w:t>
      </w:r>
      <w:r>
        <w:rPr>
          <w:rFonts w:ascii="Times New Roman" w:hAnsi="Times New Roman"/>
          <w:caps w:val="false"/>
          <w:smallCaps w:val="false"/>
          <w:sz w:val="20"/>
        </w:rPr>
        <w:t xml:space="preserve">” means the date that the Term A Borrowing shall be made pursuant to </w:t>
      </w:r>
      <w:r>
        <w:rPr>
          <w:rFonts w:ascii="Times New Roman" w:hAnsi="Times New Roman"/>
          <w:caps w:val="false"/>
          <w:smallCaps w:val="false"/>
          <w:sz w:val="20"/>
          <w:u w:val="single"/>
        </w:rPr>
        <w:t>Section 2.01(a).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Commitment</w:t>
      </w:r>
      <w:r>
        <w:rPr>
          <w:rFonts w:ascii="Times New Roman" w:hAnsi="Times New Roman"/>
          <w:caps w:val="false"/>
          <w:smallCaps w:val="false"/>
          <w:sz w:val="20"/>
        </w:rPr>
        <w:t xml:space="preserve">” means, as to each Term A Lender, its obligation to make a Term A Loan to the Borrower pursuant to </w:t>
      </w:r>
      <w:r>
        <w:rPr>
          <w:rFonts w:ascii="Times New Roman" w:hAnsi="Times New Roman"/>
          <w:caps w:val="false"/>
          <w:smallCaps w:val="false"/>
          <w:sz w:val="20"/>
          <w:u w:val="single"/>
        </w:rPr>
        <w:t>Section 2.01(a),</w:t>
      </w:r>
      <w:r>
        <w:rPr>
          <w:rFonts w:ascii="Times New Roman" w:hAnsi="Times New Roman"/>
          <w:caps w:val="false"/>
          <w:smallCaps w:val="false"/>
          <w:sz w:val="20"/>
        </w:rPr>
        <w:t xml:space="preserve"> in the principal amount set forth opposite such Lender’s name on </w:t>
      </w:r>
      <w:r>
        <w:rPr>
          <w:rFonts w:ascii="Times New Roman" w:hAnsi="Times New Roman"/>
          <w:caps w:val="false"/>
          <w:smallCaps w:val="false"/>
          <w:sz w:val="20"/>
          <w:u w:val="single"/>
        </w:rPr>
        <w:t>Schedule 2.01.</w:t>
      </w:r>
      <w:r>
        <w:rPr>
          <w:rFonts w:ascii="Times New Roman" w:hAnsi="Times New Roman"/>
          <w:caps w:val="false"/>
          <w:smallCaps w:val="false"/>
          <w:sz w:val="20"/>
        </w:rPr>
        <w:t xml:space="preserve"> The aggregate principal amount of the Term A Commitments of all of the Term A Lenders as in effect on the Closing Date is ONE HUNDRED TWENTY-FIVE MILLION DOLLARS ($125,000,000).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Draw Conditions</w:t>
      </w:r>
      <w:r>
        <w:rPr>
          <w:rFonts w:ascii="Times New Roman" w:hAnsi="Times New Roman"/>
          <w:caps w:val="false"/>
          <w:smallCaps w:val="false"/>
          <w:sz w:val="20"/>
        </w:rPr>
        <w:t xml:space="preserve">” means the condition that the Borrower shall have delivered (on or before the date that the Term A Borrowing is requested in accordance with </w:t>
      </w:r>
      <w:r>
        <w:rPr>
          <w:rFonts w:ascii="Times New Roman" w:hAnsi="Times New Roman"/>
          <w:caps w:val="false"/>
          <w:smallCaps w:val="false"/>
          <w:sz w:val="20"/>
          <w:u w:val="single"/>
        </w:rPr>
        <w:t>Section 2.02(a)</w:t>
      </w:r>
      <w:r>
        <w:rPr>
          <w:rFonts w:ascii="Times New Roman" w:hAnsi="Times New Roman"/>
          <w:caps w:val="false"/>
          <w:smallCaps w:val="false"/>
          <w:sz w:val="20"/>
        </w:rPr>
        <w:t xml:space="preserve">) to the Administrative Agent (i) a certificate of a Responsible Financial Officer of the Borrower (in form and substance reasonably satisfactory to the Administrative Agent) certifying, and such other evidence as the Administrative Agent may request demonstrating, that the FDA has approved Borrower’s NDA for the testing, manufacturing, marketing and commercial sale in the United States of Orladeyo for prophylaxis to prevent attacks of hereditary angioedema (HAE) in adults and adolescent patients 12 years and older with either (a) a final product label consistent with the draft Orladeyo label in the form attached hereto as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or (b) such other a final product label approved by the Required Lenders in writing, in their sole discretion and (ii) evidence satisfactory to the Administrative Agent that the Loan Parties are in compliance with the requirements set forth in </w:t>
      </w:r>
      <w:r>
        <w:rPr>
          <w:rFonts w:ascii="Times New Roman" w:hAnsi="Times New Roman"/>
          <w:caps w:val="false"/>
          <w:smallCaps w:val="false"/>
          <w:sz w:val="20"/>
          <w:u w:val="single"/>
        </w:rPr>
        <w:t>Section 8.16(i)</w:t>
      </w:r>
      <w:r>
        <w:rPr>
          <w:rFonts w:ascii="Times New Roman" w:hAnsi="Times New Roman"/>
          <w:caps w:val="false"/>
          <w:smallCaps w:val="false"/>
          <w:sz w:val="20"/>
        </w:rPr>
        <w:t xml:space="preserve"> immediately prior to the Term A Borrowing.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Facility</w:t>
      </w:r>
      <w:r>
        <w:rPr>
          <w:rFonts w:ascii="Times New Roman" w:hAnsi="Times New Roman"/>
          <w:caps w:val="false"/>
          <w:smallCaps w:val="false"/>
          <w:sz w:val="20"/>
        </w:rPr>
        <w:t>” means, at any time, (a) on or prior to the Term A Borrowing Date, the aggregate amount of the Term A Commitments at such time and (b) thereafter, the aggregate principal amount of the Term A Loans of all Term A Lenders outstanding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Lender</w:t>
      </w:r>
      <w:r>
        <w:rPr>
          <w:rFonts w:ascii="Times New Roman" w:hAnsi="Times New Roman"/>
          <w:caps w:val="false"/>
          <w:smallCaps w:val="false"/>
          <w:sz w:val="20"/>
        </w:rPr>
        <w:t>” means (a) at any time on or prior to the Term A Borrowing Date, any Lender that has a Term A Commitment at such time and (b) at any time thereafter, any Lender that holds one or more Term A Loans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Loan</w:t>
      </w:r>
      <w:r>
        <w:rPr>
          <w:rFonts w:ascii="Times New Roman" w:hAnsi="Times New Roman"/>
          <w:caps w:val="false"/>
          <w:smallCaps w:val="false"/>
          <w:sz w:val="20"/>
        </w:rPr>
        <w:t>” means an advance made by any Term A Lender under the Term A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A Note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2.08.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Availability Period</w:t>
      </w:r>
      <w:r>
        <w:rPr>
          <w:rFonts w:ascii="Times New Roman" w:hAnsi="Times New Roman"/>
          <w:caps w:val="false"/>
          <w:smallCaps w:val="false"/>
          <w:sz w:val="20"/>
        </w:rPr>
        <w:t xml:space="preserve">” means the period commencing on and including the Term A Borrowing Date and ending on the earliest of (a) [***], (b) the date of termination of the Term B Commitments pursuant to </w:t>
      </w:r>
      <w:r>
        <w:rPr>
          <w:rFonts w:ascii="Times New Roman" w:hAnsi="Times New Roman"/>
          <w:caps w:val="false"/>
          <w:smallCaps w:val="false"/>
          <w:sz w:val="20"/>
          <w:u w:val="single"/>
        </w:rPr>
        <w:t>Section 2.04</w:t>
      </w:r>
      <w:r>
        <w:rPr>
          <w:rFonts w:ascii="Times New Roman" w:hAnsi="Times New Roman"/>
          <w:caps w:val="false"/>
          <w:smallCaps w:val="false"/>
          <w:sz w:val="20"/>
        </w:rPr>
        <w:t xml:space="preserve"> and (c) the date of termination of the Term B Commitments pursuant to </w:t>
      </w:r>
      <w:r>
        <w:rPr>
          <w:rFonts w:ascii="Times New Roman" w:hAnsi="Times New Roman"/>
          <w:caps w:val="false"/>
          <w:smallCaps w:val="false"/>
          <w:sz w:val="20"/>
          <w:u w:val="single"/>
        </w:rPr>
        <w:t>Section 9.02.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Borrowing</w:t>
      </w:r>
      <w:r>
        <w:rPr>
          <w:rFonts w:ascii="Times New Roman" w:hAnsi="Times New Roman"/>
          <w:caps w:val="false"/>
          <w:smallCaps w:val="false"/>
          <w:sz w:val="20"/>
        </w:rPr>
        <w:t xml:space="preserve">” means a borrowing consisting of simultaneous Term B Loans made by each of the Term B Lenders pursuant to </w:t>
      </w:r>
      <w:r>
        <w:rPr>
          <w:rFonts w:ascii="Times New Roman" w:hAnsi="Times New Roman"/>
          <w:caps w:val="false"/>
          <w:smallCaps w:val="false"/>
          <w:sz w:val="20"/>
          <w:u w:val="single"/>
        </w:rPr>
        <w:t>Section 2.01(b).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Borrowing Date</w:t>
      </w:r>
      <w:r>
        <w:rPr>
          <w:rFonts w:ascii="Times New Roman" w:hAnsi="Times New Roman"/>
          <w:caps w:val="false"/>
          <w:smallCaps w:val="false"/>
          <w:sz w:val="20"/>
        </w:rPr>
        <w:t xml:space="preserve">” means the date that the Term B Borrowing shall be made pursuant to </w:t>
      </w:r>
      <w:r>
        <w:rPr>
          <w:rFonts w:ascii="Times New Roman" w:hAnsi="Times New Roman"/>
          <w:caps w:val="false"/>
          <w:smallCaps w:val="false"/>
          <w:sz w:val="20"/>
          <w:u w:val="single"/>
        </w:rPr>
        <w:t>Section 2.01(b).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Commitment</w:t>
      </w:r>
      <w:r>
        <w:rPr>
          <w:rFonts w:ascii="Times New Roman" w:hAnsi="Times New Roman"/>
          <w:caps w:val="false"/>
          <w:smallCaps w:val="false"/>
          <w:sz w:val="20"/>
        </w:rPr>
        <w:t xml:space="preserve">” means, as to each Lender, its obligation to make a Term B Loan to the Borrower pursuant to </w:t>
      </w:r>
      <w:r>
        <w:rPr>
          <w:rFonts w:ascii="Times New Roman" w:hAnsi="Times New Roman"/>
          <w:caps w:val="false"/>
          <w:smallCaps w:val="false"/>
          <w:sz w:val="20"/>
          <w:u w:val="single"/>
        </w:rPr>
        <w:t>Section 2.01(b),</w:t>
      </w:r>
      <w:r>
        <w:rPr>
          <w:rFonts w:ascii="Times New Roman" w:hAnsi="Times New Roman"/>
          <w:caps w:val="false"/>
          <w:smallCaps w:val="false"/>
          <w:sz w:val="20"/>
        </w:rPr>
        <w:t xml:space="preserve"> in the principal amount set forth opposite such Lender’s name on </w:t>
      </w:r>
      <w:r>
        <w:rPr>
          <w:rFonts w:ascii="Times New Roman" w:hAnsi="Times New Roman"/>
          <w:caps w:val="false"/>
          <w:smallCaps w:val="false"/>
          <w:sz w:val="20"/>
          <w:u w:val="single"/>
        </w:rPr>
        <w:t>Schedule 2.01.</w:t>
      </w:r>
      <w:r>
        <w:rPr>
          <w:rFonts w:ascii="Times New Roman" w:hAnsi="Times New Roman"/>
          <w:caps w:val="false"/>
          <w:smallCaps w:val="false"/>
          <w:sz w:val="20"/>
        </w:rPr>
        <w:t xml:space="preserve"> The aggregate principal amount of the Term B Commitments of all of the Lenders as in effect on the Closing Date is TWENTY-FIVE MILLION DOLLARS ($25,000,000).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Draw Conditions</w:t>
      </w:r>
      <w:r>
        <w:rPr>
          <w:rFonts w:ascii="Times New Roman" w:hAnsi="Times New Roman"/>
          <w:caps w:val="false"/>
          <w:smallCaps w:val="false"/>
          <w:sz w:val="20"/>
        </w:rPr>
        <w:t xml:space="preserve">” means the conditions that (i) the Borrower shall have delivered (on or before the date that the Term B Borrowing is requested in accordance with </w:t>
      </w:r>
      <w:r>
        <w:rPr>
          <w:rFonts w:ascii="Times New Roman" w:hAnsi="Times New Roman"/>
          <w:caps w:val="false"/>
          <w:smallCaps w:val="false"/>
          <w:sz w:val="20"/>
          <w:u w:val="single"/>
        </w:rPr>
        <w:t>Section 2.02(a)</w:t>
      </w:r>
      <w:r>
        <w:rPr>
          <w:rFonts w:ascii="Times New Roman" w:hAnsi="Times New Roman"/>
          <w:caps w:val="false"/>
          <w:smallCaps w:val="false"/>
          <w:sz w:val="20"/>
        </w:rPr>
        <w:t xml:space="preserve">) to the Administrative Agent (a) a certificate of a Responsible Financial Officer of the Borrower (in form and substance reasonably satisfactory to the Administrative Agent) certifying, and such other evidence as the Administrative Agent may request demonstrating, that Orladeyo Consolidated U.S. Net Product Sales for any [***] period ending on or before [***] were at least $[***] and (b) evidence satisfactory to the Administrative Agent that the Loan Parties are in compliance with the requirements set forth in </w:t>
      </w:r>
      <w:r>
        <w:rPr>
          <w:rFonts w:ascii="Times New Roman" w:hAnsi="Times New Roman"/>
          <w:caps w:val="false"/>
          <w:smallCaps w:val="false"/>
          <w:sz w:val="20"/>
          <w:u w:val="single"/>
        </w:rPr>
        <w:t>Section 8.16(ii)</w:t>
      </w:r>
      <w:r>
        <w:rPr>
          <w:rFonts w:ascii="Times New Roman" w:hAnsi="Times New Roman"/>
          <w:caps w:val="false"/>
          <w:smallCaps w:val="false"/>
          <w:sz w:val="20"/>
        </w:rPr>
        <w:t xml:space="preserve"> immediately prior to the Term B Borrowing, and (ii) if the date on which the Term B Borrowing is requested in accordance with </w:t>
      </w:r>
      <w:r>
        <w:rPr>
          <w:rFonts w:ascii="Times New Roman" w:hAnsi="Times New Roman"/>
          <w:caps w:val="false"/>
          <w:smallCaps w:val="false"/>
          <w:sz w:val="20"/>
          <w:u w:val="single"/>
        </w:rPr>
        <w:t>Section 2.02(a)</w:t>
      </w:r>
      <w:r>
        <w:rPr>
          <w:rFonts w:ascii="Times New Roman" w:hAnsi="Times New Roman"/>
          <w:caps w:val="false"/>
          <w:smallCaps w:val="false"/>
          <w:sz w:val="20"/>
        </w:rPr>
        <w:t xml:space="preserve"> is on or prior to the Term A Borrowing Date, the Term A Borrowing shall have occurred prior to (or contemporaneously with) the Term B Borrowing.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Facility</w:t>
      </w:r>
      <w:r>
        <w:rPr>
          <w:rFonts w:ascii="Times New Roman" w:hAnsi="Times New Roman"/>
          <w:caps w:val="false"/>
          <w:smallCaps w:val="false"/>
          <w:sz w:val="20"/>
        </w:rPr>
        <w:t>” means, at any time, (a) on or prior to the Term B Borrowing Date, the aggregate amount of the Term B Commitments at such time and (b) thereafter, the aggregate principal amount of the Term B Loans of all Term B Lenders outstanding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Lender</w:t>
      </w:r>
      <w:r>
        <w:rPr>
          <w:rFonts w:ascii="Times New Roman" w:hAnsi="Times New Roman"/>
          <w:caps w:val="false"/>
          <w:smallCaps w:val="false"/>
          <w:sz w:val="20"/>
        </w:rPr>
        <w:t>” means (a) at any time on or prior to the Term B Borrowing Date, any Lender that has a Term B Commitment at such time and (b) at any time thereafter, any Lender that holds one or more Term B Loans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Loan</w:t>
      </w:r>
      <w:r>
        <w:rPr>
          <w:rFonts w:ascii="Times New Roman" w:hAnsi="Times New Roman"/>
          <w:caps w:val="false"/>
          <w:smallCaps w:val="false"/>
          <w:sz w:val="20"/>
        </w:rPr>
        <w:t>” means an advance made by any Term B Lender under the Term B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B Note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2.08</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Availability Period</w:t>
      </w:r>
      <w:r>
        <w:rPr>
          <w:rFonts w:ascii="Times New Roman" w:hAnsi="Times New Roman"/>
          <w:caps w:val="false"/>
          <w:smallCaps w:val="false"/>
          <w:sz w:val="20"/>
        </w:rPr>
        <w:t xml:space="preserve">” means the period commencing on and including the Term B Borrowing Date and ending on the earliest of (a) [***], (b) the date of termination of the Term C Commitments pursuant to </w:t>
      </w:r>
      <w:r>
        <w:rPr>
          <w:rFonts w:ascii="Times New Roman" w:hAnsi="Times New Roman"/>
          <w:caps w:val="false"/>
          <w:smallCaps w:val="false"/>
          <w:sz w:val="20"/>
          <w:u w:val="single"/>
        </w:rPr>
        <w:t>Section 2.04</w:t>
      </w:r>
      <w:r>
        <w:rPr>
          <w:rFonts w:ascii="Times New Roman" w:hAnsi="Times New Roman"/>
          <w:caps w:val="false"/>
          <w:smallCaps w:val="false"/>
          <w:sz w:val="20"/>
        </w:rPr>
        <w:t xml:space="preserve">, (c) the date of termination of the Term C Commitments pursuant to </w:t>
      </w:r>
      <w:r>
        <w:rPr>
          <w:rFonts w:ascii="Times New Roman" w:hAnsi="Times New Roman"/>
          <w:caps w:val="false"/>
          <w:smallCaps w:val="false"/>
          <w:sz w:val="20"/>
          <w:u w:val="single"/>
        </w:rPr>
        <w:t>Section 9.02</w:t>
      </w:r>
      <w:r>
        <w:rPr>
          <w:rFonts w:ascii="Times New Roman" w:hAnsi="Times New Roman"/>
          <w:caps w:val="false"/>
          <w:smallCaps w:val="false"/>
          <w:sz w:val="20"/>
        </w:rPr>
        <w:t xml:space="preserve"> and (d) the repayment in full of the Term A Loans and/or the Term B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Borrowing</w:t>
      </w:r>
      <w:r>
        <w:rPr>
          <w:rFonts w:ascii="Times New Roman" w:hAnsi="Times New Roman"/>
          <w:caps w:val="false"/>
          <w:smallCaps w:val="false"/>
          <w:sz w:val="20"/>
        </w:rPr>
        <w:t xml:space="preserve">” means a borrowing consisting of simultaneous Term C Loans made by each of the Term C Lenders pursuant to </w:t>
      </w:r>
      <w:r>
        <w:rPr>
          <w:rFonts w:ascii="Times New Roman" w:hAnsi="Times New Roman"/>
          <w:caps w:val="false"/>
          <w:smallCaps w:val="false"/>
          <w:sz w:val="20"/>
          <w:u w:val="single"/>
        </w:rPr>
        <w:t>Section 2.01(c)</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Borrowing Date</w:t>
      </w:r>
      <w:r>
        <w:rPr>
          <w:rFonts w:ascii="Times New Roman" w:hAnsi="Times New Roman"/>
          <w:caps w:val="false"/>
          <w:smallCaps w:val="false"/>
          <w:sz w:val="20"/>
        </w:rPr>
        <w:t xml:space="preserve">” means the date that the Term C Borrowing shall be made pursuant to </w:t>
      </w:r>
      <w:r>
        <w:rPr>
          <w:rFonts w:ascii="Times New Roman" w:hAnsi="Times New Roman"/>
          <w:caps w:val="false"/>
          <w:smallCaps w:val="false"/>
          <w:sz w:val="20"/>
          <w:u w:val="single"/>
        </w:rPr>
        <w:t>Section 2.01(c).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Commitment</w:t>
      </w:r>
      <w:r>
        <w:rPr>
          <w:rFonts w:ascii="Times New Roman" w:hAnsi="Times New Roman"/>
          <w:caps w:val="false"/>
          <w:smallCaps w:val="false"/>
          <w:sz w:val="20"/>
        </w:rPr>
        <w:t xml:space="preserve">” means, as to each Lender, its obligation to make a Term C Loan to the Borrower pursuant to </w:t>
      </w:r>
      <w:r>
        <w:rPr>
          <w:rFonts w:ascii="Times New Roman" w:hAnsi="Times New Roman"/>
          <w:caps w:val="false"/>
          <w:smallCaps w:val="false"/>
          <w:sz w:val="20"/>
          <w:u w:val="single"/>
        </w:rPr>
        <w:t>Section 2.01(c)</w:t>
      </w:r>
      <w:r>
        <w:rPr>
          <w:rFonts w:ascii="Times New Roman" w:hAnsi="Times New Roman"/>
          <w:caps w:val="false"/>
          <w:smallCaps w:val="false"/>
          <w:sz w:val="20"/>
        </w:rPr>
        <w:t xml:space="preserve">, in the principal amount set forth opposite such Lender’s name on </w:t>
      </w:r>
      <w:r>
        <w:rPr>
          <w:rFonts w:ascii="Times New Roman" w:hAnsi="Times New Roman"/>
          <w:caps w:val="false"/>
          <w:smallCaps w:val="false"/>
          <w:sz w:val="20"/>
          <w:u w:val="single"/>
        </w:rPr>
        <w:t>Schedule 2.01</w:t>
      </w:r>
      <w:r>
        <w:rPr>
          <w:rFonts w:ascii="Times New Roman" w:hAnsi="Times New Roman"/>
          <w:caps w:val="false"/>
          <w:smallCaps w:val="false"/>
          <w:sz w:val="20"/>
        </w:rPr>
        <w:t>. The aggregate principal amount of the Term C Commitments of all of the Lenders as in effect on the Closing Date is FIFTY MILLION DOLLARS ($50,000,000).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Draw Conditions</w:t>
      </w:r>
      <w:r>
        <w:rPr>
          <w:rFonts w:ascii="Times New Roman" w:hAnsi="Times New Roman"/>
          <w:caps w:val="false"/>
          <w:smallCaps w:val="false"/>
          <w:sz w:val="20"/>
        </w:rPr>
        <w:t xml:space="preserve">” means the conditions that (i) the Borrower shall have delivered (on or before the date that the Term C Borrowing is requested in accordance with </w:t>
      </w:r>
      <w:r>
        <w:rPr>
          <w:rFonts w:ascii="Times New Roman" w:hAnsi="Times New Roman"/>
          <w:caps w:val="false"/>
          <w:smallCaps w:val="false"/>
          <w:sz w:val="20"/>
          <w:u w:val="single"/>
        </w:rPr>
        <w:t>Section 2.02(a)</w:t>
      </w:r>
      <w:r>
        <w:rPr>
          <w:rFonts w:ascii="Times New Roman" w:hAnsi="Times New Roman"/>
          <w:caps w:val="false"/>
          <w:smallCaps w:val="false"/>
          <w:sz w:val="20"/>
        </w:rPr>
        <w:t xml:space="preserve">) to the Administrative Agent (a) a certificate of a Responsible Financial Officer of the Borrower (in form and substance reasonably satisfactory to the Administrative Agent) certifying, and such other evidence as the Administrative Agent may request demonstrating, that Orladeyo Consolidated U.S. Net Product Sales for any [***] period ending on or before [***] were at least $[***] and (b) evidence satisfactory to the Administrative Agent that the Loan Parties are in compliance with the requirements set forth in </w:t>
      </w:r>
      <w:r>
        <w:rPr>
          <w:rFonts w:ascii="Times New Roman" w:hAnsi="Times New Roman"/>
          <w:caps w:val="false"/>
          <w:smallCaps w:val="false"/>
          <w:sz w:val="20"/>
          <w:u w:val="single"/>
        </w:rPr>
        <w:t>Section 8.16(iii)</w:t>
      </w:r>
      <w:r>
        <w:rPr>
          <w:rFonts w:ascii="Times New Roman" w:hAnsi="Times New Roman"/>
          <w:caps w:val="false"/>
          <w:smallCaps w:val="false"/>
          <w:sz w:val="20"/>
        </w:rPr>
        <w:t xml:space="preserve"> immediately prior to the Term C Borrowing, and (ii) if the date on which the Term C Borrowing is requested in accordance with </w:t>
      </w:r>
      <w:r>
        <w:rPr>
          <w:rFonts w:ascii="Times New Roman" w:hAnsi="Times New Roman"/>
          <w:caps w:val="false"/>
          <w:smallCaps w:val="false"/>
          <w:sz w:val="20"/>
          <w:u w:val="single"/>
        </w:rPr>
        <w:t>Section 2.02(a)</w:t>
      </w:r>
      <w:r>
        <w:rPr>
          <w:rFonts w:ascii="Times New Roman" w:hAnsi="Times New Roman"/>
          <w:caps w:val="false"/>
          <w:smallCaps w:val="false"/>
          <w:sz w:val="20"/>
        </w:rPr>
        <w:t xml:space="preserve"> is on or prior to the Term A Borrowing Date and/or the Term B Borrowing Date, the Term A Borrowing and the Term B Borrowing shall have occurred prior to (or contemporaneously with) the Term C Borrowing.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Facility</w:t>
      </w:r>
      <w:r>
        <w:rPr>
          <w:rFonts w:ascii="Times New Roman" w:hAnsi="Times New Roman"/>
          <w:caps w:val="false"/>
          <w:smallCaps w:val="false"/>
          <w:sz w:val="20"/>
        </w:rPr>
        <w:t>” means, at any time, (a) on or prior to the Term C Borrowing Date, the aggregate amount of the Term C Commitments at such time and (b) thereafter, the aggregate principal amount of the Term C Loans of all Term C Lenders outstanding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Lender</w:t>
      </w:r>
      <w:r>
        <w:rPr>
          <w:rFonts w:ascii="Times New Roman" w:hAnsi="Times New Roman"/>
          <w:caps w:val="false"/>
          <w:smallCaps w:val="false"/>
          <w:sz w:val="20"/>
        </w:rPr>
        <w:t>” means (a) at any time on or prior to the Term C Borrowing Date, any Lender that has a Term C Commitment at such time and (b) at any time thereafter, any Lender that holds one or more Term C Loans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Loan</w:t>
      </w:r>
      <w:r>
        <w:rPr>
          <w:rFonts w:ascii="Times New Roman" w:hAnsi="Times New Roman"/>
          <w:caps w:val="false"/>
          <w:smallCaps w:val="false"/>
          <w:sz w:val="20"/>
        </w:rPr>
        <w:t>” means an advance made by any Term C Lender under the Term C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C Note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2.08</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Test Date</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8.17</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Third Party</w:t>
      </w:r>
      <w:r>
        <w:rPr>
          <w:rFonts w:ascii="Times New Roman" w:hAnsi="Times New Roman"/>
          <w:caps w:val="false"/>
          <w:smallCaps w:val="false"/>
          <w:sz w:val="20"/>
        </w:rPr>
        <w:t>” means any Person other than the Borrower, any Subsidiary thereof or any Affiliate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Third Party Payor</w:t>
      </w:r>
      <w:r>
        <w:rPr>
          <w:rFonts w:ascii="Times New Roman" w:hAnsi="Times New Roman"/>
          <w:caps w:val="false"/>
          <w:smallCaps w:val="false"/>
          <w:sz w:val="20"/>
        </w:rPr>
        <w:t>” means (i) a commercial medical insurance company, health maintenance organization, professional provider organization or other third party payor that reimburses providers for diagnostic laboratory services provided to individual patients, (ii) a nonprofit medical insurance company (such as the Blue Cross, Blue Shield entities), and (iii) a Government Account Debtor making payments under a Government Reimbursement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Third Party Payor Arrangement</w:t>
      </w:r>
      <w:r>
        <w:rPr>
          <w:rFonts w:ascii="Times New Roman" w:hAnsi="Times New Roman"/>
          <w:caps w:val="false"/>
          <w:smallCaps w:val="false"/>
          <w:sz w:val="20"/>
        </w:rPr>
        <w:t>” shall mean a written agreement or arrangement with a Third Party Payor pursuant to which the Third Party Payor pays all or a portion of the charges of any Loan Party or its Subsidiaries for providing diagnostic laboratory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Three-Month LIBOR</w:t>
      </w:r>
      <w:r>
        <w:rPr>
          <w:rFonts w:ascii="Times New Roman" w:hAnsi="Times New Roman"/>
          <w:caps w:val="false"/>
          <w:smallCaps w:val="false"/>
          <w:sz w:val="20"/>
        </w:rPr>
        <w:t>” means, with respect to any Interest Period, a rate per annum equal to the lesser of (i) the greater of (x) 1.75% per annum and (y) the three-month London Interbank Offered Rate (or a comparable or successor rate which rate is approved by the Administrative Agent) for deposits in Dollars at approximately 11:00 a.m. (London, England time), as determined by the Administrative Agent from the appropriate Bloomberg screen page selected by the Administrative Agent (or any successor thereto or similar source reasonably determined by the Administrative Agent from time to time), two (2) Business Days prior to the first day of such Interest Period, adjusted for any reserve requirement and any subsequent costs arising from a change in governmental regulation, if applicable, such rate to be rounded up to the nearest 1/16 of 1% and (ii) 3.50% per annum. The Administrative Agent’s determination of Three-Month LIBOR and internal records of applicable interest rates shall be determinative in the absence of manifest error. For all purposes hereunder, in no event shall Three-Month LIBOR be less than 1.75% or greater than 3.50%.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Three-Month Treasury Rate</w:t>
      </w:r>
      <w:r>
        <w:rPr>
          <w:rFonts w:ascii="Times New Roman" w:hAnsi="Times New Roman"/>
          <w:caps w:val="false"/>
          <w:smallCaps w:val="false"/>
          <w:sz w:val="20"/>
        </w:rPr>
        <w:t>” means, as of any date of determination, the weekly average yield as of such date of determination of actually traded United States Treasury securities adjusted to a constant maturity of three (3) months (as compiled and published in the most recent Federal Reserve Statistical Release H.15(519) that has become publicly available at least two (2) Business Days prior to such date of determination (or, if such Federal Reserve Statistical Release H.15(519) is no longer published, any publicly available source of similar market data)). For the avoidance of doubt, this calculation is based on yields on actively traded non-inflation-indexed issues adjusted to constant maturities.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Threshold Amount</w:t>
      </w:r>
      <w:r>
        <w:rPr>
          <w:rFonts w:ascii="Times New Roman" w:hAnsi="Times New Roman"/>
          <w:caps w:val="false"/>
          <w:smallCaps w:val="false"/>
          <w:sz w:val="20"/>
        </w:rPr>
        <w:t>” means an amount equal to [***]% of the aggregate outstanding principal amount of the Loans on any date after giving effect to any borrowings made on or before such date but without giving effect to any prepayments or repayments of Loans occurring on or before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Total Credit Exposure</w:t>
      </w:r>
      <w:r>
        <w:rPr>
          <w:rFonts w:ascii="Times New Roman" w:hAnsi="Times New Roman"/>
          <w:caps w:val="false"/>
          <w:smallCaps w:val="false"/>
          <w:sz w:val="20"/>
        </w:rPr>
        <w:t>” means, as to any Lender at any time, the unused Commitments of such Lender and the Outstanding Amount of all Loans of such Lender at such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Trademark License</w:t>
      </w:r>
      <w:r>
        <w:rPr>
          <w:rFonts w:ascii="Times New Roman" w:hAnsi="Times New Roman"/>
          <w:caps w:val="false"/>
          <w:smallCaps w:val="false"/>
          <w:sz w:val="20"/>
        </w:rPr>
        <w:t>” means any agreement, written or oral, providing for the grant of any right to use any Trademark.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Trademarks</w:t>
      </w:r>
      <w:r>
        <w:rPr>
          <w:rFonts w:ascii="Times New Roman" w:hAnsi="Times New Roman"/>
          <w:caps w:val="false"/>
          <w:smallCaps w:val="false"/>
          <w:sz w:val="20"/>
        </w:rPr>
        <w:t>” means all statutory and common-law trademarks, trade names, corporate names, company names, business names, fictitious business names, trade styles, service marks, logos and other source or business identifiers, and the goodwill associated therewith, now existing or hereafter adopted or acquired, all registrations and recordings thereof, and all applications to register in connection therewith, under the laws of the United States, any state thereof, the Netherlands, any political subdivision thereof or any other country or any political subdivision thereof, or otherwise, for the full term and all renewals thereof, which are owned by the Borrower or any Subsidiary or which the Borrower or any Subsidiary is licensed, authorized or otherwise granted rights under or to, and which are used by the Borrower or any other Person to manufacture, develop, import, market, promote, advertise, offer for sale, sell, use, provide and/or otherwise distribute a Product 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Trade Secrets</w:t>
      </w:r>
      <w:r>
        <w:rPr>
          <w:rFonts w:ascii="Times New Roman" w:hAnsi="Times New Roman"/>
          <w:caps w:val="false"/>
          <w:smallCaps w:val="false"/>
          <w:sz w:val="20"/>
        </w:rPr>
        <w:t>” means any data or information that is not commonly known by or available to the public, and which (a) derives economic value, actual or potential, from not being generally known to and not being readily ascertainable by proper means by other Persons who can obtain economic value from its disclosure or use, (b) is the subject of efforts that are reasonable under the circumstances to maintain its secrecy, and (c) which are owned by the Borrower or any Subsidiary or which the Borrower or any Subsidiary is licensed, authorized or otherwise granted rights under or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Transaction</w:t>
      </w:r>
      <w:r>
        <w:rPr>
          <w:rFonts w:ascii="Times New Roman" w:hAnsi="Times New Roman"/>
          <w:caps w:val="false"/>
          <w:smallCaps w:val="false"/>
          <w:sz w:val="20"/>
        </w:rPr>
        <w:t>” means, individually or collectively as the context may indicate, (a) the payoff of all Existing Indebtedness on the Term A Borrowing Date, (b) the entering by the Borrower and the other Loan Parties of the Loan Documents to which they are a party and incurrence of the Term A Borrowing and (c) the payment of fees, costs and expenses in connection with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Treasury Regulations</w:t>
      </w:r>
      <w:r>
        <w:rPr>
          <w:rFonts w:ascii="Times New Roman" w:hAnsi="Times New Roman"/>
          <w:caps w:val="false"/>
          <w:smallCaps w:val="false"/>
          <w:sz w:val="20"/>
        </w:rPr>
        <w:t>” means the regulations, including temporary regulations, promulgated by the United States Treasury Department under the Internal Revenue Code, as such regulations may be amended from time to time (including the corresponding provisions of any future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TRICARE</w:t>
      </w:r>
      <w:r>
        <w:rPr>
          <w:rFonts w:ascii="Times New Roman" w:hAnsi="Times New Roman"/>
          <w:caps w:val="false"/>
          <w:smallCaps w:val="false"/>
          <w:sz w:val="20"/>
        </w:rPr>
        <w:t>” means the program administered pursuant to 10 U.S.C. Section 1071 (et. seq), Sections 1320a-7 and 1320a-7a of Title 42 of the United States Code and the regulations promulgated pursuant to such statutes.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UK Financial Institution</w:t>
      </w:r>
      <w:r>
        <w:rPr>
          <w:rFonts w:ascii="Times New Roman" w:hAnsi="Times New Roman"/>
          <w:caps w:val="false"/>
          <w:smallCaps w:val="false"/>
          <w:sz w:val="20"/>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UK Resolution Authority</w:t>
      </w:r>
      <w:r>
        <w:rPr>
          <w:rFonts w:ascii="Times New Roman" w:hAnsi="Times New Roman"/>
          <w:caps w:val="false"/>
          <w:smallCaps w:val="false"/>
          <w:sz w:val="20"/>
        </w:rPr>
        <w:t>” means the Bank of England or any other public administrative authority having responsibility for the resolution of any UK Financial Institution.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Uniform Commercial Code</w:t>
      </w:r>
      <w:r>
        <w:rPr>
          <w:rFonts w:ascii="Times New Roman" w:hAnsi="Times New Roman"/>
          <w:caps w:val="false"/>
          <w:smallCaps w:val="false"/>
          <w:sz w:val="20"/>
        </w:rPr>
        <w:t>” or “</w:t>
      </w:r>
      <w:r>
        <w:rPr>
          <w:rFonts w:ascii="Times New Roman" w:hAnsi="Times New Roman"/>
          <w:caps w:val="false"/>
          <w:smallCaps w:val="false"/>
          <w:sz w:val="20"/>
          <w:u w:val="single"/>
        </w:rPr>
        <w:t>UCC</w:t>
      </w:r>
      <w:r>
        <w:rPr>
          <w:rFonts w:ascii="Times New Roman" w:hAnsi="Times New Roman"/>
          <w:caps w:val="false"/>
          <w:smallCaps w:val="false"/>
          <w:sz w:val="20"/>
        </w:rPr>
        <w:t>” means the Uniform Commercial Code as in effect in the State of New York; provided, that, if perfection or the effect of perfection or non-perfection or the priority of any security interest in any Collateral is governed by the Uniform Commercial Code as in effect in a jurisdiction other than the State of New York, “Uniform Commercial Code” means the Uniform Commercial Code as in effect from time to time in such other jurisdiction for purposes of the provisions hereof or of the other Loan Documents relating to such perfection, effect of perfection or non-perfection or priority.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United States</w:t>
      </w:r>
      <w:r>
        <w:rPr>
          <w:rFonts w:ascii="Times New Roman" w:hAnsi="Times New Roman"/>
          <w:caps w:val="false"/>
          <w:smallCaps w:val="false"/>
          <w:sz w:val="20"/>
        </w:rPr>
        <w:t>” and “</w:t>
      </w:r>
      <w:r>
        <w:rPr>
          <w:rFonts w:ascii="Times New Roman" w:hAnsi="Times New Roman"/>
          <w:caps w:val="false"/>
          <w:smallCaps w:val="false"/>
          <w:sz w:val="20"/>
          <w:u w:val="single"/>
        </w:rPr>
        <w:t>U.S.</w:t>
      </w:r>
      <w:r>
        <w:rPr>
          <w:rFonts w:ascii="Times New Roman" w:hAnsi="Times New Roman"/>
          <w:caps w:val="false"/>
          <w:smallCaps w:val="false"/>
          <w:sz w:val="20"/>
        </w:rPr>
        <w:t>” mean the United States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Unrestricted Cash</w:t>
      </w:r>
      <w:r>
        <w:rPr>
          <w:rFonts w:ascii="Times New Roman" w:hAnsi="Times New Roman"/>
          <w:caps w:val="false"/>
          <w:smallCaps w:val="false"/>
          <w:sz w:val="20"/>
        </w:rPr>
        <w:t xml:space="preserve">” means cash or Cash Equivalents of the Loan Parties (without duplication), that (a) do not appear (or would not be required to appear) as “restricted” on a consolidated balance sheet of the Borrower as determined in accordance with GAAP, and (b) are not subject to any Lien in favor of any Person (other than rights of setoff permitted under </w:t>
      </w:r>
      <w:r>
        <w:rPr>
          <w:rFonts w:ascii="Times New Roman" w:hAnsi="Times New Roman"/>
          <w:caps w:val="false"/>
          <w:smallCaps w:val="false"/>
          <w:sz w:val="20"/>
          <w:u w:val="single"/>
        </w:rPr>
        <w:t>Section 8.01(l)</w:t>
      </w:r>
      <w:r>
        <w:rPr>
          <w:rFonts w:ascii="Times New Roman" w:hAnsi="Times New Roman"/>
          <w:caps w:val="false"/>
          <w:smallCaps w:val="false"/>
          <w:sz w:val="20"/>
        </w:rPr>
        <w:t xml:space="preserve">, Liens permitted by </w:t>
      </w:r>
      <w:r>
        <w:rPr>
          <w:rFonts w:ascii="Times New Roman" w:hAnsi="Times New Roman"/>
          <w:caps w:val="false"/>
          <w:smallCaps w:val="false"/>
          <w:sz w:val="20"/>
          <w:u w:val="single"/>
        </w:rPr>
        <w:t>Section 8.01(c)</w:t>
      </w:r>
      <w:r>
        <w:rPr>
          <w:rFonts w:ascii="Times New Roman" w:hAnsi="Times New Roman"/>
          <w:caps w:val="false"/>
          <w:smallCaps w:val="false"/>
          <w:sz w:val="20"/>
        </w:rPr>
        <w:t xml:space="preserve"> and Liens in favor of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Person</w:t>
      </w:r>
      <w:r>
        <w:rPr>
          <w:rFonts w:ascii="Times New Roman" w:hAnsi="Times New Roman"/>
          <w:caps w:val="false"/>
          <w:smallCaps w:val="false"/>
          <w:sz w:val="20"/>
        </w:rPr>
        <w:t>” means a “United States Person” within the meaning of Section 7701(a)(30) of the Internal Revenue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Special Resolution Regimes</w:t>
      </w:r>
      <w:r>
        <w:rPr>
          <w:rFonts w:ascii="Times New Roman" w:hAnsi="Times New Roman"/>
          <w:caps w:val="false"/>
          <w:smallCaps w:val="false"/>
          <w:sz w:val="20"/>
        </w:rPr>
        <w:t>” has the meaning specified in Section 12.21.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U.S. Subsidiary</w:t>
      </w:r>
      <w:r>
        <w:rPr>
          <w:rFonts w:ascii="Times New Roman" w:hAnsi="Times New Roman"/>
          <w:caps w:val="false"/>
          <w:smallCaps w:val="false"/>
          <w:sz w:val="20"/>
        </w:rPr>
        <w:t>” means any Subsidiary that is organized under the laws of any state of the United States or the District of Columbia.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Voting Stock</w:t>
      </w:r>
      <w:r>
        <w:rPr>
          <w:rFonts w:ascii="Times New Roman" w:hAnsi="Times New Roman"/>
          <w:caps w:val="false"/>
          <w:smallCaps w:val="false"/>
          <w:sz w:val="20"/>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Websites</w:t>
      </w:r>
      <w:r>
        <w:rPr>
          <w:rFonts w:ascii="Times New Roman" w:hAnsi="Times New Roman"/>
          <w:caps w:val="false"/>
          <w:smallCaps w:val="false"/>
          <w:sz w:val="20"/>
        </w:rPr>
        <w:t>” means all websites that the Borrower or any Subsidiary shall operate, manage or control through a Domain Name, whether on an exclusive basis or a nonexclusive basis, including, without limitations, all content, elements, data, information, materials, hypertext markup language (HTML), software and code, works of authorship, textual works, visual works, aural works, audiovisual works and functionality embodied in, published or available through each such website and all IP Rights in each of the foregoing.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Website Agreements</w:t>
      </w:r>
      <w:r>
        <w:rPr>
          <w:rFonts w:ascii="Times New Roman" w:hAnsi="Times New Roman"/>
          <w:caps w:val="false"/>
          <w:smallCaps w:val="false"/>
          <w:sz w:val="20"/>
        </w:rPr>
        <w:t>” means all agreements between the Borrower and/or any Subsidiary and any other Person pursuant to which such Person provides any services relating to the hosting, design, operation, management or maintenance of any Website, including without limitation, all agreements with any Person providing website hosting, database management or maintenance or disaster recovery services to the Borrower and/or any Subsidiary and all agreements with any domain name registrar, as all such agreements may be amended, supplemented or otherwise modified from time to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Wholly Owned Subsidiary</w:t>
      </w:r>
      <w:r>
        <w:rPr>
          <w:rFonts w:ascii="Times New Roman" w:hAnsi="Times New Roman"/>
          <w:caps w:val="false"/>
          <w:smallCaps w:val="false"/>
          <w:sz w:val="20"/>
        </w:rPr>
        <w:t>” means any Person 100% of whose Equity Interests are at the time owned by the Borrower directly or indirectly through other Persons 100% of whose Equity Interests are at the time owned, directly or indirectly, by the Borrower.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Withholding Agent</w:t>
      </w:r>
      <w:r>
        <w:rPr>
          <w:rFonts w:ascii="Times New Roman" w:hAnsi="Times New Roman"/>
          <w:caps w:val="false"/>
          <w:smallCaps w:val="false"/>
          <w:sz w:val="20"/>
        </w:rPr>
        <w:t>” means any Loan Party, the Administrative Agent and any other Person required by applicable Law to withhold or deduct amounts from a payment made by or on account of any obligation of any Loan Party under any Loan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Work</w:t>
      </w:r>
      <w:r>
        <w:rPr>
          <w:rFonts w:ascii="Times New Roman" w:hAnsi="Times New Roman"/>
          <w:caps w:val="false"/>
          <w:smallCaps w:val="false"/>
          <w:sz w:val="20"/>
        </w:rPr>
        <w:t>” means any work or subject matter that is subject to protection pursuant to Title 17 of the United States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Write-Down and Conversion Powers</w:t>
      </w:r>
      <w:r>
        <w:rPr>
          <w:rFonts w:ascii="Times New Roman" w:hAnsi="Times New Roman"/>
          <w:caps w:val="false"/>
          <w:smallCaps w:val="false"/>
          <w:sz w:val="20"/>
        </w:rPr>
        <w:t xml:space="preserve">” means, </w:t>
      </w:r>
      <w:r>
        <w:rPr>
          <w:rFonts w:ascii="Times New Roman" w:hAnsi="Times New Roman"/>
          <w:b/>
          <w:caps w:val="false"/>
          <w:smallCaps w:val="false"/>
          <w:color w:val="0000FF"/>
          <w:sz w:val="20"/>
          <w:u w:val="single"/>
          <w:bdr w:val="double" w:sz="2" w:space="1" w:color="000000"/>
        </w:rPr>
        <w:t>(a)</w:t>
      </w:r>
      <w:r>
        <w:rPr>
          <w:rFonts w:ascii="Times New Roman" w:hAnsi="Times New Roman"/>
          <w:caps w:val="false"/>
          <w:smallCaps w:val="false"/>
          <w:sz w:val="20"/>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caps w:val="false"/>
          <w:smallCaps w:val="false"/>
          <w:sz w:val="20"/>
          <w:u w:val="single"/>
        </w:rPr>
        <w:t>Other Interpretive Provisions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reference to this Agreement and each other Loan Document, unless otherwise specified herein or in such other Loan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real and personal property and tangible and intangible assets and properties, including cash, securities, accounts, contract rights and IP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In the computation of periods of time from a specified date to a later specified date, the word “</w:t>
      </w:r>
      <w:r>
        <w:rPr>
          <w:rFonts w:ascii="Times New Roman" w:hAnsi="Times New Roman"/>
          <w:caps w:val="false"/>
          <w:smallCaps w:val="false"/>
          <w:sz w:val="20"/>
          <w:u w:val="single"/>
        </w:rPr>
        <w:t>from</w:t>
      </w:r>
      <w:r>
        <w:rPr>
          <w:rFonts w:ascii="Times New Roman" w:hAnsi="Times New Roman"/>
          <w:caps w:val="false"/>
          <w:smallCaps w:val="false"/>
          <w:sz w:val="20"/>
        </w:rPr>
        <w:t>” means “from and including;” the words “</w:t>
      </w:r>
      <w:r>
        <w:rPr>
          <w:rFonts w:ascii="Times New Roman" w:hAnsi="Times New Roman"/>
          <w:caps w:val="false"/>
          <w:smallCaps w:val="false"/>
          <w:sz w:val="20"/>
          <w:u w:val="single"/>
        </w:rPr>
        <w:t>to</w:t>
      </w:r>
      <w:r>
        <w:rPr>
          <w:rFonts w:ascii="Times New Roman" w:hAnsi="Times New Roman"/>
          <w:caps w:val="false"/>
          <w:smallCaps w:val="false"/>
          <w:sz w:val="20"/>
        </w:rPr>
        <w:t>” and “</w:t>
      </w:r>
      <w:r>
        <w:rPr>
          <w:rFonts w:ascii="Times New Roman" w:hAnsi="Times New Roman"/>
          <w:caps w:val="false"/>
          <w:smallCaps w:val="false"/>
          <w:sz w:val="20"/>
          <w:u w:val="single"/>
        </w:rPr>
        <w:t>until</w:t>
      </w:r>
      <w:r>
        <w:rPr>
          <w:rFonts w:ascii="Times New Roman" w:hAnsi="Times New Roman"/>
          <w:caps w:val="false"/>
          <w:smallCaps w:val="false"/>
          <w:sz w:val="20"/>
        </w:rPr>
        <w:t>” each mean “to but excluding;” and the word “</w:t>
      </w:r>
      <w:r>
        <w:rPr>
          <w:rFonts w:ascii="Times New Roman" w:hAnsi="Times New Roman"/>
          <w:caps w:val="false"/>
          <w:smallCaps w:val="false"/>
          <w:sz w:val="20"/>
          <w:u w:val="single"/>
        </w:rPr>
        <w:t>through</w:t>
      </w:r>
      <w:r>
        <w:rPr>
          <w:rFonts w:ascii="Times New Roman" w:hAnsi="Times New Roman"/>
          <w:caps w:val="false"/>
          <w:smallCaps w:val="false"/>
          <w:sz w:val="20"/>
        </w:rPr>
        <w:t>” means “to and including.”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Section headings herein and in the other Loan Documents are included for convenience of reference only and shall not affect the interpretation of this Agreement or any other Loan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Any reference herein to a merger, transfer,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1.03    </w:t>
      </w:r>
      <w:r>
        <w:rPr>
          <w:rFonts w:ascii="Times New Roman" w:hAnsi="Times New Roman"/>
          <w:caps w:val="false"/>
          <w:smallCaps w:val="false"/>
          <w:sz w:val="20"/>
          <w:u w:val="single"/>
        </w:rPr>
        <w:t>Accounting Terms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calculations of Attributable Indebtedness under any Synthetic Lease or the implied interest component of any Synthetic Lease shall be made by the Borrower in accordance with accepted financial practice and consistent with the terms of such Synthetic Lease. Notwithstanding the foregoing, for purposes of determining compliance with any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Changes in GAAP</w:t>
      </w:r>
      <w:r>
        <w:rPr>
          <w:rFonts w:ascii="Times New Roman" w:hAnsi="Times New Roman"/>
          <w:caps w:val="false"/>
          <w:smallCaps w:val="false"/>
          <w:sz w:val="20"/>
        </w:rPr>
        <w:t xml:space="preserve">. Borrower will provide a written summary of material changes in GAAP and in the consistent application thereof with each annual and quarterly financial statement delivered in accordance with </w:t>
      </w:r>
      <w:r>
        <w:rPr>
          <w:rFonts w:ascii="Times New Roman" w:hAnsi="Times New Roman"/>
          <w:caps w:val="false"/>
          <w:smallCaps w:val="false"/>
          <w:sz w:val="20"/>
          <w:u w:val="single"/>
        </w:rPr>
        <w:t>Section 7.01</w:t>
      </w:r>
      <w:r>
        <w:rPr>
          <w:rFonts w:ascii="Times New Roman" w:hAnsi="Times New Roman"/>
          <w:caps w:val="false"/>
          <w:smallCaps w:val="false"/>
          <w:sz w:val="20"/>
        </w:rPr>
        <w:t xml:space="preserve">. If at any time any change in GAAP would affect the computation of any financial requirement set forth in any Loan Document, and either the Borrower or the Required Lenders shall so request, the Administrative Agent, the Lenders and the Borrower shall negotiate in good faith to amend such requirement to preserve the original intent thereof in light of such change in GAAP (subject to the approval of the Required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until so amended, (i) such requirement shall continue to be computed in accordance with GAAP prior to such change therein and (ii) the Borrower shall provide to the Administrative and the Lenders financial statements and other documents required under this Agreement or as requested hereunder setting forth a reconciliation between calculations of such requirement made before and after giving effect to such change in GAAP. Notwithstanding any other provision contained in this Agreement, all terms of an accounting or financial nature used herein shall be construed, and all computations of amounts and ratios referred to herein shall be made, without giving effect to any change to GAAP occurring before or after the Closing Date as a result of ASU 2016-02, Leases (Topic 842) issued by the Financial Accounting Standards Board or any other proposals issued by the Financial Accounting Standards Board in connection therewith, in each case if such change would require treating any lease (or similar arrangement conveying the right to use) as a capital lease where such lease (or similar arrangement) was not required to be so treated under GAAP as in effect prior to such change.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Calculations.</w:t>
      </w:r>
      <w:r>
        <w:rPr>
          <w:rFonts w:ascii="Times New Roman" w:hAnsi="Times New Roman"/>
          <w:caps w:val="false"/>
          <w:smallCaps w:val="false"/>
          <w:sz w:val="20"/>
        </w:rPr>
        <w:t xml:space="preserve"> For purposes of all calculations hereunder, the principal amount of Convertible Bond Indebtedness shall be the outstanding principal (or notional) amount thereof, valued at par.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Consolidation of Variable Interest Rate Entities</w:t>
      </w:r>
      <w:r>
        <w:rPr>
          <w:rFonts w:ascii="Times New Roman" w:hAnsi="Times New Roman"/>
          <w:caps w:val="false"/>
          <w:smallCaps w:val="false"/>
          <w:sz w:val="20"/>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was a Subsidiary as defined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1.04    </w:t>
      </w:r>
      <w:r>
        <w:rPr>
          <w:rFonts w:ascii="Times New Roman" w:hAnsi="Times New Roman"/>
          <w:caps w:val="false"/>
          <w:smallCaps w:val="false"/>
          <w:sz w:val="20"/>
          <w:u w:val="single"/>
        </w:rPr>
        <w:t>Times of Day</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specified, all references herein to times of day shall be references to United States Eastern time (daylight or standard, as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1.05    </w:t>
      </w:r>
      <w:r>
        <w:rPr>
          <w:rFonts w:ascii="Times New Roman" w:hAnsi="Times New Roman"/>
          <w:caps w:val="false"/>
          <w:smallCaps w:val="false"/>
          <w:sz w:val="20"/>
          <w:u w:val="single"/>
        </w:rPr>
        <w:t>LIBOR Determinations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Administrative Agent does not warrant, nor accept responsibility, nor shall the Administrative Agent have any liability with respect to the administration, submission or any other matter related to the rates in the definition of “Three-Month LIBOR” or with respect to any comparable or successor rate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w:t>
        <w:br/>
        <w:br/>
        <w:t>THE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2.01    </w:t>
      </w:r>
      <w:r>
        <w:rPr>
          <w:rFonts w:ascii="Times New Roman" w:hAnsi="Times New Roman"/>
          <w:caps w:val="false"/>
          <w:smallCaps w:val="false"/>
          <w:sz w:val="20"/>
          <w:u w:val="single"/>
        </w:rPr>
        <w:t>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Term A Borrowing.</w:t>
      </w:r>
      <w:r>
        <w:rPr>
          <w:rFonts w:ascii="Times New Roman" w:hAnsi="Times New Roman"/>
          <w:caps w:val="false"/>
          <w:smallCaps w:val="false"/>
          <w:sz w:val="20"/>
        </w:rPr>
        <w:t xml:space="preserve"> Subject to the terms and conditions set forth herein, each Term A Lender severally agrees to make a single term loan to the Borrower, in Dollars, on any Business Day during the Term A Availability Period, in an aggregate amount not to exceed such Term A Lender’s Term A Commitment;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on or prior to such Business Day, the Term A Draw Conditions shall have been satisfied;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for the avoidance of doubt, it is understood and agreed that there shall be no more than one (1) Term A Borrowing during the term of this Agreement. The Term A Borrowing shall consist of Term A Loans made simultaneously by the Term A Lenders in accordance with their respective Term A Commitments. Term A Borrowings repaid or prepaid may not be reborrowed.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Term B Borrowing.</w:t>
      </w:r>
      <w:r>
        <w:rPr>
          <w:rFonts w:ascii="Times New Roman" w:hAnsi="Times New Roman"/>
          <w:caps w:val="false"/>
          <w:smallCaps w:val="false"/>
          <w:sz w:val="20"/>
        </w:rPr>
        <w:t xml:space="preserve"> Subject to the terms and conditions set forth herein, each Term B Lender severally agrees to make a single term loan to the Borrower, in Dollars, on any Business Day during the Term B Availability Period, in an aggregate amount not to exceed such Term B Lender’s Term B Commitment;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on or prior to such Business Day, the Term B Draw Conditions shall have been satisfied;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for the avoidance of doubt, it is understood and agreed that there shall be no more than one (1) Term B Borrowing during the term of this Agreement. The Term B Borrowing shall consist of Term B Loans made simultaneously by the Term B Lenders in accordance with their respective Term B Commitments. Term B Borrowings repaid or prepaid may not be reborrowed.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 C Borrowing.</w:t>
      </w:r>
      <w:r>
        <w:rPr>
          <w:rFonts w:ascii="Times New Roman" w:hAnsi="Times New Roman"/>
          <w:caps w:val="false"/>
          <w:smallCaps w:val="false"/>
          <w:sz w:val="20"/>
        </w:rPr>
        <w:t xml:space="preserve"> Subject to the terms and conditions set forth herein, each Term C Lender severally agrees to make a single term loan to the Borrower, in Dollars, on any Business Day during the Term C Availability Period, in an aggregate amount not to exceed such Term C Lender’s Term C Commitment;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on or prior to such Business Day, the Term C Draw Conditions shall have been satisfied;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for the avoidance of doubt, it is understood and agreed that there shall be no more than one (1) Term C Borrowing during the term of this Agreement. The Term C Borrowing shall consist of Term C Loans made simultaneously by the Term C Lenders in accordance with their respective Term C Commitments. Term C Borrowings repaid or prepaid may not be reborrowed.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2.02    </w:t>
      </w:r>
      <w:r>
        <w:rPr>
          <w:rFonts w:ascii="Times New Roman" w:hAnsi="Times New Roman"/>
          <w:caps w:val="false"/>
          <w:smallCaps w:val="false"/>
          <w:sz w:val="20"/>
          <w:u w:val="single"/>
        </w:rPr>
        <w:t>Borrowings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Each Borrowing shall be made upon the Borrower’s irrevocable notice (in the form of a written Loan Notice, appropriately completed and signed by a Responsible Financial Officer of the Borrower) to the Administrative Agent, which must be given not later than 9:00 a.m. on the date at least twenty (20) Business Days (or such shorter period as the Administrative Agent may agree in its sole discretion) in advance of the requested date of the Term A Borrowing, the Term B Borrowing or the Term C Borrowing, as the case may be. Each Loan Notice shall specify (i) the requested date of the Borrowing (which shall be a Business Day) and (ii) the principal amount of Loans to be borrowed. For the avoidance of doubt, the Term A Borrowing shall be in a principal amount of $125,000,000, the Term B Borrowing shall be in a principal amount of $25,000,000 and the Term C Borrowing shall be in a principal amount of $50,000,000.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Following receipt of a Loan Notice for a Facility, the Administrative Agent shall promptly notify each Appropriate Lender of the amount of its Applicable Percentage under such Facility of the applicable Loans.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(and, if such Borrowing is the initial Borrowing, </w:t>
      </w:r>
      <w:r>
        <w:rPr>
          <w:rFonts w:ascii="Times New Roman" w:hAnsi="Times New Roman"/>
          <w:caps w:val="false"/>
          <w:smallCaps w:val="false"/>
          <w:sz w:val="20"/>
          <w:u w:val="single"/>
        </w:rPr>
        <w:t>Section 5.01)</w:t>
      </w:r>
      <w:r>
        <w:rPr>
          <w:rFonts w:ascii="Times New Roman" w:hAnsi="Times New Roman"/>
          <w:caps w:val="false"/>
          <w:smallCaps w:val="false"/>
          <w:sz w:val="20"/>
        </w:rPr>
        <w:t xml:space="preserve"> and subject to the Term A Draw Conditions, the Term B Draw Conditions and the Term C Draw Conditions, as applicable, the Administrative Agent shall make all funds so received available to the Borrower in like funds as received by the Administrative Agent by wire transfer of such funds in accordance with instructions provided to (and acceptable to) the Administrative Agent by the Borrower.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2.03    </w:t>
      </w:r>
      <w:r>
        <w:rPr>
          <w:rFonts w:ascii="Times New Roman" w:hAnsi="Times New Roman"/>
          <w:caps w:val="false"/>
          <w:smallCaps w:val="false"/>
          <w:sz w:val="20"/>
          <w:u w:val="single"/>
        </w:rPr>
        <w:t>Prepayments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Voluntary Prepayments</w:t>
      </w:r>
      <w:r>
        <w:rPr>
          <w:rFonts w:ascii="Times New Roman" w:hAnsi="Times New Roman"/>
          <w:caps w:val="false"/>
          <w:smallCaps w:val="false"/>
          <w:sz w:val="20"/>
        </w:rPr>
        <w:t xml:space="preserve">. Subject to the payment of any prepayment or repayment premium as required under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the exit fee required under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and any other fees or amounts payable hereunder at such time, the Borrower may, upon written notice from the Borrower to the Administrative Agent, voluntarily prepay the Loans, in whole or in part;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 such notice must be received not later than 11:00 a.m. five (5) Business Days prior to the date of prepayment and (ii) any such prepayment shall be in a principal amount of $5,000,000 or a whole multiple of $1,000,000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 Any prepayment pursuant to this </w:t>
      </w:r>
      <w:r>
        <w:rPr>
          <w:rFonts w:ascii="Times New Roman" w:hAnsi="Times New Roman"/>
          <w:caps w:val="false"/>
          <w:smallCaps w:val="false"/>
          <w:sz w:val="20"/>
          <w:u w:val="single"/>
        </w:rPr>
        <w:t>Section 2.03(a)</w:t>
      </w:r>
      <w:r>
        <w:rPr>
          <w:rFonts w:ascii="Times New Roman" w:hAnsi="Times New Roman"/>
          <w:caps w:val="false"/>
          <w:smallCaps w:val="false"/>
          <w:sz w:val="20"/>
        </w:rPr>
        <w:t xml:space="preserve"> shall be accompanied by (x) all accrued interest on the principal amount of the Loans prepaid, (y) the prepayment or repayment premium required under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and the exit fee required under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and (z) all fees, costs, expenses, indemnities and other amounts due and payable hereunder at the time of prepayment. Each such prepayment shall be applied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outstanding Term C Loans (if any),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outstanding Term B Loans (if any) and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outstanding Term A Loans. Each such prepayment shall be applied to the Loans of the Lenders in accordance with their respective Applicable Percentages in respect of each of the relevant Facilities.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Mandatory Prepayments of Loans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Dispositions; Involuntary Dispositions; Etc</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The Borrower shall promptly (and, in any event, within three (3) Business Days, unless the Borrower delivers written notice to the Administrative Agent of its intent to exercise the reinvestment rights pursuant to this </w:t>
      </w:r>
      <w:r>
        <w:rPr>
          <w:rFonts w:ascii="Times New Roman" w:hAnsi="Times New Roman"/>
          <w:caps w:val="false"/>
          <w:smallCaps w:val="false"/>
          <w:sz w:val="20"/>
          <w:u w:val="single"/>
        </w:rPr>
        <w:t>clause (i)(A)</w:t>
      </w:r>
      <w:r>
        <w:rPr>
          <w:rFonts w:ascii="Times New Roman" w:hAnsi="Times New Roman"/>
          <w:caps w:val="false"/>
          <w:smallCaps w:val="false"/>
          <w:sz w:val="20"/>
        </w:rPr>
        <w:t xml:space="preserve"> within such three (3) Business Day period) prepay the Loans in an aggregate amount equal to 100% of the Net Cash Proceeds (other than any Net Cash Proceeds – Licensing, any Net Cash Proceeds – Non-Permitted Royalty Financing and any Net Cash Proceeds received by any Loan Party or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any</w:t>
      </w:r>
      <w:r>
        <w:rPr>
          <w:rFonts w:ascii="Times New Roman" w:hAnsi="Times New Roman"/>
          <w:caps w:val="false"/>
          <w:smallCaps w:val="false"/>
          <w:sz w:val="20"/>
        </w:rPr>
        <w:t xml:space="preserve"> Subsidiary from any Royalty Financing or any Other Royalty Financing) of all Dispositions (other than any Disposition pursuant to </w:t>
      </w:r>
      <w:r>
        <w:rPr>
          <w:rFonts w:ascii="Times New Roman" w:hAnsi="Times New Roman"/>
          <w:caps w:val="false"/>
          <w:smallCaps w:val="false"/>
          <w:sz w:val="20"/>
          <w:u w:val="single"/>
        </w:rPr>
        <w:t>Section 8.05(c)</w:t>
      </w:r>
      <w:r>
        <w:rPr>
          <w:rFonts w:ascii="Times New Roman" w:hAnsi="Times New Roman"/>
          <w:caps w:val="false"/>
          <w:smallCaps w:val="false"/>
          <w:sz w:val="20"/>
        </w:rPr>
        <w:t xml:space="preserve"> hereof) and Involuntary Dispositions, to the extent such Net Cash Proceeds are not (1) in the case of either Dispositions or Involuntary Dispositions, reinvested in Eligible Assets or (2) solely in the case of Involuntary Dispositions, used for the repair or restoration of the property which was the subject of the Involuntary Disposition, in each case within 270 days of the date of such Disposition or Involuntary Disposition.</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Borrower shall promptly (1) (and, in any event, within one (1) Business Day) prepay the Loans in an aggregate amount equal to 100% of any Net Cash Proceeds – Licensing received by any Loan Party or any Subsidiary pursuant to a Non-Permitted License (it being understood and agreed that the payment pursuant to this clause (B)(1) shall be in addition to any other right and remedy that the Administrative Agent or any other Secured Party has as a result of an Event of Default arising from the entering into such Non-Permitted License) and (2) (and, in any event, within three (3) Business Days) prepay the Loans, in an amount equal, on a dollar-for-dollar basis, to any Net Cash Proceeds - Licensing received by any Loan Party or Subsidiary pursuant to a Permitted License which are paid to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any</w:t>
      </w:r>
      <w:r>
        <w:rPr>
          <w:rFonts w:ascii="Times New Roman" w:hAnsi="Times New Roman"/>
          <w:caps w:val="false"/>
          <w:smallCaps w:val="false"/>
          <w:sz w:val="20"/>
        </w:rPr>
        <w:t xml:space="preserve"> Buyer in connection with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any</w:t>
      </w:r>
      <w:r>
        <w:rPr>
          <w:rFonts w:ascii="Times New Roman" w:hAnsi="Times New Roman"/>
          <w:caps w:val="false"/>
          <w:smallCaps w:val="false"/>
          <w:sz w:val="20"/>
        </w:rPr>
        <w:t xml:space="preserve"> Royalty Financing or any buyer or purchaser under the Other Royalty Financing Documents in connection with an Other Royalty Financing, as applicable, solely to the extent such payment exceeds the amount then required to be paid pursuant to the express terms of the Royalty Financing Documents or the Other Royalty Financing Documents,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The Borrower shall promptly (and, in any event, within one (1) Business Day) prepay the Loans in an aggregate amount equal to 100% of any Net Cash Proceeds – Non-Permitted Royalty Financing received by any Loan Party or any Subsidiary (it being understood and agreed that the payment pursuant to this clause (C) shall be in addition to any other right and remedy that the Administrative Agent or any other Secured Party has as a result of an Event of Default arising from the entering into such Non-Permitted Royalty Financing).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Any prepayment pursuant to this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shall be applied as set forth in </w:t>
      </w:r>
      <w:r>
        <w:rPr>
          <w:rFonts w:ascii="Times New Roman" w:hAnsi="Times New Roman"/>
          <w:caps w:val="false"/>
          <w:smallCaps w:val="false"/>
          <w:sz w:val="20"/>
          <w:u w:val="single"/>
        </w:rPr>
        <w:t>clause (iv)</w:t>
      </w:r>
      <w:r>
        <w:rPr>
          <w:rFonts w:ascii="Times New Roman" w:hAnsi="Times New Roman"/>
          <w:caps w:val="false"/>
          <w:smallCaps w:val="false"/>
          <w:sz w:val="20"/>
        </w:rPr>
        <w:t xml:space="preserve">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Extraordinary Receipts</w:t>
      </w:r>
      <w:r>
        <w:rPr>
          <w:rFonts w:ascii="Times New Roman" w:hAnsi="Times New Roman"/>
          <w:caps w:val="false"/>
          <w:smallCaps w:val="false"/>
          <w:sz w:val="20"/>
        </w:rPr>
        <w:t xml:space="preserve">. The Borrower shall promptly (and, in any event, within three (3) Business Days, unless the Borrower delivers written notice to the Administrative Agent of its intent to exercise the reinvestment rights pursuant to this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within such three (3) Business Day period) upon the receipt by any Loan Party or any Subsidiary of the Net Cash Proceeds of any Extraordinary Receipts, prepay the Loans in an aggregate amount equal to 100% of such Net Cash Proceeds to the extent such Net Cash Proceeds are not reinvested in Eligible Assets within 270 days of the date of receipt of the Net Cash Proceeds of such Extraordinary Receipts. Any prepayment pursuant to this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shall be applied as set forth in </w:t>
      </w:r>
      <w:r>
        <w:rPr>
          <w:rFonts w:ascii="Times New Roman" w:hAnsi="Times New Roman"/>
          <w:caps w:val="false"/>
          <w:smallCaps w:val="false"/>
          <w:sz w:val="20"/>
          <w:u w:val="single"/>
        </w:rPr>
        <w:t>clause (iv)</w:t>
      </w:r>
      <w:r>
        <w:rPr>
          <w:rFonts w:ascii="Times New Roman" w:hAnsi="Times New Roman"/>
          <w:caps w:val="false"/>
          <w:smallCaps w:val="false"/>
          <w:sz w:val="20"/>
        </w:rPr>
        <w:t xml:space="preserve">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Debt Issuance</w:t>
      </w:r>
      <w:r>
        <w:rPr>
          <w:rFonts w:ascii="Times New Roman" w:hAnsi="Times New Roman"/>
          <w:caps w:val="false"/>
          <w:smallCaps w:val="false"/>
          <w:sz w:val="20"/>
        </w:rPr>
        <w:t xml:space="preserve">. The Borrower shall promptly (and, in any event, within one (1) Business Day) upon the receipt by any Loan Party or any Subsidiary of the Net Cash Proceeds of any Debt Issuance, prepay the Loans in an aggregate amount equal to 100% of such Net Cash Proceeds (it being understood and agreed that the payment pursuant to this clause (iii) shall be in addition to any other right and remedy that the Administrative Agent or any other Secured Party has as a result of an Event of Default arising from such Debt Issuance). Any prepayment pursuant to this </w:t>
      </w:r>
      <w:r>
        <w:rPr>
          <w:rFonts w:ascii="Times New Roman" w:hAnsi="Times New Roman"/>
          <w:caps w:val="false"/>
          <w:smallCaps w:val="false"/>
          <w:sz w:val="20"/>
          <w:u w:val="single"/>
        </w:rPr>
        <w:t>clause (iii)</w:t>
      </w:r>
      <w:r>
        <w:rPr>
          <w:rFonts w:ascii="Times New Roman" w:hAnsi="Times New Roman"/>
          <w:caps w:val="false"/>
          <w:smallCaps w:val="false"/>
          <w:sz w:val="20"/>
        </w:rPr>
        <w:t xml:space="preserve"> shall be applied as set forth in </w:t>
      </w:r>
      <w:r>
        <w:rPr>
          <w:rFonts w:ascii="Times New Roman" w:hAnsi="Times New Roman"/>
          <w:caps w:val="false"/>
          <w:smallCaps w:val="false"/>
          <w:sz w:val="20"/>
          <w:u w:val="single"/>
        </w:rPr>
        <w:t>clause (iv)</w:t>
      </w:r>
      <w:r>
        <w:rPr>
          <w:rFonts w:ascii="Times New Roman" w:hAnsi="Times New Roman"/>
          <w:caps w:val="false"/>
          <w:smallCaps w:val="false"/>
          <w:sz w:val="20"/>
        </w:rPr>
        <w:t xml:space="preserve">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Application of Mandatory Prepayments</w:t>
      </w:r>
      <w:r>
        <w:rPr>
          <w:rFonts w:ascii="Times New Roman" w:hAnsi="Times New Roman"/>
          <w:caps w:val="false"/>
          <w:smallCaps w:val="false"/>
          <w:sz w:val="20"/>
        </w:rPr>
        <w:t xml:space="preserve">. The Borrower shall provide the Administrative Agent with written notice of any payment to be made under this Section 2.03(b) at least five (5) Business Days prior to the date such payment is required to be under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All payments under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shall be applied (i) first to all fees, costs, expenses, indemnities and other amounts due and payable hereunder (other than as contemplated by the immediately following clause (ii)), and (ii) then proportionately (based on the relation of such amounts to the total amount of the relevant payment under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to the payment or prepayment (as applicable) of the following amounts of the Obligations: default interest, if any, prepayment or repayment premium required by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the exit fee required under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and accrued and unpaid interest and principal. Each such prepayment pursuant to the immediately foregoing clause (ii) shall be applied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outstanding Term C Loans (if any),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to outstanding Term B Loans (if any) and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to outstanding Term A Loans. Each such prepayment shall be applied to the Loans of the Lenders in accordance with their respective Applicable Percentages in respect of each of the relevant Facilities.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Declined Proceeds</w:t>
      </w:r>
      <w:r>
        <w:rPr>
          <w:rFonts w:ascii="Times New Roman" w:hAnsi="Times New Roman"/>
          <w:caps w:val="false"/>
          <w:smallCaps w:val="false"/>
          <w:sz w:val="20"/>
        </w:rPr>
        <w:t xml:space="preserve">. Each Lender may reject all or a portion of its share of any mandatory prepayment of Loans required to be made pursuant to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(such declined amounts, the “</w:t>
      </w:r>
      <w:r>
        <w:rPr>
          <w:rFonts w:ascii="Times New Roman" w:hAnsi="Times New Roman"/>
          <w:caps w:val="false"/>
          <w:smallCaps w:val="false"/>
          <w:sz w:val="20"/>
          <w:u w:val="single"/>
        </w:rPr>
        <w:t>Declined Proceeds</w:t>
      </w:r>
      <w:r>
        <w:rPr>
          <w:rFonts w:ascii="Times New Roman" w:hAnsi="Times New Roman"/>
          <w:caps w:val="false"/>
          <w:smallCaps w:val="false"/>
          <w:sz w:val="20"/>
        </w:rPr>
        <w:t>”) by providing written notice (each, a “</w:t>
      </w:r>
      <w:r>
        <w:rPr>
          <w:rFonts w:ascii="Times New Roman" w:hAnsi="Times New Roman"/>
          <w:caps w:val="false"/>
          <w:smallCaps w:val="false"/>
          <w:sz w:val="20"/>
          <w:u w:val="single"/>
        </w:rPr>
        <w:t>Rejection Notice</w:t>
      </w:r>
      <w:r>
        <w:rPr>
          <w:rFonts w:ascii="Times New Roman" w:hAnsi="Times New Roman"/>
          <w:caps w:val="false"/>
          <w:smallCaps w:val="false"/>
          <w:sz w:val="20"/>
        </w:rPr>
        <w:t>”) to the Administrative Agent no later than 3:00 p.m. two (2) Business Days prior to the date of such prepayment. Each Rejection Notice from a given Lender shall specify the principal amount of the mandatory repayment of Loans to be rejected by such Lender. If a Lender fails to deliver a Rejection Notice to the Administrative Agent within the time frame specified above or such Rejection Notice fails to specify the principal amount of the Loans to be rejected, any such failure will be deemed an acceptance of the total amount of such mandatory prepayment of Loans. Any Declined Proceeds shall be offered to the Lenders not so declining such prepayment on a pro rata basis in accordance with the amounts of the Loans of such Lender (with such non-declining Lenders having the right to decline any prepayment with Declined Proceeds by providing written notice to the Administrative Agent no later than 3:00 p.m. one (1) Business Day prior to the date of such prepayment). If a non-declining Lender fails to deliver notice to the Administrative Agent within the time frame specified, any such non-declining Lender shall be deemed to have declined the additional proceeds. To the extent such non-declining Lenders elect to decline their share of such Declined Proceeds, any Declined Proceeds remaining thereafter shall be retained by the Borrower.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Repatriation</w:t>
      </w:r>
      <w:r>
        <w:rPr>
          <w:rFonts w:ascii="Times New Roman" w:hAnsi="Times New Roman"/>
          <w:caps w:val="false"/>
          <w:smallCaps w:val="false"/>
          <w:sz w:val="20"/>
        </w:rPr>
        <w:t xml:space="preserve">. Notwithstanding the foregoing terms of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to the extent any or all of the Net Cash Proceeds of any Disposition by, or receipt of the Net Cash Proceeds of any Involuntary Disposition or Extraordinary Receipts by, a Subsidiary that is a Non-U.S. Subsidiary otherwise giving rise to a prepayment pursuant to this </w:t>
      </w:r>
      <w:r>
        <w:rPr>
          <w:rFonts w:ascii="Times New Roman" w:hAnsi="Times New Roman"/>
          <w:caps w:val="false"/>
          <w:smallCaps w:val="false"/>
          <w:sz w:val="20"/>
          <w:u w:val="single"/>
        </w:rPr>
        <w:t>Section 2.03(b)</w:t>
      </w:r>
      <w:r>
        <w:rPr>
          <w:rFonts w:ascii="Times New Roman" w:hAnsi="Times New Roman"/>
          <w:caps w:val="false"/>
          <w:smallCaps w:val="false"/>
          <w:sz w:val="20"/>
        </w:rPr>
        <w:t>, is prohibited by any applicable local requirements of Law from being repatriated to the Borrower or any Subsidiary that is a U.S. Subsidiary including through the repayment of intercompany Indebtedness (each, a “</w:t>
      </w:r>
      <w:r>
        <w:rPr>
          <w:rFonts w:ascii="Times New Roman" w:hAnsi="Times New Roman"/>
          <w:caps w:val="false"/>
          <w:smallCaps w:val="false"/>
          <w:sz w:val="20"/>
          <w:u w:val="single"/>
        </w:rPr>
        <w:t>Repatriation</w:t>
      </w:r>
      <w:r>
        <w:rPr>
          <w:rFonts w:ascii="Times New Roman" w:hAnsi="Times New Roman"/>
          <w:caps w:val="false"/>
          <w:smallCaps w:val="false"/>
          <w:sz w:val="20"/>
        </w:rPr>
        <w:t>”; with “</w:t>
      </w:r>
      <w:r>
        <w:rPr>
          <w:rFonts w:ascii="Times New Roman" w:hAnsi="Times New Roman"/>
          <w:caps w:val="false"/>
          <w:smallCaps w:val="false"/>
          <w:sz w:val="20"/>
          <w:u w:val="single"/>
        </w:rPr>
        <w:t>Repatriated</w:t>
      </w:r>
      <w:r>
        <w:rPr>
          <w:rFonts w:ascii="Times New Roman" w:hAnsi="Times New Roman"/>
          <w:caps w:val="false"/>
          <w:smallCaps w:val="false"/>
          <w:sz w:val="20"/>
        </w:rPr>
        <w:t xml:space="preserve">” having a correlative meaning),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 and its Subsidiaries shall take all commercially reasonable actions available under local Law to permit such Repatriation, or if the Repatriation of any such amount would reasonably be expected to result in material adverse tax consequences with respect to the Borrower and its Subsidiaries, taken as a whole, an amount equal to the portion of such Net Cash Proceeds so affected (such amount, the “</w:t>
      </w:r>
      <w:r>
        <w:rPr>
          <w:rFonts w:ascii="Times New Roman" w:hAnsi="Times New Roman"/>
          <w:caps w:val="false"/>
          <w:smallCaps w:val="false"/>
          <w:sz w:val="20"/>
          <w:u w:val="single"/>
        </w:rPr>
        <w:t>Excluded Prepayment Amount</w:t>
      </w:r>
      <w:r>
        <w:rPr>
          <w:rFonts w:ascii="Times New Roman" w:hAnsi="Times New Roman"/>
          <w:caps w:val="false"/>
          <w:smallCaps w:val="false"/>
          <w:sz w:val="20"/>
        </w:rPr>
        <w:t xml:space="preserve">”), will not be required to be applied to prepay Loans at the times provided in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and to the extent any such Repatriation ceases to be prohibited, restricted or delayed by applicable local requirements of Law or such Repatriation ceases, to result in material adverse tax consequences with respect to the Borrower and its Subsidiaries, taken as a whole (taking into account any foreign tax credit or benefit actually received in connection with such Repatriation), at any time following the date on which the applicable mandatory prepayment pursuant to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was otherwise required to be made, the Borrower shall promptly pay an amount equal to such portion of the Excluded Prepayment Amount to the Lenders, which payment shall be applied in accordance with </w:t>
      </w:r>
      <w:r>
        <w:rPr>
          <w:rFonts w:ascii="Times New Roman" w:hAnsi="Times New Roman"/>
          <w:caps w:val="false"/>
          <w:smallCaps w:val="false"/>
          <w:sz w:val="20"/>
          <w:u w:val="single"/>
        </w:rPr>
        <w:t>Section 2.03(b)(iv)</w:t>
      </w:r>
      <w:r>
        <w:rPr>
          <w:rFonts w:ascii="Times New Roman" w:hAnsi="Times New Roman"/>
          <w:caps w:val="false"/>
          <w:smallCaps w:val="false"/>
          <w:sz w:val="20"/>
        </w:rPr>
        <w:t xml:space="preserve">. Notwithstanding anything to the contrary contained herein or in any other Loan Document, for the avoidance of doubt, nothing in this </w:t>
      </w:r>
      <w:r>
        <w:rPr>
          <w:rFonts w:ascii="Times New Roman" w:hAnsi="Times New Roman"/>
          <w:caps w:val="false"/>
          <w:smallCaps w:val="false"/>
          <w:sz w:val="20"/>
          <w:u w:val="single"/>
        </w:rPr>
        <w:t>Section 2.03(b)</w:t>
      </w:r>
      <w:r>
        <w:rPr>
          <w:rFonts w:ascii="Times New Roman" w:hAnsi="Times New Roman"/>
          <w:caps w:val="false"/>
          <w:smallCaps w:val="false"/>
          <w:sz w:val="20"/>
        </w:rPr>
        <w:t xml:space="preserve"> shall require the Borrower to cause any amounts to be repatriated to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Change of Control</w:t>
      </w:r>
      <w:r>
        <w:rPr>
          <w:rFonts w:ascii="Times New Roman" w:hAnsi="Times New Roman"/>
          <w:caps w:val="false"/>
          <w:smallCaps w:val="false"/>
          <w:sz w:val="20"/>
        </w:rPr>
        <w:t xml:space="preserve">. Upon the occurrence of a Change of Control, the Borrower shall, unless otherwise directed by the Required Lenders, </w:t>
      </w:r>
      <w:r>
        <w:rPr>
          <w:rFonts w:ascii="Times New Roman" w:hAnsi="Times New Roman"/>
          <w:b/>
          <w:caps w:val="false"/>
          <w:smallCaps w:val="false"/>
          <w:color w:val="0000FF"/>
          <w:sz w:val="20"/>
          <w:u w:val="single"/>
          <w:bdr w:val="double" w:sz="2" w:space="1" w:color="000000"/>
        </w:rPr>
        <w:t>on the date of the occurrence of such Change of Control (i)</w:t>
      </w:r>
      <w:r>
        <w:rPr>
          <w:rFonts w:ascii="Times New Roman" w:hAnsi="Times New Roman"/>
          <w:caps w:val="false"/>
          <w:smallCaps w:val="false"/>
          <w:sz w:val="20"/>
        </w:rPr>
        <w:t xml:space="preserve"> prepay the Outstanding Amount of the Loans together with all accrued and unpaid interest thereon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prepayment or repayment premium, if any</w:t>
      </w:r>
      <w:r>
        <w:rPr>
          <w:rFonts w:ascii="Times New Roman" w:hAnsi="Times New Roman"/>
          <w:caps w:val="false"/>
          <w:smallCaps w:val="false"/>
          <w:strike/>
          <w:color w:val="FF0000"/>
          <w:sz w:val="20"/>
        </w:rPr>
        <w:t>,</w:t>
      </w:r>
      <w:r>
        <w:rPr>
          <w:rFonts w:ascii="Times New Roman" w:hAnsi="Times New Roman"/>
          <w:caps w:val="false"/>
          <w:smallCaps w:val="false"/>
          <w:sz w:val="20"/>
        </w:rPr>
        <w:t xml:space="preserve"> required by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and the exit fee required under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all other Obligations</w:t>
      </w:r>
      <w:r>
        <w:rPr>
          <w:rFonts w:ascii="Times New Roman" w:hAnsi="Times New Roman"/>
          <w:b/>
          <w:caps w:val="false"/>
          <w:smallCaps w:val="false"/>
          <w:color w:val="0000FF"/>
          <w:sz w:val="20"/>
          <w:u w:val="single"/>
          <w:bdr w:val="double" w:sz="2" w:space="1" w:color="000000"/>
        </w:rPr>
        <w:t>, (ii) in the event such Change of Control occurs (or a definitive agreement in respect of such Change of Control is entered into) during the Term Loan B Availability Period, pay to the Lenders an amount equal to [***] and (iii) in the event such Change of Control occurs (or a definitive agreement in respect of such Change of Control is entered into) during the Term Loan C Availability Period, pay to the Lenders an amount equal to [***]</w:t>
      </w:r>
      <w:r>
        <w:rPr>
          <w:rFonts w:ascii="Times New Roman" w:hAnsi="Times New Roman"/>
          <w:b/>
          <w:caps w:val="false"/>
          <w:smallCaps w:val="false"/>
          <w:sz w:val="20"/>
        </w:rPr>
        <w:t xml:space="preserve"> </w:t>
      </w:r>
      <w:r>
        <w:rPr>
          <w:rFonts w:ascii="Times New Roman" w:hAnsi="Times New Roman"/>
          <w:caps w:val="false"/>
          <w:smallCaps w:val="false"/>
          <w:sz w:val="20"/>
        </w:rPr>
        <w:t>(it being understood and agreed that the payment pursuant to this clause (c) shall be in addition to any other right and remedy that the Administrative Agent or any other Secured Party has as a result of an Event of Default arising from the occurrence of such Change of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Prepayment and Repayment Premiums</w:t>
      </w:r>
      <w:r>
        <w:rPr>
          <w:rFonts w:ascii="Times New Roman" w:hAnsi="Times New Roman"/>
          <w:caps w:val="false"/>
          <w:smallCaps w:val="false"/>
          <w:sz w:val="20"/>
        </w:rPr>
        <w:t>. Notwithstanding anything to the contrary in this Agreement or any other Loan Document, if all or any portion of the Loans are repaid, prepaid, or required to be repaid or prepaid (including by acceleration</w:t>
      </w:r>
      <w:r>
        <w:rPr>
          <w:rFonts w:ascii="Times New Roman" w:hAnsi="Times New Roman"/>
          <w:b/>
          <w:caps w:val="false"/>
          <w:smallCaps w:val="false"/>
          <w:color w:val="0000FF"/>
          <w:sz w:val="20"/>
          <w:u w:val="single"/>
          <w:bdr w:val="double" w:sz="2" w:space="1" w:color="000000"/>
        </w:rPr>
        <w:t>, including automatic acceleration triggered by any insolvency proceeding pursuant to Section 9.01(f)</w:t>
      </w:r>
      <w:r>
        <w:rPr>
          <w:rFonts w:ascii="Times New Roman" w:hAnsi="Times New Roman"/>
          <w:caps w:val="false"/>
          <w:smallCaps w:val="false"/>
          <w:sz w:val="20"/>
        </w:rPr>
        <w:t xml:space="preserve">), pursuant to this </w:t>
      </w:r>
      <w:r>
        <w:rPr>
          <w:rFonts w:ascii="Times New Roman" w:hAnsi="Times New Roman"/>
          <w:caps w:val="false"/>
          <w:smallCaps w:val="false"/>
          <w:sz w:val="20"/>
          <w:u w:val="single"/>
        </w:rPr>
        <w:t>Section 2.03</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or otherwise, then, in all cases, the Borrower shall pay to the Lenders, for their respective ratable accounts, on the date on which such repayment or prepayment is paid or required to be paid, in addition to the other Obligations so repaid, prepaid or required to be repaid or prepaid, a prepayment or repayment premium equal to: (i) with respect to any prepayment or repayment paid or required to be paid on or prior to the second anniversary of the date of the Borrowing of such Loan, an amount equal to the Make-Whole Amount with respect to such prepayment or repayment, (ii) with respect to any prepayment or repayment paid or required to be paid after the second anniversary of the date of the Borrowing of such Loan, but on or prior to the third anniversary of the date of the Borrowing of such Loan, two percent (2.00%) of the principal amount of such Loan that is prepaid or required to be prepaid, (iii) with respect to any prepayment or repayment paid or required to be paid after the third anniversary of the date of the Borrowing of such Loan, but on or prior to the fourth anniversary of the date of the Borrowing of such Loan, one percent (1.00%) of the principal amount of such Loan that is prepaid or required to be prepaid and (iv) with respect to any prepayment or repayment paid or required to be paid after the fourth anniversary of the date of the Borrowing of such Loan, zero percent (0.00%) of the principal amount of such Loan that is prepaid or required to be prepaid.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900" w:right="0" w:firstLine="640"/>
        <w:jc w:val="both"/>
        <w:rPr>
          <w:rFonts w:ascii="Times New Roman" w:hAnsi="Times New Roman"/>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(e)</w:t>
      </w:r>
      <w:r>
        <w:rPr>
          <w:rFonts w:ascii="Times New Roman" w:hAnsi="Times New Roman"/>
          <w:caps w:val="false"/>
          <w:smallCaps w:val="false"/>
          <w:color w:val="0000FF"/>
          <w:sz w:val="20"/>
          <w:u w:val="single"/>
          <w:bdr w:val="double" w:sz="2" w:space="1" w:color="000000"/>
        </w:rPr>
        <w:t>         </w:t>
      </w:r>
      <w:r>
        <w:rPr>
          <w:rFonts w:ascii="Times New Roman" w:hAnsi="Times New Roman"/>
          <w:b/>
          <w:caps w:val="false"/>
          <w:smallCaps w:val="false"/>
          <w:color w:val="0000FF"/>
          <w:sz w:val="20"/>
          <w:u w:val="single"/>
          <w:bdr w:val="double" w:sz="2" w:space="1" w:color="000000"/>
        </w:rPr>
        <w:t xml:space="preserve">Failure to Draw.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(i)</w:t>
      </w:r>
      <w:r>
        <w:rPr>
          <w:rFonts w:ascii="Times New Roman" w:hAnsi="Times New Roman"/>
          <w:caps w:val="false"/>
          <w:smallCaps w:val="false"/>
          <w:color w:val="0000FF"/>
          <w:sz w:val="20"/>
          <w:u w:val="single"/>
          <w:bdr w:val="double" w:sz="2" w:space="1" w:color="000000"/>
        </w:rPr>
        <w:t>         </w:t>
      </w:r>
      <w:r>
        <w:rPr>
          <w:rFonts w:ascii="Times New Roman" w:hAnsi="Times New Roman"/>
          <w:b/>
          <w:caps w:val="false"/>
          <w:smallCaps w:val="false"/>
          <w:color w:val="0000FF"/>
          <w:sz w:val="20"/>
          <w:u w:val="single"/>
          <w:bdr w:val="double" w:sz="2" w:space="1" w:color="000000"/>
        </w:rPr>
        <w:t xml:space="preserve">(x) If the Term B Borrowing has not occurred during the Term B Availability Period and (y) [***], the Borrower shall, unless otherwise directed by the Required Lenders, pay to the Lenders on the last date of the Term B Availability Period an amount equal to [***].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(ii)</w:t>
      </w:r>
      <w:r>
        <w:rPr>
          <w:rFonts w:ascii="Times New Roman" w:hAnsi="Times New Roman"/>
          <w:caps w:val="false"/>
          <w:smallCaps w:val="false"/>
          <w:color w:val="0000FF"/>
          <w:sz w:val="20"/>
          <w:u w:val="single"/>
          <w:bdr w:val="double" w:sz="2" w:space="1" w:color="000000"/>
        </w:rPr>
        <w:t>         </w:t>
      </w:r>
      <w:r>
        <w:rPr>
          <w:rFonts w:ascii="Times New Roman" w:hAnsi="Times New Roman"/>
          <w:b/>
          <w:caps w:val="false"/>
          <w:smallCaps w:val="false"/>
          <w:color w:val="0000FF"/>
          <w:sz w:val="20"/>
          <w:u w:val="single"/>
          <w:bdr w:val="double" w:sz="2" w:space="1" w:color="000000"/>
        </w:rPr>
        <w:t xml:space="preserve">(x) If the Term C Borrowing has not occurred during the Term C Availability Period and (y) [***], the Borrower shall, unless otherwise directed by the Required Lenders, pay to the Lenders on the last date of the Term C Availability Period an amount equal to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2.04    </w:t>
      </w:r>
      <w:r>
        <w:rPr>
          <w:rFonts w:ascii="Times New Roman" w:hAnsi="Times New Roman"/>
          <w:caps w:val="false"/>
          <w:smallCaps w:val="false"/>
          <w:sz w:val="20"/>
          <w:u w:val="single"/>
        </w:rPr>
        <w:t>Termination of Commitments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Voluntary.</w:t>
      </w:r>
      <w:r>
        <w:rPr>
          <w:rFonts w:ascii="Times New Roman" w:hAnsi="Times New Roman"/>
          <w:caps w:val="false"/>
          <w:smallCaps w:val="false"/>
          <w:sz w:val="20"/>
        </w:rPr>
        <w:t xml:space="preserve"> The Borrower may, upon written notice to the Administrative Agent during (i) the Term B Availability Period, terminate in full the Term B Commitments or (ii) the Term C Availability Period, terminate in full the Term C Commitments; </w:t>
      </w:r>
      <w:r>
        <w:rPr>
          <w:rFonts w:ascii="Times New Roman" w:hAnsi="Times New Roman"/>
          <w:caps w:val="false"/>
          <w:smallCaps w:val="false"/>
          <w:sz w:val="20"/>
          <w:u w:val="single"/>
        </w:rPr>
        <w:t>provided, that</w:t>
      </w:r>
      <w:r>
        <w:rPr>
          <w:rFonts w:ascii="Times New Roman" w:hAnsi="Times New Roman"/>
          <w:caps w:val="false"/>
          <w:smallCaps w:val="false"/>
          <w:strike/>
          <w:color w:val="FF0000"/>
          <w:sz w:val="20"/>
          <w:u w:val="single"/>
        </w:rPr>
        <w:t>:</w:t>
      </w:r>
      <w:r>
        <w:rPr>
          <w:rFonts w:ascii="Times New Roman" w:hAnsi="Times New Roman"/>
          <w:caps w:val="false"/>
          <w:smallCaps w:val="false"/>
          <w:sz w:val="20"/>
        </w:rPr>
        <w:t xml:space="preserve"> </w:t>
      </w:r>
      <w:r>
        <w:rPr>
          <w:rFonts w:ascii="Times New Roman" w:hAnsi="Times New Roman"/>
          <w:b/>
          <w:caps w:val="false"/>
          <w:smallCaps w:val="false"/>
          <w:sz w:val="20"/>
        </w:rPr>
        <w:t>(x)</w:t>
      </w:r>
      <w:r>
        <w:rPr>
          <w:rFonts w:ascii="Times New Roman" w:hAnsi="Times New Roman"/>
          <w:caps w:val="false"/>
          <w:smallCaps w:val="false"/>
          <w:sz w:val="20"/>
        </w:rPr>
        <w:t xml:space="preserve"> any such notice shall be received by the Administrative Agent not later than 9:00 a.m. five (5) Business Days prior to the date of </w:t>
      </w:r>
      <w:r>
        <w:rPr>
          <w:rFonts w:ascii="Times New Roman" w:hAnsi="Times New Roman"/>
          <w:b/>
          <w:caps w:val="false"/>
          <w:smallCaps w:val="false"/>
          <w:color w:val="0000FF"/>
          <w:sz w:val="20"/>
          <w:u w:val="single"/>
          <w:bdr w:val="double" w:sz="2" w:space="1" w:color="000000"/>
        </w:rPr>
        <w:t>termination and (y) the Borrower shall, unless otherwise directed by the Required Lenders, on the date of such termination (1) in connection with a termination of the Term B Commitments, pay to the Lenders an amount equal to [***] and (2) in connection with a termination of the Term C Commitments, pay to the Lenders an amount equal to [***]</w:t>
      </w:r>
      <w:r>
        <w:rPr>
          <w:rFonts w:ascii="Times New Roman" w:hAnsi="Times New Roman"/>
          <w:caps w:val="false"/>
          <w:smallCaps w:val="false"/>
          <w:sz w:val="20"/>
        </w:rPr>
        <w:t>. Each notice delivered by the Borrower pursuant to this Section shall be irrevocable. Upon any termination of the Term B Commitments or the Term C Commitments, the Commitments of each Appropriate Lender shall be reduced by such Lender’s Applicable Percentage of such reduction amount. The Borrower may not terminate the Term A Commitments.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Mandatory.</w:t>
      </w:r>
      <w:r>
        <w:rPr>
          <w:rFonts w:ascii="Times New Roman" w:hAnsi="Times New Roman"/>
          <w:caps w:val="false"/>
          <w:smallCaps w:val="false"/>
          <w:sz w:val="20"/>
        </w:rPr>
        <w:t xml:space="preserve"> The Term A Commitments will be automatically and permanently reduced to zero upon the Term A Borrowing pursuant to </w:t>
      </w:r>
      <w:r>
        <w:rPr>
          <w:rFonts w:ascii="Times New Roman" w:hAnsi="Times New Roman"/>
          <w:caps w:val="false"/>
          <w:smallCaps w:val="false"/>
          <w:sz w:val="20"/>
          <w:u w:val="single"/>
        </w:rPr>
        <w:t>Section 2.01.</w:t>
      </w:r>
      <w:r>
        <w:rPr>
          <w:rFonts w:ascii="Times New Roman" w:hAnsi="Times New Roman"/>
          <w:caps w:val="false"/>
          <w:smallCaps w:val="false"/>
          <w:sz w:val="20"/>
        </w:rPr>
        <w:t xml:space="preserve"> The Term B Commitments will be automatically and permanently reduced to zero upon the Term B Borrowing pursuant to </w:t>
      </w:r>
      <w:r>
        <w:rPr>
          <w:rFonts w:ascii="Times New Roman" w:hAnsi="Times New Roman"/>
          <w:caps w:val="false"/>
          <w:smallCaps w:val="false"/>
          <w:sz w:val="20"/>
          <w:u w:val="single"/>
        </w:rPr>
        <w:t>Section 2.01</w:t>
      </w:r>
      <w:r>
        <w:rPr>
          <w:rFonts w:ascii="Times New Roman" w:hAnsi="Times New Roman"/>
          <w:caps w:val="false"/>
          <w:smallCaps w:val="false"/>
          <w:sz w:val="20"/>
        </w:rPr>
        <w:t xml:space="preserve">. The Term C Commitments will be automatically and permanently reduced to zero upon the Term C Borrowing pursuant to </w:t>
      </w:r>
      <w:r>
        <w:rPr>
          <w:rFonts w:ascii="Times New Roman" w:hAnsi="Times New Roman"/>
          <w:caps w:val="false"/>
          <w:smallCaps w:val="false"/>
          <w:sz w:val="20"/>
          <w:u w:val="single"/>
        </w:rPr>
        <w:t>Section 2.01</w:t>
      </w:r>
      <w:r>
        <w:rPr>
          <w:rFonts w:ascii="Times New Roman" w:hAnsi="Times New Roman"/>
          <w:caps w:val="false"/>
          <w:smallCaps w:val="false"/>
          <w:sz w:val="20"/>
        </w:rPr>
        <w:t>. The Term A Commitments shall be automatically and permanently reduced to zero on the date that the Term A Availability Period shall end. The Term B Commitments shall be automatically and permanently reduced to zero on the date that the Term B Availability Period shall end. The Term C Commitments shall be automatically and permanently reduced to zero on the date that the Term C Availability Period shall end.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 xml:space="preserve">Notwithstanding anything to the contrary in this Agreement or any other Loan Document, if all or any portion of the Commitments are terminated pursuant to Article IX, then the Borrower shall pay to the Lenders, for their respective ratable accounts, on the date on which such termination occurs (1) in connection with a termination of the Term B Commitments, pay to the Lenders an amount equal to the Make-Whole Amount plus the commitment fee required under Section 2.07(a) plus the exit fee required under Section 2.07(b), which amount shall be calculated as if the Term B Loan Borrowing had occurred and the full amount (which amount shall be $[***]) of the Term B Loan had been drawn and repaid in full, in each case, on the date of such termination and (2) in connection with a termination of the Term C Commitments, pay to the Lenders an amount equal to the Make-Whole Amount plus the commitment fee required under Section 2.07(a) plus the exit fee required under Section 2.07(b) which amount shall be calculated as if the Term C Loan Borrowing had occurred and the full amount (which amount shall be $[***]) of the Term C Loan had been drawn and repaid in full, in each case, on the date of such termination.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b/>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For the avoidance of doubt, in the event the Borrower (i) voluntarily prepays all outstanding Loans pursuant to Section 2.03(a) or (ii) is required to prepay all outstanding Loans pursuant to Section 2.03(b), any of the Term B Commitments and Term C Commitments that are then in effect shall automatically terminate in full upon any such prepayment and the amounts set forth in clauses (y)(1) and (2) of Section 2.04(a) shall be immediately due and payable to the Lenders.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2.05    </w:t>
      </w:r>
      <w:r>
        <w:rPr>
          <w:rFonts w:ascii="Times New Roman" w:hAnsi="Times New Roman"/>
          <w:caps w:val="false"/>
          <w:smallCaps w:val="false"/>
          <w:sz w:val="20"/>
          <w:u w:val="single"/>
        </w:rPr>
        <w:t>Repayment of Loans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Borrower shall repay the outstanding principal amount of the Loans, together with all accrued and unpaid interest thereon, the prepayment and repayment premiums required by </w:t>
      </w:r>
      <w:r>
        <w:rPr>
          <w:rFonts w:ascii="Times New Roman" w:hAnsi="Times New Roman"/>
          <w:caps w:val="false"/>
          <w:smallCaps w:val="false"/>
          <w:sz w:val="20"/>
          <w:u w:val="single"/>
        </w:rPr>
        <w:t xml:space="preserve">Section 2.03(d) </w:t>
      </w:r>
      <w:r>
        <w:rPr>
          <w:rFonts w:ascii="Times New Roman" w:hAnsi="Times New Roman"/>
          <w:caps w:val="false"/>
          <w:smallCaps w:val="false"/>
          <w:sz w:val="20"/>
        </w:rPr>
        <w:t xml:space="preserve">(provided, for clarity, that such premiums under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shall not be due and payable as a result of a repayment made pursuant to this </w:t>
      </w:r>
      <w:r>
        <w:rPr>
          <w:rFonts w:ascii="Times New Roman" w:hAnsi="Times New Roman"/>
          <w:caps w:val="false"/>
          <w:smallCaps w:val="false"/>
          <w:sz w:val="20"/>
          <w:u w:val="single"/>
        </w:rPr>
        <w:t>Section 2.05</w:t>
      </w:r>
      <w:r>
        <w:rPr>
          <w:rFonts w:ascii="Times New Roman" w:hAnsi="Times New Roman"/>
          <w:caps w:val="false"/>
          <w:smallCaps w:val="false"/>
          <w:sz w:val="20"/>
        </w:rPr>
        <w:t xml:space="preserve"> due to the occurrence of the date set forth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of the definition of “Maturity Date”), the exit fee required under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and all other outstanding Obligations, on the Maturity Date. Loans repaid or prepaid may not be reborrowed.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2.06    </w:t>
      </w:r>
      <w:r>
        <w:rPr>
          <w:rFonts w:ascii="Times New Roman" w:hAnsi="Times New Roman"/>
          <w:caps w:val="false"/>
          <w:smallCaps w:val="false"/>
          <w:sz w:val="20"/>
          <w:u w:val="single"/>
        </w:rPr>
        <w:t>Interest; Other Amounts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lineRule="auto" w:line="288"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Pre-Default Rate</w:t>
      </w:r>
      <w:r>
        <w:rPr>
          <w:rFonts w:ascii="Times New Roman" w:hAnsi="Times New Roman"/>
          <w:caps w:val="false"/>
          <w:smallCaps w:val="false"/>
          <w:sz w:val="20"/>
        </w:rPr>
        <w:t xml:space="preserve">. Subject to the provisions of </w:t>
      </w:r>
      <w:r>
        <w:rPr>
          <w:rFonts w:ascii="Times New Roman" w:hAnsi="Times New Roman"/>
          <w:caps w:val="false"/>
          <w:smallCaps w:val="false"/>
          <w:sz w:val="20"/>
          <w:u w:val="single"/>
        </w:rPr>
        <w:t>subsection (b)</w:t>
      </w:r>
      <w:r>
        <w:rPr>
          <w:rFonts w:ascii="Times New Roman" w:hAnsi="Times New Roman"/>
          <w:caps w:val="false"/>
          <w:smallCaps w:val="false"/>
          <w:sz w:val="20"/>
        </w:rPr>
        <w:t xml:space="preserve"> below, during any Interest Period each Loan shall bear interest during such Interest Period on the outstanding principal amount thereof </w:t>
      </w:r>
      <w:r>
        <w:rPr>
          <w:rFonts w:ascii="Times New Roman" w:hAnsi="Times New Roman"/>
          <w:caps w:val="false"/>
          <w:smallCaps w:val="false"/>
          <w:sz w:val="20"/>
          <w:u w:val="single"/>
        </w:rPr>
        <w:t>either</w:t>
      </w:r>
      <w:r>
        <w:rPr>
          <w:rFonts w:ascii="Times New Roman" w:hAnsi="Times New Roman"/>
          <w:caps w:val="false"/>
          <w:smallCaps w:val="false"/>
          <w:sz w:val="20"/>
        </w:rPr>
        <w:t xml:space="preserve">, (i) if such Interest Period (A) ends on or before the last day of the eighth (8th) full fiscal quarter ending after the Term A Borrowing Date and a Cash Pay Election is made pursuant to </w:t>
      </w:r>
      <w:r>
        <w:rPr>
          <w:rFonts w:ascii="Times New Roman" w:hAnsi="Times New Roman"/>
          <w:caps w:val="false"/>
          <w:smallCaps w:val="false"/>
          <w:sz w:val="20"/>
          <w:u w:val="single"/>
        </w:rPr>
        <w:t>Section 2.06(d)</w:t>
      </w:r>
      <w:r>
        <w:rPr>
          <w:rFonts w:ascii="Times New Roman" w:hAnsi="Times New Roman"/>
          <w:caps w:val="false"/>
          <w:smallCaps w:val="false"/>
          <w:sz w:val="20"/>
        </w:rPr>
        <w:t xml:space="preserve"> for such Interest Period or (B) begins after the last day of the eighth (8th) full fiscal quarter ending after the Term A Borrowing Date, at a rate equal to the sum of (x) Three-Month LIBOR for such Interest Period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(y) 8.25% per annum, or (ii) if such Interest Period ends on or before the last day of the eighth (8th) full fiscal quarter ending after the Term A Borrowing Date and a PIK Election is made pursuant to </w:t>
      </w:r>
      <w:r>
        <w:rPr>
          <w:rFonts w:ascii="Times New Roman" w:hAnsi="Times New Roman"/>
          <w:caps w:val="false"/>
          <w:smallCaps w:val="false"/>
          <w:sz w:val="20"/>
          <w:u w:val="single"/>
        </w:rPr>
        <w:t>Section 2.06(d)</w:t>
      </w:r>
      <w:r>
        <w:rPr>
          <w:rFonts w:ascii="Times New Roman" w:hAnsi="Times New Roman"/>
          <w:caps w:val="false"/>
          <w:smallCaps w:val="false"/>
          <w:sz w:val="20"/>
        </w:rPr>
        <w:t xml:space="preserve"> for such Interest Period, at a rate equal to the sum of (x) Three-Month LIBOR for such Interest Period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(y) 10.25%, per annum.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 Rate</w:t>
      </w:r>
      <w:r>
        <w:rPr>
          <w:rFonts w:ascii="Times New Roman" w:hAnsi="Times New Roman"/>
          <w:caps w:val="false"/>
          <w:smallCaps w:val="false"/>
          <w:sz w:val="20"/>
        </w:rPr>
        <w:t xml:space="preserve">. Notwithstanding anything the contrary set forth in </w:t>
      </w:r>
      <w:r>
        <w:rPr>
          <w:rFonts w:ascii="Times New Roman" w:hAnsi="Times New Roman"/>
          <w:caps w:val="false"/>
          <w:smallCaps w:val="false"/>
          <w:sz w:val="20"/>
          <w:u w:val="single"/>
        </w:rPr>
        <w:t>Section 2.06(a)</w:t>
      </w:r>
      <w:r>
        <w:rPr>
          <w:rFonts w:ascii="Times New Roman" w:hAnsi="Times New Roman"/>
          <w:caps w:val="false"/>
          <w:smallCaps w:val="false"/>
          <w:sz w:val="20"/>
        </w:rPr>
        <w:t>, (i) upon the occurrence of and during the continuance of any Event of Default during any Interest Period all outstanding Obligations shall bear interest during the continuance of such Event of Default at an interest rate per annum at all times equal to the Default Rate to the fullest extent permitted by applicable Laws and (ii) accrued and unpaid interest (including interest on past due interest) shall be due and payable in cash on demand. The interest rate shall be recalculated and, if necessary, adjusted for each Interest Period, in each case pursuant to the terms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Interest Generally</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2.06(b)</w:t>
      </w:r>
      <w:r>
        <w:rPr>
          <w:rFonts w:ascii="Times New Roman" w:hAnsi="Times New Roman"/>
          <w:caps w:val="false"/>
          <w:smallCaps w:val="false"/>
          <w:sz w:val="20"/>
        </w:rPr>
        <w:t xml:space="preserve">, interest on each Loan shall be due and payable in cash in arrears on each Interest Payment Date unless a PIK Election is made pursuant to </w:t>
      </w:r>
      <w:r>
        <w:rPr>
          <w:rFonts w:ascii="Times New Roman" w:hAnsi="Times New Roman"/>
          <w:caps w:val="false"/>
          <w:smallCaps w:val="false"/>
          <w:sz w:val="20"/>
          <w:u w:val="single"/>
        </w:rPr>
        <w:t>Section 2.06(d)</w:t>
      </w:r>
      <w:r>
        <w:rPr>
          <w:rFonts w:ascii="Times New Roman" w:hAnsi="Times New Roman"/>
          <w:caps w:val="false"/>
          <w:smallCaps w:val="false"/>
          <w:sz w:val="20"/>
        </w:rPr>
        <w:t xml:space="preserve">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spacing w:before="0" w:after="0"/>
        <w:ind w:left="0" w:right="0" w:hanging="0"/>
        <w:jc w:val="both"/>
        <w:rPr>
          <w:caps w:val="false"/>
          <w:smallCaps w:val="false"/>
        </w:rPr>
      </w:pPr>
      <w:r>
        <w:rPr>
          <w:caps w:val="false"/>
          <w:smallCaps w:val="false"/>
        </w:rPr>
        <w:t> </w:t>
      </w:r>
    </w:p>
    <w:p>
      <w:pPr>
        <w:pStyle w:val="TextBody"/>
        <w:spacing w:lineRule="auto" w:line="288"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PIK Interest Election</w:t>
      </w:r>
      <w:r>
        <w:rPr>
          <w:rFonts w:ascii="Times New Roman" w:hAnsi="Times New Roman"/>
          <w:caps w:val="false"/>
          <w:smallCaps w:val="false"/>
          <w:sz w:val="20"/>
        </w:rPr>
        <w:t>. For each Interest Period ending on or before the last day of the eighth (8th) full fiscal quarter ending after the Term A Borrowing Date, the Borrower hereby elects (such election, a “</w:t>
      </w:r>
      <w:r>
        <w:rPr>
          <w:rFonts w:ascii="Times New Roman" w:hAnsi="Times New Roman"/>
          <w:caps w:val="false"/>
          <w:smallCaps w:val="false"/>
          <w:sz w:val="20"/>
          <w:u w:val="single"/>
        </w:rPr>
        <w:t>PIK Election</w:t>
      </w:r>
      <w:r>
        <w:rPr>
          <w:rFonts w:ascii="Times New Roman" w:hAnsi="Times New Roman"/>
          <w:caps w:val="false"/>
          <w:smallCaps w:val="false"/>
          <w:sz w:val="20"/>
        </w:rPr>
        <w:t>”) that, so long as (x) no Default or Event of Default has occurred and is continuing and (y) the Borrower has not, at least five (5) Business Days prior to the beginning of such Interest Period, provided the Administrative Agent a written election indicating that it will decline the PIK Election for such Interest Period and interest on any Loan accrued during such Interest Period shall be due and payable in cash in arrears on the applicable Interest Payment Date (a “</w:t>
      </w:r>
      <w:r>
        <w:rPr>
          <w:rFonts w:ascii="Times New Roman" w:hAnsi="Times New Roman"/>
          <w:caps w:val="false"/>
          <w:smallCaps w:val="false"/>
          <w:sz w:val="20"/>
          <w:u w:val="single"/>
        </w:rPr>
        <w:t>Cash Pay Election</w:t>
      </w:r>
      <w:r>
        <w:rPr>
          <w:rFonts w:ascii="Times New Roman" w:hAnsi="Times New Roman"/>
          <w:caps w:val="false"/>
          <w:smallCaps w:val="false"/>
          <w:sz w:val="20"/>
        </w:rPr>
        <w:t>”), interest on any Loan accrued during such Interest Period may be paid in kind (“</w:t>
      </w:r>
      <w:r>
        <w:rPr>
          <w:rFonts w:ascii="Times New Roman" w:hAnsi="Times New Roman"/>
          <w:caps w:val="false"/>
          <w:smallCaps w:val="false"/>
          <w:sz w:val="20"/>
          <w:u w:val="single"/>
        </w:rPr>
        <w:t>PIK Interest</w:t>
      </w:r>
      <w:r>
        <w:rPr>
          <w:rFonts w:ascii="Times New Roman" w:hAnsi="Times New Roman"/>
          <w:caps w:val="false"/>
          <w:smallCaps w:val="false"/>
          <w:sz w:val="20"/>
        </w:rPr>
        <w:t>”) by capitalizing the entire amount of such PIK Interest with the unpaid principal amount of such Loan outstanding on the last day of such Interest Period (each, a “</w:t>
      </w:r>
      <w:r>
        <w:rPr>
          <w:rFonts w:ascii="Times New Roman" w:hAnsi="Times New Roman"/>
          <w:caps w:val="false"/>
          <w:smallCaps w:val="false"/>
          <w:sz w:val="20"/>
          <w:u w:val="single"/>
        </w:rPr>
        <w:t>PIK Interest Payment</w:t>
      </w:r>
      <w:r>
        <w:rPr>
          <w:rFonts w:ascii="Times New Roman" w:hAnsi="Times New Roman"/>
          <w:caps w:val="false"/>
          <w:smallCaps w:val="false"/>
          <w:sz w:val="20"/>
        </w:rPr>
        <w:t>”). Following each such increase in the principal amount of such Loan as a result of any PIK Interest Payment, such Loans will bear interest on such increased principal amount from and after the date of each such PIK Interest Payment and each reference to such Loan shall include such PIK Interest for all purposes of the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2.07    </w:t>
      </w:r>
      <w:r>
        <w:rPr>
          <w:rFonts w:ascii="Times New Roman" w:hAnsi="Times New Roman"/>
          <w:caps w:val="false"/>
          <w:smallCaps w:val="false"/>
          <w:sz w:val="20"/>
          <w:u w:val="single"/>
        </w:rPr>
        <w:t>Fees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Commitment Fee</w:t>
      </w:r>
      <w:r>
        <w:rPr>
          <w:rFonts w:ascii="Times New Roman" w:hAnsi="Times New Roman"/>
          <w:caps w:val="false"/>
          <w:smallCaps w:val="false"/>
          <w:sz w:val="20"/>
        </w:rPr>
        <w:t xml:space="preserve">. The Borrower shall pay to the Lenders, for their respective ratable accounts, on the date of each Borrowing </w:t>
      </w:r>
      <w:r>
        <w:rPr>
          <w:rFonts w:ascii="Times New Roman" w:hAnsi="Times New Roman"/>
          <w:b/>
          <w:caps w:val="false"/>
          <w:smallCaps w:val="false"/>
          <w:color w:val="0000FF"/>
          <w:sz w:val="20"/>
          <w:u w:val="single"/>
          <w:bdr w:val="double" w:sz="2" w:space="1" w:color="000000"/>
        </w:rPr>
        <w:t>(or a deemed Borrowing pursuant to Section 2.03 or Section 2.04)</w:t>
      </w:r>
      <w:r>
        <w:rPr>
          <w:rFonts w:ascii="Times New Roman" w:hAnsi="Times New Roman"/>
          <w:caps w:val="false"/>
          <w:smallCaps w:val="false"/>
          <w:sz w:val="20"/>
        </w:rPr>
        <w:t xml:space="preserve">, a commitment fee in an amount equal to one percent (1.00%) of the principal amount of the Loans borrowed </w:t>
      </w:r>
      <w:r>
        <w:rPr>
          <w:rFonts w:ascii="Times New Roman" w:hAnsi="Times New Roman"/>
          <w:b/>
          <w:caps w:val="false"/>
          <w:smallCaps w:val="false"/>
          <w:color w:val="0000FF"/>
          <w:sz w:val="20"/>
          <w:u w:val="single"/>
          <w:bdr w:val="double" w:sz="2" w:space="1" w:color="000000"/>
        </w:rPr>
        <w:t>(or deemed borrowed)</w:t>
      </w:r>
      <w:r>
        <w:rPr>
          <w:rFonts w:ascii="Times New Roman" w:hAnsi="Times New Roman"/>
          <w:caps w:val="false"/>
          <w:smallCaps w:val="false"/>
          <w:sz w:val="20"/>
        </w:rPr>
        <w:t xml:space="preserve"> on such date. Such fee shall be fully earned when paid and shall be non-refundable for any reason whatsoever. It is understood and agreed that Athyrium, the Administrative Agent and the Lenders reserve the right to allocate, in whole or in part, to their respective Affiliates, the fees payable to such Persons hereunder in such manner as Athyrium, the Administrative Agent, the Lenders and such Affiliates shall agree in their sole discretion.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Exit Fee</w:t>
      </w:r>
      <w:r>
        <w:rPr>
          <w:rFonts w:ascii="Times New Roman" w:hAnsi="Times New Roman"/>
          <w:caps w:val="false"/>
          <w:smallCaps w:val="false"/>
          <w:sz w:val="20"/>
        </w:rPr>
        <w:t xml:space="preserve">. If all or any portion of the Loans are repaid, prepaid, </w:t>
      </w:r>
      <w:r>
        <w:rPr>
          <w:rFonts w:ascii="Times New Roman" w:hAnsi="Times New Roman"/>
          <w:caps w:val="false"/>
          <w:smallCaps w:val="false"/>
          <w:strike/>
          <w:color w:val="FF0000"/>
          <w:sz w:val="20"/>
        </w:rPr>
        <w:t xml:space="preserve">or </w:t>
      </w:r>
      <w:r>
        <w:rPr>
          <w:rFonts w:ascii="Times New Roman" w:hAnsi="Times New Roman"/>
          <w:caps w:val="false"/>
          <w:smallCaps w:val="false"/>
          <w:sz w:val="20"/>
        </w:rPr>
        <w:t xml:space="preserve">required to be repaid or prepaid (including by acceleration) </w:t>
      </w:r>
      <w:r>
        <w:rPr>
          <w:rFonts w:ascii="Times New Roman" w:hAnsi="Times New Roman"/>
          <w:b/>
          <w:caps w:val="false"/>
          <w:smallCaps w:val="false"/>
          <w:color w:val="0000FF"/>
          <w:sz w:val="20"/>
          <w:u w:val="single"/>
          <w:bdr w:val="double" w:sz="2" w:space="1" w:color="000000"/>
        </w:rPr>
        <w:t>or deemed repaid or prepaid</w:t>
      </w:r>
      <w:r>
        <w:rPr>
          <w:rFonts w:ascii="Times New Roman" w:hAnsi="Times New Roman"/>
          <w:caps w:val="false"/>
          <w:smallCaps w:val="false"/>
          <w:sz w:val="20"/>
        </w:rPr>
        <w:t xml:space="preserve">, pursuant to </w:t>
      </w:r>
      <w:r>
        <w:rPr>
          <w:rFonts w:ascii="Times New Roman" w:hAnsi="Times New Roman"/>
          <w:caps w:val="false"/>
          <w:smallCaps w:val="false"/>
          <w:sz w:val="20"/>
          <w:u w:val="single"/>
        </w:rPr>
        <w:t>Section 2.03</w:t>
      </w:r>
      <w:r>
        <w:rPr>
          <w:rFonts w:ascii="Times New Roman" w:hAnsi="Times New Roman"/>
          <w:b/>
          <w:caps w:val="false"/>
          <w:smallCaps w:val="false"/>
          <w:color w:val="0000FF"/>
          <w:sz w:val="20"/>
          <w:u w:val="single"/>
          <w:bdr w:val="double" w:sz="2" w:space="1" w:color="000000"/>
        </w:rPr>
        <w:t>, Section 2.04</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2.05</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or otherwise, then, in all cases, the Borrower shall pay to the Lenders, for their respective ratable accounts, on the date on which such repayment or prepayment is repaid, paid</w:t>
      </w:r>
      <w:r>
        <w:rPr>
          <w:rFonts w:ascii="Times New Roman" w:hAnsi="Times New Roman"/>
          <w:caps w:val="false"/>
          <w:smallCaps w:val="false"/>
          <w:strike/>
          <w:color w:val="FF0000"/>
          <w:sz w:val="20"/>
        </w:rPr>
        <w:t xml:space="preserve"> or</w:t>
      </w:r>
      <w:r>
        <w:rPr>
          <w:rFonts w:ascii="Times New Roman" w:hAnsi="Times New Roman"/>
          <w:b/>
          <w:caps w:val="false"/>
          <w:smallCaps w:val="false"/>
          <w:sz w:val="20"/>
        </w:rPr>
        <w:t>,</w:t>
      </w:r>
      <w:r>
        <w:rPr>
          <w:rFonts w:ascii="Times New Roman" w:hAnsi="Times New Roman"/>
          <w:caps w:val="false"/>
          <w:smallCaps w:val="false"/>
          <w:sz w:val="20"/>
        </w:rPr>
        <w:t xml:space="preserve"> required to be </w:t>
      </w:r>
      <w:r>
        <w:rPr>
          <w:rFonts w:ascii="Times New Roman" w:hAnsi="Times New Roman"/>
          <w:b/>
          <w:caps w:val="false"/>
          <w:smallCaps w:val="false"/>
          <w:color w:val="0000FF"/>
          <w:sz w:val="20"/>
          <w:u w:val="single"/>
          <w:bdr w:val="double" w:sz="2" w:space="1" w:color="000000"/>
        </w:rPr>
        <w:t>repaid or prepaid or deemed</w:t>
      </w:r>
      <w:r>
        <w:rPr>
          <w:rFonts w:ascii="Times New Roman" w:hAnsi="Times New Roman"/>
          <w:caps w:val="false"/>
          <w:smallCaps w:val="false"/>
          <w:sz w:val="20"/>
        </w:rPr>
        <w:t xml:space="preserve"> repaid or prepaid, as the case may be, in addition to the other Obligations so prepaid, repaid</w:t>
      </w:r>
      <w:r>
        <w:rPr>
          <w:rFonts w:ascii="Times New Roman" w:hAnsi="Times New Roman"/>
          <w:caps w:val="false"/>
          <w:smallCaps w:val="false"/>
          <w:strike/>
          <w:color w:val="FF0000"/>
          <w:sz w:val="20"/>
        </w:rPr>
        <w:t xml:space="preserve"> or</w:t>
      </w:r>
      <w:r>
        <w:rPr>
          <w:rFonts w:ascii="Times New Roman" w:hAnsi="Times New Roman"/>
          <w:b/>
          <w:caps w:val="false"/>
          <w:smallCaps w:val="false"/>
          <w:color w:val="0000FF"/>
          <w:sz w:val="20"/>
          <w:u w:val="single"/>
          <w:bdr w:val="double" w:sz="2" w:space="1" w:color="000000"/>
        </w:rPr>
        <w: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required to be prepaid or repaid </w:t>
      </w:r>
      <w:r>
        <w:rPr>
          <w:rFonts w:ascii="Times New Roman" w:hAnsi="Times New Roman"/>
          <w:b/>
          <w:caps w:val="false"/>
          <w:smallCaps w:val="false"/>
          <w:color w:val="0000FF"/>
          <w:sz w:val="20"/>
          <w:u w:val="single"/>
          <w:bdr w:val="double" w:sz="2" w:space="1" w:color="000000"/>
        </w:rPr>
        <w:t>or deemed repaid or prepaid</w:t>
      </w:r>
      <w:r>
        <w:rPr>
          <w:rFonts w:ascii="Times New Roman" w:hAnsi="Times New Roman"/>
          <w:caps w:val="false"/>
          <w:smallCaps w:val="false"/>
          <w:sz w:val="20"/>
        </w:rPr>
        <w:t>, an exit fee in an amount equal to two percent (2.00%) of the principal amount of such Loan prepaid, repaid</w:t>
      </w:r>
      <w:r>
        <w:rPr>
          <w:rFonts w:ascii="Times New Roman" w:hAnsi="Times New Roman"/>
          <w:caps w:val="false"/>
          <w:smallCaps w:val="false"/>
          <w:strike/>
          <w:color w:val="FF0000"/>
          <w:sz w:val="20"/>
        </w:rPr>
        <w:t xml:space="preserve"> or</w:t>
      </w:r>
      <w:r>
        <w:rPr>
          <w:rFonts w:ascii="Times New Roman" w:hAnsi="Times New Roman"/>
          <w:b/>
          <w:caps w:val="false"/>
          <w:smallCaps w:val="false"/>
          <w:color w:val="0000FF"/>
          <w:sz w:val="20"/>
          <w:u w:val="single"/>
          <w:bdr w:val="double" w:sz="2" w:space="1" w:color="000000"/>
        </w:rPr>
        <w:t>,</w:t>
      </w:r>
      <w:r>
        <w:rPr>
          <w:rFonts w:ascii="Times New Roman" w:hAnsi="Times New Roman"/>
          <w:caps w:val="false"/>
          <w:smallCaps w:val="false"/>
          <w:sz w:val="20"/>
        </w:rPr>
        <w:t xml:space="preserve"> required to be prepaid or repaid </w:t>
      </w:r>
      <w:r>
        <w:rPr>
          <w:rFonts w:ascii="Times New Roman" w:hAnsi="Times New Roman"/>
          <w:b/>
          <w:caps w:val="false"/>
          <w:smallCaps w:val="false"/>
          <w:color w:val="0000FF"/>
          <w:sz w:val="20"/>
          <w:u w:val="single"/>
          <w:bdr w:val="double" w:sz="2" w:space="1" w:color="000000"/>
        </w:rPr>
        <w:t>or deemed repaid or prepaid</w:t>
      </w:r>
      <w:r>
        <w:rPr>
          <w:rFonts w:ascii="Times New Roman" w:hAnsi="Times New Roman"/>
          <w:caps w:val="false"/>
          <w:smallCaps w:val="false"/>
          <w:sz w:val="20"/>
        </w:rPr>
        <w:t>, as the case may be, on such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2.08    </w:t>
      </w:r>
      <w:r>
        <w:rPr>
          <w:rFonts w:ascii="Times New Roman" w:hAnsi="Times New Roman"/>
          <w:caps w:val="false"/>
          <w:smallCaps w:val="false"/>
          <w:sz w:val="20"/>
          <w:u w:val="single"/>
        </w:rPr>
        <w:t>Evidence of Debt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Loans made by each Lender shall be evidenced by one or more accounts or records maintained by such Lender in the ordinary course of business. The accounts or records maintained by each Lender shall be conclusive absent manifest error of the amount of Loans made by the Lenders to the Borrower and the interest and payments thereon. Any failure to so record or any error in doing so shall not, however, limit or otherwise affect the obligation of the Borrower hereunder to pay any amount owing with respect to the Obligations. Upon the request of any Lender made through the Administrative Agent, the Borrower shall execute and deliver to such Lender a promissory note, which shall evidence such Lender’s Loans in addition to such accounts or records. Each such promissory note shall (a) in the case of the Term A Loans, be in the form of </w:t>
      </w:r>
      <w:r>
        <w:rPr>
          <w:rFonts w:ascii="Times New Roman" w:hAnsi="Times New Roman"/>
          <w:caps w:val="false"/>
          <w:smallCaps w:val="false"/>
          <w:sz w:val="20"/>
          <w:u w:val="single"/>
        </w:rPr>
        <w:t>Exhibit B-1</w:t>
      </w:r>
      <w:r>
        <w:rPr>
          <w:rFonts w:ascii="Times New Roman" w:hAnsi="Times New Roman"/>
          <w:caps w:val="false"/>
          <w:smallCaps w:val="false"/>
          <w:sz w:val="20"/>
        </w:rPr>
        <w:t xml:space="preserve"> (a “</w:t>
      </w:r>
      <w:r>
        <w:rPr>
          <w:rFonts w:ascii="Times New Roman" w:hAnsi="Times New Roman"/>
          <w:caps w:val="false"/>
          <w:smallCaps w:val="false"/>
          <w:sz w:val="20"/>
          <w:u w:val="single"/>
        </w:rPr>
        <w:t>Term A Note</w:t>
      </w:r>
      <w:r>
        <w:rPr>
          <w:rFonts w:ascii="Times New Roman" w:hAnsi="Times New Roman"/>
          <w:caps w:val="false"/>
          <w:smallCaps w:val="false"/>
          <w:sz w:val="20"/>
        </w:rPr>
        <w:t xml:space="preserve">”), (b) in the case of the Term B Loans, be in the form of </w:t>
      </w:r>
      <w:r>
        <w:rPr>
          <w:rFonts w:ascii="Times New Roman" w:hAnsi="Times New Roman"/>
          <w:caps w:val="false"/>
          <w:smallCaps w:val="false"/>
          <w:sz w:val="20"/>
          <w:u w:val="single"/>
        </w:rPr>
        <w:t>Exhibit B-2</w:t>
      </w:r>
      <w:r>
        <w:rPr>
          <w:rFonts w:ascii="Times New Roman" w:hAnsi="Times New Roman"/>
          <w:caps w:val="false"/>
          <w:smallCaps w:val="false"/>
          <w:sz w:val="20"/>
        </w:rPr>
        <w:t xml:space="preserve"> (a “</w:t>
      </w:r>
      <w:r>
        <w:rPr>
          <w:rFonts w:ascii="Times New Roman" w:hAnsi="Times New Roman"/>
          <w:caps w:val="false"/>
          <w:smallCaps w:val="false"/>
          <w:sz w:val="20"/>
          <w:u w:val="single"/>
        </w:rPr>
        <w:t>Term B Note</w:t>
      </w:r>
      <w:r>
        <w:rPr>
          <w:rFonts w:ascii="Times New Roman" w:hAnsi="Times New Roman"/>
          <w:caps w:val="false"/>
          <w:smallCaps w:val="false"/>
          <w:sz w:val="20"/>
        </w:rPr>
        <w:t xml:space="preserve">”) and (c) in the case of the Term C Loans, be in the form of </w:t>
      </w:r>
      <w:r>
        <w:rPr>
          <w:rFonts w:ascii="Times New Roman" w:hAnsi="Times New Roman"/>
          <w:caps w:val="false"/>
          <w:smallCaps w:val="false"/>
          <w:sz w:val="20"/>
          <w:u w:val="single"/>
        </w:rPr>
        <w:t>Exhibit B-3</w:t>
      </w:r>
      <w:r>
        <w:rPr>
          <w:rFonts w:ascii="Times New Roman" w:hAnsi="Times New Roman"/>
          <w:caps w:val="false"/>
          <w:smallCaps w:val="false"/>
          <w:sz w:val="20"/>
        </w:rPr>
        <w:t xml:space="preserve"> (the “</w:t>
      </w:r>
      <w:r>
        <w:rPr>
          <w:rFonts w:ascii="Times New Roman" w:hAnsi="Times New Roman"/>
          <w:caps w:val="false"/>
          <w:smallCaps w:val="false"/>
          <w:sz w:val="20"/>
          <w:u w:val="single"/>
        </w:rPr>
        <w:t>Term C Note</w:t>
      </w:r>
      <w:r>
        <w:rPr>
          <w:rFonts w:ascii="Times New Roman" w:hAnsi="Times New Roman"/>
          <w:caps w:val="false"/>
          <w:smallCaps w:val="false"/>
          <w:sz w:val="20"/>
        </w:rPr>
        <w:t>”). Each Lender may attach schedules to its Note and endorse thereon the date, amount and maturity of its Loans and payments with respect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2.09    </w:t>
      </w:r>
      <w:r>
        <w:rPr>
          <w:rFonts w:ascii="Times New Roman" w:hAnsi="Times New Roman"/>
          <w:caps w:val="false"/>
          <w:smallCaps w:val="false"/>
          <w:sz w:val="20"/>
          <w:u w:val="single"/>
        </w:rPr>
        <w:t>Computation of Interest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computations of interest shall be made on the basis of a 360-day year and actual days elapsed. Interest shall accrue on each Loan for the day on which such Loan is made, and shall not accrue on a Loan, or any portion thereof, for the day on which such Loan or such portion is paid.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2.10    </w:t>
      </w:r>
      <w:r>
        <w:rPr>
          <w:rFonts w:ascii="Times New Roman" w:hAnsi="Times New Roman"/>
          <w:caps w:val="false"/>
          <w:smallCaps w:val="false"/>
          <w:sz w:val="20"/>
          <w:u w:val="single"/>
        </w:rPr>
        <w:t>Payments Generally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w:t>
      </w:r>
      <w:r>
        <w:rPr>
          <w:rFonts w:ascii="Times New Roman" w:hAnsi="Times New Roman"/>
          <w:caps w:val="false"/>
          <w:smallCaps w:val="false"/>
          <w:sz w:val="20"/>
        </w:rPr>
        <w:t xml:space="preserve">. All payments to be made by the Borrower shall be made free and clear of and without condition or deduction (subject to Section 3.01) for any counterclaim, defense, recoupment or setoff. Subject to </w:t>
      </w:r>
      <w:r>
        <w:rPr>
          <w:rFonts w:ascii="Times New Roman" w:hAnsi="Times New Roman"/>
          <w:caps w:val="false"/>
          <w:smallCaps w:val="false"/>
          <w:sz w:val="20"/>
          <w:u w:val="single"/>
        </w:rPr>
        <w:t>Section 9.03</w:t>
      </w:r>
      <w:r>
        <w:rPr>
          <w:rFonts w:ascii="Times New Roman" w:hAnsi="Times New Roman"/>
          <w:caps w:val="false"/>
          <w:smallCaps w:val="false"/>
          <w:sz w:val="20"/>
        </w:rPr>
        <w:t xml:space="preserve">, all payments of principal, interest, prepayment and repayment premiums and fees on the Loans and all other Obligations payable by any Loan Party under the Loan Documents shall be due, without any presentment thereof, directly to the Lenders, at the respective Lending Offices of the Lenders;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if at the time of any such payment a Lender is a Defaulting Lender, such Defaulting Lender’s </w:t>
      </w:r>
      <w:r>
        <w:rPr>
          <w:rFonts w:ascii="Times New Roman" w:hAnsi="Times New Roman"/>
          <w:i/>
          <w:caps w:val="false"/>
          <w:smallCaps w:val="false"/>
          <w:sz w:val="20"/>
        </w:rPr>
        <w:t xml:space="preserve">pro rata </w:t>
      </w:r>
      <w:r>
        <w:rPr>
          <w:rFonts w:ascii="Times New Roman" w:hAnsi="Times New Roman"/>
          <w:caps w:val="false"/>
          <w:smallCaps w:val="false"/>
          <w:sz w:val="20"/>
        </w:rPr>
        <w:t>share of such payment shall be made directly to the Administrative Agent. The Loan Parties will make such payments in Dollars, in immediately available funds not later than 2:00 p.m. on the date due, marked for attention as indicated, or in such other manner or to such other account in any United States bank as the Lenders may from time to time direct in writing. All payments received by the Lenders after 2:00 p.m. shall be deemed received on the next succeeding Business Day and any applicable interest or fee shall continue to accrue in respect of such succeeding Business Day. If any payment to be made by the Borrower shall come due on a day other than a Business Day, payment shall be made on the next following Business Day, and such extension of time shall be reflected in computing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Obligations of Lenders are Several</w:t>
      </w:r>
      <w:r>
        <w:rPr>
          <w:rFonts w:ascii="Times New Roman" w:hAnsi="Times New Roman"/>
          <w:caps w:val="false"/>
          <w:smallCaps w:val="false"/>
          <w:sz w:val="20"/>
        </w:rPr>
        <w:t xml:space="preserve">. The obligations of the Lenders hereunder to make Loans and to make payments pursuant to </w:t>
      </w:r>
      <w:r>
        <w:rPr>
          <w:rFonts w:ascii="Times New Roman" w:hAnsi="Times New Roman"/>
          <w:caps w:val="false"/>
          <w:smallCaps w:val="false"/>
          <w:sz w:val="20"/>
          <w:u w:val="single"/>
        </w:rPr>
        <w:t>Section 12.04(d)</w:t>
      </w:r>
      <w:r>
        <w:rPr>
          <w:rFonts w:ascii="Times New Roman" w:hAnsi="Times New Roman"/>
          <w:caps w:val="false"/>
          <w:smallCaps w:val="false"/>
          <w:sz w:val="20"/>
        </w:rPr>
        <w:t xml:space="preserve"> are several and not joint. The failure of any Lender to make any Loan or to make any payment under </w:t>
      </w:r>
      <w:r>
        <w:rPr>
          <w:rFonts w:ascii="Times New Roman" w:hAnsi="Times New Roman"/>
          <w:caps w:val="false"/>
          <w:smallCaps w:val="false"/>
          <w:sz w:val="20"/>
          <w:u w:val="single"/>
        </w:rPr>
        <w:t>Section 12.04(d)</w:t>
      </w:r>
      <w:r>
        <w:rPr>
          <w:rFonts w:ascii="Times New Roman" w:hAnsi="Times New Roman"/>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hAnsi="Times New Roman"/>
          <w:caps w:val="false"/>
          <w:smallCaps w:val="false"/>
          <w:sz w:val="20"/>
          <w:u w:val="single"/>
        </w:rPr>
        <w:t>Section 12.04(d)</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Funding Source</w:t>
      </w:r>
      <w:r>
        <w:rPr>
          <w:rFonts w:ascii="Times New Roman" w:hAnsi="Times New Roman"/>
          <w:caps w:val="false"/>
          <w:smallCaps w:val="false"/>
          <w:sz w:val="20"/>
        </w:rPr>
        <w:t>. Nothing herein shall be deemed to obligate any Lender to obtain the funds to make any Loan in any particular place or manner or to constitute a representation by any Lender that it has obtained or will obtain the funds to make any Loan in any particular place or manner.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2.11    </w:t>
      </w:r>
      <w:r>
        <w:rPr>
          <w:rFonts w:ascii="Times New Roman" w:hAnsi="Times New Roman"/>
          <w:caps w:val="false"/>
          <w:smallCaps w:val="false"/>
          <w:sz w:val="20"/>
          <w:u w:val="single"/>
        </w:rPr>
        <w:t>Sharing of Payments by Lenders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If any Lender shall, by exercising any right of setoff or otherwise, obtain payment in respect of any principal of or interest on its portion of any of the Loans or prepayment or repayment premium or exit fees in connection therewith resulting in such Lender’s receiving payment of a proportion of the aggregate amount of the Loans and accrued interest thereon and prepayment or repayment premium or exit fees in connection therewith greater than its </w:t>
      </w:r>
      <w:r>
        <w:rPr>
          <w:rFonts w:ascii="Times New Roman" w:hAnsi="Times New Roman"/>
          <w:i/>
          <w:caps w:val="false"/>
          <w:smallCaps w:val="false"/>
          <w:sz w:val="20"/>
        </w:rPr>
        <w:t>pro rata share</w:t>
      </w:r>
      <w:r>
        <w:rPr>
          <w:rFonts w:ascii="Times New Roman" w:hAnsi="Times New Roman"/>
          <w:caps w:val="false"/>
          <w:smallCaps w:val="false"/>
          <w:sz w:val="20"/>
        </w:rPr>
        <w:t xml:space="preserve"> thereof as provided herein, then such Lender shall (a) notify the Administrative Agent of such fact and (b) purchase for cash at face value participations in the portions of the Loans of the Other Lenders, or make such other adjustments as shall be equitable, so that the benefit of all such payments shall be shared by the Lenders ratably in accordance with the aggregate amount of principal of, accrued interest on and prepayment and repayment premiums or exit fees in connection with their respective portions of the Loans and other amounts owing them;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60" w:right="0" w:firstLine="760"/>
        <w:jc w:val="both"/>
        <w:rPr>
          <w:rFonts w:ascii="Times New Roman" w:hAnsi="Times New Roman"/>
          <w:caps w:val="false"/>
          <w:smallCaps w:val="false"/>
          <w:sz w:val="20"/>
        </w:rPr>
      </w:pPr>
      <w:r>
        <w:rPr>
          <w:rFonts w:ascii="Times New Roman" w:hAnsi="Times New Roman"/>
          <w:caps w:val="false"/>
          <w:smallCaps w:val="false"/>
          <w:sz w:val="20"/>
        </w:rPr>
        <w:t>(i)    if any such participations are purchased and all or any portion of the payment giving rise thereto is recovered, such participations shall be rescinded and the purchase price shall be restored to the extent of such recovery, without interest;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60" w:right="0" w:firstLine="760"/>
        <w:jc w:val="both"/>
        <w:rPr>
          <w:rFonts w:ascii="Times New Roman" w:hAnsi="Times New Roman"/>
          <w:caps w:val="false"/>
          <w:smallCaps w:val="false"/>
          <w:sz w:val="20"/>
        </w:rPr>
      </w:pPr>
      <w:r>
        <w:rPr>
          <w:rFonts w:ascii="Times New Roman" w:hAnsi="Times New Roman"/>
          <w:caps w:val="false"/>
          <w:smallCaps w:val="false"/>
          <w:sz w:val="20"/>
        </w:rPr>
        <w:t xml:space="preserve">(ii)    the provisions of this </w:t>
      </w:r>
      <w:r>
        <w:rPr>
          <w:rFonts w:ascii="Times New Roman" w:hAnsi="Times New Roman"/>
          <w:caps w:val="false"/>
          <w:smallCaps w:val="false"/>
          <w:sz w:val="20"/>
          <w:u w:val="single"/>
        </w:rPr>
        <w:t>Section 2.11</w:t>
      </w:r>
      <w:r>
        <w:rPr>
          <w:rFonts w:ascii="Times New Roman" w:hAnsi="Times New Roman"/>
          <w:caps w:val="false"/>
          <w:smallCaps w:val="false"/>
          <w:sz w:val="20"/>
        </w:rPr>
        <w:t xml:space="preserve">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any participation in any of its portion of the Loans to any assignee or participant, other than an assignment to the Borrower or any Subsidiary (as to which the provisions of this Section shall apply).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2.12    </w:t>
      </w:r>
      <w:r>
        <w:rPr>
          <w:rFonts w:ascii="Times New Roman" w:hAnsi="Times New Roman"/>
          <w:caps w:val="false"/>
          <w:smallCaps w:val="false"/>
          <w:sz w:val="20"/>
          <w:u w:val="single"/>
        </w:rPr>
        <w:t>Defaulting Lenders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Adjustments.</w:t>
      </w:r>
      <w:r>
        <w:rPr>
          <w:rFonts w:ascii="Times New Roman" w:hAnsi="Times New Roman"/>
          <w:caps w:val="false"/>
          <w:smallCaps w:val="false"/>
          <w:sz w:val="20"/>
        </w:rPr>
        <w:t xml:space="preserve"> Notwithstanding anything to the contrary contained in this Agreement, if any Lender becomes a Defaulting Lender, then, until such time as that Lender is no longer a Defaulting Lender, to the extent permitted by applicable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80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Waivers and Amendment.</w:t>
      </w:r>
      <w:r>
        <w:rPr>
          <w:rFonts w:ascii="Times New Roman" w:hAnsi="Times New Roman"/>
          <w:caps w:val="false"/>
          <w:smallCaps w:val="false"/>
          <w:sz w:val="20"/>
        </w:rPr>
        <w:t xml:space="preserve"> The Defaulting Lender’s right to approve or disapprove any amendment, waiver or consent with respect to this Agreement shall be restricted as set forth in </w:t>
      </w:r>
      <w:r>
        <w:rPr>
          <w:rFonts w:ascii="Times New Roman" w:hAnsi="Times New Roman"/>
          <w:caps w:val="false"/>
          <w:smallCaps w:val="false"/>
          <w:sz w:val="20"/>
          <w:u w:val="single"/>
        </w:rPr>
        <w:t>Section 12.01.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80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Reallocation of Payments.</w:t>
      </w:r>
      <w:r>
        <w:rPr>
          <w:rFonts w:ascii="Times New Roman" w:hAnsi="Times New Roman"/>
          <w:caps w:val="false"/>
          <w:smallCaps w:val="false"/>
          <w:sz w:val="20"/>
        </w:rPr>
        <w:t xml:space="preserve"> Any payment of principal, interest, fees or other amounts received by the Administrative Agent for the account of that Defaulting Lender (whether voluntary or mandatory, at maturity, pursuant to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or otherwise, and including any amounts made available to the Administrative Agent by that Defaulting Lender pursuant to </w:t>
      </w:r>
      <w:r>
        <w:rPr>
          <w:rFonts w:ascii="Times New Roman" w:hAnsi="Times New Roman"/>
          <w:caps w:val="false"/>
          <w:smallCaps w:val="false"/>
          <w:sz w:val="20"/>
          <w:u w:val="single"/>
        </w:rPr>
        <w:t>Section 12.08),</w:t>
      </w:r>
      <w:r>
        <w:rPr>
          <w:rFonts w:ascii="Times New Roman" w:hAnsi="Times New Roman"/>
          <w:caps w:val="false"/>
          <w:smallCaps w:val="false"/>
          <w:sz w:val="20"/>
        </w:rPr>
        <w:t xml:space="preserve"> shall be applied at such time or times as may be determined by the Administrative Agent as follows: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to the payment of any amounts owing by that Defaulting Lender to the Administrative Agent hereunder;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hAnsi="Times New Roman"/>
          <w:caps w:val="false"/>
          <w:smallCaps w:val="false"/>
          <w:sz w:val="20"/>
          <w:u w:val="single"/>
        </w:rPr>
        <w:t>sixth,</w:t>
      </w:r>
      <w:r>
        <w:rPr>
          <w:rFonts w:ascii="Times New Roman" w:hAnsi="Times New Roman"/>
          <w:caps w:val="false"/>
          <w:smallCaps w:val="false"/>
          <w:sz w:val="20"/>
        </w:rPr>
        <w:t xml:space="preserve"> to that Defaulting Lender or as otherwise directed by a court of competent jurisdiction;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if (x) such payment is a payment of the principal amount of any Loans in respect of which that Defaulting Lender has not fully funded its appropriate share and (y) such Loans were made at a time when the conditions set forth in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were satisfied or waived, such payment shall be applied solely to pay the Loans of all non-Defaulting Lenders on a </w:t>
      </w:r>
      <w:r>
        <w:rPr>
          <w:rFonts w:ascii="Times New Roman" w:hAnsi="Times New Roman"/>
          <w:caps w:val="false"/>
          <w:smallCaps w:val="false"/>
          <w:sz w:val="20"/>
          <w:u w:val="single"/>
        </w:rPr>
        <w:t>pro rata</w:t>
      </w:r>
      <w:r>
        <w:rPr>
          <w:rFonts w:ascii="Times New Roman" w:hAnsi="Times New Roman"/>
          <w:caps w:val="false"/>
          <w:smallCaps w:val="false"/>
          <w:sz w:val="20"/>
        </w:rPr>
        <w:t xml:space="preserve"> basis prior to being applied to the payment of any Loans of that Defaulting Lender. Any payments, prepayments, repayments or other amounts paid or payable to a Defaulting Lender that are applied (or held) to pay amounts owed by a Defaulting Lender pursuant to this </w:t>
      </w:r>
      <w:r>
        <w:rPr>
          <w:rFonts w:ascii="Times New Roman" w:hAnsi="Times New Roman"/>
          <w:caps w:val="false"/>
          <w:smallCaps w:val="false"/>
          <w:sz w:val="20"/>
          <w:u w:val="single"/>
        </w:rPr>
        <w:t>Section 2.12 (a)(ii)</w:t>
      </w:r>
      <w:r>
        <w:rPr>
          <w:rFonts w:ascii="Times New Roman" w:hAnsi="Times New Roman"/>
          <w:caps w:val="false"/>
          <w:smallCaps w:val="false"/>
          <w:sz w:val="20"/>
        </w:rPr>
        <w:t xml:space="preserve"> shall be deemed paid to and redirected by that Defaulting Lender, and each Lender irrevocably consents 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Defaulting Lender Cure.</w:t>
      </w:r>
      <w:r>
        <w:rPr>
          <w:rFonts w:ascii="Times New Roman" w:hAnsi="Times New Roman"/>
          <w:caps w:val="false"/>
          <w:smallCaps w:val="false"/>
          <w:sz w:val="20"/>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no adjustments will be made retroactively with respect to fees accrued or payments made by or on behalf of the Borrower while that Lender was a Defaulting Lender; </w:t>
      </w:r>
      <w:r>
        <w:rPr>
          <w:rFonts w:ascii="Times New Roman" w:hAnsi="Times New Roman"/>
          <w:caps w:val="false"/>
          <w:smallCaps w:val="false"/>
          <w:sz w:val="20"/>
          <w:u w:val="single"/>
        </w:rPr>
        <w:t>provided, further, that,</w:t>
      </w:r>
      <w:r>
        <w:rPr>
          <w:rFonts w:ascii="Times New Roman" w:hAnsi="Times New Roman"/>
          <w:caps w:val="false"/>
          <w:smallCaps w:val="false"/>
          <w:sz w:val="20"/>
        </w:rPr>
        <w:t xml:space="preserve">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III</w:t>
        <w:br/>
        <w:br/>
        <w:t>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3.01    </w:t>
      </w:r>
      <w:r>
        <w:rPr>
          <w:rFonts w:ascii="Times New Roman" w:hAnsi="Times New Roman"/>
          <w:caps w:val="false"/>
          <w:smallCaps w:val="false"/>
          <w:sz w:val="20"/>
          <w:u w:val="single"/>
        </w:rPr>
        <w:t>Taxes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All payments of principal and interest on the Loans and all other amounts payable hereunder by a Loan Party to any Recipient shall be made free and clear of and without deduction or withholding for or on account of any present or future income, excise, stamp, documentary, property or franchise taxes and other taxes, fees, duties, levies, assessments, withholding taxes or other charges of any nature whatsoever (including interest and penalties thereon), in each case, imposed by any taxing authority (“</w:t>
      </w:r>
      <w:r>
        <w:rPr>
          <w:rFonts w:ascii="Times New Roman" w:hAnsi="Times New Roman"/>
          <w:caps w:val="false"/>
          <w:smallCaps w:val="false"/>
          <w:sz w:val="20"/>
          <w:u w:val="single"/>
        </w:rPr>
        <w:t>Taxes</w:t>
      </w:r>
      <w:r>
        <w:rPr>
          <w:rFonts w:ascii="Times New Roman" w:hAnsi="Times New Roman"/>
          <w:caps w:val="false"/>
          <w:smallCaps w:val="false"/>
          <w:sz w:val="20"/>
        </w:rPr>
        <w:t xml:space="preserve">”), unless required by applicable Law. If any withholding or deduction of any Taxes from any payment by or on account of any obligation of any Loan Party hereunder is required by applicable Law (any such Taxes, excluding (w) Taxes imposed on or measured by net income, branch profits taxes and franchise taxes, in each case imposed by the jurisdiction (or any political subdivision thereof) under or in which a Recipient is organized, has its principal office or applicable lending office or otherwise conducts business or with which a Recipient has a present or former connection (other than solely as the result of entering into any of the Loan Documents or taking any action thereunder), (x) U.S. back-up withholding and other withholding Taxes imposed on amounts payable to or for the account of a Recipient with respect to an applicable interest in any Loan or Commitment pursuant to a Law in effect on the date on which such Recipient acquires such interest in the Loans or Commitment, except in each case to the extent that, pursuant to this </w:t>
      </w:r>
      <w:r>
        <w:rPr>
          <w:rFonts w:ascii="Times New Roman" w:hAnsi="Times New Roman"/>
          <w:caps w:val="false"/>
          <w:smallCaps w:val="false"/>
          <w:sz w:val="20"/>
          <w:u w:val="single"/>
        </w:rPr>
        <w:t>Section 3.01</w:t>
      </w:r>
      <w:r>
        <w:rPr>
          <w:rFonts w:ascii="Times New Roman" w:hAnsi="Times New Roman"/>
          <w:caps w:val="false"/>
          <w:smallCaps w:val="false"/>
          <w:sz w:val="20"/>
        </w:rPr>
        <w:t>, amounts with respect to such taxes were payable by such Recipient’s assignor immediately before such Recipient became a party hereto, (y) Taxes that would not have been imposed but for the failure of a Recipient to provide the Borrower with any certification, form or other documentation (including without limitation an IRS Form W-9 or IRS Form W-8) establishing an exemption from such Taxes and (z) any withholding tax imposed under FATCA (all non-excluded items shall hereinafter be referred to as “</w:t>
      </w:r>
      <w:r>
        <w:rPr>
          <w:rFonts w:ascii="Times New Roman" w:hAnsi="Times New Roman"/>
          <w:caps w:val="false"/>
          <w:smallCaps w:val="false"/>
          <w:sz w:val="20"/>
          <w:u w:val="single"/>
        </w:rPr>
        <w:t>Indemnified Taxes</w:t>
      </w:r>
      <w:r>
        <w:rPr>
          <w:rFonts w:ascii="Times New Roman" w:hAnsi="Times New Roman"/>
          <w:caps w:val="false"/>
          <w:smallCaps w:val="false"/>
          <w:sz w:val="20"/>
        </w:rPr>
        <w:t xml:space="preserve">”, and Taxes described in </w:t>
      </w:r>
      <w:r>
        <w:rPr>
          <w:rFonts w:ascii="Times New Roman" w:hAnsi="Times New Roman"/>
          <w:caps w:val="false"/>
          <w:smallCaps w:val="false"/>
          <w:sz w:val="20"/>
          <w:u w:val="single"/>
        </w:rPr>
        <w:t>clauses (w)-(z)</w:t>
      </w:r>
      <w:r>
        <w:rPr>
          <w:rFonts w:ascii="Times New Roman" w:hAnsi="Times New Roman"/>
          <w:caps w:val="false"/>
          <w:smallCaps w:val="false"/>
          <w:sz w:val="20"/>
        </w:rPr>
        <w:t xml:space="preserve"> shall hereinafter be referred to as “</w:t>
      </w:r>
      <w:r>
        <w:rPr>
          <w:rFonts w:ascii="Times New Roman" w:hAnsi="Times New Roman"/>
          <w:caps w:val="false"/>
          <w:smallCaps w:val="false"/>
          <w:sz w:val="20"/>
          <w:u w:val="single"/>
        </w:rPr>
        <w:t>Excluded Taxes</w:t>
      </w:r>
      <w:r>
        <w:rPr>
          <w:rFonts w:ascii="Times New Roman" w:hAnsi="Times New Roman"/>
          <w:caps w:val="false"/>
          <w:smallCaps w:val="false"/>
          <w:sz w:val="20"/>
        </w:rPr>
        <w:t>”), then (i) the applicable Withholding Agent shall be entitled to make such withholding or deduction and shall pay directly to the relevant Governmental Authority the full amount required to be so withheld or deducted within the time allowed and in the minimum amount required by applicable law, (ii) the applicable Withholding Agent shall promptly forward to the Administrative Agent an official receipt or other documentation satisfactory to the Administrative Agent evidencing such payment to such Governmental Authority and (iii) the sum payable by the applicable Loan Party shall be increased by such additional amount or amounts as is necessary to ensure that the net amount actually received by the applicable Recipient will equal the full amount such Recipient would have received had no such withholding or deduction for Indemnified Taxes been required.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The Borrower shall indemnify each Recipient, within ten (10) days after demand therefor, for the full amount of any Indemnified Taxes (including Indemnified Taxes imposed on or attributable to amounts payable under this Section) payable or paid by such Recipient or required to be withheld or deducted from a payment by such Recipient and any reasonable expenses arising therefrom or with respect thereto, whether or not such taxes were correctly or legally imposed or asserted by the relevant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Each Lender shall execute and deliver to the Borrower on or prior to the date that such Lender becomes a party hereto (and from time to time thereafter upon the reasonable request of the Borrower), one or more (as the Borrower may reasonably request) duly completed and executed copies of any forms, certificates or documents reasonably requested by the Borrower certifying as to such Lender’s entitlement to any available exemption from or reduction of withholding or deduction of taxes. In addition, any Lender, if reasonably requested by the Borrower, shall deliver such other documentation prescribed by applicable law or reasonably requested by the Borrower as will enable the Borrower or the Administrative Agent to determine whether or not such Lender is subject to backup withholding or information reporting requirements. No Loan Party shall be required to pay additional amounts to any Lender pursuant to this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with respect to taxes attributable to the failure of such Lender to comply with this paragraph.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Each Lender agrees that if any form or certification it previously delivered pursuant to this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expires or becomes obsolete or inaccurate in any respect, it shall promptly update such form or certification or promptly notify the Administrative Agent and the Borrower of its inability to do so.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Each of the parties to the Agreement shall, within ten (10) days of a reasonable request by another party to the Agreement, supply to that other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such forms, documentation and other information relating to its status under FATCA as that other party reasonably requests for the purposes of that other Party’s compliance with FATCA,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such forms, documentation and other information relating to its status as that other Party reasonably requests for the purposes of that other Party’s compliance with any other law, regulation, or exchange of information regime, such as the Common Reporting Standard.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caps w:val="false"/>
          <w:smallCaps w:val="false"/>
          <w:sz w:val="20"/>
          <w:u w:val="single"/>
        </w:rPr>
        <w:t>clause (f)</w:t>
      </w:r>
      <w:r>
        <w:rPr>
          <w:rFonts w:ascii="Times New Roman" w:hAnsi="Times New Roman"/>
          <w:caps w:val="false"/>
          <w:smallCaps w:val="false"/>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aps w:val="false"/>
          <w:smallCaps w:val="false"/>
          <w:sz w:val="20"/>
          <w:u w:val="single"/>
        </w:rPr>
        <w:t>clause (f)</w:t>
      </w:r>
      <w:r>
        <w:rPr>
          <w:rFonts w:ascii="Times New Roman" w:hAnsi="Times New Roman"/>
          <w:caps w:val="false"/>
          <w:smallCaps w:val="false"/>
          <w:sz w:val="20"/>
        </w:rPr>
        <w:t xml:space="preserve">, in no event will the indemnified party be required to pay any amount to an indemnifying party pursuant to this </w:t>
      </w:r>
      <w:r>
        <w:rPr>
          <w:rFonts w:ascii="Times New Roman" w:hAnsi="Times New Roman"/>
          <w:caps w:val="false"/>
          <w:smallCaps w:val="false"/>
          <w:sz w:val="20"/>
          <w:u w:val="single"/>
        </w:rPr>
        <w:t>clause (f)</w:t>
      </w:r>
      <w:r>
        <w:rPr>
          <w:rFonts w:ascii="Times New Roman" w:hAnsi="Times New Roman"/>
          <w:caps w:val="false"/>
          <w:smallCaps w:val="false"/>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aps w:val="false"/>
          <w:smallCaps w:val="false"/>
          <w:sz w:val="20"/>
          <w:u w:val="single"/>
        </w:rPr>
        <w:t>clause (f)</w:t>
      </w:r>
      <w:r>
        <w:rPr>
          <w:rFonts w:ascii="Times New Roman" w:hAnsi="Times New Roman"/>
          <w:caps w:val="false"/>
          <w:smallCaps w:val="false"/>
          <w:sz w:val="20"/>
        </w:rPr>
        <w:t xml:space="preserve"> shall not be construed to require any indemnified party to make available its Tax returns (or any other information relating to its Taxes that it deems confidential) to the indemnifying party or any other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If, due to a change in Sections 871(h) or 881(c) of the Internal Revenue Code (or any successor provisions) after the date a Person becomes an Indirect Lender under this Agreement, any withholding is required to be made by a Lender or any Affiliate thereof to such Indirect Lender attributable to payments made by any Loan Party hereunder, such Loan Party shall pay to such Lender such additional amount or amounts as is necessary to ensure that the net amount actually received by any Indirect Lender will equal the full amount such Indirect Lender would have received had no such withholding or deduction been required; </w:t>
      </w:r>
      <w:r>
        <w:rPr>
          <w:rFonts w:ascii="Times New Roman" w:hAnsi="Times New Roman"/>
          <w:i/>
          <w:caps w:val="false"/>
          <w:smallCaps w:val="false"/>
          <w:sz w:val="20"/>
        </w:rPr>
        <w:t>provided</w:t>
      </w:r>
      <w:r>
        <w:rPr>
          <w:rFonts w:ascii="Times New Roman" w:hAnsi="Times New Roman"/>
          <w:caps w:val="false"/>
          <w:smallCaps w:val="false"/>
          <w:sz w:val="20"/>
        </w:rPr>
        <w:t xml:space="preserve"> that in the event additional amounts are due in respect of an Indirect Lender, immediately before such Indirect Lender transfers a direct or indirect interest in a Lender to a transferee and withholding is required to be made by a Lender or any Affiliate to such transferee Indirect Lender attributable to payments made by any Loan Party hereunder, a Loan Party shall be required to pay additional amounts pursuant to this Section in an amount not exceeding the additional amounts payable prior to the transfer by the transferor Indirect Lender;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further</w:t>
      </w:r>
      <w:r>
        <w:rPr>
          <w:rFonts w:ascii="Times New Roman" w:hAnsi="Times New Roman"/>
          <w:caps w:val="false"/>
          <w:smallCaps w:val="false"/>
          <w:sz w:val="20"/>
        </w:rPr>
        <w:t xml:space="preserve"> that no such additional amounts shall be payable by a Loan Party to the extent such withholding could have been avoided by any Indirect Lender and each entity in the chain of ownership between such Indirect Lender and the Lender providing Internal Revenue Service Forms W-9, W-8ECI, W-8BEN, W-8BEN-E or W-8IMY (as applicable) or any successor forms thereto, to the Lender or other entity in the chain of ownership between such Indirect Lender and the Lender,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3.02    </w:t>
      </w:r>
      <w:r>
        <w:rPr>
          <w:rFonts w:ascii="Times New Roman" w:hAnsi="Times New Roman"/>
          <w:caps w:val="false"/>
          <w:smallCaps w:val="false"/>
          <w:sz w:val="20"/>
          <w:u w:val="single"/>
        </w:rPr>
        <w:t>Survival</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 xml:space="preserve">All of the Loan Parties’ obligations under this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shall survive termination of the Commitments, prepayment or repayment of all Obligations hereunder and the resignation or replacement of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IV</w:t>
        <w:br/>
        <w:br/>
        <w:t>GUARANTY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4.01    </w:t>
      </w:r>
      <w:r>
        <w:rPr>
          <w:rFonts w:ascii="Times New Roman" w:hAnsi="Times New Roman"/>
          <w:caps w:val="false"/>
          <w:smallCaps w:val="false"/>
          <w:sz w:val="20"/>
          <w:u w:val="single"/>
        </w:rPr>
        <w:t>The Guaranty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Guarantors hereby jointly and severally guarantees to each Secured Party and the Administrative Agent as hereinafter provided, as primary obligor and not as surety, the prompt payment of the Obligations of the Borrower and any other Guarantors in full when due (whether at stated maturity, as a mandatory prepayment, by acceleration or otherwise) strictly in accordance with the terms thereof. The Guarantors hereby further agree that if any of the Obligations are not paid in full when due (whether at stated maturity, as a mandatory prepayment, by acceleration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or otherwise) in accordance with the terms of such extension or renewal.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 provision to the contrary contained herein or in any other of the Loan Documents, the obligations of each Guarantor under this Agreement and the other Loan Documents shall be limited to an aggregate amount equal to the largest amount that would not render such obligations subject to avoidance under the Debtor Relief Laws or any comparable provisions of any applicable state or federal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4.02    </w:t>
      </w:r>
      <w:r>
        <w:rPr>
          <w:rFonts w:ascii="Times New Roman" w:hAnsi="Times New Roman"/>
          <w:caps w:val="false"/>
          <w:smallCaps w:val="false"/>
          <w:sz w:val="20"/>
          <w:u w:val="single"/>
        </w:rPr>
        <w:t>Obligations Unconditional</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obligations of the Guarantors under </w:t>
      </w:r>
      <w:r>
        <w:rPr>
          <w:rFonts w:ascii="Times New Roman" w:hAnsi="Times New Roman"/>
          <w:caps w:val="false"/>
          <w:smallCaps w:val="false"/>
          <w:sz w:val="20"/>
          <w:u w:val="single"/>
        </w:rPr>
        <w:t>Section 4.01</w:t>
      </w:r>
      <w:r>
        <w:rPr>
          <w:rFonts w:ascii="Times New Roman" w:hAnsi="Times New Roman"/>
          <w:caps w:val="false"/>
          <w:smallCaps w:val="false"/>
          <w:sz w:val="20"/>
        </w:rPr>
        <w:t xml:space="preserve"> are joint and several,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hAnsi="Times New Roman"/>
          <w:caps w:val="false"/>
          <w:smallCaps w:val="false"/>
          <w:sz w:val="20"/>
          <w:u w:val="single"/>
        </w:rPr>
        <w:t>Section 4.02</w:t>
      </w:r>
      <w:r>
        <w:rPr>
          <w:rFonts w:ascii="Times New Roman" w:hAnsi="Times New Roman"/>
          <w:caps w:val="false"/>
          <w:smallCaps w:val="false"/>
          <w:sz w:val="20"/>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until such time as the Obligations (other than contingent indemnification obligations for which no claim has been asserted)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at any time or from time to time, without notice to any Guarantor, the time for any performance of or compliance with any of the Obligations shall be extended, or such performance or compliance shall be waived;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any of the acts mentioned in any of the provisions of any of the Loan Documents, or any other agreement or instrument referred to in the Loan Documents shall be done or omitted;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the maturity of any of the Obligations shall be accelerated, or any of the Obligations shall be modified, supplemented or amended in any respect, or any right under any of the Loan Documents including any change in the purpose of, an extension of or increase in any facility or the addition of any new facility under the Loan Documents or other document, or any other agreement or instrument referred to in the Loan Documents shall be waived or any other guarantee of any of the Obligations or any security therefor shall be released, impaired or exchanged in whole or in part or otherwise dealt with;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any Lien granted to, or in favor of, any Secured Party as security for any of the Obligations shall fail to attach or be perfected;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any of the Obligations shall be determined to be void or voidable (including, without limitation, for the benefit of any creditor of any Guarantor) or shall be subordinated to the claims of any Person (including, without limitation, any creditor of any Guarantor);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any insolvency or similar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its obligations hereunder, each Guarantor hereby expressly waives diligence, presentment, demand of payment, protest and all notices whatsoever, and any requirement that the Secured Parties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4.03    </w:t>
      </w:r>
      <w:r>
        <w:rPr>
          <w:rFonts w:ascii="Times New Roman" w:hAnsi="Times New Roman"/>
          <w:caps w:val="false"/>
          <w:smallCaps w:val="false"/>
          <w:sz w:val="20"/>
          <w:u w:val="single"/>
        </w:rPr>
        <w:t>Reinstatement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obligations of the Guarantors under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Secured Parties on demand for all reasonable costs and expenses (including, without limitation, the fees, charges and disbursements of counsel) incurred by the Secured Parties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4.04    </w:t>
      </w:r>
      <w:r>
        <w:rPr>
          <w:rFonts w:ascii="Times New Roman" w:hAnsi="Times New Roman"/>
          <w:caps w:val="false"/>
          <w:smallCaps w:val="false"/>
          <w:sz w:val="20"/>
          <w:u w:val="single"/>
        </w:rPr>
        <w:t>Certain Additional Waivers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Guarantor agrees that such Guarantor shall have no right of recourse to security for the Obligations, except through the exercise of rights of subrogation pursuant to </w:t>
      </w:r>
      <w:r>
        <w:rPr>
          <w:rFonts w:ascii="Times New Roman" w:hAnsi="Times New Roman"/>
          <w:caps w:val="false"/>
          <w:smallCaps w:val="false"/>
          <w:sz w:val="20"/>
          <w:u w:val="single"/>
        </w:rPr>
        <w:t>Section 4.02</w:t>
      </w:r>
      <w:r>
        <w:rPr>
          <w:rFonts w:ascii="Times New Roman" w:hAnsi="Times New Roman"/>
          <w:caps w:val="false"/>
          <w:smallCaps w:val="false"/>
          <w:sz w:val="20"/>
        </w:rPr>
        <w:t xml:space="preserve"> and through the exercise of rights of contribution pursuant to </w:t>
      </w:r>
      <w:r>
        <w:rPr>
          <w:rFonts w:ascii="Times New Roman" w:hAnsi="Times New Roman"/>
          <w:caps w:val="false"/>
          <w:smallCaps w:val="false"/>
          <w:sz w:val="20"/>
          <w:u w:val="single"/>
        </w:rPr>
        <w:t>Section 4.06</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4.05    </w:t>
      </w:r>
      <w:r>
        <w:rPr>
          <w:rFonts w:ascii="Times New Roman" w:hAnsi="Times New Roman"/>
          <w:caps w:val="false"/>
          <w:smallCaps w:val="false"/>
          <w:sz w:val="20"/>
          <w:u w:val="single"/>
        </w:rPr>
        <w:t>Remedies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Guarantors agree that, to the fullest extent permitted by law, as between the Guarantors, on the one hand, and the Secured Parties, on the other hand, the Obligations may be declared to be forthwith due and payable as provided in </w:t>
      </w:r>
      <w:r>
        <w:rPr>
          <w:rFonts w:ascii="Times New Roman" w:hAnsi="Times New Roman"/>
          <w:caps w:val="false"/>
          <w:smallCaps w:val="false"/>
          <w:sz w:val="20"/>
          <w:u w:val="single"/>
        </w:rPr>
        <w:t>Section 9.02</w:t>
      </w:r>
      <w:r>
        <w:rPr>
          <w:rFonts w:ascii="Times New Roman" w:hAnsi="Times New Roman"/>
          <w:caps w:val="false"/>
          <w:smallCaps w:val="false"/>
          <w:sz w:val="20"/>
        </w:rPr>
        <w:t xml:space="preserve"> (and shall be deemed to have become automatically due and payable in the circumstances provided in said </w:t>
      </w:r>
      <w:r>
        <w:rPr>
          <w:rFonts w:ascii="Times New Roman" w:hAnsi="Times New Roman"/>
          <w:caps w:val="false"/>
          <w:smallCaps w:val="false"/>
          <w:sz w:val="20"/>
          <w:u w:val="single"/>
        </w:rPr>
        <w:t>Section 9.02</w:t>
      </w:r>
      <w:r>
        <w:rPr>
          <w:rFonts w:ascii="Times New Roman" w:hAnsi="Times New Roman"/>
          <w:caps w:val="false"/>
          <w:smallCaps w:val="false"/>
          <w:sz w:val="20"/>
        </w:rPr>
        <w:t xml:space="preserve">) for purposes of </w:t>
      </w:r>
      <w:r>
        <w:rPr>
          <w:rFonts w:ascii="Times New Roman" w:hAnsi="Times New Roman"/>
          <w:caps w:val="false"/>
          <w:smallCaps w:val="false"/>
          <w:sz w:val="20"/>
          <w:u w:val="single"/>
        </w:rPr>
        <w:t>Section 4.01</w:t>
      </w:r>
      <w:r>
        <w:rPr>
          <w:rFonts w:ascii="Times New Roman" w:hAnsi="Times New Roman"/>
          <w:caps w:val="false"/>
          <w:smallCaps w:val="false"/>
          <w:sz w:val="20"/>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hAnsi="Times New Roman"/>
          <w:caps w:val="false"/>
          <w:smallCaps w:val="false"/>
          <w:sz w:val="20"/>
          <w:u w:val="single"/>
        </w:rPr>
        <w:t>Section 4.01</w:t>
      </w:r>
      <w:r>
        <w:rPr>
          <w:rFonts w:ascii="Times New Roman" w:hAnsi="Times New Roman"/>
          <w:caps w:val="false"/>
          <w:smallCaps w:val="false"/>
          <w:sz w:val="20"/>
        </w:rPr>
        <w:t>. The Guarantors acknowledge and agree that their obligations hereunder are secured in accordance with the terms of the Collateral Documents and that the Secured Parties may exercise their remedies thereunder in accordance with the terms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4.06    </w:t>
      </w:r>
      <w:r>
        <w:rPr>
          <w:rFonts w:ascii="Times New Roman" w:hAnsi="Times New Roman"/>
          <w:caps w:val="false"/>
          <w:smallCaps w:val="false"/>
          <w:sz w:val="20"/>
          <w:u w:val="single"/>
        </w:rPr>
        <w:t>Rights of Contribution</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indemnification obligations for which no claim has been asserted) have been paid in full and the Commitments have been terminated.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4.07    </w:t>
      </w:r>
      <w:r>
        <w:rPr>
          <w:rFonts w:ascii="Times New Roman" w:hAnsi="Times New Roman"/>
          <w:caps w:val="false"/>
          <w:smallCaps w:val="false"/>
          <w:sz w:val="20"/>
          <w:u w:val="single"/>
        </w:rPr>
        <w:t>Guarantee of Payment; Continuing Guarantee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guarantee in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is a guaranty of payment and not of collection, is a continuing guarantee, and shall apply to all Obligations whenever arising.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4.08    </w:t>
      </w:r>
      <w:r>
        <w:rPr>
          <w:rFonts w:ascii="Times New Roman" w:hAnsi="Times New Roman"/>
          <w:caps w:val="false"/>
          <w:smallCaps w:val="false"/>
          <w:sz w:val="20"/>
          <w:u w:val="single"/>
        </w:rPr>
        <w:t>Limitations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 xml:space="preserve">The guarantee in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insofar as it is from BioCryst Ireland Limited does not apply to any liability to the extent that it would result in such guarantee constituting unlawful financial assistance within the meaning of Section 82 of the Companies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4.09    </w:t>
      </w:r>
      <w:r>
        <w:rPr>
          <w:rFonts w:ascii="Times New Roman" w:hAnsi="Times New Roman"/>
          <w:caps w:val="false"/>
          <w:smallCaps w:val="false"/>
          <w:sz w:val="20"/>
          <w:u w:val="single"/>
        </w:rPr>
        <w:t>Guarantor Intent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 xml:space="preserve">Without prejudice to generality of </w:t>
      </w:r>
      <w:r>
        <w:rPr>
          <w:rFonts w:ascii="Times New Roman" w:hAnsi="Times New Roman"/>
          <w:caps w:val="false"/>
          <w:smallCaps w:val="false"/>
          <w:sz w:val="20"/>
          <w:u w:val="single"/>
        </w:rPr>
        <w:t>Section 4.02</w:t>
      </w:r>
      <w:r>
        <w:rPr>
          <w:rFonts w:ascii="Times New Roman" w:hAnsi="Times New Roman"/>
          <w:caps w:val="false"/>
          <w:smallCaps w:val="false"/>
          <w:sz w:val="20"/>
        </w:rPr>
        <w:t>, each Guarantor expressly confirms that it intends that this Guaranty shall extend from time to time to any (however fundamental) variation, increase, extension or addition of or to any of the Loan Documents, Collateral and/or any facility or amount made available under any of the Loan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w:t>
        <w:br/>
        <w:br/>
        <w:t>CONDITIONS PRECEDENT TO BORROWINGS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5.01    </w:t>
      </w:r>
      <w:r>
        <w:rPr>
          <w:rFonts w:ascii="Times New Roman" w:hAnsi="Times New Roman"/>
          <w:caps w:val="false"/>
          <w:smallCaps w:val="false"/>
          <w:sz w:val="20"/>
          <w:u w:val="single"/>
        </w:rPr>
        <w:t>Conditions to Initial Borrowing</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shall become effective upon, and the obligation of each Lender to make its portion of the Loans to be advanced on the Closing Date is subject to, satisfaction of the following conditions precedent: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Loan Documents</w:t>
      </w:r>
      <w:r>
        <w:rPr>
          <w:rFonts w:ascii="Times New Roman" w:hAnsi="Times New Roman"/>
          <w:caps w:val="false"/>
          <w:smallCaps w:val="false"/>
          <w:sz w:val="20"/>
        </w:rPr>
        <w:t>. Receipt by the Administrative Agent of executed counterparts of this Agreement and the other Loan Documents, each properly executed by a Responsible Officer of the signing Loan Party (or, in the case of a Loan Party incorporated in Ireland, properly in the manner specified in the resolutions of the board of directors thereof) and each other party to such Loan Documents, in each case in form and substance satisfactory to the Administrative Agent and the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Opinions of Counsel</w:t>
      </w:r>
      <w:r>
        <w:rPr>
          <w:rFonts w:ascii="Times New Roman" w:hAnsi="Times New Roman"/>
          <w:caps w:val="false"/>
          <w:smallCaps w:val="false"/>
          <w:sz w:val="20"/>
        </w:rPr>
        <w:t>. Receipt by the Administrative Agent of favorable opinions of legal counsel to the Loan Parties or in the case of BioCryst Ireland Limited, legal counsel to the Administrative Agent, addressed to the Administrative Agent and each Lender, dated as of the Closing Date, and in form and substance satisfactory to the Administrative Agent and its counsel.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Financial Statements; Due Diligence</w:t>
      </w:r>
      <w:r>
        <w:rPr>
          <w:rFonts w:ascii="Times New Roman" w:hAnsi="Times New Roman"/>
          <w:caps w:val="false"/>
          <w:smallCaps w:val="false"/>
          <w:sz w:val="20"/>
        </w:rPr>
        <w:t>. The Administrative Agent shall have received the Audited Financial Statements, the Interim Financial Statements and such other reports, statements and due diligence items as the Administrative Agent or any Lender shall request.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Since the date of the Audited Financial Statements, there shall not have occurred any event or condition that has had or could reasonably be expected to have, either individually or in the aggregate,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Litigation</w:t>
      </w:r>
      <w:r>
        <w:rPr>
          <w:rFonts w:ascii="Times New Roman" w:hAnsi="Times New Roman"/>
          <w:caps w:val="false"/>
          <w:smallCaps w:val="false"/>
          <w:sz w:val="20"/>
        </w:rPr>
        <w:t>. There shall not exist any action, suit, investigation or proceeding pending or threatened in any court or before an arbitrator or Governmental Authority that could reasonably be expected, either individually or in the aggregate,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Organization Documents, Resolutions, Etc</w:t>
      </w:r>
      <w:r>
        <w:rPr>
          <w:rFonts w:ascii="Times New Roman" w:hAnsi="Times New Roman"/>
          <w:caps w:val="false"/>
          <w:smallCaps w:val="false"/>
          <w:sz w:val="20"/>
        </w:rPr>
        <w:t>. Receipt by the Administrative Agent of the following, each of which shall be pdf scans, in form and substance satisfactory to the Administrative Agent and its legal counsel: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such certificates of resolutions, shareholder resolutions or other action, incumbency certificates and/or other certificates of Responsible Officers of each Loan Party as the Administrative Agent may require evidencing the identity, authority and capacity of each Responsible Officer thereof and each Responsible Financial Officer thereof authorized to act as a Responsible Officer or a Responsible Financial Officer in connection with this Agreement and the other Loan Documents to which such Loan Party is a party;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such documents and certifications as the Administrative Agent may require to evidence that each Loan Party is duly organized, incorporated or formed, and is validly existing, in good standing and qualified to engage in business in its state of organization or formation, including certificates of good standing or status in all applicable jurisdictions (which shall exclude, for the avoidance of doubt, Ireland).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Perfection and Priority of Liens</w:t>
      </w:r>
      <w:r>
        <w:rPr>
          <w:rFonts w:ascii="Times New Roman" w:hAnsi="Times New Roman"/>
          <w:caps w:val="false"/>
          <w:smallCaps w:val="false"/>
          <w:sz w:val="20"/>
        </w:rPr>
        <w:t>. Receipt by the Administrative Agent of the following, each of which shall be in form and substance satisfactory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searches of Uniform Commercial Code filings in the jurisdiction of formation of each Loan Party or where a filing would need to be made in order to perfect the Administrative Agent’s security interest in the Collateral, copies of the financing statements on file in such jurisdictions, evidence that no Liens exist other than Permitted Liens;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UCC financing statements for each appropriate jurisdiction as is necessary, in the Administrative Agent’s sole discretion, to perfect the Administrative Agent’s security interest in the Collateral;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searches of ownership of, and Liens on, the IP Rights of each Loan Party in the appropriate governmental offices;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duly executed IP Security Agreements as are necessary, in the Administrative Agent’s sole discretion, to perfect the Administrative Agent’s security interest in the IP Rights of the Loan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[reserved];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(vii)    [reserved];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(viii)    perfection actions, including, without limitation, searches, certifications, notices and any other items required pursuant to or reasonably requested in connection with the Collateral Documents to be executed on the Closing Date;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(ix)    agreement between Irish legal counsel to the Administrative Agent and Irish legal counsel to BioCryst Ireland Limited on the wording of the short and further particulars for each security filing to be made in the Irish Companies Registration Office.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Closing Certificate</w:t>
      </w:r>
      <w:r>
        <w:rPr>
          <w:rFonts w:ascii="Times New Roman" w:hAnsi="Times New Roman"/>
          <w:caps w:val="false"/>
          <w:smallCaps w:val="false"/>
          <w:sz w:val="20"/>
        </w:rPr>
        <w:t xml:space="preserve">. Receipt by the Administrative Agent of a certificate signed by a Responsible Officer of the Borrower certifying, as of the Closing Date, (i) that the conditions specified in </w:t>
      </w:r>
      <w:r>
        <w:rPr>
          <w:rFonts w:ascii="Times New Roman" w:hAnsi="Times New Roman"/>
          <w:caps w:val="false"/>
          <w:smallCaps w:val="false"/>
          <w:sz w:val="20"/>
          <w:u w:val="single"/>
        </w:rPr>
        <w:t>Sections 5.01(d)</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and </w:t>
      </w:r>
      <w:r>
        <w:rPr>
          <w:rFonts w:ascii="Times New Roman" w:hAnsi="Times New Roman"/>
          <w:caps w:val="false"/>
          <w:smallCaps w:val="false"/>
          <w:sz w:val="20"/>
          <w:u w:val="single"/>
        </w:rPr>
        <w:t>(k)</w:t>
      </w:r>
      <w:r>
        <w:rPr>
          <w:rFonts w:ascii="Times New Roman" w:hAnsi="Times New Roman"/>
          <w:caps w:val="false"/>
          <w:smallCaps w:val="false"/>
          <w:sz w:val="20"/>
        </w:rPr>
        <w:t xml:space="preserve"> and </w:t>
      </w:r>
      <w:r>
        <w:rPr>
          <w:rFonts w:ascii="Times New Roman" w:hAnsi="Times New Roman"/>
          <w:caps w:val="false"/>
          <w:smallCaps w:val="false"/>
          <w:sz w:val="20"/>
          <w:u w:val="single"/>
        </w:rPr>
        <w:t>5.02(a)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have been satisfied, (ii) that the Borrower and its Subsidiaries (after giving effect to the Transactions and the incurrence of Indebtedness related thereto) are Solvent on a consolidated basis, (iii) that the Borrower and its Subsidiaries have no Indebtedness for borrowed money, other than Indebtedness permitted by </w:t>
      </w:r>
      <w:r>
        <w:rPr>
          <w:rFonts w:ascii="Times New Roman" w:hAnsi="Times New Roman"/>
          <w:caps w:val="false"/>
          <w:smallCaps w:val="false"/>
          <w:sz w:val="20"/>
          <w:u w:val="single"/>
        </w:rPr>
        <w:t>Section 8.03</w:t>
      </w:r>
      <w:r>
        <w:rPr>
          <w:rFonts w:ascii="Times New Roman" w:hAnsi="Times New Roman"/>
          <w:caps w:val="false"/>
          <w:smallCaps w:val="false"/>
          <w:sz w:val="20"/>
        </w:rPr>
        <w:t>, (iv) that neither the Borrower nor any Subsidiary has outstanding any Disqualified Capital Stock and (v) as true and complete an attached description of all intercompany Indebtedness of the Borrower and its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Existing Indebtedness</w:t>
      </w:r>
      <w:r>
        <w:rPr>
          <w:rFonts w:ascii="Times New Roman" w:hAnsi="Times New Roman"/>
          <w:caps w:val="false"/>
          <w:smallCaps w:val="false"/>
          <w:sz w:val="20"/>
        </w:rPr>
        <w:t>. All of the Existing Indebtedness shall be repaid in full and all security interests related thereto shall be terminated on or prior to the Closing Date, in each case, evidenced by payoff letters and lien releases reasonably satisfactory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Governmental and Third Party Approvals</w:t>
      </w:r>
      <w:r>
        <w:rPr>
          <w:rFonts w:ascii="Times New Roman" w:hAnsi="Times New Roman"/>
          <w:caps w:val="false"/>
          <w:smallCaps w:val="false"/>
          <w:sz w:val="20"/>
        </w:rPr>
        <w:t>. The Borrower and its Subsidiaries shall have received all material governmental, shareholder and third-party consents and approvals necessary in connection with the transactions contemplated by this Agreement, the other Loan Documents, the Royalty Financing Documents and the other transactions contemplated hereby and all applicable waiting periods shall have expired without any action being taken by any Person that could reasonably be expected to restrain, prevent or impose any material adverse conditions on the Borrower or any of its Subsidiaries or such other transactions or that could seek to threaten any of the foregoing, and no law or regulation shall be applicable which could reasonably be expected to have such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Corporate Structure and Capitalization</w:t>
      </w:r>
      <w:r>
        <w:rPr>
          <w:rFonts w:ascii="Times New Roman" w:hAnsi="Times New Roman"/>
          <w:caps w:val="false"/>
          <w:smallCaps w:val="false"/>
          <w:sz w:val="20"/>
        </w:rPr>
        <w:t xml:space="preserve">. The capital and ownership structure of the Borrower on the Closing Date, on a pro forma basis after giving effect to the transactions contemplated by the Loan Documents and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shall be reasonably satisfactory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Letter of Direction</w:t>
      </w:r>
      <w:r>
        <w:rPr>
          <w:rFonts w:ascii="Times New Roman" w:hAnsi="Times New Roman"/>
          <w:caps w:val="false"/>
          <w:smallCaps w:val="false"/>
          <w:sz w:val="20"/>
        </w:rPr>
        <w:t>. Receipt by the Administrative Agent of a satisfactory letter of direction containing funds flow information with respect to the proceeds of the Loan to be made on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Fees</w:t>
      </w:r>
      <w:r>
        <w:rPr>
          <w:rFonts w:ascii="Times New Roman" w:hAnsi="Times New Roman"/>
          <w:caps w:val="false"/>
          <w:smallCaps w:val="false"/>
          <w:sz w:val="20"/>
        </w:rPr>
        <w:t>. Receipt by Athyrium and its Affiliates, the Administrative Agent and the Lenders of any fees required to be paid hereunder or under the other Loan Documents on or before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Costs; Expenses</w:t>
      </w:r>
      <w:r>
        <w:rPr>
          <w:rFonts w:ascii="Times New Roman" w:hAnsi="Times New Roman"/>
          <w:caps w:val="false"/>
          <w:smallCaps w:val="false"/>
          <w:sz w:val="20"/>
        </w:rPr>
        <w:t>. The Borrower shall have paid all reasonable and documented expenses, fees and charges of the Lenders and Administrative Agent incurred in connection with the Loan Documents, including all documented expenses, fees, charges and disbursements of counsel to the Lenders and Administrative Agent and all due diligence expenses of Athyrium and its Affiliates and the Lenders, in each case, incurred on or prior to the Closing Date, plus such additional amounts of such fees, charges and disbursements as shall constitute their reasonable estimate of such fees, charges and disbursements incurred or to be incurred by it through the closing proceedings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such estimate shall not thereafter preclude a final settling of accounts between the Borrower, the Lenders and the Administrative Agent), in each case, to the extent an invoice therefor is sent at least one (1) Business Day prior to the Closing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Royalty Financing Documents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shall have been executed and delivered and the transactions thereunder fully consummated substantially concurrently with the execution and delivery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Receipt by the Administrative Agent of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each in form and substance satisfactory to Administrative Agent and the Lenders in their sole discretion.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The Borrower shall deliver a certificate of a Responsible Officer to Administrative Agent certifying that (A) Administrative Agent has received a true, correct and complete executed copy of each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 (B) the Borrower and its Subsidiaries are in compliance in all material respects with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to which it is a party, and such Person has not received any notice of default or termination thereunder and (C) no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 has been amended or waived or modified in any manner, without the written consent of the Administrative Agent and the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Termination of MDCP Licenses</w:t>
      </w:r>
      <w:r>
        <w:rPr>
          <w:rFonts w:ascii="Times New Roman" w:hAnsi="Times New Roman"/>
          <w:caps w:val="false"/>
          <w:smallCaps w:val="false"/>
          <w:sz w:val="20"/>
        </w:rPr>
        <w:t>. Receipt by the Administrative Agent of satisfactory evidence that all agreements, licenses, permits and assignments in favor of MDCP or providing MDCP any right or interest in any IP Rights of the Borrower or any Subsidiary, including without limitation that certain License and Services Agreement between the Borrower and MDCP, dated as of September 23, 2016, as amended restated or otherwise modified from time to time, have been terminated and released.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Other</w:t>
      </w:r>
      <w:r>
        <w:rPr>
          <w:rFonts w:ascii="Times New Roman" w:hAnsi="Times New Roman"/>
          <w:caps w:val="false"/>
          <w:smallCaps w:val="false"/>
          <w:sz w:val="20"/>
        </w:rPr>
        <w:t>. Receipt by the Administrative Agent and the Lenders of such other documents, instruments, agreements and information as requested by the Administrative Agent or any Lender, including, but not limited to, information regarding litigation, tax, accounting, labor, insurance, pension liabilities (actual or contingent), real estate leases, material contracts, debt agreements, property ownership, environmental matters, contingent liabilities and management of the Borrower and its Subsidiaries; such information may include, if requested by the Administrative Agent or any Lender, asset appraisal reports and written audits of accounts receivable, inventory, payables, controls and systems.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the last paragraph of </w:t>
      </w:r>
      <w:r>
        <w:rPr>
          <w:rFonts w:ascii="Times New Roman" w:hAnsi="Times New Roman"/>
          <w:caps w:val="false"/>
          <w:smallCaps w:val="false"/>
          <w:sz w:val="20"/>
          <w:u w:val="single"/>
        </w:rPr>
        <w:t>Section 11.03,</w:t>
      </w:r>
      <w:r>
        <w:rPr>
          <w:rFonts w:ascii="Times New Roman" w:hAnsi="Times New Roman"/>
          <w:caps w:val="false"/>
          <w:smallCaps w:val="false"/>
          <w:sz w:val="20"/>
        </w:rPr>
        <w:t xml:space="preserve"> for purposes of determining compliance with the conditions specified in this </w:t>
      </w:r>
      <w:r>
        <w:rPr>
          <w:rFonts w:ascii="Times New Roman" w:hAnsi="Times New Roman"/>
          <w:caps w:val="false"/>
          <w:smallCaps w:val="false"/>
          <w:sz w:val="20"/>
          <w:u w:val="single"/>
        </w:rPr>
        <w:t>Section 5.01,</w:t>
      </w:r>
      <w:r>
        <w:rPr>
          <w:rFonts w:ascii="Times New Roman" w:hAnsi="Times New Roman"/>
          <w:caps w:val="false"/>
          <w:smallCaps w:val="false"/>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5.02    </w:t>
      </w:r>
      <w:r>
        <w:rPr>
          <w:rFonts w:ascii="Times New Roman" w:hAnsi="Times New Roman"/>
          <w:caps w:val="false"/>
          <w:smallCaps w:val="false"/>
          <w:sz w:val="20"/>
          <w:u w:val="single"/>
        </w:rPr>
        <w:t>Conditions to all Borrowings</w:t>
      </w:r>
      <w:r>
        <w:rPr>
          <w:rFonts w:ascii="Times New Roman" w:hAnsi="Times New Roman"/>
          <w:caps w:val="false"/>
          <w:smallCaps w:val="false"/>
          <w:sz w:val="20"/>
        </w:rPr>
        <w:t>. The obligation of each Lender to honor any Loan Notice is subject to the following conditions precedent: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The representations and warranties of the Borrower and each other Loan Party contained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on and as of the date of such Borrowing,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the representations and warranties contained in </w:t>
      </w:r>
      <w:r>
        <w:rPr>
          <w:rFonts w:ascii="Times New Roman" w:hAnsi="Times New Roman"/>
          <w:caps w:val="false"/>
          <w:smallCaps w:val="false"/>
          <w:sz w:val="20"/>
          <w:u w:val="single"/>
        </w:rPr>
        <w:t>subsections (a)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6.05</w:t>
      </w:r>
      <w:r>
        <w:rPr>
          <w:rFonts w:ascii="Times New Roman" w:hAnsi="Times New Roman"/>
          <w:caps w:val="false"/>
          <w:smallCaps w:val="false"/>
          <w:sz w:val="20"/>
        </w:rPr>
        <w:t xml:space="preserve"> shall be deemed to refer to the most recent statements furnished pursuant to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respectively, of </w:t>
      </w:r>
      <w:r>
        <w:rPr>
          <w:rFonts w:ascii="Times New Roman" w:hAnsi="Times New Roman"/>
          <w:caps w:val="false"/>
          <w:smallCaps w:val="false"/>
          <w:sz w:val="20"/>
          <w:u w:val="single"/>
        </w:rPr>
        <w:t>Section 7.01</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Default</w:t>
      </w:r>
      <w:r>
        <w:rPr>
          <w:rFonts w:ascii="Times New Roman" w:hAnsi="Times New Roman"/>
          <w:caps w:val="false"/>
          <w:smallCaps w:val="false"/>
          <w:sz w:val="20"/>
        </w:rPr>
        <w:t>. No Default or Event of Default shall exist, or would result from such proposed Borrowing or from the application of the proceeds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Since the date of the Audited Financial Statements, there shall not have occurred any event or condition that has had or could reasonably be expected to have, either individually or in the aggregate,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Loan Notice</w:t>
      </w:r>
      <w:r>
        <w:rPr>
          <w:rFonts w:ascii="Times New Roman" w:hAnsi="Times New Roman"/>
          <w:caps w:val="false"/>
          <w:smallCaps w:val="false"/>
          <w:sz w:val="20"/>
        </w:rPr>
        <w:t>. The Administrative Agent shall have received a Loan Notice in accordance with the requirements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Term A Draw Conditions</w:t>
      </w:r>
      <w:r>
        <w:rPr>
          <w:rFonts w:ascii="Times New Roman" w:hAnsi="Times New Roman"/>
          <w:caps w:val="false"/>
          <w:smallCaps w:val="false"/>
          <w:sz w:val="20"/>
        </w:rPr>
        <w:t>. With respect to the Term A Borrowing, the Term A Draw Conditions shall have been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Term B Draw Conditions</w:t>
      </w:r>
      <w:r>
        <w:rPr>
          <w:rFonts w:ascii="Times New Roman" w:hAnsi="Times New Roman"/>
          <w:caps w:val="false"/>
          <w:smallCaps w:val="false"/>
          <w:sz w:val="20"/>
        </w:rPr>
        <w:t>. With respect to the Term B Borrowing, the Term B Draw Conditions shall have been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Term C Draw Conditions</w:t>
      </w:r>
      <w:r>
        <w:rPr>
          <w:rFonts w:ascii="Times New Roman" w:hAnsi="Times New Roman"/>
          <w:caps w:val="false"/>
          <w:smallCaps w:val="false"/>
          <w:sz w:val="20"/>
        </w:rPr>
        <w:t>. With respect to the Term C Borrowing, the Term C Draw Conditions shall have been satisfied.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Loan Notice submitted by the Borrower shall be deemed to be a representation and warranty that the conditions specified in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have been satisfied as of the date of the applicable Borrowing.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w:t>
        <w:br/>
        <w:br/>
        <w:t>REPRESENTATIONS AND WARRANTIES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 xml:space="preserve">Each Loan Party represents and warrants to the Administrative Agent and the Lenders, on the Closing Date, the </w:t>
      </w:r>
      <w:r>
        <w:rPr>
          <w:rFonts w:ascii="Times New Roman" w:hAnsi="Times New Roman"/>
          <w:b/>
          <w:caps w:val="false"/>
          <w:smallCaps w:val="false"/>
          <w:color w:val="0000FF"/>
          <w:sz w:val="20"/>
          <w:u w:val="single"/>
          <w:bdr w:val="double" w:sz="2" w:space="1" w:color="000000"/>
        </w:rPr>
        <w:t>Amendment No. 1 Effective Date, the</w:t>
      </w:r>
      <w:r>
        <w:rPr>
          <w:rFonts w:ascii="Times New Roman" w:hAnsi="Times New Roman"/>
          <w:caps w:val="false"/>
          <w:smallCaps w:val="false"/>
          <w:sz w:val="20"/>
        </w:rPr>
        <w:t xml:space="preserve"> date of each Borrowing and each other date required by a Loan Document,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6.01    </w:t>
      </w:r>
      <w:r>
        <w:rPr>
          <w:rFonts w:ascii="Times New Roman" w:hAnsi="Times New Roman"/>
          <w:caps w:val="false"/>
          <w:smallCaps w:val="false"/>
          <w:sz w:val="20"/>
          <w:u w:val="single"/>
        </w:rPr>
        <w:t>Existence, Qualification and Power</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Loan Party and each of its Subsidiaries (a) is duly organized, incorporated or formed, validly existing and (where such concept exists in the case of Non-U.S. Subsidiaries) in good standing under the Laws of the jurisdiction of its incorporation or organization, (b) has all requisite power and authority and all requisite Permits, governmental licenses, authorizations, consents and approvals to (i) own or lease its assets and carry on its business and (ii) execute, deliver and perform its obligations under the Loan Documents to which it is a party and to consummate the Transactions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Times New Roman" w:hAnsi="Times New Roman"/>
          <w:caps w:val="false"/>
          <w:smallCaps w:val="false"/>
          <w:sz w:val="20"/>
          <w:u w:val="single"/>
        </w:rPr>
        <w:t>clause (b)(i)</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to the extent that failure to do so could not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6.02    </w:t>
      </w:r>
      <w:r>
        <w:rPr>
          <w:rFonts w:ascii="Times New Roman" w:hAnsi="Times New Roman"/>
          <w:caps w:val="false"/>
          <w:smallCaps w:val="false"/>
          <w:sz w:val="20"/>
          <w:u w:val="single"/>
        </w:rPr>
        <w:t>Authorization; No Contravention</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execution, delivery and performance by each Loan Party of each Loan Document, and Royalty Financing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the JPR Indenture or the other Deal Documents (as defined in the JPR Indenture) or any indenture, credit agreement, or promissory note evidencing Indebtedness or any other material Contractual Obligation to which such Person is a party or affecting such Person or the properties of such Person or any of its Subsidiaries or (ii) any order, judgment, injunction, writ or decree of any Governmental Authority or any arbitral award to which such Person or its property is subject, or (c) violate any applicable Law (including, without limitation, Regulation U or Regulation X issued by the FRB).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6.03    </w:t>
      </w:r>
      <w:r>
        <w:rPr>
          <w:rFonts w:ascii="Times New Roman" w:hAnsi="Times New Roman"/>
          <w:caps w:val="false"/>
          <w:smallCaps w:val="false"/>
          <w:sz w:val="20"/>
          <w:u w:val="single"/>
        </w:rPr>
        <w:t>Governmental Authorization; Other Consents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(b) filings to perfect the Liens created by the Collateral Documents and (c) the filing of any applicable reports under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6.04    </w:t>
      </w:r>
      <w:r>
        <w:rPr>
          <w:rFonts w:ascii="Times New Roman" w:hAnsi="Times New Roman"/>
          <w:caps w:val="false"/>
          <w:smallCaps w:val="false"/>
          <w:sz w:val="20"/>
          <w:u w:val="single"/>
        </w:rPr>
        <w:t>Binding Effect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 subject to applicable Debtor Relief Laws or other Laws affecting creditors’ rights generally and subject to general principles of equity and subject in the case of each Irish Subsidiary, to the Legal Reservations.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6.05    </w:t>
      </w:r>
      <w:r>
        <w:rPr>
          <w:rFonts w:ascii="Times New Roman" w:hAnsi="Times New Roman"/>
          <w:caps w:val="false"/>
          <w:smallCaps w:val="false"/>
          <w:sz w:val="20"/>
          <w:u w:val="single"/>
        </w:rPr>
        <w:t>Financial Statements; No Material Adverse Effect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direct or contingent, of the Borrower and its Subsidiaries as of the date thereof, including material liabilities for taxes, commitments and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Interim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for the period covered thereby, subject, in the case of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to the absence of footnotes and to normal year-end audit adjustments, and (iii) show all material indebtedness and other material liabilities, direct or contingent, of the Borrower and its Subsidiaries as of the date thereof, including material liabilities for taxes, material commitments and Indebtedness.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From the date of the Audited Financial Statements to and including the Closing Date, there has been no Disposition by any Loan Party or any Subsidiary, or any Involuntary Disposition, of any material part of the business or property of any Loan Party or any Subsidiary, and no purchase or other acquisition by any of them of any business or property (including any Equity Interests of any other Person) material to any Loan Party or any Subsidiary, in each case, which is not reflected in the foregoing financial statements or in the notes thereto and has not otherwise been disclosed in writing to the Lenders on or prior to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The financial statements delivered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have been prepared in accordance with GAAP (except as may otherwise be permitted under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as applicable) and present fairly in all material respects (on the basis disclosed in the footnotes to such financial statements) the consolidated financial condition, results of operations and cash flows of the Borrower and its Subsidiaries as of the dates thereof and for the periods covered thereby.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    Since the date of the Audited Financial Statements, there has been no event or circumstance, either individually or in the aggregate, that has had or could reasonably be expected to have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6.06    </w:t>
      </w:r>
      <w:r>
        <w:rPr>
          <w:rFonts w:ascii="Times New Roman" w:hAnsi="Times New Roman"/>
          <w:caps w:val="false"/>
          <w:smallCaps w:val="false"/>
          <w:sz w:val="20"/>
          <w:u w:val="single"/>
        </w:rPr>
        <w:t>Litigation</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actions, suits, proceedings, claims or disputes pending,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6.07    </w:t>
      </w:r>
      <w:r>
        <w:rPr>
          <w:rFonts w:ascii="Times New Roman" w:hAnsi="Times New Roman"/>
          <w:caps w:val="false"/>
          <w:smallCaps w:val="false"/>
          <w:sz w:val="20"/>
          <w:u w:val="single"/>
        </w:rPr>
        <w:t>No Default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Neither any Loan Party nor any Subsidiary is (i) in default under or with respect to any Material Contract (A) as of the Closing Date and (B) after the Closing Date in a manner that could reasonably be expected to result in a material adverse effect on any Product Development and Commercialization Activities, or (ii) in default under or with respect to any other Contractual Obligation that, in the case of this clause (ii), could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(b)    No Default has occurred and is continuing.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6.08    </w:t>
      </w:r>
      <w:r>
        <w:rPr>
          <w:rFonts w:ascii="Times New Roman" w:hAnsi="Times New Roman"/>
          <w:caps w:val="false"/>
          <w:smallCaps w:val="false"/>
          <w:sz w:val="20"/>
          <w:u w:val="single"/>
        </w:rPr>
        <w:t>Ownership of Property; Liens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Loan Party and its Subsidiaries has good record and marketable title in fee simple to, or valid leasehold interests in, all real property necessary or used in the ordinary conduct of its business. The property of each Loan Party and its Subsidiaries is subject to no Liens, other than Permitted Liens.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6.09    </w:t>
      </w:r>
      <w:r>
        <w:rPr>
          <w:rFonts w:ascii="Times New Roman" w:hAnsi="Times New Roman"/>
          <w:caps w:val="false"/>
          <w:smallCaps w:val="false"/>
          <w:sz w:val="20"/>
          <w:u w:val="single"/>
        </w:rPr>
        <w:t>Environmental Compliance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Each of the Facilities and all operations at the Facilities are in compliance in all material respects with all applicable Environmental Laws, and there is no violation in any material respect of any Environmental Law with respect to the Facilities or the Businesses, and there are no conditions relating to the Facilities or the Businesses, that could give rise to liability that, individually or in the aggregate, could reasonably be expected to exceed the Threshold Amount under any applicable Environmental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None of the Facilities contains, or has previously contained, any Hazardous Materials at, on or under the Facilities in amounts or concentrations that constitute or constituted a violation in any material respect of Environmental Laws, or could reasonably be expected to give rise to liability under Environmental Laws that, individually or in the aggregate, could exceed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Neither any Loan Party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the Businesses that could reasonably be expected to give rise to liability that, individually or in the aggregate, could exceed the Threshold Amount, nor does any Responsible Officer of any Loan Party have knowledge or reason to believe that any such notice will be received or is being threatened.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Hazardous Materials have not been transported or disposed of from the Facilities, or generated, treated, stored or disposed of at, on or under any of the Facilities or any other location, in each case by or on behalf of any Loan Party or any Subsidiary in violation in any material respect of any applicable Environmental Law, or in a manner that could reasonably be expected to give rise to liability under any applicable Environmental Law that, individually or in the aggregate, could exceed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No judicial proceeding or governmental or administrative action is pending or, to the knowledge of the Loan Parties, threatened, under any Environmental Law to which any Loan Party or any Subsidiary is or will be named as a party, nor are there any consent decrees or other decrees, consent orders, administrative orders or other orders, or other administrative or judicial requirements outstanding under any Environmental Law with respect to any Loan Party, any Subsidiary, the Facilities or the Businesses.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There has been no release or threat of release of Hazardous Materials at or from the Facilities, or arising from or related to the operations (including, without limitation, disposal) of any Loan Party or any Subsidiary in connection with the Facilities or otherwise in connection with the Businesses, in violation in any material respect of Environmental Laws, or in amounts or in a manner that could give rise to liability under Environmental Laws that could reasonably be expected to, individually or in the aggregate, exceed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6.10    </w:t>
      </w:r>
      <w:r>
        <w:rPr>
          <w:rFonts w:ascii="Times New Roman" w:hAnsi="Times New Roman"/>
          <w:caps w:val="false"/>
          <w:smallCaps w:val="false"/>
          <w:sz w:val="20"/>
          <w:u w:val="single"/>
        </w:rPr>
        <w:t>Insurance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The properties of the Borrower and its Subsidiaries are insured with financially sound and reputable insurance companies that are not Affiliates of such Persons, in such amounts, with such deductibles and covering such risks as are customarily carried by companies engaged in similar businesses and owning similar properties in localities where the Borrower or its applicable Subsidiary operates. The insurance coverage of the Borrower and its Subsidiaries as in effect on the Closing Date is outlined as to carrier, policy number, expiration date, type, coverage amounts and deductibles on </w:t>
      </w:r>
      <w:r>
        <w:rPr>
          <w:rFonts w:ascii="Times New Roman" w:hAnsi="Times New Roman"/>
          <w:caps w:val="false"/>
          <w:smallCaps w:val="false"/>
          <w:sz w:val="20"/>
          <w:u w:val="single"/>
        </w:rPr>
        <w:t>Schedule 6.10</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The Borrower and its Subsidiaries maintain, if available, fully paid flood hazard insurance on all real property that is located in a special flood hazard area in the United States and that constitutes Collateral on such terms and in such amounts as required by The National Flood Insurance Reform Act of 1994 or as otherwise required by the Administrative Agent or the Required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6.11    </w:t>
      </w:r>
      <w:r>
        <w:rPr>
          <w:rFonts w:ascii="Times New Roman" w:hAnsi="Times New Roman"/>
          <w:caps w:val="false"/>
          <w:smallCaps w:val="false"/>
          <w:sz w:val="20"/>
          <w:u w:val="single"/>
        </w:rPr>
        <w:t>Taxes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Each of the Loan Parties and their Subsidiaries have filed all federal, state and other material tax returns and reports required to be filed by it, and have paid all federal, state and other material taxes, assessments, governmental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and the failure to make such payment pending such contest could not reasonably be expected to result in a Material Adverse Effect. There is no proposed tax assessment against any Loan Party or any Subsidiary that would, if made, exceed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Neither any Loan Party nor any Subsidiary thereof is party to any tax sharing agreement with any Person that is not a Loan Party (other than any agreement the primary purpose of which is not the sharing of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As of the Closing Date, no claims or investigations are pending, or to the knowledge of any Loan Party, threatened with respect to any Taxes that could reasonably be expected to result in liabilities of a Loan Party or Subsidiary in an amount in excess of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6.12    </w:t>
      </w:r>
      <w:r>
        <w:rPr>
          <w:rFonts w:ascii="Times New Roman" w:hAnsi="Times New Roman"/>
          <w:caps w:val="false"/>
          <w:smallCaps w:val="false"/>
          <w:sz w:val="20"/>
          <w:u w:val="single"/>
        </w:rPr>
        <w:t>ERISA Compliance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Each Plan is in compliance, in both form and operation, in all material respects with the applicable provisions of ERISA, the Internal Revenue Code and other federal or state laws. Each Pension Plan that is intended to be a qualified plan under Section 401(a) of the Internal Revenue Code has received a current favorable determination letter (or is entitled to rely on a current advisory or opinion letter issued to a volume submitter or prototype plan provider) from the Internal Revenue Service to the effect that the form of such Plan is qualified under Section 401(a) of the Internal Revenue Code and the trust related thereto has been determined by the Internal Revenue Service to be exempt from federal income tax under Section 501(a) of the Internal Revenue Code or an application for such a letter is currently pending with the Internal Revenue Service. To the knowledge of the Loan Parties, nothing has occurred that would prevent, or cause the loss of, such tax-qualified status.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There are no pending or, to the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(i) No ERISA Event has occurred and none of the Borrower and any ERISA Affiliate is aware of any fact, event or circumstance that could reasonably be expected to constitute or result in an ERISA Event with respect to any Pension Plan, (ii) the Borrower and each ERISA Affiliate has met all material and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sixty percent (60%) or higher and none of the Borrower and any ERISA Affiliate knows of any facts or circumstances that could reasonably be expected to cause the funding target attainment percentage for any such plan to drop below sixty percent (60%) as of the next valuation date, (iv) none of the Borrower and any ERISA Affiliate has incurred any liability to the PBGC other than for the payment of premiums, and there are no premium payments which have become due that are unpaid, (v) none of the Borrower and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None of the Borrower and any ERISA Affiliate has established or otherwise has any liability with respect to a “welfare plan”, as such term is defined in Section 3(1) of ERISA, that either provides post-employment welfare benefits other than as required by Section 4980B of the Internal Revenue Code (or similar state law) or is a health or life insurance plan that is not fully insured by a third party insurance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6.13    </w:t>
      </w:r>
      <w:r>
        <w:rPr>
          <w:rFonts w:ascii="Times New Roman" w:hAnsi="Times New Roman"/>
          <w:caps w:val="false"/>
          <w:smallCaps w:val="false"/>
          <w:sz w:val="20"/>
          <w:u w:val="single"/>
        </w:rPr>
        <w:t>Subsidiaries and Capitalization; Management Fees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Set forth on </w:t>
      </w:r>
      <w:r>
        <w:rPr>
          <w:rFonts w:ascii="Times New Roman" w:hAnsi="Times New Roman"/>
          <w:caps w:val="false"/>
          <w:smallCaps w:val="false"/>
          <w:sz w:val="20"/>
          <w:u w:val="single"/>
        </w:rPr>
        <w:t>Schedule 6.13(a)</w:t>
      </w:r>
      <w:r>
        <w:rPr>
          <w:rFonts w:ascii="Times New Roman" w:hAnsi="Times New Roman"/>
          <w:caps w:val="false"/>
          <w:smallCaps w:val="false"/>
          <w:sz w:val="20"/>
        </w:rPr>
        <w:t xml:space="preserve"> is a complete and accurate list as of the Closing Date of each Subsidiary of any Loan Party and JPR Royalty Sub, together with (i) jurisdiction of organization, (ii) number of shares of each class of Equity Interests outstanding, (iii) number and percentage of outstanding shares of each class owned (directly or indirectly) by any Loan Party or any Subsidiary, (iv) number and effect, if exercised, of all outstanding options, warrants, rights of conversion or purchase and all other similar rights with respect thereto and (v) identification of each Subsidiary that is an Excluded Subsidiary, a Non-U.S. Regulatory Approval Subsidiary and/or an Immaterial Non-U.S. Subsidiary.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Set forth on </w:t>
      </w:r>
      <w:r>
        <w:rPr>
          <w:rFonts w:ascii="Times New Roman" w:hAnsi="Times New Roman"/>
          <w:caps w:val="false"/>
          <w:smallCaps w:val="false"/>
          <w:sz w:val="20"/>
          <w:u w:val="single"/>
        </w:rPr>
        <w:t>Schedule 6.13(b)</w:t>
      </w:r>
      <w:r>
        <w:rPr>
          <w:rFonts w:ascii="Times New Roman" w:hAnsi="Times New Roman"/>
          <w:caps w:val="false"/>
          <w:smallCaps w:val="false"/>
          <w:sz w:val="20"/>
        </w:rPr>
        <w:t xml:space="preserve"> is a true and complete table showing the authorized and issued capitalization of each of the Borrower, its Subsidiaries and JPR Royalty Sub as of the Closing Date on a fully diluted basis. All issued and outstanding Equity Interests of the Borrower and each of its Subsidiaries are duly authorized and validly issued, fully paid, non-assessable, free and clear of all Liens and such Equity Interests were issued in compliance with all applicable Laws. As of the Closing Date, except as described on </w:t>
      </w:r>
      <w:r>
        <w:rPr>
          <w:rFonts w:ascii="Times New Roman" w:hAnsi="Times New Roman"/>
          <w:caps w:val="false"/>
          <w:smallCaps w:val="false"/>
          <w:sz w:val="20"/>
          <w:u w:val="single"/>
        </w:rPr>
        <w:t>Schedule 6.13(b)</w:t>
      </w:r>
      <w:r>
        <w:rPr>
          <w:rFonts w:ascii="Times New Roman" w:hAnsi="Times New Roman"/>
          <w:caps w:val="false"/>
          <w:smallCaps w:val="false"/>
          <w:sz w:val="20"/>
        </w:rPr>
        <w:t xml:space="preserve"> or the Borrower’s Organizational Documents, there are no outstanding commitments or other obligations of the Borrower or any Subsidiary to issue, and no rights of any Person to acquire, any shares of any Equity Interests of the Borrower or any of its Subsidiaries. There are no agreements (voting or otherwise) among the Borrower’s equity holders with respect to any other aspect of the Borrower’s or any Subsidiary’s affairs, except as set forth on </w:t>
      </w:r>
      <w:r>
        <w:rPr>
          <w:rFonts w:ascii="Times New Roman" w:hAnsi="Times New Roman"/>
          <w:caps w:val="false"/>
          <w:smallCaps w:val="false"/>
          <w:sz w:val="20"/>
          <w:u w:val="single"/>
        </w:rPr>
        <w:t>Schedule 6.13(b)</w:t>
      </w:r>
      <w:r>
        <w:rPr>
          <w:rFonts w:ascii="Times New Roman" w:hAnsi="Times New Roman"/>
          <w:caps w:val="false"/>
          <w:smallCaps w:val="false"/>
          <w:sz w:val="20"/>
        </w:rPr>
        <w:t xml:space="preserve"> or as contained in the Borrower’s Organizational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As of the Closing Date, no Loan Party, nor any of their respective Subsidiaries, directly or indirectly, are obligated to pay any management, consulting, transaction or similar advisory fees (other than normal and reasonable compensation (including in the form of Equity Interests) and reimbursement of expenses of officers and directors in the ordinary course of business) to or for the account of any officer, director or holder (or any Affiliate of any holder) of at least 5% of the Equity Interests of such Person.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6.14    </w:t>
      </w:r>
      <w:r>
        <w:rPr>
          <w:rFonts w:ascii="Times New Roman" w:hAnsi="Times New Roman"/>
          <w:caps w:val="false"/>
          <w:smallCaps w:val="false"/>
          <w:sz w:val="20"/>
          <w:u w:val="single"/>
        </w:rPr>
        <w:t>Margin Regulations; Investment Company Act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No Loan Party is engaged and no Loan Party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not more than 25% of the value of the assets (either of the Borrower only or of the Borrower and its Subsidiaries on a consolidated basis) will be margin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No Loan Party, any Person Controlling any Loan Party, or any Subsidiary is or is required to be registered as an “investment company” under the Investment Company Act of 1940.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6.15    </w:t>
      </w:r>
      <w:r>
        <w:rPr>
          <w:rFonts w:ascii="Times New Roman" w:hAnsi="Times New Roman"/>
          <w:caps w:val="false"/>
          <w:smallCaps w:val="false"/>
          <w:sz w:val="20"/>
          <w:u w:val="single"/>
        </w:rPr>
        <w:t>Disclosure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Loan Party has disclosed to the Administrative Agent and the Lenders all agreements, instruments and corporate or other restrictions to which it or any of its Subsidiaries is subject, and all other matters known to it, that, either individually or in the aggregate, could reasonably be expected to result in a Material Adverse Effect. No report, financial statement, certificate or other information furnished (whether written or oral) (other than forward-looking information and projections and information of a general economic nature and general information about the Loan Parties’ industry)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fact necessary to make the statements therein, in the light of the circumstances under which they were made and taken as a whole, not misleading. Each Loan Party represents, with respect to projections, estimates, budgets and other forward-looking information, only that such information was prepared in good faith based on assumptions believed to be reasonable at the time such projections were prepared.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6.16    </w:t>
      </w:r>
      <w:r>
        <w:rPr>
          <w:rFonts w:ascii="Times New Roman" w:hAnsi="Times New Roman"/>
          <w:caps w:val="false"/>
          <w:smallCaps w:val="false"/>
          <w:sz w:val="20"/>
          <w:u w:val="single"/>
        </w:rPr>
        <w:t>Compliance with Laws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Loan Party and each Subsidiary is in compliance with the requirements of all Laws and all judgments, orders, writs, injunctions and decrees applicable to it or to its properties, except in such instances in which (a) such requirement of Law or judgment, order, writ, injunction or decree is being contested in good faith by appropriate proceedings diligently conducted or (b) the failure to comply therewith could not reasonably be expected to have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6.17    </w:t>
      </w:r>
      <w:r>
        <w:rPr>
          <w:rFonts w:ascii="Times New Roman" w:hAnsi="Times New Roman"/>
          <w:caps w:val="false"/>
          <w:smallCaps w:val="false"/>
          <w:sz w:val="20"/>
          <w:u w:val="single"/>
        </w:rPr>
        <w:t>Intellectual Property; Licenses, Etc.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Schedule 6.17 Part (a)</w:t>
      </w:r>
      <w:r>
        <w:rPr>
          <w:rFonts w:ascii="Times New Roman" w:hAnsi="Times New Roman"/>
          <w:caps w:val="false"/>
          <w:smallCaps w:val="false"/>
          <w:sz w:val="20"/>
        </w:rPr>
        <w:t xml:space="preserve"> sets forth a complete and accurate list of the following as of the Closing Date: (i) all Copyrights and all Trademarks of any Loan Party or any Subsidiary, that are registered, or in respect of which an application for registration has been filed or recorded, with the United States Patent and Trademark Office or the United States Copyright Office or with any other Governmental Authority (or comparable organization or office established in any country or pursuant to an international treaty or similar international agreement for the filing, recordation or registration of interests in intellectual property), together with relevant identifying information with respect to such Copyrights and Trademarks, (ii) all Patents of any Loan Party or any Subsidiary that are issued, or in respect of which an application has been filed or recorded, with the United States Patent and Trademark Office or with any other Governmental Authority (or comparable organization or office established in any country or pursuant to an international treaty or similar international agreement for the filing, recordation or registration of interests in intellectual property), together with relevant identifying information with respect to such Patents, (iii) all Domain Names owned by any Loan Party or any Subsidiary or which any Loan Party or any Subsidiary is licensed, authorized or otherwise granted rights under or to, or owned by a Person on behalf of any Loan Party or any Subsidiary, together with relevant identifying information with respect to such Domain Names, (iv) each Copyright License, each Patent License and each Trademark License of any Loan Party or any Subsidiary and (v) each other Material IP Right of any Loan Party or any Subsidiary, in each case with respect to this clause (v), other than Trade Secrets.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All Material IP Rights (other than Material IP Rights that are not material or are no longer used or useful in any material respect in the business of the Borrower or any of its Subsidiaries) are in full force and effect, and have not expired, lapsed or been forfeited, cancelled or abandoned. Each of the Borrower and the Subsidiaries, have, since taking title to the Material IP Rights, performed all acts and have paid all required annuities, fees, costs, expenses and taxes to maintain the Material IP Rights in full force and effect in each of the Key Territories, as applicable, or have caused others to do the same. All documents filed or recorded with a patent office or other relevant intellectual property registry for registration, recordation or issuance of Material IP Rights in each of the Key Territories have been duly and properly filed and recorded. None of the Material IP Rights have been or are subject to any pending or outstanding injunction, directive, order, judgment, or other disposition of dispute that adversely restricts, or when any such pending dispute is concluded may adversely restrict, the use, transfer, registration, licensing or other exploitation of any such Material IP Rights in any of the Key Territories, or otherwise adversely affects, or may adversely affect, the scope, validity, use, right to use, registrability, or enforceability of such Material IP Rights in any of the Key Territories. No action or proceeding is pending that could reasonably be expected to result in any of the foregoing.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The Borrower or a Subsidiary owns or has a valid license or other valid right to use all Material IP Rights, free and clear of any and all Liens other than Permitted Liens. To the extent any of the Material IP Rights were authored, developed, conceived or created, in whole or in part, for or on behalf of the Borrower or a Subsidiary by any Person, then the Borrower or the Subsidiary or their predecessors in interest, as applicable, has entered into a written agreement with such Person in which such Person has assigned all right, title and interest in and to such Material IP Rights to the Borrower or such Subsidiary, or their predecessors in interest, including the right to sue for and collect past damages, as applicable. Except as otherwise indicated on </w:t>
      </w:r>
      <w:r>
        <w:rPr>
          <w:rFonts w:ascii="Times New Roman" w:hAnsi="Times New Roman"/>
          <w:caps w:val="false"/>
          <w:smallCaps w:val="false"/>
          <w:sz w:val="20"/>
          <w:u w:val="single"/>
        </w:rPr>
        <w:t>Schedule 6.17 Part (b)</w:t>
      </w:r>
      <w:r>
        <w:rPr>
          <w:rFonts w:ascii="Times New Roman" w:hAnsi="Times New Roman"/>
          <w:caps w:val="false"/>
          <w:smallCaps w:val="false"/>
          <w:sz w:val="20"/>
        </w:rPr>
        <w:t>, each of the Borrower and each Subsidiary is the sole and exclusive owner of all right, title and interest in and to all such Material IP Rights that are owned by 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Neither the Borrower nor any Subsidiary has made any assignment or agreement in conflict with the security interest in any of the Material IP Rights of the Borrower or any Subsidiary hereunder and no license agreement with respect to any of the Material IP Rights conflicts with the security interest granted to the Administrative Agent, on behalf of the Lenders, pursuant to the terms of the Collateral Documents. Except as described in </w:t>
      </w:r>
      <w:r>
        <w:rPr>
          <w:rFonts w:ascii="Times New Roman" w:hAnsi="Times New Roman"/>
          <w:caps w:val="false"/>
          <w:smallCaps w:val="false"/>
          <w:sz w:val="20"/>
          <w:u w:val="single"/>
        </w:rPr>
        <w:t>Schedule 6.17 Part (c)</w:t>
      </w:r>
      <w:r>
        <w:rPr>
          <w:rFonts w:ascii="Times New Roman" w:hAnsi="Times New Roman"/>
          <w:caps w:val="false"/>
          <w:smallCaps w:val="false"/>
          <w:sz w:val="20"/>
        </w:rPr>
        <w:t>, and except for software that is commercially available to the public, no Loan Party is a party to, nor is bound by, any inbound license or other similar agreement, the failure, breach or termination of which could reasonably be expected to cause a Material Adverse Effect, or that prohibits or otherwise restricts the Loan Parties from granting a security interest in the applicable Loan Party’s interest in such license or agreement or any other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To the Loan Parties’ knowledge, no Person is infringing, misappropriating, violating, or diluting any Material IP Rights (i) as of the Closing Date and (ii) after the Closing Date in a manner that could reasonably be expected to result in a material adverse effect on any Product Development and Commercialization Activities, and as of the Closing Date, no Loan Party has given notice to any third party alleging that such third party is infringing, misappropriating, violating, or diluting, any Material IP Rights.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With respect to each Copyright License, Trademark License and Patent License listed on Schedule 6.17 Part (a)(iv) that comprise Material IP Rights, such agreement (i) is in full force and effect and is binding upon and enforceable against the Borrower and the Subsidiaries party thereto and all other parties thereto in accordance with its terms, (ii) has not been amended or otherwise modified and (iii) has not suffered a default or breach thereunder, in each case of the foregoing clauses (i), (ii) and (iii), (A) as of the Closing Date, and (B) after the Closing Date, except as could not reasonably be expected to result in a material adverse effect on any Product Development and Commercialization Activities. To the Loan Parties’ knowledge, neither the Borrower nor any of the Subsidiaries has taken any action that would permit any other Person party to any such license agreement to have, and no such Person otherwise has, any defenses, counterclaims or rights of setoff thereunder (1) as of the Closing Date and (2) after the Closing Date, that could reasonably be expected to result in a material adverse effect on any Product Development and Commercialization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Except as set forth on </w:t>
      </w:r>
      <w:r>
        <w:rPr>
          <w:rFonts w:ascii="Times New Roman" w:hAnsi="Times New Roman"/>
          <w:caps w:val="false"/>
          <w:smallCaps w:val="false"/>
          <w:sz w:val="20"/>
          <w:u w:val="single"/>
        </w:rPr>
        <w:t>Schedule 6.17 Part (d)</w:t>
      </w:r>
      <w:r>
        <w:rPr>
          <w:rFonts w:ascii="Times New Roman" w:hAnsi="Times New Roman"/>
          <w:caps w:val="false"/>
          <w:smallCaps w:val="false"/>
          <w:sz w:val="20"/>
        </w:rPr>
        <w:t>, (i) no written claim, and no other claim known to the Borrower or any Subsidiary has been made that alleges that the Material IP Rights, or the conduct or operation of its business of the Borrower or the Subsidiaries, including the development, manufacture, use, sale, provision or other commercialization of any Product or Service, infringes, misappropriates, violates, or dilutes any intellectual property or proprietary or other rights of that third party, in each case, (A) as of the Closing Date and (B) after the Closing Date that could be reasonably expected to result in a material adverse effect on any Product Development and Commercialization Activities and (ii) there is no basis for such a claim known to the Borrower or any Subsidiary.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The Borrower and the Subsidiaries have used commercially reasonable efforts and precautions to protect their interests in, and the value and confidentiality of their respective Confidential Information and Trade Secrets, including any source code for Proprietary Software.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 xml:space="preserve">(i)    Except as set forth on </w:t>
      </w:r>
      <w:r>
        <w:rPr>
          <w:rFonts w:ascii="Times New Roman" w:hAnsi="Times New Roman"/>
          <w:caps w:val="false"/>
          <w:smallCaps w:val="false"/>
          <w:sz w:val="20"/>
          <w:u w:val="single"/>
        </w:rPr>
        <w:t>Schedule 6.17 Part (f)</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as of the Closing Date the consummation of the transactions contemplated hereby and, except as otherwise permitted by </w:t>
      </w:r>
      <w:r>
        <w:rPr>
          <w:rFonts w:ascii="Times New Roman" w:hAnsi="Times New Roman"/>
          <w:caps w:val="false"/>
          <w:smallCaps w:val="false"/>
          <w:sz w:val="20"/>
          <w:u w:val="single"/>
        </w:rPr>
        <w:t>Section 7.18(b)</w:t>
      </w:r>
      <w:r>
        <w:rPr>
          <w:rFonts w:ascii="Times New Roman" w:hAnsi="Times New Roman"/>
          <w:caps w:val="false"/>
          <w:smallCaps w:val="false"/>
          <w:sz w:val="20"/>
        </w:rPr>
        <w:t>, the exercise by the Administrative Agent or the Lenders of any right or remedy set forth in the Loan Documents will not constitute a breach or violation of, or otherwise affect the enforceability or approval of, (i) any licenses associated with Material IP Rights or (ii) any Material Required Permits;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at any time after the Closing Date, except with respect to Excluded Property, the consummation of the transactions contemplated hereby and, except as otherwise permitted by </w:t>
      </w:r>
      <w:r>
        <w:rPr>
          <w:rFonts w:ascii="Times New Roman" w:hAnsi="Times New Roman"/>
          <w:caps w:val="false"/>
          <w:smallCaps w:val="false"/>
          <w:sz w:val="20"/>
          <w:u w:val="single"/>
        </w:rPr>
        <w:t>Section 7.18(b)</w:t>
      </w:r>
      <w:r>
        <w:rPr>
          <w:rFonts w:ascii="Times New Roman" w:hAnsi="Times New Roman"/>
          <w:caps w:val="false"/>
          <w:smallCaps w:val="false"/>
          <w:sz w:val="20"/>
        </w:rPr>
        <w:t>, the exercise by the Administrative Agent or the Lenders of any right or remedy set forth in the Loan Documents will not constitute a breach or violation of, or otherwise affect the enforceability or approval of, (i) any licenses associated with IP Rights or (ii) any Required Permits.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6.18    </w:t>
      </w:r>
      <w:r>
        <w:rPr>
          <w:rFonts w:ascii="Times New Roman" w:hAnsi="Times New Roman"/>
          <w:caps w:val="false"/>
          <w:smallCaps w:val="false"/>
          <w:sz w:val="20"/>
          <w:u w:val="single"/>
        </w:rPr>
        <w:t>Solvency</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Borrower is Solvent on an individual basis, and the Borrower and its Subsidiaries are Solvent on a consolidated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6.19    </w:t>
      </w:r>
      <w:r>
        <w:rPr>
          <w:rFonts w:ascii="Times New Roman" w:hAnsi="Times New Roman"/>
          <w:caps w:val="false"/>
          <w:smallCaps w:val="false"/>
          <w:sz w:val="20"/>
          <w:u w:val="single"/>
        </w:rPr>
        <w:t>Perfection of Security Interests in the Collateral</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Collateral Documents create valid security interests in, and Liens on, the Collateral purported to be covered thereby, which security interests and Liens will be, upon the timely and proper filings, deliveries, notations and other actions contemplated in the Collateral Documents, perfected security interests and Liens (to the extent that such security interests and Liens can be perfected by such filings, deliveries, notations and other actions contemplated in the Collateral Documents), prior to all other Liens other than Permitted Liens.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6.20    </w:t>
      </w:r>
      <w:r>
        <w:rPr>
          <w:rFonts w:ascii="Times New Roman" w:hAnsi="Times New Roman"/>
          <w:caps w:val="false"/>
          <w:smallCaps w:val="false"/>
          <w:sz w:val="20"/>
          <w:u w:val="single"/>
        </w:rPr>
        <w:t>Business Locations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Set forth on </w:t>
      </w:r>
      <w:r>
        <w:rPr>
          <w:rFonts w:ascii="Times New Roman" w:hAnsi="Times New Roman"/>
          <w:caps w:val="false"/>
          <w:smallCaps w:val="false"/>
          <w:sz w:val="20"/>
          <w:u w:val="single"/>
        </w:rPr>
        <w:t>Schedule 6.20(a)</w:t>
      </w:r>
      <w:r>
        <w:rPr>
          <w:rFonts w:ascii="Times New Roman" w:hAnsi="Times New Roman"/>
          <w:caps w:val="false"/>
          <w:smallCaps w:val="false"/>
          <w:sz w:val="20"/>
        </w:rPr>
        <w:t xml:space="preserve"> is a list of all real property that is owned or leased by the Loan Parties as of the Closing Date (with (x) a description of each real property that is Excluded Property, (y) a designation of whether such real property is owned or leases and (z) if any Loan Party maintains books and records at such real property). Set forth on </w:t>
      </w:r>
      <w:r>
        <w:rPr>
          <w:rFonts w:ascii="Times New Roman" w:hAnsi="Times New Roman"/>
          <w:caps w:val="false"/>
          <w:smallCaps w:val="false"/>
          <w:sz w:val="20"/>
          <w:u w:val="single"/>
        </w:rPr>
        <w:t>Schedule 6.20(b)</w:t>
      </w:r>
      <w:r>
        <w:rPr>
          <w:rFonts w:ascii="Times New Roman" w:hAnsi="Times New Roman"/>
          <w:caps w:val="false"/>
          <w:smallCaps w:val="false"/>
          <w:sz w:val="20"/>
        </w:rPr>
        <w:t xml:space="preserve"> is the tax payer identification number and organizational identification number of each Loan Party as of the Closing Date. The exact legal name and jurisdiction of organization of (a) the Borrower is as set forth on </w:t>
      </w:r>
      <w:r>
        <w:rPr>
          <w:rFonts w:ascii="Times New Roman" w:hAnsi="Times New Roman"/>
          <w:caps w:val="false"/>
          <w:smallCaps w:val="false"/>
          <w:sz w:val="20"/>
          <w:u w:val="single"/>
        </w:rPr>
        <w:t>Schedule 6.20(b)</w:t>
      </w:r>
      <w:r>
        <w:rPr>
          <w:rFonts w:ascii="Times New Roman" w:hAnsi="Times New Roman"/>
          <w:caps w:val="false"/>
          <w:smallCaps w:val="false"/>
          <w:sz w:val="20"/>
        </w:rPr>
        <w:t xml:space="preserve"> and (b) each Guarantor is (i) as set forth on </w:t>
      </w:r>
      <w:r>
        <w:rPr>
          <w:rFonts w:ascii="Times New Roman" w:hAnsi="Times New Roman"/>
          <w:caps w:val="false"/>
          <w:smallCaps w:val="false"/>
          <w:sz w:val="20"/>
          <w:u w:val="single"/>
        </w:rPr>
        <w:t>Schedule 6.20(b)</w:t>
      </w:r>
      <w:r>
        <w:rPr>
          <w:rFonts w:ascii="Times New Roman" w:hAnsi="Times New Roman"/>
          <w:caps w:val="false"/>
          <w:smallCaps w:val="false"/>
          <w:sz w:val="20"/>
        </w:rPr>
        <w:t xml:space="preserve"> or (ii) as set forth on Schedule 1 to the Joinder Agreement pursuant to which such Guarantor became a party hereto. Except as set forth on </w:t>
      </w:r>
      <w:r>
        <w:rPr>
          <w:rFonts w:ascii="Times New Roman" w:hAnsi="Times New Roman"/>
          <w:caps w:val="false"/>
          <w:smallCaps w:val="false"/>
          <w:sz w:val="20"/>
          <w:u w:val="single"/>
        </w:rPr>
        <w:t>Schedule 6.20(c)</w:t>
      </w:r>
      <w:r>
        <w:rPr>
          <w:rFonts w:ascii="Times New Roman" w:hAnsi="Times New Roman"/>
          <w:caps w:val="false"/>
          <w:smallCaps w:val="false"/>
          <w:sz w:val="20"/>
        </w:rPr>
        <w:t>, no Loan Party has during the five years preceding the Closing Date (i) changed its legal name, (ii) changed its jurisdiction of organization, or (iii) been party to a merger, amalgamation, consolidation or such other structural change.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6.21    </w:t>
      </w:r>
      <w:r>
        <w:rPr>
          <w:rFonts w:ascii="Times New Roman" w:hAnsi="Times New Roman"/>
          <w:caps w:val="false"/>
          <w:smallCaps w:val="false"/>
          <w:sz w:val="20"/>
          <w:u w:val="single"/>
        </w:rPr>
        <w:t>Sanctions Concerns; Anti-Corruption Laws; PATRIOT Act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Sanctions Concerns</w:t>
      </w:r>
      <w:r>
        <w:rPr>
          <w:rFonts w:ascii="Times New Roman" w:hAnsi="Times New Roman"/>
          <w:caps w:val="false"/>
          <w:smallCaps w:val="false"/>
          <w:sz w:val="20"/>
        </w:rPr>
        <w:t>. No Loan Party, nor any Subsidiary, nor JPR Royalty Sub, nor, to the knowledge of the Loan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Anti-Corruption Laws</w:t>
      </w:r>
      <w:r>
        <w:rPr>
          <w:rFonts w:ascii="Times New Roman" w:hAnsi="Times New Roman"/>
          <w:caps w:val="false"/>
          <w:smallCaps w:val="false"/>
          <w:sz w:val="20"/>
        </w:rPr>
        <w:t>. The Loan Parties, their Subsidiaries and JPR Royalty Sub have conducted their business in compliance with the United States Foreign Corrupt Practices Act of 1977, the UK Bribery Act 2010 and other similar anti-corruption legislation in other applicable jurisdictions, and have instituted and maintained policies and procedures designed to promote and achieve compliance with such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PATRIOT Act</w:t>
      </w:r>
      <w:r>
        <w:rPr>
          <w:rFonts w:ascii="Times New Roman" w:hAnsi="Times New Roman"/>
          <w:caps w:val="false"/>
          <w:smallCaps w:val="false"/>
          <w:sz w:val="20"/>
        </w:rPr>
        <w:t>. To the extent applicable, each of the Loan Parties, their Subsidiaries and JPR Royalty Sub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6.22    </w:t>
      </w:r>
      <w:r>
        <w:rPr>
          <w:rFonts w:ascii="Times New Roman" w:hAnsi="Times New Roman"/>
          <w:caps w:val="false"/>
          <w:smallCaps w:val="false"/>
          <w:sz w:val="20"/>
          <w:u w:val="single"/>
        </w:rPr>
        <w:t>Material Contracts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Except for the Organization Documents of the Loan Parties and the other agreements set forth on </w:t>
      </w:r>
      <w:r>
        <w:rPr>
          <w:rFonts w:ascii="Times New Roman" w:hAnsi="Times New Roman"/>
          <w:caps w:val="false"/>
          <w:smallCaps w:val="false"/>
          <w:sz w:val="20"/>
          <w:u w:val="single"/>
        </w:rPr>
        <w:t>Schedule 6.22</w:t>
      </w:r>
      <w:r>
        <w:rPr>
          <w:rFonts w:ascii="Times New Roman" w:hAnsi="Times New Roman"/>
          <w:caps w:val="false"/>
          <w:smallCaps w:val="false"/>
          <w:sz w:val="20"/>
        </w:rPr>
        <w:t xml:space="preserve"> as of the Closing Date there are no (a) employment agreements covering the management of the Borrower or any Subsidiary, (b) collective bargaining agreements or other labor agreements covering any employees of the Borrower or any Subsidiary, (c) agreements for managerial, consulting or similar services to which the Borrower or any Subsidiary is a party or by which it is bound, (d) agreements regarding the Borrower or any Subsidiary, its assets or operations or any investment therein to which any of its equity holders is a party or by which it is bound, (e) real estate leases, licenses of IP Rights or other lease or license agreements to which the Borrower or any Subsidiary is a party, either as lessor or lessee, or as licensor or licensee (other than licenses arising from the purchase of “off the shelf” products), (f) customer or supply agreements to which the Borrower or any Subsidiary is a party, in each case with respect to the preceding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w:t>
      </w:r>
      <w:r>
        <w:rPr>
          <w:rFonts w:ascii="Times New Roman" w:hAnsi="Times New Roman"/>
          <w:caps w:val="false"/>
          <w:smallCaps w:val="false"/>
          <w:sz w:val="20"/>
          <w:u w:val="single"/>
        </w:rPr>
        <w:t>(c)</w:t>
      </w:r>
      <w:r>
        <w:rPr>
          <w:rFonts w:ascii="Times New Roman" w:hAnsi="Times New Roman"/>
          <w:caps w:val="false"/>
          <w:smallCaps w:val="false"/>
          <w:sz w:val="20"/>
        </w:rPr>
        <w:t xml:space="preserve">, </w:t>
      </w:r>
      <w:r>
        <w:rPr>
          <w:rFonts w:ascii="Times New Roman" w:hAnsi="Times New Roman"/>
          <w:caps w:val="false"/>
          <w:smallCaps w:val="false"/>
          <w:sz w:val="20"/>
          <w:u w:val="single"/>
        </w:rPr>
        <w:t>(d)</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and </w:t>
      </w:r>
      <w:r>
        <w:rPr>
          <w:rFonts w:ascii="Times New Roman" w:hAnsi="Times New Roman"/>
          <w:caps w:val="false"/>
          <w:smallCaps w:val="false"/>
          <w:sz w:val="20"/>
          <w:u w:val="single"/>
        </w:rPr>
        <w:t>(f</w:t>
      </w:r>
      <w:r>
        <w:rPr>
          <w:rFonts w:ascii="Times New Roman" w:hAnsi="Times New Roman"/>
          <w:caps w:val="false"/>
          <w:smallCaps w:val="false"/>
          <w:sz w:val="20"/>
        </w:rPr>
        <w:t xml:space="preserve">) solely to the extent the breach, default or the termination of such agreement, lease or license could reasonably be expected to result in a material adverse effect on Product Development and Commercialization Activities or (g) any other agreements or instruments to which the Borrower or any Subsidiary is a party, and the breach, nonperformance or cancellation of which, or the failure of which to renew, could reasonably be expected to have a Material Adverse Effect. </w:t>
      </w:r>
      <w:r>
        <w:rPr>
          <w:rFonts w:ascii="Times New Roman" w:hAnsi="Times New Roman"/>
          <w:caps w:val="false"/>
          <w:smallCaps w:val="false"/>
          <w:sz w:val="20"/>
          <w:u w:val="single"/>
        </w:rPr>
        <w:t>Schedule 6.22</w:t>
      </w:r>
      <w:r>
        <w:rPr>
          <w:rFonts w:ascii="Times New Roman" w:hAnsi="Times New Roman"/>
          <w:caps w:val="false"/>
          <w:smallCaps w:val="false"/>
          <w:sz w:val="20"/>
        </w:rPr>
        <w:t xml:space="preserve"> sets forth, with respect to each real estate lease agreement to which the Borrower or any Subsidiary is a party as of the Closing Date, the address of the subject property and the annual rental (or, where applicable, a general description of the method of computing the annual rental). The consummation of the transactions contemplated by the Loan Documents will not give rise to a right of termination in favor of any party to any Material Contract. Each Material Contract (a) is in full force and effect and is binding upon and enforceable against the Borrower and its Subsidiaries party thereto and, to the knowledge of any Loan Party, all other parties thereto in accordance with its terms, and (b) is not currently subject to any material breach or default by the Borrower or any Subsidiary or, to the knowledge of any Loan Party, any other party thereto. None of the Borrower nor any of its Subsidiaries has taken or failed to take any action that would permit any other Person party to any Material Contract to have, and, to the knowledge of any Loan Party, no such Person otherwise has, any defenses, counterclaims or rights of setoff thereunder (1) as of the Closing Date and (2) after the Closing Date that could reasonably be expected to result in a material adverse effect on any Product Development and Commercialization Activities. As of the Closing Date, none of the Material Contracts are non-assignable by their terms (other than those certain agreements separately noted in </w:t>
      </w:r>
      <w:r>
        <w:rPr>
          <w:rFonts w:ascii="Times New Roman" w:hAnsi="Times New Roman"/>
          <w:caps w:val="false"/>
          <w:smallCaps w:val="false"/>
          <w:sz w:val="20"/>
          <w:u w:val="single"/>
        </w:rPr>
        <w:t>Schedule 6.22</w:t>
      </w:r>
      <w:r>
        <w:rPr>
          <w:rFonts w:ascii="Times New Roman" w:hAnsi="Times New Roman"/>
          <w:caps w:val="false"/>
          <w:smallCaps w:val="false"/>
          <w:sz w:val="20"/>
        </w:rPr>
        <w:t xml:space="preserve"> as being non-assignable) or as a matter of law, or prevent the granting of a security interest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6.23    </w:t>
      </w:r>
      <w:r>
        <w:rPr>
          <w:rFonts w:ascii="Times New Roman" w:hAnsi="Times New Roman"/>
          <w:caps w:val="false"/>
          <w:smallCaps w:val="false"/>
          <w:sz w:val="20"/>
          <w:u w:val="single"/>
        </w:rPr>
        <w:t>Regulatory Compliance.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Except for the matters disclosed on </w:t>
      </w:r>
      <w:r>
        <w:rPr>
          <w:rFonts w:ascii="Times New Roman" w:hAnsi="Times New Roman"/>
          <w:caps w:val="false"/>
          <w:smallCaps w:val="false"/>
          <w:sz w:val="20"/>
          <w:u w:val="single"/>
        </w:rPr>
        <w:t>Schedule</w:t>
      </w:r>
      <w:r>
        <w:rPr>
          <w:rFonts w:ascii="Times New Roman" w:hAnsi="Times New Roman"/>
          <w:caps w:val="false"/>
          <w:smallCaps w:val="false"/>
          <w:sz w:val="20"/>
        </w:rPr>
        <w:t> </w:t>
      </w:r>
      <w:r>
        <w:rPr>
          <w:rFonts w:ascii="Times New Roman" w:hAnsi="Times New Roman"/>
          <w:caps w:val="false"/>
          <w:smallCaps w:val="false"/>
          <w:sz w:val="20"/>
          <w:u w:val="single"/>
        </w:rPr>
        <w:t>6.23</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The Borrower and its Subsidiaries have obtained all Material Required Permits, or have contracted with third parties holding Material Required Permits to obtain any and all rights, in each case necessary for the conduct of the Businesses or for compliance with all applicable Laws and all such Material Required Permits or rights thereto are in full force and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The Borrower and its Subsidiaries have not received any written communication from any Governmental Authority regarding, and there are no facts or circumstances that are likely to give rise to, (A) any material adverse change in any Material Required Permit, or any failure to materially comply with any Laws or any term or requirement of any Material Required Permit, (B) any revocation, withdrawal, suspension, hold, cancellation, material limitation, termination or material modification of any Material Required Permit or (C) any pending or threatened enforcement action seeking to seize any Product, enjoin manufacture or distribution, or halt the receipt, processing, or production of products, components, or raw materials due to alleged nonconformance with cGMPs or the requirements associated with any Material Required Permit.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None of the officers, directors, employees, shareholders, agents, or Affiliates of the Borrower or any Subsidiary or, to the Loan Parties’ knowledge, any other Person involved in the development of (including seeking regulatory approval for) any Product or Service, has been convicted of any crime or engaged in any conduct for which debarment is authorized by 21 U.S.C. Section 335a or disqualification as a clinical investigator under 21 C.F.R. § 312.70 or any similar applicable Laws, and neither the Borrower nor any Subsidiary nor any of its officers, employees or, to knowledge of any Loan Party, agents or contractors has engaged in any conduct that would reasonably be expected to result in debarment or disqualification as a clinical investigator.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None of the officers, directors, employees, shareholders, agents, or Affiliates of the Borrower or any Subsidiary or, to the Loan Parties’ knowledge, any consultant or independent contractor engaged by the Loan Parties, has made an untrue statement of material fact or fraudulent statement to the FDA, CMS or any other Governmental Authority or failed to disclose a material fact required to be disclosed to the FDA, CMS or any other Governmental Authority, committed an act, made a statement, or failed to make a statement, in each case that could reasonably be expected to provide a basis for the FDA to invoke its policy respecting “Fraud, Untrue Statements of Material Facts, Bribery, and Illegal Gratuities,” set forth in 56 Fed. Reg. 46191 (September 10, 1991) or for any other Government Authority to invoke a similar policy or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All applications, notifications, submissions, information, claims, reports and statistics and other data and conclusions derived therefrom, utilized as the basis for or submitted in connection with any and all requests for a Material Required Permit from the FDA, CMS or any other Governmental Authority relating to the Borrower or any Subsidiary, their business operations, Products and Services, when submitted to the FDA, CMS or any other Governmental Authority, were true, complete and correct in all material respects as of the date of submission, and any necessary or required updates, changes, corrections or modifications to such applications, submissions, information and data have been properly and timely submitted to the FDA, CMS or any other Governmental Authority. The Material Required Permits issued by the FDA, CMS or any other Governmental Authority for the Products and Services are valid and supported by proper research, design, testing, analysis and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All preclinical and clinical trials that have been conducted and/or are being conducted by or on behalf of the Borrower and its Subsidiaries, including those trials whose results and data have been submitted to any Governmental Authority, including the FDA and its counterparts worldwide, are being or have been conducted in compliance in all material respects with the required experimental protocols, procedures and controls and otherwise in compliance with applicable Laws, including cGLP and cGCP, the Animal Welfare Act, all applicable similar Laws in other jurisdictions, and all Laws relating to the protection of human subjects. Neither the Borrower nor any Subsidiary has received any written notice that the FDA, any other Governmental Authority, or any institutional review board has recommended, initiated, or threatened to initiate any action to suspend or terminate any clinical trial sponsored by the Borrower or its Subsidiaries, including a full or partial clinical hold, or to otherwise restrict the preclinical research on or clinical study of any Product.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Neither the Borrower nor any Subsidiary nor any of its officers and employees has received any written notice that any Governmental Authority, including without limitation the FDA, the Office of the Inspector General of HHS or the United States Department of Justice has commenced recommended or threatened to initiate any action against the Borrower or a Subsidiary or their respective officers, directors, employees, shareholders or agents and Affiliates, or to the knowledge of the Loan Parties, their licensees, manufacturers and contractors, seeking to enjoin from conducting business at any facility owned or used by any of them (including the Facilities) or for any material civil penalty, injunction, seizure or criminal action.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All manufacturing operations relating to the Products conducted by or on behalf of the Borrower and its Subsidiaries have been and are being conducted in compliance with applicable provisions of cGMP as required by 21 U.S.C. § 351(a)(2)(B) and as set forth in 21 C.F.R. Parts 210 and 211 and applicable guidance documents, as amended from time to time. Neither the Borrower nor any Subsidiary nor to the Loan Parties’ knowledge, any third party conducting services on behalf of the Borrower or its Subsidiaries, has received from the FDA a Warning Letter, Form FDA-483, Untitled Letter, other written correspondence or written notice setting forth allegedly objectionable observations or alleged violations of Laws enforced by the FDA, or any comparable correspondence from any state or local authority with regard to any Product, Service or Facilities, or the manufacture, testing, processing, packaging, supply, promotion, labeling, commercialization, import, export, sale, distribution, or holding of any Product or Service, or any comparable correspondence from any foreign counterpart of the FDA, or any comparable correspondence from any foreign counterpart of any state or local authority.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Neither the Borrower nor any Subsidiary (A) has initiated in any recalls, field notifications, Market Withdrawals, warnings, “Dear Doctor” letters, investigator notices, safety alerts, “serious adverse event” reports or other notice of action, including as a result of any Risk Evaluation and Mitigation Strategy proposed by the FDA, relating to an alleged material safety issue or regulatory compliance issue relating to the Products or Services issued by the Borrower or any Subsidiary, any clinical investigator, and/or other third party (“</w:t>
      </w:r>
      <w:r>
        <w:rPr>
          <w:rFonts w:ascii="Times New Roman" w:hAnsi="Times New Roman"/>
          <w:caps w:val="false"/>
          <w:smallCaps w:val="false"/>
          <w:sz w:val="20"/>
          <w:u w:val="single"/>
        </w:rPr>
        <w:t>Safety Notices</w:t>
      </w:r>
      <w:r>
        <w:rPr>
          <w:rFonts w:ascii="Times New Roman" w:hAnsi="Times New Roman"/>
          <w:caps w:val="false"/>
          <w:smallCaps w:val="false"/>
          <w:sz w:val="20"/>
        </w:rPr>
        <w:t>”), (B) has knowledge of any complaints with respect to the Products, Services or Facilities which, if true, could reasonably be expected to result in a liability in excess of the Threshold Amount, and (C) has knowledge of any facts that would be reasonably likely to result in (1) a material Safety Notice with respect to the Products or Services, or (2) a termination or suspension of developing and testing of any of the Products or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(j)    All Products, Services, Facilities and Material Required Permits in relation thereto in existence as of the Closing Date are listed on </w:t>
      </w:r>
      <w:r>
        <w:rPr>
          <w:rFonts w:ascii="Times New Roman" w:hAnsi="Times New Roman"/>
          <w:caps w:val="false"/>
          <w:smallCaps w:val="false"/>
          <w:sz w:val="20"/>
          <w:u w:val="single"/>
        </w:rPr>
        <w:t>Schedule 1.01</w:t>
      </w:r>
      <w:r>
        <w:rPr>
          <w:rFonts w:ascii="Times New Roman" w:hAnsi="Times New Roman"/>
          <w:caps w:val="false"/>
          <w:smallCaps w:val="false"/>
          <w:sz w:val="20"/>
        </w:rPr>
        <w:t xml:space="preserve"> and the Borrower has delivered to the Lenders on or prior to the Closing Date copies of all Material Required Permits relating to such Products, Services or Facilities issued or outstanding as of the Closing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(k)    Each Product is not adulterated or misbranded in any material respect within the meaning of the FDCA.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(l)    Each Product is not an article prohibited from introduction into interstate commerce under any provisions of the FDCA.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(m)    With respect to each Product and Service, (a) each such Product and Service has been and shall be tested, developed, manufactured, handled, packaged, stored, supplied, imported, owned, warehoused, marketed, commercialized, promoted, sold, labeled, furnished, distributed, marketed and provided in accordance in all material respects with all applicable Permits and Laws, (b) all material reports, notices, or other submissions required to be submitted to Governmental Authority under applicable Law have been timely submitted, and (c) all records required to be maintained under applicable Law have been and are being lawfully maintained in all material respects.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(n)    Without limiting the generality of </w:t>
      </w:r>
      <w:r>
        <w:rPr>
          <w:rFonts w:ascii="Times New Roman" w:hAnsi="Times New Roman"/>
          <w:caps w:val="false"/>
          <w:smallCaps w:val="false"/>
          <w:sz w:val="20"/>
          <w:u w:val="single"/>
        </w:rPr>
        <w:t>Section 6.23(a)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above, with respect to any Product or Service being researched, developed, tested, manufactured, handled, labeled, packaged, stored, supplied, promoted, distributed, marketed, commercialized, imported, exported, sold, or provided by or on behalf of the Borrower and its Subsidiaries, the Borrower and its Subsidiaries, and the applicable third parties, have received, and such Product or Service shall be the subject of, all Material Required Permits necessary in connection with the research, development, testing, manufacture, handling, labeling, packaging, storage, supply, promotion, distribution, marketing, commercialization, import, export, sale, or provision of such Product or Service as such activities are being conducted by or on behalf of the Borrower or such Subsidiary, and, neither the Borrower nor any Subsidiary nor to the Loan Parties’ knowledge, any third party, has received any notice from any applicable Government Authority, specifically including the FDA, that such Government Authority is conducting an investigation or review of (A) the Borrower and its Subsidiaries’ or any applicable third party’s manufacturing, operations, facilities and processes for such Product or Service which have disclosed any material deficiencies or violations of Laws or the Material Required Permits related to the manufacture or processes related to such Product or Service, or (B) that any such Material Required Permit has been revoked or withdrawn, nor has any such Governmental Authority issued any order or recommendation to restrict or enjoin the development, testing or manufacturing of such Product or Service by the Borrower and its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(o)    Without limiting the generality of </w:t>
      </w:r>
      <w:r>
        <w:rPr>
          <w:rFonts w:ascii="Times New Roman" w:hAnsi="Times New Roman"/>
          <w:caps w:val="false"/>
          <w:smallCaps w:val="false"/>
          <w:sz w:val="20"/>
          <w:u w:val="single"/>
        </w:rPr>
        <w:t>Section 6.23(a)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above, with respect to any Product or Service marketed, sold, commercialized or provided by or on behalf of the Borrower or any of its Subsidiaries, the Borrower and its Subsidiaries, and the applicable third parties, shall have received, and such Product or Service shall be the subject of, all Material Required Permits necessary in connection with the marketing, sale, commercialization or provision of such Product or Service as currently being marketed, sold or commercialized by or on behalf of the Borrower and its Subsidiaries, and, neither the Borrower nor any Subsidiary nor to the Loan Parties’ knowledge, any third party, has received any notice from any applicable Governmental Authority, specifically including the FDA, that such Governmental Authority is conducting an investigation or review of any such Material Required Permit or that any such Material Required Permit has been revoked or withdrawn, nor has any such Governmental Authority issued any order or recommendation to restrict or enjoin the marketing, sale, commercialization or provision of such Product or Service or that such Product or Service be withdrawn from the marketplace.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(p)    Each of the Facilities is duly registered or licensed under the applicable Laws of the jurisdiction where the Facility is located. The Facilities and the services provided at such Facilities are qualified for participation in the Government Reimbursement Programs, and each Loan Party and each of their Subsidiaries is entitled to reimbursement under the Government Reimbursement Programs for services rendered at such Facilities to qualified beneficiaries. To the knowledge of any Loan Party, all Persons providing professional health care services for or on behalf of any Loan Party (either as an employee or independent contractor) are appropriately licensed in every jurisdiction in which they hold themselves out as professional health care providers.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(q)    Each Loan Party and each of their respective Subsidiaries has received and maintain accreditation in good standing and without impairment by all applicable Accrediting Organizations, to the extent required by Law (including any equivalent regulation) or the terms of any Operating Lease pertaining to any Facility. No Loan Party nor any of its respective Subsidiaries has received any notice or communication from any Accrediting Organization that a Facility is (i) subject to or is required to file a plan of correction with respect to any accreditation survey, or (ii) in danger of losing its accreditation due to a failure to comply with a plan of correction.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(r)    Any Operating Lease has been approved by all necessary Governmental Authorities. Under applicable Laws in the jurisdiction in which each Facility is located, the reimbursement rate of the applicable Loan Party under any applicable Governmental Reimbursement Program is not affected by the rental rates under the Operating Lease. The rentals provided for under the Operating Lease comply with all applicable Laws and do not exceed the sums permitted to be paid under applicable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(s)    No Loan Party, nor any of its respective Subsidiaries, nor any of their respective officers, nor, to the knowledge of any Loan Party, any of their respective employees, agents or contractors, have engaged in any activity which is not in compliance in all material respects with any applicable Healthcare Laws. To the knowledge of each Loan Party and its respective Subsidiary, there are no pending and there have been no threatened investigations, subpoenas, civil investigative demands, actions, suits or proceedings by any Governmental Authority with respect to any alleged violation by Loan Party or Subsidiary of any Healthcare Laws, except to the extent that any such investigations, subpoenas, civil investigative demands, actions, suits or proceedings could not reasonably be expected, either individually or in the aggregate, to have a material adverse effect on any Product Development and Commercialization Activities and could not reasonably be expected, either individually or in the aggregate, to have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(t)    Each Loan Party and each of their respective Subsidiaries has timely filed or caused to be timely filed all material cost reports required by any Government Reimbursement Program to have been filed or made with respect to the operations of the Loan Parties. No Loan Party nor any of their Subsidiaries (i) has retained a material overpayment received from, or failed to refund any material amount due to any Government Reimbursement Program in violation of any applicable Laws, or (ii) has received, except to the extent the same has been promptly reported to the Lenders, written notice of, or has knowledge of, any material overpayment or refund due to any Third Party Payor.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(u)    No Loan Party nor any of its Subsidiaries nor any of their respective officers, directors, or employees nor, to the knowledge of any Loan Party, any owner, partner, agent, or other Person with a “direct or indirect ownership interest” (as that phrase is defined in 42 C.F.R. § 420.201) in any Loan Party or any Subsidiary of any Loan Party, has (i) been has been excluded, debarred, suspended or been otherwise determined to be, or identified as, ineligible to participate in any healthcare or contracting program of any Governmental Authority, including without limitation, under 42 U.S.C. §§ 1320a-7 or 1320a-7a; (ii) (ii) is the subject of any investigation or review regarding their participation in any such program, (iii) has been convicted of any crime relating to any such program but not yet excluded, debarred, suspended or otherwise declared ineligible, or (iv) engaged in any activities which are prohibited, or are cause for civil penalties, or grounds for mandatory or permissive exclusion, debarment or suspension pursuant to any of these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(v)    Each Loan Party and each of their respective Subsidiaries is in compliance in all material respects with HIPAA to the extent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(w)    [Reserved].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(x)    No Loan Party nor any of their Subsidiaries, nor any officer, director, partner, agent or managing employee of any Loan Party or any Subsidiary of any Loan Party, is a party to or bound by any individual integrity agreement, corporate integrity agreement, corporate compliance agreement, deferred prosecution agreement, or other formal or informal agreement with any Governmental Authority concerning compliance with Healthcare Laws or the requirements of any Material Required Permit.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6.24    </w:t>
      </w:r>
      <w:r>
        <w:rPr>
          <w:rFonts w:ascii="Times New Roman" w:hAnsi="Times New Roman"/>
          <w:caps w:val="false"/>
          <w:smallCaps w:val="false"/>
          <w:sz w:val="20"/>
          <w:u w:val="single"/>
        </w:rPr>
        <w:t>Labor Matters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existing or, to the knowledge of the Loan Parties, threatened strikes, lockouts or other labor disputes involving the Borrower or any Subsidiary that singly or in the aggregate could reasonably be expected to have a Material Adverse Effect. Hours worked by and payment made to employees of the Borrower and its Subsidiaries are not in violation in any material respect of the Fair Labor Standards Act or any other applicable law, rule or regulation dealing with such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6.25    </w:t>
      </w:r>
      <w:r>
        <w:rPr>
          <w:rFonts w:ascii="Times New Roman" w:hAnsi="Times New Roman"/>
          <w:caps w:val="false"/>
          <w:smallCaps w:val="false"/>
          <w:sz w:val="20"/>
          <w:u w:val="single"/>
        </w:rPr>
        <w:t>Affected Financial Institution</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Loan Party or any of their Subsidiaries is an Affected Financial Institution.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6.26    </w:t>
      </w:r>
      <w:r>
        <w:rPr>
          <w:rFonts w:ascii="Times New Roman" w:hAnsi="Times New Roman"/>
          <w:caps w:val="false"/>
          <w:smallCaps w:val="false"/>
          <w:sz w:val="20"/>
          <w:u w:val="single"/>
        </w:rPr>
        <w:t>Ranking of Loans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Indebtedness represented by the Loans and the other Obligations under the applicable Loan Documents of each Loan Party is intended to constitute senior secured Indebtedness, and accordingly is, and shall be, at all times while the Loans and the other Obligations remain outstanding or the Lenders have any outstanding Commitments hereunder, </w:t>
      </w:r>
      <w:r>
        <w:rPr>
          <w:rFonts w:ascii="Times New Roman" w:hAnsi="Times New Roman"/>
          <w:i/>
          <w:caps w:val="false"/>
          <w:smallCaps w:val="false"/>
          <w:sz w:val="20"/>
        </w:rPr>
        <w:t xml:space="preserve">pari passu </w:t>
      </w:r>
      <w:r>
        <w:rPr>
          <w:rFonts w:ascii="Times New Roman" w:hAnsi="Times New Roman"/>
          <w:caps w:val="false"/>
          <w:smallCaps w:val="false"/>
          <w:sz w:val="20"/>
        </w:rPr>
        <w:t>or senior in right of payment with all Indebtedness (if any) of such Loan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6.27    </w:t>
      </w:r>
      <w:r>
        <w:rPr>
          <w:rFonts w:ascii="Times New Roman" w:hAnsi="Times New Roman"/>
          <w:caps w:val="false"/>
          <w:smallCaps w:val="false"/>
          <w:sz w:val="20"/>
          <w:u w:val="single"/>
        </w:rPr>
        <w:t xml:space="preserve">Consummation of the Royalty </w:t>
      </w:r>
      <w:r>
        <w:rPr>
          <w:rFonts w:ascii="Times New Roman" w:hAnsi="Times New Roman"/>
          <w:caps w:val="false"/>
          <w:smallCaps w:val="false"/>
          <w:strike/>
          <w:color w:val="FF0000"/>
          <w:sz w:val="20"/>
          <w:u w:val="single"/>
        </w:rPr>
        <w:t>Financing</w:t>
      </w:r>
      <w:r>
        <w:rPr>
          <w:rFonts w:ascii="Times New Roman" w:hAnsi="Times New Roman"/>
          <w:b/>
          <w:caps w:val="false"/>
          <w:smallCaps w:val="false"/>
          <w:color w:val="0000FF"/>
          <w:sz w:val="20"/>
          <w:u w:val="single"/>
          <w:bdr w:val="double" w:sz="2" w:space="1" w:color="000000"/>
        </w:rPr>
        <w:t>Financings</w:t>
      </w:r>
      <w:r>
        <w:rPr>
          <w:rFonts w:ascii="Times New Roman" w:hAnsi="Times New Roman"/>
          <w:caps w:val="false"/>
          <w:smallCaps w:val="false"/>
          <w:strike/>
          <w:color w:val="FF0000"/>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color w:val="0000FF"/>
          <w:sz w:val="20"/>
          <w:u w:val="single"/>
          <w:bdr w:val="double" w:sz="2" w:space="1" w:color="000000"/>
        </w:rPr>
        <w:t>.</w:t>
      </w:r>
      <w:r>
        <w:rPr>
          <w:rFonts w:ascii="Times New Roman" w:hAnsi="Times New Roman"/>
          <w:caps w:val="false"/>
          <w:smallCaps w:val="false"/>
          <w:sz w:val="20"/>
        </w:rPr>
        <w:t xml:space="preserve">The transactions contemplated by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have been or concurrently with the Term A Borrowing will be consummated in all material respects pursuant to the provisions of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true and complete copies of which have been delivered to Administrative Agent, and in all material respects in compliance with all applicable Law. </w:t>
      </w:r>
      <w:r>
        <w:rPr>
          <w:rFonts w:ascii="Times New Roman" w:hAnsi="Times New Roman"/>
          <w:b/>
          <w:caps w:val="false"/>
          <w:smallCaps w:val="false"/>
          <w:color w:val="0000FF"/>
          <w:sz w:val="20"/>
          <w:u w:val="single"/>
          <w:bdr w:val="double" w:sz="2" w:space="1" w:color="000000"/>
        </w:rPr>
        <w:t>The transactions contemplated by the 2021 RP Royalty Financing Documents and the Omers Royalty Financing Documents have been or concurrently with the effectiveness of Amendment No. 1 will be consummated in all material respects pursuant to the provisions of the 2021 RP Royalty Financing Documents and the Omers Royalty Financing Documents, respectively, true and complete copies of which have been delivered to Administrative Agent, and in all material respects in compliance with all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6.28    </w:t>
      </w:r>
      <w:r>
        <w:rPr>
          <w:rFonts w:ascii="Times New Roman" w:hAnsi="Times New Roman"/>
          <w:caps w:val="false"/>
          <w:smallCaps w:val="false"/>
          <w:sz w:val="20"/>
          <w:u w:val="single"/>
        </w:rPr>
        <w:t>Regulation H</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real property subject to a Mortgage is a Flood Hazard Property unless the Administrative Agent shall have received the following: (a) the applicable Loan Party’s written acknowledgment of receipt of written notification from the Administrative Agent (i) as to the fact that such Mortgaged Property is a Flood Hazard Property and (ii) as to whether the community in which each such Flood Hazard Property is located is participating in the National Flood Insurance Program, (b) copies of insurance policies or certificates of insurance of the applicable Loan Party evidencing flood insurance reasonably satisfactory to the Administrative Agent and naming the Administrative Agent as loss payee on behalf of the Lenders and (c) such other flood hazard determination forms, notices and confirmations thereof as requested by the Administrative Agent. All flood hazard insurance policies required hereunder have been obtained and remain in full force and effect, and the premiums thereon have been paid in full.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6.29    </w:t>
      </w:r>
      <w:r>
        <w:rPr>
          <w:rFonts w:ascii="Times New Roman" w:hAnsi="Times New Roman"/>
          <w:caps w:val="false"/>
          <w:smallCaps w:val="false"/>
          <w:sz w:val="20"/>
          <w:u w:val="single"/>
        </w:rPr>
        <w:t>Data Privacy</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its collection, storage, transfer (including without limitation, any transfer across national borders) and/or use of any personally identifiable information from any individuals, including, any customers, prospective customers, employees and/or other third parties, each Loan Party is and has been in compliance with all applicable laws in all relevant jurisdictions, the Loan Parties’ privacy policies, and the requirements of any contract or codes of conduct to which the each Loan Party is a party, except as could not reasonably be expected to result in liability, individually or in the aggregate, in excess of the Threshold Amount. Each Loan Party is and has been in compliance with all laws relating to data loss, theft and breach of security notification obligations, except as could not reasonably be expected to result in liability, individually or in the aggregate, in excess of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6.30    </w:t>
      </w:r>
      <w:r>
        <w:rPr>
          <w:rFonts w:ascii="Times New Roman" w:hAnsi="Times New Roman"/>
          <w:caps w:val="false"/>
          <w:smallCaps w:val="false"/>
          <w:sz w:val="20"/>
          <w:u w:val="single"/>
        </w:rPr>
        <w:t>Centre of Main Interests and Establishments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purposes of Regulation (EU) 2015/848 of 20 May 2015 on insolvency proceedings (recast) (the “</w:t>
      </w:r>
      <w:r>
        <w:rPr>
          <w:rFonts w:ascii="Times New Roman" w:hAnsi="Times New Roman"/>
          <w:caps w:val="false"/>
          <w:smallCaps w:val="false"/>
          <w:sz w:val="20"/>
          <w:u w:val="single"/>
        </w:rPr>
        <w:t>Regulation</w:t>
      </w:r>
      <w:r>
        <w:rPr>
          <w:rFonts w:ascii="Times New Roman" w:hAnsi="Times New Roman"/>
          <w:caps w:val="false"/>
          <w:smallCaps w:val="false"/>
          <w:sz w:val="20"/>
        </w:rPr>
        <w:t>”), BioCryst Ireland Limited’s centre of main interest (as that term is used in Article 3(1) of the Regulation) is situated in its jurisdiction of incorporation and it has no “establishment” (as that term is used in Article 2(10) of the Regulations) in any other jurisdiction.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6.31    </w:t>
      </w:r>
      <w:r>
        <w:rPr>
          <w:rFonts w:ascii="Times New Roman" w:hAnsi="Times New Roman"/>
          <w:caps w:val="false"/>
          <w:smallCaps w:val="false"/>
          <w:sz w:val="20"/>
          <w:u w:val="single"/>
        </w:rPr>
        <w:t>JPR Royalty Sub</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(i) JPR Royalty Sub does not have any Indebtedness (other than the Indebtedness under the JPR Indenture), (ii) none of the property, assets and revenues of JPR Royalty Sub is subject to a Lien (other than Liens of the Trustee (as defined in the JPR Indenture as in effect on the date hereof) on the Collateral (as defined in the JPR Indenture as in effect on the date hereof) pursuant to the JPR Indenture) and (iii) none of the Borrower and its Subsidiaries Guarantees or is otherwise liable for any of the Indebtedness or other obligations of JPR Royalty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(i) None of the Indebtedness and other liabilities of JPR Royalty Sub under the JPR Indenture and other Deal Documents (as defined in the JPR Indenture) are recourse to the Borrower and its Subsidiaries (other than the pledge by the Borrower of its membership interests in JPR Royalty Sub pursuant to the “Pledge and Security Agreement” (as defined in the JPR Indenture as in effect on the date hereof), it being understood that the only recourse to the Borrower is (x) such membership interests and no other assets of the Borrower or any of its Subsidiaries and (y) pursuant to the expense reimbursement obligations set forth in Section 12.1 of such “Pledge and Security Agreement” and the indemnification obligations set forth in Section 19.1 of such “Pledge and Security Agreement”) and (ii) as of the Closing Date, none of the holders of such Indebtedness and any trustee or agent acting on behalf of such holders has taken any action to accelerate such Indebtedness or otherwise enforce its rights or exercise its remedies under any of the JPR Indenture and other Deal Documents.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6.32    </w:t>
      </w:r>
      <w:r>
        <w:rPr>
          <w:rFonts w:ascii="Times New Roman" w:hAnsi="Times New Roman"/>
          <w:caps w:val="false"/>
          <w:smallCaps w:val="false"/>
          <w:sz w:val="20"/>
          <w:u w:val="single"/>
        </w:rPr>
        <w:t xml:space="preserve">Royalty and Other Payments.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As of the </w:t>
      </w:r>
      <w:r>
        <w:rPr>
          <w:rFonts w:ascii="Times New Roman" w:hAnsi="Times New Roman"/>
          <w:caps w:val="false"/>
          <w:smallCaps w:val="false"/>
          <w:strike/>
          <w:color w:val="FF0000"/>
          <w:sz w:val="20"/>
        </w:rPr>
        <w:t>Closing</w:t>
      </w:r>
      <w:r>
        <w:rPr>
          <w:rFonts w:ascii="Times New Roman" w:hAnsi="Times New Roman"/>
          <w:b/>
          <w:caps w:val="false"/>
          <w:smallCaps w:val="false"/>
          <w:color w:val="0000FF"/>
          <w:sz w:val="20"/>
          <w:u w:val="single"/>
          <w:bdr w:val="double" w:sz="2" w:space="1" w:color="000000"/>
        </w:rPr>
        <w:t>Amendment No. 1 Effective</w:t>
      </w:r>
      <w:r>
        <w:rPr>
          <w:rFonts w:ascii="Times New Roman" w:hAnsi="Times New Roman"/>
          <w:caps w:val="false"/>
          <w:smallCaps w:val="false"/>
          <w:sz w:val="20"/>
        </w:rPr>
        <w:t xml:space="preserve"> Date, except as set forth on </w:t>
      </w:r>
      <w:r>
        <w:rPr>
          <w:rFonts w:ascii="Times New Roman" w:hAnsi="Times New Roman"/>
          <w:caps w:val="false"/>
          <w:smallCaps w:val="false"/>
          <w:sz w:val="20"/>
          <w:u w:val="single"/>
        </w:rPr>
        <w:t>Schedule 6.32</w:t>
      </w:r>
      <w:r>
        <w:rPr>
          <w:rFonts w:ascii="Times New Roman" w:hAnsi="Times New Roman"/>
          <w:caps w:val="false"/>
          <w:smallCaps w:val="false"/>
          <w:sz w:val="20"/>
        </w:rPr>
        <w:t xml:space="preserve">, neither the Borrower, nor any of its Subsidiaries, is obligated to pay any royalty, milestone payment, deferred payment or any other contingent payment in respect of any Key Product (except pursuant to the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Financings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6.33    </w:t>
      </w:r>
      <w:r>
        <w:rPr>
          <w:rFonts w:ascii="Times New Roman" w:hAnsi="Times New Roman"/>
          <w:caps w:val="false"/>
          <w:smallCaps w:val="false"/>
          <w:sz w:val="20"/>
          <w:u w:val="single"/>
        </w:rPr>
        <w:t xml:space="preserve">Non-Competes.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Closing Date, neither the Borrower, nor any of its Subsidiaries, nor, to the Borrower’s knowledge, any of their respective directors, officers or employees, is subject to a non-compete agreement that will, or could reasonably be expected to, materially interfere with any of the Product Commercialization and Development Activities, including the development, commercialization or marketing of any Key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w:t>
        <w:br/>
        <w:br/>
        <w:t>AFFIRMATIVE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 long as any Lender shall have any Commitments hereunder, or any Loan or other Obligation hereunder shall remain unpaid or unsatisfied (other than contingent indemnification obligations for which no claim has been asserted), each Loan Party shall and shall cause each Subsidiary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7.01    </w:t>
      </w:r>
      <w:r>
        <w:rPr>
          <w:rFonts w:ascii="Times New Roman" w:hAnsi="Times New Roman"/>
          <w:caps w:val="false"/>
          <w:smallCaps w:val="false"/>
          <w:sz w:val="20"/>
          <w:u w:val="single"/>
        </w:rPr>
        <w:t>Financial Statements; Lender Calls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Deliver to the Administrative Agent and each Lender, as soon as available, and in any event within one hundred twenty (120) days after the end of each fiscal year of the Borrower (or, if earlier, when required to be filed with a Governmental Authority),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an unqualified report and opinion of an independent certified public accountant of nationally recognized standing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(except as may be required as a result of (I) any breach or anticipated breach of any of the financial covenants in </w:t>
      </w:r>
      <w:r>
        <w:rPr>
          <w:rFonts w:ascii="Times New Roman" w:hAnsi="Times New Roman"/>
          <w:caps w:val="false"/>
          <w:smallCaps w:val="false"/>
          <w:sz w:val="20"/>
          <w:u w:val="single"/>
        </w:rPr>
        <w:t>Section 8.16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or (II) the impending maturity of the Loans or the impending expiration of the Commitments solely in the case of the audit delivered with respect to the fiscal year immediately prior to the fiscal year during which such maturity or expiration is scheduled hereunder to occur);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Deliver to the Administrative Agent and each Lender, as soon as available, and in any event within forty-five (45) days after the end of each fiscal quarter of each fiscal year of the Borrower, including the final fiscal quarter of each fiscal year (or, if earlier, when required to be filed with a Governmental Authority),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certified by a Responsible Financial Officer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Upon the request of the Administrative Agent, Borrower shall conduct quarterly conference calls that the Lenders may attend to discuss the financial condition and results of operations of Borrower and its subsidiaries for the most recently ended measurement period for which financial statements have been delivered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and</w:t>
      </w:r>
      <w:r>
        <w:rPr>
          <w:rFonts w:ascii="Times New Roman" w:hAnsi="Times New Roman"/>
          <w:caps w:val="false"/>
          <w:smallCaps w:val="false"/>
          <w:sz w:val="20"/>
          <w:u w:val="single"/>
        </w:rPr>
        <w:t xml:space="preserve"> Section 7.01(b)</w:t>
      </w:r>
      <w:r>
        <w:rPr>
          <w:rFonts w:ascii="Times New Roman" w:hAnsi="Times New Roman"/>
          <w:caps w:val="false"/>
          <w:smallCaps w:val="false"/>
          <w:sz w:val="20"/>
        </w:rPr>
        <w:t>, at a date and time to be determined by Administrative Agent, in consultation with the Borrower, and with reasonable advance notice to the Borrower and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7.02    </w:t>
      </w:r>
      <w:r>
        <w:rPr>
          <w:rFonts w:ascii="Times New Roman" w:hAnsi="Times New Roman"/>
          <w:caps w:val="false"/>
          <w:smallCaps w:val="false"/>
          <w:sz w:val="20"/>
          <w:u w:val="single"/>
        </w:rPr>
        <w:t>Certificates; Other Information</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Deliver to the Administrative Agent and each Lender, in form and detail satisfactory to the Administrative Agent and the Required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concurrently with the delivery of the financial statements referred to in </w:t>
      </w:r>
      <w:r>
        <w:rPr>
          <w:rFonts w:ascii="Times New Roman" w:hAnsi="Times New Roman"/>
          <w:caps w:val="false"/>
          <w:smallCaps w:val="false"/>
          <w:sz w:val="20"/>
          <w:u w:val="single"/>
        </w:rPr>
        <w:t>Sections 7.01(a)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(i) a duly completed Compliance Certificate signed by a Responsible Financial Officer of the Borrower, certifying compliance with the covenant set forth in </w:t>
      </w:r>
      <w:r>
        <w:rPr>
          <w:rFonts w:ascii="Times New Roman" w:hAnsi="Times New Roman"/>
          <w:caps w:val="false"/>
          <w:smallCaps w:val="false"/>
          <w:sz w:val="20"/>
          <w:u w:val="single"/>
        </w:rPr>
        <w:t>Section 8.16</w:t>
      </w:r>
      <w:r>
        <w:rPr>
          <w:rFonts w:ascii="Times New Roman" w:hAnsi="Times New Roman"/>
          <w:caps w:val="false"/>
          <w:smallCaps w:val="false"/>
          <w:sz w:val="20"/>
        </w:rPr>
        <w:t xml:space="preserve"> and, if the Term C Borrowing Date shall have occurred and for so long as the Borrower has not exercised the Cure Right in accordance with </w:t>
      </w:r>
      <w:r>
        <w:rPr>
          <w:rFonts w:ascii="Times New Roman" w:hAnsi="Times New Roman"/>
          <w:caps w:val="false"/>
          <w:smallCaps w:val="false"/>
          <w:sz w:val="20"/>
          <w:u w:val="single"/>
        </w:rPr>
        <w:t>Section 9.04</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and (ii) a written summary, such as the summary included within the financial statements delivered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describing how any changes in GAAP during such period directly and materially impacted such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as soon as practicable, and in any event not later than sixty (60) days after the commencement of each fiscal year of the Borrower, an annual business plan and budget of the Borrower and its Subsidiaries for the then current fiscal year containing, among other things, projections for each quarter of such fiscal year, in form and substance reasonably satisfactory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promptly after the same are available, copies of each annual report, proxy or financial statement or other report or communication sent to the equity holders of any Loan Party, and copies of any annual, regular, periodic and special reports and registration statements which a Loan Party may file or be required to file with the SEC under Section 13 or 15(d) of the Securities Exchange Act of 1934, and not otherwise required to be delivered to the Administrative Agent pursuant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concurrently with the delivery of the financial statements referred to in </w:t>
      </w:r>
      <w:r>
        <w:rPr>
          <w:rFonts w:ascii="Times New Roman" w:hAnsi="Times New Roman"/>
          <w:caps w:val="false"/>
          <w:smallCaps w:val="false"/>
          <w:sz w:val="20"/>
          <w:u w:val="single"/>
        </w:rPr>
        <w:t>Sections 7.01(a)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solely to the extent written notice to the Administrative Agent of such event was not previously provided, including in connection with any mandatory prepayment of the Loans pursuant to </w:t>
      </w:r>
      <w:r>
        <w:rPr>
          <w:rFonts w:ascii="Times New Roman" w:hAnsi="Times New Roman"/>
          <w:caps w:val="false"/>
          <w:smallCaps w:val="false"/>
          <w:sz w:val="20"/>
          <w:u w:val="single"/>
        </w:rPr>
        <w:t>Section 2.03(b)</w:t>
      </w:r>
      <w:r>
        <w:rPr>
          <w:rFonts w:ascii="Times New Roman" w:hAnsi="Times New Roman"/>
          <w:caps w:val="false"/>
          <w:smallCaps w:val="false"/>
          <w:sz w:val="20"/>
        </w:rPr>
        <w:t>, a certificate of a Responsible Financial Officer of the Borrower containing information regarding (w) the acquisition or establishment of any Deposit Account by any Loan Party or any Government Account Debtor Account by any Loan Party, (x) all Dispositions, Involuntary Dispositions, Acquisitions and Extraordinary Receipts that occurred during the period covered by such financial statements in an amount greater than $[***], (y) the amount of all Debt Issuances that occurred during the period covered by such financial statements and (z) any Material Contracts entered into (together with copies of such Material Contracts) during the period covered by such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promptly after any request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promptly after the furnishing thereof, copies of any notice of default or any material statement or report furnished to any holder of debt securities of any Loan Party or any Subsidiary pursuant to the terms of any indenture, loan or credit or similar agreement and not otherwise required to be furnished to the Lenders pursuant to </w:t>
      </w:r>
      <w:r>
        <w:rPr>
          <w:rFonts w:ascii="Times New Roman" w:hAnsi="Times New Roman"/>
          <w:caps w:val="false"/>
          <w:smallCaps w:val="false"/>
          <w:sz w:val="20"/>
          <w:u w:val="single"/>
        </w:rPr>
        <w:t>Section 7.01</w:t>
      </w:r>
      <w:r>
        <w:rPr>
          <w:rFonts w:ascii="Times New Roman" w:hAnsi="Times New Roman"/>
          <w:caps w:val="false"/>
          <w:smallCaps w:val="false"/>
          <w:sz w:val="20"/>
        </w:rPr>
        <w:t xml:space="preserve"> or any other clause of this </w:t>
      </w:r>
      <w:r>
        <w:rPr>
          <w:rFonts w:ascii="Times New Roman" w:hAnsi="Times New Roman"/>
          <w:caps w:val="false"/>
          <w:smallCaps w:val="false"/>
          <w:sz w:val="20"/>
          <w:u w:val="single"/>
        </w:rPr>
        <w:t>Section 7.02</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promptly, and in any event within five (5) Business Days after receipt thereof by any Loan Party or any Subsidiary thereof, (i)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 and (ii) copies of any material written correspondence or any other material written communication from the FDA, CMS or any other similar regulatory body;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within [***] following the occurrence of any facts, events or circumstances known to any Loan Party or any Subsidiary, whether threatened, existing or pending, that would make any of the representations and warranties contained in </w:t>
      </w:r>
      <w:r>
        <w:rPr>
          <w:rFonts w:ascii="Times New Roman" w:hAnsi="Times New Roman"/>
          <w:caps w:val="false"/>
          <w:smallCaps w:val="false"/>
          <w:sz w:val="20"/>
          <w:u w:val="single"/>
        </w:rPr>
        <w:t>Section 6.23</w:t>
      </w:r>
      <w:r>
        <w:rPr>
          <w:rFonts w:ascii="Times New Roman" w:hAnsi="Times New Roman"/>
          <w:caps w:val="false"/>
          <w:smallCaps w:val="false"/>
          <w:sz w:val="20"/>
        </w:rPr>
        <w:t xml:space="preserve"> untrue, incomplete or incorrect in any material respect (together with such supporting data and information as shall be necessary to fully explain to the Lenders the scope and nature of the fact, event or circumstance), and shall provide to the Lenders within five (5) Business Days of any Lender’s request, such additional information as any Lender shall reasonably request regarding such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promptly, such additional information regarding the business, financial or corporate affairs of any Loan Party or any Subsidiary, or compliance with the terms of the Loan Documents, as the Administrative Agent or any Lender may from time to time reasonably request;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(j)    concurrently with the delivery of the financial statements referred to in </w:t>
      </w:r>
      <w:r>
        <w:rPr>
          <w:rFonts w:ascii="Times New Roman" w:hAnsi="Times New Roman"/>
          <w:caps w:val="false"/>
          <w:smallCaps w:val="false"/>
          <w:sz w:val="20"/>
          <w:u w:val="single"/>
        </w:rPr>
        <w:t>Sections 7.01(a)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a certificate of a Responsible Officer of the Borrower (i) listing (A) all applications by any Loan Party, if any, for Copyrights, Patents or Trademarks made since the date of the prior certificate (or, in the case of the first such certificate, the Closing Date), (B) all issuances of registrations or letters on existing applications by any Loan Party for Copyrights, Patents and Trademarks received since the date of the prior certificate (or, in the case of the first such certificate, the Closing Date), (C) all Trademark Licenses, Copyright Licenses and Patent Licenses entered into by any Loan Party since the date of the prior certificate (or, in the case of the first such certificate, the Closing Date), (D) such supplements to </w:t>
      </w:r>
      <w:r>
        <w:rPr>
          <w:rFonts w:ascii="Times New Roman" w:hAnsi="Times New Roman"/>
          <w:caps w:val="false"/>
          <w:smallCaps w:val="false"/>
          <w:sz w:val="20"/>
          <w:u w:val="single"/>
        </w:rPr>
        <w:t>Schedule 6.17</w:t>
      </w:r>
      <w:r>
        <w:rPr>
          <w:rFonts w:ascii="Times New Roman" w:hAnsi="Times New Roman"/>
          <w:caps w:val="false"/>
          <w:smallCaps w:val="false"/>
          <w:sz w:val="20"/>
        </w:rPr>
        <w:t xml:space="preserve"> as are necessary to cause such schedule to be true and complete as of the date of such certificate and (ii) with respect to any insurance coverage of any Loan Party or any Subsidiary that was renewed, replaced or modified during the period covered by such financial statements, such updated information with respect to such insurance coverage as is required to be included on </w:t>
      </w:r>
      <w:r>
        <w:rPr>
          <w:rFonts w:ascii="Times New Roman" w:hAnsi="Times New Roman"/>
          <w:caps w:val="false"/>
          <w:smallCaps w:val="false"/>
          <w:sz w:val="20"/>
          <w:u w:val="single"/>
        </w:rPr>
        <w:t>Schedule 6.10;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(k)    (i) concurrently with the delivery of the financial statements referred to in </w:t>
      </w:r>
      <w:r>
        <w:rPr>
          <w:rFonts w:ascii="Times New Roman" w:hAnsi="Times New Roman"/>
          <w:caps w:val="false"/>
          <w:smallCaps w:val="false"/>
          <w:sz w:val="20"/>
          <w:u w:val="single"/>
        </w:rPr>
        <w:t>Sections 7.01(a)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the Borrower shall give written notice to the Lenders of the manufacturing, sale, development, testing or marketing of any new Product for which an investigational new drug application or similar application has been filed with the FDA or other Government Authority, as applicable. or new Service, or the opening of any new Facility, in each case by the Borrower or any Subsidiary during such period to which such financial statements relate (which notice shall include a brief description of such Product, Service or Facility) along with a copy of an updated </w:t>
      </w:r>
      <w:r>
        <w:rPr>
          <w:rFonts w:ascii="Times New Roman" w:hAnsi="Times New Roman"/>
          <w:caps w:val="false"/>
          <w:smallCaps w:val="false"/>
          <w:sz w:val="20"/>
          <w:u w:val="single"/>
        </w:rPr>
        <w:t>Schedule 1.01</w:t>
      </w:r>
      <w:r>
        <w:rPr>
          <w:rFonts w:ascii="Times New Roman" w:hAnsi="Times New Roman"/>
          <w:caps w:val="false"/>
          <w:smallCaps w:val="false"/>
          <w:sz w:val="20"/>
        </w:rPr>
        <w:t xml:space="preserve"> and, (ii) at the request of the Administrative Agent, the Borrower shall provide to the Administrative Agent and the Lenders copies of all Material Required Permits relating to such new Product, Service or Facility and/or the Borrower’s or the applicable Subsidiary’s manufacture, sale, development, testing or marketing thereof (if applicable) issued or outstanding as of such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(l)    concurrently with the delivery thereof to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any</w:t>
      </w:r>
      <w:r>
        <w:rPr>
          <w:rFonts w:ascii="Times New Roman" w:hAnsi="Times New Roman"/>
          <w:caps w:val="false"/>
          <w:smallCaps w:val="false"/>
          <w:sz w:val="20"/>
        </w:rPr>
        <w:t xml:space="preserve"> Buyer pursuant to the Royalty Financing Documents or any buyer or purchaser pursuant to the Other Royalty Financing Documents, as applicable, and solely to the extent such information is not otherwise required to be furnished to the Administrative Agent or Lenders pursuant to </w:t>
      </w:r>
      <w:r>
        <w:rPr>
          <w:rFonts w:ascii="Times New Roman" w:hAnsi="Times New Roman"/>
          <w:caps w:val="false"/>
          <w:smallCaps w:val="false"/>
          <w:sz w:val="20"/>
          <w:u w:val="single"/>
        </w:rPr>
        <w:t>Section 7.01</w:t>
      </w:r>
      <w:r>
        <w:rPr>
          <w:rFonts w:ascii="Times New Roman" w:hAnsi="Times New Roman"/>
          <w:caps w:val="false"/>
          <w:smallCaps w:val="false"/>
          <w:sz w:val="20"/>
        </w:rPr>
        <w:t xml:space="preserve"> or any other clause of this </w:t>
      </w:r>
      <w:r>
        <w:rPr>
          <w:rFonts w:ascii="Times New Roman" w:hAnsi="Times New Roman"/>
          <w:caps w:val="false"/>
          <w:smallCaps w:val="false"/>
          <w:sz w:val="20"/>
          <w:u w:val="single"/>
        </w:rPr>
        <w:t>Section 7.02</w:t>
      </w:r>
      <w:r>
        <w:rPr>
          <w:rFonts w:ascii="Times New Roman" w:hAnsi="Times New Roman"/>
          <w:caps w:val="false"/>
          <w:smallCaps w:val="false"/>
          <w:sz w:val="20"/>
        </w:rPr>
        <w:t xml:space="preserve">, a copy of (i) any report, notice or other information delivered to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any</w:t>
      </w:r>
      <w:r>
        <w:rPr>
          <w:rFonts w:ascii="Times New Roman" w:hAnsi="Times New Roman"/>
          <w:caps w:val="false"/>
          <w:smallCaps w:val="false"/>
          <w:sz w:val="20"/>
        </w:rPr>
        <w:t xml:space="preserve"> Buyer pursuant to Section 6.1 or 6.2(b) of </w:t>
      </w:r>
      <w:r>
        <w:rPr>
          <w:rFonts w:ascii="Times New Roman" w:hAnsi="Times New Roman"/>
          <w:caps w:val="false"/>
          <w:smallCaps w:val="false"/>
          <w:strike/>
          <w:color w:val="FF0000"/>
          <w:sz w:val="20"/>
        </w:rPr>
        <w:t>the</w:t>
      </w:r>
      <w:r>
        <w:rPr>
          <w:rFonts w:ascii="Times New Roman" w:hAnsi="Times New Roman"/>
          <w:b/>
          <w:caps w:val="false"/>
          <w:smallCaps w:val="false"/>
          <w:color w:val="0000FF"/>
          <w:sz w:val="20"/>
          <w:u w:val="single"/>
          <w:bdr w:val="double" w:sz="2" w:space="1" w:color="000000"/>
        </w:rPr>
        <w:t>each</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and (ii) any other report, notice or other information delivered pursuant to any Royalty Financing Document or Other Royalty Financing Document, as applicable;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(m)    promptly, and in any event within [***] after (i) receipt or delivery thereof by any Loan Party or any Subsidiary, copy of any notice of default or termination delivered under the Royalty Financing Documents or Other Royalty Financing Documents and (ii) any Loan Party becomes aware thereof, notice of the occurrence of any default under the Royalty Financing Documents or Other Royalty Financing Documents.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Documents required to be delivered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7.02</w:t>
      </w:r>
      <w:r>
        <w:rPr>
          <w:rFonts w:ascii="Times New Roman" w:hAnsi="Times New Roman"/>
          <w:caps w:val="false"/>
          <w:smallCaps w:val="false"/>
          <w:sz w:val="20"/>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hAnsi="Times New Roman"/>
          <w:caps w:val="false"/>
          <w:smallCaps w:val="false"/>
          <w:sz w:val="20"/>
          <w:u w:val="single"/>
        </w:rPr>
        <w:t>Schedule 12.02</w:t>
      </w:r>
      <w:r>
        <w:rPr>
          <w:rFonts w:ascii="Times New Roman" w:hAnsi="Times New Roman"/>
          <w:caps w:val="false"/>
          <w:smallCaps w:val="false"/>
          <w:sz w:val="20"/>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including if filed with the SEC through EDGAR);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(x) the Borrower shall deliver paper copies of such documents to the Administrative Agent or any Lender upon its request to the Borrower, and shall continue to deliver such paper copies until a written request to cease delivering paper copies is given by the Administrative Agent or such Lender and (y) other than with respect the financial statements required to be delivered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the Borrower shall notify the Administrative Agent and each Lender (by facsimile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for delivery by a Lender, and each Lender shall be solely responsible for requesting delivery to it or maintaining its copies of such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Borrower hereby acknowledges that certain of the Lenders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if requested by the Administrative Agent it will, following the receipt of such request, (x) in good faith, identify that portion of the materials and/or information provided by, or to be provided by, or on behalf of the Borrower hereunder that does not constitute material non-public information with respect to the Borrower or its Affiliates or their respective securities (the “</w:t>
      </w:r>
      <w:r>
        <w:rPr>
          <w:rFonts w:ascii="Times New Roman" w:hAnsi="Times New Roman"/>
          <w:caps w:val="false"/>
          <w:smallCaps w:val="false"/>
          <w:sz w:val="20"/>
          <w:u w:val="single"/>
        </w:rPr>
        <w:t>Public Borrower Materials</w:t>
      </w:r>
      <w:r>
        <w:rPr>
          <w:rFonts w:ascii="Times New Roman" w:hAnsi="Times New Roman"/>
          <w:caps w:val="false"/>
          <w:smallCaps w:val="false"/>
          <w:sz w:val="20"/>
        </w:rPr>
        <w:t>”) and (y) clearly and conspicuously mark all Public Borrower Materials “PUBLIC” which, at a minimum, shall mean that the word “PUBLIC” shall appear prominently on the first page thereof (it being understood that by marking Public Borrower Materials “PUBLIC,” the Borrower shall be deemed to have authorized the Administrative Agent, any Affiliate thereof and the Lenders to treat such Public Borrower Materials as not containing any material non-public information (although it may be sensitive and proprietary) with respect to the Borrower or its securities for purposes of United States federal and state securities laws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to the extent such Public Borrower Materials constitute Information, they shall be treated as set forth in </w:t>
      </w:r>
      <w:r>
        <w:rPr>
          <w:rFonts w:ascii="Times New Roman" w:hAnsi="Times New Roman"/>
          <w:caps w:val="false"/>
          <w:smallCaps w:val="false"/>
          <w:sz w:val="20"/>
          <w:u w:val="single"/>
        </w:rPr>
        <w:t>Section 12.07</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7.03    </w:t>
      </w:r>
      <w:r>
        <w:rPr>
          <w:rFonts w:ascii="Times New Roman" w:hAnsi="Times New Roman"/>
          <w:caps w:val="false"/>
          <w:smallCaps w:val="false"/>
          <w:sz w:val="20"/>
          <w:u w:val="single"/>
        </w:rPr>
        <w:t>Notices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Promptly (and in any event, within [***]) notify the Administrative Agent and each Lender of the occurrence of any Default.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Promptly (and in any event, within [***]) notify the Administrative Agent and each Lender of any matter that has resulted or could reasonably be expected to result in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Promptly (and in any event, within [***]) notify the Administrative Agent and each Lender of the occurrence of any ERISA Event.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As soon as reasonably practicable, but in any event no later than the day on which the delivery of the financial statements referred to in </w:t>
      </w:r>
      <w:r>
        <w:rPr>
          <w:rFonts w:ascii="Times New Roman" w:hAnsi="Times New Roman"/>
          <w:caps w:val="false"/>
          <w:smallCaps w:val="false"/>
          <w:sz w:val="20"/>
          <w:u w:val="single"/>
        </w:rPr>
        <w:t>Sections 7.01(a)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are delivered or required to be delivered, notify the Administrative Agent and each Lender of any material change in accounting policies or financial reporting practices by the Borrower or any Subsidiary.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Promptly (and in any event, within [***]) notify the Administrative Agent and each Lender of any litigation, arbitration or governmental investigation or proceeding not previously disclosed by a Loan Party which has been instituted or, to the knowledge of the Loan Parties, is threatened against the Borrower or any Subsidiary or to which any of the properties of any thereof is subject which could reasonably be expected to result in losses and/or expenses in excess of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(i) Promptly (and in any event, within [***] following receipt by, or delivery by, a Loan Party, Subsidiary or JPR Royalty Sub, as the case may be), copies of (A) any notice alleging any breach of any Material Contract, in each case, by any party thereto and (B) any termination of (or notice of such termination with respect to) any Material Contract and (ii) concurrently with the delivery of the next financial statements referred to in </w:t>
      </w:r>
      <w:r>
        <w:rPr>
          <w:rFonts w:ascii="Times New Roman" w:hAnsi="Times New Roman"/>
          <w:caps w:val="false"/>
          <w:smallCaps w:val="false"/>
          <w:sz w:val="20"/>
          <w:u w:val="single"/>
        </w:rPr>
        <w:t>Sections 7.01(a)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which are delivered following receipt by, or delivery by, a Loan Party, as the case may be, copies of (A) any material written notice or material written correspondence relating to, or involving, the Material Contracts, (B) any new Material Contract entered into and (C) any amendment of any Material Contract, the JPR Indenture or any other Deal Document (as defined in the JPR Indenture).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Promptly (and in any event within [***]) notify the Administrative Agent and each Lender of any return, recovery, dispute or claim related to any Product, Service or inventory that involves more than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Promptly (and in any event, within [***] of the occurrence of or any Loan Party learning of, as applicable) notify the Administrative Agent and each Lender of (i) any Governmental Authority, including but not limited to the FDA or CMS, is conducting or has conducted (A) an investigation of any of the Facilities of any Loan Party or any Subsidiary thereof, processes for any Product and/or in the development or provision of Services, which investigation has disclosed any material deficiencies or violations of Laws and/or the Material Required Permits (including cGMP compliance) related to such Facilities, Products or Services or (B) an investigation or review of any Material Required Permit (other than routine reviews in the ordinary course of business associated with the renewal of a Required Permit, routine pre-approval inspections and similar FDA visits and which could not reasonably be expected to result in a Material Adverse Effect), (ii) development, testing, manufacturing, marketing, sale and/or provision of any Product or Services that is material to the businesses operated by the Borrower and its Subsidiaries should cease, be suspended, or be interrupted, or the FDA or any institutional review board (or ethics committee) should provide written notice recommending or requiring any such cessation, suspension, or interruption, (iii) if a Product or Service that is material to the businesses operated by the Borrower and its Subsidiaries has been approved for marketing and sale, any marketing or sales of such Product or Service should cease or be interrupted or such Product or Service should be withdrawn from the marketplace, or the FDA, CMS or any other Governmental Authority should provide written notice threatening, recommending or initiating any such cessation, interruption, or withdrawal, (iv) any Material Required Permit has been revoked or withdrawn, (v) adverse clinical test results with respect to any Product or Service have occurred, (vi) any Market Withdrawals or other forms of retrieval from the marketplace of any Product or Service from any market (other than discrete batches or lots that are not material in quantity or amount and are not made in conjunction with a larger recall) have been conducted (or requested by the FDA, CMS or any other Governmental Authority), (vii) the occurrence of any violation of any applicable Laws by the Borrower or any of the other Subsidiaries in the development or provision of Products or Services, and record keeping and reporting to the FDA, CMS or any other Governmental Authority that could reasonably be expected to require or lead to an investigation, corrective action or enforcement, regulatory or administrative action, (viii) all fines or penalties imposed by any Governmental Authority under any Healthcare Law against any Loan Party or any of its Subsidiaries, or (ix) any significant failures in the manufacturing of any Product such that the amount of such Product successfully manufactured in accordance with all specifications thereof and the required payments to be made by or to the applicable Loan Party or Subsidiary therefor in any month shall decrease significantly with respect to the quantities of such Product and payments produced in the prior month (each event described in the foregoing clauses (i) through (viii), a “</w:t>
      </w:r>
      <w:r>
        <w:rPr>
          <w:rFonts w:ascii="Times New Roman" w:hAnsi="Times New Roman"/>
          <w:caps w:val="false"/>
          <w:smallCaps w:val="false"/>
          <w:sz w:val="20"/>
          <w:u w:val="single"/>
        </w:rPr>
        <w:t>Regulatory Reporting Event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Promptly (and in any event, within [***] of the occurrence of or any Loan Party learning of, as applicable) notify the Administrative Agent and each Lender of (x) any holder of the Indebtedness under the JPR Indenture and the other Deal Documents or any trustee or agent acting on behalf of such holders taking any action to accelerate such Indebtedness or otherwise enforce its rights or exercise its remedies under any of the JPR Indenture and other Deal Documents and (y) any proceeding under any Debtor Relief Law relating to JPR Royalty Sub or to all or any material part of its property that is instituted.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notice pursuant to this </w:t>
      </w:r>
      <w:r>
        <w:rPr>
          <w:rFonts w:ascii="Times New Roman" w:hAnsi="Times New Roman"/>
          <w:caps w:val="false"/>
          <w:smallCaps w:val="false"/>
          <w:sz w:val="20"/>
          <w:u w:val="single"/>
        </w:rPr>
        <w:t>Section 7.03</w:t>
      </w:r>
      <w:r>
        <w:rPr>
          <w:rFonts w:ascii="Times New Roman" w:hAnsi="Times New Roman"/>
          <w:caps w:val="false"/>
          <w:smallCaps w:val="false"/>
          <w:sz w:val="20"/>
        </w:rPr>
        <w:t xml:space="preserve"> shall be accompanied by a statement of a Responsible Officer of the Borrower setting forth details of the occurrence referred to therein and stating what action the applicable Loan Party has taken and proposes to take with respect thereto. Each notice pursuant to </w:t>
      </w:r>
      <w:r>
        <w:rPr>
          <w:rFonts w:ascii="Times New Roman" w:hAnsi="Times New Roman"/>
          <w:caps w:val="false"/>
          <w:smallCaps w:val="false"/>
          <w:sz w:val="20"/>
          <w:u w:val="single"/>
        </w:rPr>
        <w:t>Section 7.03(a)</w:t>
      </w:r>
      <w:r>
        <w:rPr>
          <w:rFonts w:ascii="Times New Roman" w:hAnsi="Times New Roman"/>
          <w:caps w:val="false"/>
          <w:smallCaps w:val="false"/>
          <w:sz w:val="20"/>
        </w:rPr>
        <w:t xml:space="preserve"> shall describe with particularity any and all provisions of this Agreement and any other Loan Document that have been breached. With respect to any Regulatory Reporting Event, the Loan Parties shall provide to the Administrative Agent and the Lenders such further information (including copies of such documentation) as the Administrative Agent or any Lender shall reasonably request with respect to such Regulatory Reporting Event.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7.04    </w:t>
      </w:r>
      <w:r>
        <w:rPr>
          <w:rFonts w:ascii="Times New Roman" w:hAnsi="Times New Roman"/>
          <w:caps w:val="false"/>
          <w:smallCaps w:val="false"/>
          <w:sz w:val="20"/>
          <w:u w:val="single"/>
        </w:rPr>
        <w:t>Payment of Obligations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 and discharge, prior to delinquency, all of its obligations and liabilities, including: (a) 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applicable Loan Party or Subsidiary and the failure to make such payment pending such contest could not reasonably be expected to result in a Material Adverse Effect and (b) all lawful claims which, if unpaid, would by law become a Lien upon its property (other than a Permitted Lien).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7.05    </w:t>
      </w:r>
      <w:r>
        <w:rPr>
          <w:rFonts w:ascii="Times New Roman" w:hAnsi="Times New Roman"/>
          <w:caps w:val="false"/>
          <w:smallCaps w:val="false"/>
          <w:sz w:val="20"/>
          <w:u w:val="single"/>
        </w:rPr>
        <w:t>Preservation of Existence, Etc.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Preserve, renew and maintain in full force and effect its legal existence under the Laws of the jurisdiction of its organization except in a transaction permitted by </w:t>
      </w:r>
      <w:r>
        <w:rPr>
          <w:rFonts w:ascii="Times New Roman" w:hAnsi="Times New Roman"/>
          <w:caps w:val="false"/>
          <w:smallCaps w:val="false"/>
          <w:sz w:val="20"/>
          <w:u w:val="single"/>
        </w:rPr>
        <w:t>Section 8.04</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8.05</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Preserve, renew and maintain in full force and effect its good standing under (i) the Laws of the jurisdiction of its organization, and (ii) except to the extent the failure to do so could not reasonably be expected to have a Material Adverse Effect, each other jurisdiction where it conducts its Business (in each case where such concept exists in such jurisdiction in the case of Non-U.S.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Take all reasonable action to maintain all rights, privileges, permits, licenses and franchises the failure of which to maintain could reasonably be expected to result in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7.06    </w:t>
      </w:r>
      <w:r>
        <w:rPr>
          <w:rFonts w:ascii="Times New Roman" w:hAnsi="Times New Roman"/>
          <w:caps w:val="false"/>
          <w:smallCaps w:val="false"/>
          <w:sz w:val="20"/>
          <w:u w:val="single"/>
        </w:rPr>
        <w:t>Maintenance of Properties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Maintain, preserve and protect all of its material properties and equipment necessary in the operation of its business in good working order and condition, ordinary wear and tear and impact of casualty event excepted.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Make all necessary repairs thereto and renewals and replacements thereof, except where the failure to do so could not reasonably be expected, either individually or in the aggregate,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Use the standard of care typical in the industry in the operation and maintenance of its Facilities.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7.07    </w:t>
      </w:r>
      <w:r>
        <w:rPr>
          <w:rFonts w:ascii="Times New Roman" w:hAnsi="Times New Roman"/>
          <w:caps w:val="false"/>
          <w:smallCaps w:val="false"/>
          <w:sz w:val="20"/>
          <w:u w:val="single"/>
        </w:rPr>
        <w:t>Maintenance of Insurance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(30) days (or such lesser amount as the Administrative Agent may agree to in its sole discretion) prior written notice before any such policy or policies shall be altered or canceled.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Promptly notify the Administrative Agent of any real property subject to a Mortgage that is, or becomes, a Flood Hazard Property.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7.08    </w:t>
      </w:r>
      <w:r>
        <w:rPr>
          <w:rFonts w:ascii="Times New Roman" w:hAnsi="Times New Roman"/>
          <w:caps w:val="false"/>
          <w:smallCaps w:val="false"/>
          <w:sz w:val="20"/>
          <w:u w:val="single"/>
        </w:rPr>
        <w:t>Compliance with Laws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7.09    </w:t>
      </w:r>
      <w:r>
        <w:rPr>
          <w:rFonts w:ascii="Times New Roman" w:hAnsi="Times New Roman"/>
          <w:caps w:val="false"/>
          <w:smallCaps w:val="false"/>
          <w:sz w:val="20"/>
          <w:u w:val="single"/>
        </w:rPr>
        <w:t>Books and Records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Maintain such books of record and account in material conformity with all applicable requirements of any Governmental Authority having regulatory jurisdiction over such Loan Party or such Subsidiary, as the case may be.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7.10    </w:t>
      </w:r>
      <w:r>
        <w:rPr>
          <w:rFonts w:ascii="Times New Roman" w:hAnsi="Times New Roman"/>
          <w:caps w:val="false"/>
          <w:smallCaps w:val="false"/>
          <w:sz w:val="20"/>
          <w:u w:val="single"/>
        </w:rPr>
        <w:t>Inspection Rights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desired, upon reasonable advance notice to the Borrower;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so long as no Event of Default exists, the Borrower shall only be required to reimburse the Administrative Agent (but not any Lender) for one such visit and inspection in any fiscal year;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when an Event of Default exists, the Administrative Agent or any Lender (or any of their respective representatives or independent contractors) may do any of the foregoing at the expense of the Borrower at any time during normal business hours, as often as desired and without advance notice.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7.11    </w:t>
      </w:r>
      <w:r>
        <w:rPr>
          <w:rFonts w:ascii="Times New Roman" w:hAnsi="Times New Roman"/>
          <w:caps w:val="false"/>
          <w:smallCaps w:val="false"/>
          <w:sz w:val="20"/>
          <w:u w:val="single"/>
        </w:rPr>
        <w:t>Use of Proceeds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Use the proceeds of the Loans (i) refinance the existing Indebtedness of the Borrower, (ii) to support the launch activities and commercialization efforts for Orladeyo, (iii) to fund research and development and (iv) for other general corporate purposes,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in no event shall the proceeds of the Loans be used in contravention of any Law or of any Loan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7.12    </w:t>
      </w:r>
      <w:r>
        <w:rPr>
          <w:rFonts w:ascii="Times New Roman" w:hAnsi="Times New Roman"/>
          <w:caps w:val="false"/>
          <w:smallCaps w:val="false"/>
          <w:sz w:val="20"/>
          <w:u w:val="single"/>
        </w:rPr>
        <w:t>Additional Subsidiaries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Within thirty (30) days after the acquisition or formation of any Subsidiary (including, without limitation, upon the formation of any Subsidiary that is a Delaware Divided LLC) (it being understood that any Excluded Subsidiary ceasing to be an Excluded Subsidiary but remaining a Subsidiary shall be deemed to be the acquisition of a Subsidiary for purposes of this Section):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notify the Administrative Agent thereof in writing, together with the (i) jurisdiction of organization, (ii) number of shares of each class of Equity Interests outstanding, (iii) number and percentage of outstanding shares of each class owned (directly or indirectly) by the Borrower or any Subsidiary and (iv) number and effect, if exercised, of all outstanding options, warrants, rights of conversion or purchase and all other similar rights with respect thereto;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cause such Person (other than any Excluded Subsidiary) to (i) to become a Guarantor by executing and delivering to the Administrative Agent a Joinder Agreement or such other documents as the Administrative Agent shall reasonably request for such purpose, and (ii) deliver to the Administrative Agent documents of the types referred to in </w:t>
      </w:r>
      <w:r>
        <w:rPr>
          <w:rFonts w:ascii="Times New Roman" w:hAnsi="Times New Roman"/>
          <w:caps w:val="false"/>
          <w:smallCaps w:val="false"/>
          <w:sz w:val="20"/>
          <w:u w:val="single"/>
        </w:rPr>
        <w:t>Sections 5.01(f)</w:t>
      </w:r>
      <w:r>
        <w:rPr>
          <w:rFonts w:ascii="Times New Roman" w:hAnsi="Times New Roman"/>
          <w:caps w:val="false"/>
          <w:smallCaps w:val="false"/>
          <w:sz w:val="20"/>
        </w:rPr>
        <w:t>-</w:t>
      </w:r>
      <w:r>
        <w:rPr>
          <w:rFonts w:ascii="Times New Roman" w:hAnsi="Times New Roman"/>
          <w:caps w:val="false"/>
          <w:smallCaps w:val="false"/>
          <w:sz w:val="20"/>
          <w:u w:val="single"/>
        </w:rPr>
        <w:t>(h)</w:t>
      </w:r>
      <w:r>
        <w:rPr>
          <w:rFonts w:ascii="Times New Roman" w:hAnsi="Times New Roman"/>
          <w:caps w:val="false"/>
          <w:smallCaps w:val="false"/>
          <w:sz w:val="20"/>
        </w:rPr>
        <w:t xml:space="preserve"> (or, in the case of any Non-U.S. Subsidiary, comparable security documents, including local law equity pledge or similar agreements) in order to grant Liens to the Administrative Agent for the benefit of the Secured Parties in all assets of, and the Equity Interests in, such Subsidiary constituting Collateral and favorable opinions of counsel to such Persons (which shall cover, among other things, the legality, validity, binding effect and enforceability of the documentation referred to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or </w:t>
      </w:r>
      <w:r>
        <w:rPr>
          <w:rFonts w:ascii="Times New Roman" w:hAnsi="Times New Roman"/>
          <w:caps w:val="false"/>
          <w:smallCaps w:val="false"/>
          <w:sz w:val="20"/>
          <w:u w:val="single"/>
        </w:rPr>
        <w:t>(ii)</w:t>
      </w:r>
      <w:r>
        <w:rPr>
          <w:rFonts w:ascii="Times New Roman" w:hAnsi="Times New Roman"/>
          <w:caps w:val="false"/>
          <w:smallCaps w:val="false"/>
          <w:sz w:val="20"/>
        </w:rPr>
        <w:t xml:space="preserve">, as applicable), all in form, content and scope reasonably satisfactory to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 Exempt Immaterial Subsidiary shall not be required to deliver any Collateral Documents (other than an equity pledge or similar agreement granting Liens to the Administrative Agent for the benefit of the Secured Parties in the Equity Interests in such Exempt Immaterial Subsidiary) governed by the laws of the jurisdiction in which such Exempt Immaterial Subsidiary is organized until such Exempt Immaterial Subsidiary ceases to constitute an Exempt Immaterial Subsidiary.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7.13    </w:t>
      </w:r>
      <w:r>
        <w:rPr>
          <w:rFonts w:ascii="Times New Roman" w:hAnsi="Times New Roman"/>
          <w:caps w:val="false"/>
          <w:smallCaps w:val="false"/>
          <w:sz w:val="20"/>
          <w:u w:val="single"/>
        </w:rPr>
        <w:t>ERISA Compliance</w:t>
      </w:r>
      <w:r>
        <w:rPr>
          <w:rFonts w:ascii="Times New Roman" w:hAnsi="Times New Roman"/>
          <w:caps w:val="false"/>
          <w:smallCaps w:val="false"/>
          <w:sz w:val="20"/>
        </w:rPr>
        <w:t>. Do, and cause each of its ERISA Affiliates to do, each of the following: (a) maintain each Plan, both in form and operation, in compliance in all material respects with the applicable provisions of ERISA, the Internal Revenue Code and other federal or state law, (b) cause each Plan that is qualified under Section 401(a) of the Internal Revenue Code to maintain such qualification, and (c) make all required contributions to any Plan subject to Section 412, Section 430 or Section 431 of the Internal Revenue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7.14    </w:t>
      </w:r>
      <w:r>
        <w:rPr>
          <w:rFonts w:ascii="Times New Roman" w:hAnsi="Times New Roman"/>
          <w:caps w:val="false"/>
          <w:smallCaps w:val="false"/>
          <w:sz w:val="20"/>
          <w:u w:val="single"/>
        </w:rPr>
        <w:t>Pledged Assets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Equity Interests</w:t>
      </w:r>
      <w:r>
        <w:rPr>
          <w:rFonts w:ascii="Times New Roman" w:hAnsi="Times New Roman"/>
          <w:caps w:val="false"/>
          <w:smallCaps w:val="false"/>
          <w:sz w:val="20"/>
        </w:rPr>
        <w:t>. To secure the Obligations, cause (i) 100% of the issued and outstanding Equity Interests of each U.S. Subsidiary (including, without limitation, each U.S. Subsidiary that is a Delaware Divided LLC) directly owned by any Loan Party and (ii) 65% (or such greater percentage that, (A) could not reasonably be expected to cause the undistributed earnings of such Non-U.S. Subsidiary as determined for United States federal income tax purposes to be treated as a deemed dividend to such Non-U.S. Subsidiary’s United States parent and (B)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Non-U.S. Subsidiary directly owned by any Loan Party, in each case, to be subject at all times to a first priority, perfected Lien in favor of the Administrative Agent, for the benefit of the Secured Parties, pursuant to the terms and conditions of the Collateral Documents. In connection with the foregoing, the Borrower shall cause to be delivered to Administrative Agent opinions of counsel requested by the Administrative Agent and any filings and deliveries necessary to perfect the security interests in such Equity Interests, all in form and substance satisfactory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Other Property</w:t>
      </w:r>
      <w:r>
        <w:rPr>
          <w:rFonts w:ascii="Times New Roman" w:hAnsi="Times New Roman"/>
          <w:caps w:val="false"/>
          <w:smallCaps w:val="false"/>
          <w:sz w:val="20"/>
        </w:rPr>
        <w:t>. Cause all property (other than Excluded Property) of each Loan Party (including each Loan Party that is a Delaware Divided LLC) to be subject at all times to first priority, perfected and, in the case of real property (whether leased or owned), title insured Liens in favor of the Administrative Agent to secure the Obligations pursuant to the Collateral Documents or, with respect to any such property acquired subsequent to the Closing Date, such other additional security documents, including Real Property Security Documents, as the Administrative Agent shall request (subject to Permitted Liens), and in connection with the foregoing, deliver to the Administrative Agent such other documentation as the Administrative Agent may request, including filings and deliveries necessary to perfect such Liens, Organization Documents, resolutions, Real Property Security Documents and favorable opinions of counsel to such Persons and the Lenders, all in form, content and scope reasonably satisfactory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7.15    </w:t>
      </w:r>
      <w:r>
        <w:rPr>
          <w:rFonts w:ascii="Times New Roman" w:hAnsi="Times New Roman"/>
          <w:caps w:val="false"/>
          <w:smallCaps w:val="false"/>
          <w:sz w:val="20"/>
          <w:u w:val="single"/>
        </w:rPr>
        <w:t>Compliance with Material Contracts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Comply with each Material Contract of such Person, except where the failure to so comply could not reasonably be expected, either individually or in the aggregate, to have a material adverse effect on any Product Development and Commercialization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7.16    </w:t>
      </w:r>
      <w:r>
        <w:rPr>
          <w:rFonts w:ascii="Times New Roman" w:hAnsi="Times New Roman"/>
          <w:caps w:val="false"/>
          <w:smallCaps w:val="false"/>
          <w:sz w:val="20"/>
          <w:u w:val="single"/>
        </w:rPr>
        <w:t>Deposit Accounts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(i) Cause all Deposit Accounts of the Loan Parties (other than (A) deposit accounts established solely as payroll purposes, (B) the Government Account Debtor Account, (C) the HSBC Cash Collateral Accounts and (D) other Deposit Accounts holding less than $[***] in the aggregate at any time for all such Deposit Accounts under this clause (D)) at all times to be subject to Deposit Account Control Agreements in form and substance satisfactory to the Administrative Agent or solely in the case of a Loan Party that is a Non-U.S. Subsidiary, to be subject to a first priority, perfected security interest in favor of the Administrative Agent for the benefit of the Secured Parties, and (ii) cause all payments owing by a Government Account Debtor to a Loan Party to be deposited into the Government Account Debtor Account, which account shall (x) be subject to irrevocable standing instructions causing all funds therein to be transferred via an automatic immediate intrabank transfer by the close of each Business Day to a Deposit Account subject to a Deposit Account Control Agreement or solely in the case of a Loan Party that is a Non-U.S. Subsidiary, to a Deposit Account subject to a first priority, perfected security interest in favor of the Administrative Agent for the benefit of the Secured Parties, and (y) not be used for any purpose other than receiving funds from Government Account Debtors and other account debtors of the Loan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7.17    </w:t>
      </w:r>
      <w:r>
        <w:rPr>
          <w:rFonts w:ascii="Times New Roman" w:hAnsi="Times New Roman"/>
          <w:caps w:val="false"/>
          <w:smallCaps w:val="false"/>
          <w:sz w:val="20"/>
          <w:u w:val="single"/>
        </w:rPr>
        <w:t>Regulatory Compliance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Without limiting the generality of </w:t>
      </w:r>
      <w:r>
        <w:rPr>
          <w:rFonts w:ascii="Times New Roman" w:hAnsi="Times New Roman"/>
          <w:caps w:val="false"/>
          <w:smallCaps w:val="false"/>
          <w:sz w:val="20"/>
          <w:u w:val="single"/>
        </w:rPr>
        <w:t>Section 7.08</w:t>
      </w:r>
      <w:r>
        <w:rPr>
          <w:rFonts w:ascii="Times New Roman" w:hAnsi="Times New Roman"/>
          <w:caps w:val="false"/>
          <w:smallCaps w:val="false"/>
          <w:sz w:val="20"/>
        </w:rPr>
        <w:t>, in connection with the research, development, testing, manufacture, handling, labeling, packaging, storage, supply, promotion, distribution, marketing, commercialization, marketing, commercialization, import, export, sale or provision of each and any Product or Service by the Borrower or any Subsidiary, or the operation of any Facility, the Borrower or such Subsidiary shall comply with all Required Permits at all times issued by any Government Authority, specifically including the FDA and CMS, with respect to such research, development, testing, manufacture, handling, labeling, packaging, storage, supply, promotion, distribution, marketing, commercialization, import, export, sales or provision of such Product or Service by the Borrower or such Subsidiary, in each case, except where the failure to do any of the foregoing (x) could not reasonably be expected, either individually or in the aggregate, to have a Material Adverse Effect and (y) could not reasonably be expected, either individually or in the aggregate, to have a material adverse effect on any Product Development and Commercialization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The Borrower and each Subsidiary shall (i) take all necessary action to timely renew and maintain all Material Required Permits, accreditations and qualifications which are necessary or material to the conduct of its business, or to receive payment for all applicable Services, (ii) be and remain in compliance with all Third Party Arrangements and Healthcare Laws and all requirements for participation in, and for licensure required to provide the goods or services that are reimbursable under, all Third Party Payor Arrangements and Government Reimbursement Programs; and (iii) use commercially reasonable efforts to cause all Persons providing professional health care services for or on behalf of any Loan Party or Subsidiary (either as an employee or independent contractor) to comply with all applicable material Healthcare Laws in the performance of their duties, and to maintain in full force and effect all professional licenses required to perform such duties.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All preclinical and clinical trials that have been conducted and/or are being conducted by or on behalf of the Borrower and its Subsidiaries, including those trials whose results and data have been submitted to any Governmental Authority, including the FDA and its counterparts worldwide, are being or have been conducted in compliance in all material respects with the required experimental protocols, procedures and controls and otherwise in compliance with applicable Laws, including cGLP and cGCP, the Animal Welfare Act, and all applicable similar Laws in other jurisdictions.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Each Loan Party and each of their respective Subsidiaries shall maintain a corporate and health care regulatory compliance program (“RCP”) which addresses the requirements of all applicable Healthcare Laws and includes the following components: (i) standards of conduct and policies and procedures for compliance with Healthcare Laws; (ii) a specific officer within high-level personnel identified as having overall responsibility for compliance with such standards of conduct and policies and procedures; (iii) training and education programs which effectively communicate the compliance standards and procedures to employees and agents, including Healthcare Laws; (iv) auditing and monitoring systems and reasonable steps for achieving compliance with such standards of conduct and policies and procedures including publicizing a reporting system to allow employees and other agents to anonymously report criminal or suspect conduct and potential compliance problems; (v) disciplinary guidelines and consistent enforcement of compliance policies including discipline of individuals responsible for the failure to detect violations of the RCP; and (vi) mechanisms to promptly respond to detected violations of the RCP. Each Loan Party and each of their respective Subsidiaries shall modify such RCPs from time to time, as may be necessary to ensure continuing compliance with all material applicable Healthcare Laws. Upon request, the Lenders (and/or their consultants) shall be permitted to review such RCPs.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Borrower shall provide to Lenders upon request, an accurate, complete and current list of all Third Party Payor Arrangements and participation agreements with Government Account Debtors with respect to the business of the Loan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Borrower shall promptly furnish or cause to be furnished to the Lenders copies of (i) all reports of investigational/inspectional observations issued to and received by the Loan Parties or any of their Subsidiaries, and issued by any Governmental Authority relating to such Person’s business, (ii) copies of all establishment investigation/inspection reports issued to and received by Loan Parties or any of their Subsidiaries and issued by any Governmental Authority, (iii) copies of all warning and untitled letters, subpoenas, civil investigative demands, as well as other material documents received by Loan Parties or any of their Subsidiaries from the FDA, CMS, HHS, the United States Department of Justice, or any other Governmental Authority relating to or arising out of the conduct applicable to the business of the Loan Parties or any of their Subsidiaries that asserts past or ongoing lack of compliance with any applicable Laws and Healthcare Laws, (iv) copies of any written recommendation from any Governmental Authority in any Key Territory, Ireland, Japan or the European Union (or any agency thereof) or the competent authority of a European Union member state, that any Loan Party or any of its respective Subsidiaries, or any obligor to which any Loan Party or any of its respective Subsidiaries provides Products or Services, should have its licensure, provider or supplier number, or accreditation suspended, revoked, or limited in any way, or any penalties or sanctions imposed and (v) notice of any material investigation or material audit or similar proceeding by the FDA, CMS, any other Governmental Authority in any Key Territory, Ireland, Japan or the European Union (or any agency thereof) or the competent authority of a European Union member state.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Each Loan Party and each of their respective Subsidiaries will at all times be in compliance in all material respects with HIPAA to the extent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[Reserved].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Cause all Facilities to operate in material compliance with applicable Laws except to the extent that any non-compliance could not reasonably be expected, either individually or in the aggregate, to result in (x) a material adverse effect on any Product Development and Commercialization Activities and (y)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(j)    If any Facility is currently accredited by an Accrediting Organization, each Loan Party and each of their respective Subsidiaries will (i) maintain such accreditation in good standing and without limitation or impairment, (ii) promptly submit to the Accrediting Organization a plan of correction for any deficiencies listed on any accreditation survey report, and (iii) cure all such deficiencies within such time frame as is necessary to preserve and maintain in good standing and without limitation or impairment such accreditation, in each case, except to the extent that the failure to do so could not reasonably be expected, either individually or in the aggregate, to result in (x) a material adverse effect on any Product Development and Commercialization Activities and (y)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(k)    Borrower shall provide the Administrative Agent (i) prior written notice of any material change to the terms of its normal billing payment and reimbursement policies and procedures with respect thereto (including, without limitation, the amount and timing of finance charges, fees and write-offs) and (ii) within a reasonable time written notice of any change in a Government Reimbursement Program that materially impacts the Borrower’s normal billing payment policies and procedures or expected reimbursement amounts, together with a description of the expected impacts.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(l)    The Loan Parties shall maintain in full force and effect, and free from restrictions, probations, conditions or known conflicts which would materially impair the use or operation of any Facility for its current use, except to the extent that the failure to do so could not reasonably be expected, either individually or in the aggregate, to result in (x) a material adverse effect on any Product Development and Commercialization Activities and (y)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7.18    </w:t>
      </w:r>
      <w:r>
        <w:rPr>
          <w:rFonts w:ascii="Times New Roman" w:hAnsi="Times New Roman"/>
          <w:caps w:val="false"/>
          <w:smallCaps w:val="false"/>
          <w:sz w:val="20"/>
          <w:u w:val="single"/>
        </w:rPr>
        <w:t>Intellectual Property; Consent of Licensors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(i) Maintain in full force and effect or pursue the prosecution of, as the case may be, and pay all costs and expenses relating to, all Material IP Rights owned or controlled by such Loan Party or its respective Subsidiaries, except for any such Material IP Rights that are no longer used or useful in any material respect in the business of the Borrower and its Subsidiaries, taken as a whole; (ii) notify the Administrative Agent, promptly after learning thereof, of any material infringement, misappropriation or other violation by any Person of its Material IP Rights; (iii) use commercially reasonable efforts to pursue, enforce, and maintain in full force and effect legal protection for all Material IP Rights, including Patents, developed or controlled by such Loan Party or any of its respective Subsidiaries, except for any such Material IP Rights that are no longer used or useful in any material respect in the business of the Borrower and its Subsidiaries, taken as a whole; and (iv) notify the Administrative Agent, promptly after learning thereof, of any claim by any Person that the conduct of the Businesses infringes any Material IP Rights of that Person and, if requested by the Administrative Agent, use commercially reasonable efforts to resolve such claim, in each case of this clause (iv), other than with respect to Material IP Rights that are obsolete or no longer used or useful in the conduct of the business of Borrower and its Subsidiaries, taken as a whole, or the cost of maintaining any such Material IP Rights that are immaterial would outweigh the benefit to Borrower and its Subsidiaries of so maintaining.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Promptly after entering into or becoming bound by any material license or similar material agreement (other than (i) over-the-counter software that is commercially available to the public and (ii) any license agreement relating to IP Rights that are not Material IP Rights) after the Closing Date, the Loan Parties shall (i) provide written notice to the Administrative Agent of the material terms of such license or similar agreement and (ii) in good faith take such commercially reasonable actions (which commercially reasonable actions, for the avoidance of doubt, shall not include payment of any fees or other amounts or making any material concessions with respect to the terms of such license or agreement by such Loan Party) as the Administrative Agent or Required Lenders may reasonably request to obtain the consent of, or waiver by, any Person whose consent or waiver is necessary for the Administrative Agent to be granted and perfect a valid security interest in such license or agreement and to fully exercise its rights under any of the Loan Documents in the event of a disposition or liquidation of the rights, assets or property that is the subject of such license or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failure to obtain any such consent or waiver shall not by itself constitute a Default.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7.19    </w:t>
      </w:r>
      <w:r>
        <w:rPr>
          <w:rFonts w:ascii="Times New Roman" w:hAnsi="Times New Roman"/>
          <w:caps w:val="false"/>
          <w:smallCaps w:val="false"/>
          <w:sz w:val="20"/>
          <w:u w:val="single"/>
        </w:rPr>
        <w:t>Anti-Corruption Laws</w:t>
      </w:r>
      <w:r>
        <w:rPr>
          <w:rFonts w:ascii="Times New Roman" w:hAnsi="Times New Roman"/>
          <w:caps w:val="false"/>
          <w:smallCaps w:val="false"/>
          <w:sz w:val="20"/>
        </w:rPr>
        <w:t>. Conduct its business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spacing w:before="0" w:after="0"/>
        <w:ind w:left="0" w:right="0" w:hanging="0"/>
        <w:jc w:val="both"/>
        <w:rPr>
          <w:caps w:val="false"/>
          <w:smallCaps w:val="false"/>
        </w:rPr>
      </w:pPr>
      <w:r>
        <w:rPr>
          <w:caps w:val="false"/>
          <w:smallCaps w:val="false"/>
        </w:rPr>
        <w:t> </w:t>
      </w:r>
    </w:p>
    <w:p>
      <w:pPr>
        <w:pStyle w:val="TextBody"/>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7.20    </w:t>
      </w:r>
      <w:r>
        <w:rPr>
          <w:rFonts w:ascii="Times New Roman" w:hAnsi="Times New Roman"/>
          <w:caps w:val="false"/>
          <w:smallCaps w:val="false"/>
          <w:sz w:val="20"/>
          <w:u w:val="single"/>
        </w:rPr>
        <w:t>Post-Closing Obligations</w:t>
      </w:r>
      <w:r>
        <w:rPr>
          <w:rFonts w:ascii="Times New Roman" w:hAnsi="Times New Roman"/>
          <w:caps w:val="false"/>
          <w:smallCaps w:val="false"/>
          <w:sz w:val="20"/>
        </w:rPr>
        <w:t xml:space="preserve">. Within the time periods set forth therefor on </w:t>
      </w:r>
      <w:r>
        <w:rPr>
          <w:rFonts w:ascii="Times New Roman" w:hAnsi="Times New Roman"/>
          <w:caps w:val="false"/>
          <w:smallCaps w:val="false"/>
          <w:sz w:val="20"/>
          <w:u w:val="single"/>
        </w:rPr>
        <w:t>Schedule 7.20</w:t>
      </w:r>
      <w:r>
        <w:rPr>
          <w:rFonts w:ascii="Times New Roman" w:hAnsi="Times New Roman"/>
          <w:caps w:val="false"/>
          <w:smallCaps w:val="false"/>
          <w:sz w:val="20"/>
        </w:rPr>
        <w:t xml:space="preserve"> (or such longer periods of time as may be agreed to by the Administrative Agent in its sole discretion), deliver to the Administrative Agent such documents, instruments, certificates or agreements as are listed on </w:t>
      </w:r>
      <w:r>
        <w:rPr>
          <w:rFonts w:ascii="Times New Roman" w:hAnsi="Times New Roman"/>
          <w:caps w:val="false"/>
          <w:smallCaps w:val="false"/>
          <w:sz w:val="20"/>
          <w:u w:val="single"/>
        </w:rPr>
        <w:t>Schedule 7.20</w:t>
      </w:r>
      <w:r>
        <w:rPr>
          <w:rFonts w:ascii="Times New Roman" w:hAnsi="Times New Roman"/>
          <w:caps w:val="false"/>
          <w:smallCaps w:val="false"/>
          <w:sz w:val="20"/>
        </w:rPr>
        <w:t xml:space="preserve"> or take such actions as are described on </w:t>
      </w:r>
      <w:r>
        <w:rPr>
          <w:rFonts w:ascii="Times New Roman" w:hAnsi="Times New Roman"/>
          <w:caps w:val="false"/>
          <w:smallCaps w:val="false"/>
          <w:sz w:val="20"/>
          <w:u w:val="single"/>
        </w:rPr>
        <w:t>Schedule 7.20</w:t>
      </w:r>
      <w:r>
        <w:rPr>
          <w:rFonts w:ascii="Times New Roman" w:hAnsi="Times New Roman"/>
          <w:caps w:val="false"/>
          <w:smallCaps w:val="false"/>
          <w:sz w:val="20"/>
        </w:rPr>
        <w:t xml:space="preserve">, in each case in form and substance reasonably satisfactory to the Administrative Agent.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7.21    </w:t>
      </w:r>
      <w:r>
        <w:rPr>
          <w:rFonts w:ascii="Times New Roman" w:hAnsi="Times New Roman"/>
          <w:caps w:val="false"/>
          <w:smallCaps w:val="false"/>
          <w:sz w:val="20"/>
          <w:u w:val="single"/>
        </w:rPr>
        <w:t>JPR Royalty Sub - Indenture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Until discharge of the JPR Indenture pursuant to and in accordance with Section 11.1 thereof, the Borrower hereby agrees that it shall, to the extent required by the JPR Indenture and other Deal Documents (as defined in the JPR Indenture), and all agreements and documents entered into from time to time in connection therewith (including, without limitation, any amendments or modifications thereof) and not otherwise prohibited pursuant to the terms of the Loan Documents, perform (i) [reserved], (ii) such administrative activities necessary to maintain the continuing existence of JPR Royalty Sub, such as completing required annual registration or report filings with state filing offices, and (iii) such activities in the ordinary course of business incidental to its ownership of the equity interests of JPR Royalty Sub, to the extent that failure perform any of the foregoing activities described in </w:t>
      </w:r>
      <w:r>
        <w:rPr>
          <w:rFonts w:ascii="Times New Roman" w:hAnsi="Times New Roman"/>
          <w:caps w:val="false"/>
          <w:smallCaps w:val="false"/>
          <w:sz w:val="20"/>
          <w:u w:val="single"/>
        </w:rPr>
        <w:t>clauses (a)(i)</w:t>
      </w:r>
      <w:r>
        <w:rPr>
          <w:rFonts w:ascii="Times New Roman" w:hAnsi="Times New Roman"/>
          <w:caps w:val="false"/>
          <w:smallCaps w:val="false"/>
          <w:sz w:val="20"/>
        </w:rPr>
        <w:t xml:space="preserve">, </w:t>
      </w:r>
      <w:r>
        <w:rPr>
          <w:rFonts w:ascii="Times New Roman" w:hAnsi="Times New Roman"/>
          <w:caps w:val="false"/>
          <w:smallCaps w:val="false"/>
          <w:sz w:val="20"/>
          <w:u w:val="single"/>
        </w:rPr>
        <w:t>(ii)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(iii)</w:t>
      </w:r>
      <w:r>
        <w:rPr>
          <w:rFonts w:ascii="Times New Roman" w:hAnsi="Times New Roman"/>
          <w:caps w:val="false"/>
          <w:smallCaps w:val="false"/>
          <w:sz w:val="20"/>
        </w:rPr>
        <w:t xml:space="preserve"> could reasonably be expected to result in a Material Adverse Effect.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Until discharge of the JPR Indenture pursuant to and in accordance with Section 11.1 thereof, it shall constitute a breach of this </w:t>
      </w:r>
      <w:r>
        <w:rPr>
          <w:rFonts w:ascii="Times New Roman" w:hAnsi="Times New Roman"/>
          <w:caps w:val="false"/>
          <w:smallCaps w:val="false"/>
          <w:sz w:val="20"/>
          <w:u w:val="single"/>
        </w:rPr>
        <w:t>Section 7.21</w:t>
      </w:r>
      <w:r>
        <w:rPr>
          <w:rFonts w:ascii="Times New Roman" w:hAnsi="Times New Roman"/>
          <w:caps w:val="false"/>
          <w:smallCaps w:val="false"/>
          <w:sz w:val="20"/>
        </w:rPr>
        <w:t xml:space="preserve"> by the Borrower if (i) JPR Royalty Sub shall (A) transact or engage in any activities, business or operations or consummate any transactions other than the performance of its obligations and activities reasonably incidental thereto under the JPR Indenture and the other Deal Documents, and all agreements and documents entered into from time to time in connection therewith (including, without limitation, any amendments or modifications thereof), (B) amend the terms of the JPR Indenture or the other Deal Documents in a manner that is materially adverse to the Administrative Agent or any Lender or that could reasonably be expected to result in a Material Adverse Effect, (C) allow its Organization Documents to be modified in a manner (1) that is adverse to the Administrative Agent or any Lender in any material respect, (2) that could reasonably be expected to result in a Material Adverse Effect or (3) that would have the effect of eliminating or modifying any of the “special purpose entity” restrictions set forth in such Organization Documents, (D) violate the “special purpose entity” restrictions set forth in such Organization documents in any material respect, (E) merge or consolidate with any other Person, (F) own any assets other than the Purchased Assets (as defined in the JPR Indenture), (G) create, incur, assume or suffer to exist any Indebtedness (other than the Indebtedness under the JPR Indenture) and (H) create, incur, assume or suffer to exist any Lien upon any of its property, assets or revenues, whether now owned or hereafter acquired (other than Liens of the Trustee (as defined in the JPR Indenture as in effect on the date hereof) on the Collateral (as defined in the JPR Indenture as in effect on the date hereof) pursuant to the JPR Indenture) or (ii) any Loan Party or any Subsidiary shall, directly or indirectly, (A) make any Investment in JPR Royalty Sub, (B) sell, transfer, license, lease or dispose of any asset or property of such Loan Party or Subsidiary to JPR Royalty Sub or (C) Guarantee or otherwise become liable for any Indebtedness or other liability of JPR Royalty Sub (other than the pledge by the Borrower of its membership interests in JPR Royalty Sub pursuant to the “Pledge and Security Agreement” (as defined in the JPR Indenture as in effect on the date hereof), it being understood that the only recourse to the Borrower is (I) such membership interests and no other assets of the Borrower or any of its Subsidiaries and (II) pursuant to the expense reimbursement obligations set forth in Section 12.1 of such “Pledge and Security Agreement” and the indemnification obligations set forth in Section 19.1 of such “Pledge and Security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Following discharge of the JPR Indenture pursuant to and in accordance with Section 11.1 thereof, the Borrower shall, within [***] or, if not then permitted pursuant to the JPR Indenture or other Deal Documents, within [***] of such first date thereafter as may be permitted under the JPR Indenture and such other Deal Documents, and at its election, either (a) dissolve JPR Royalty Sub and liquidate its assets into the Borrower or (b) take such actions required by Administrative Agent to cause JPR Royalty Sub to become a Guarantor under the Loan Documents pursuant to </w:t>
      </w:r>
      <w:r>
        <w:rPr>
          <w:rFonts w:ascii="Times New Roman" w:hAnsi="Times New Roman"/>
          <w:caps w:val="false"/>
          <w:smallCaps w:val="false"/>
          <w:sz w:val="20"/>
          <w:u w:val="single"/>
        </w:rPr>
        <w:t>Section 7.12</w:t>
      </w:r>
      <w:r>
        <w:rPr>
          <w:rFonts w:ascii="Times New Roman" w:hAnsi="Times New Roman"/>
          <w:caps w:val="false"/>
          <w:smallCaps w:val="false"/>
          <w:sz w:val="20"/>
        </w:rPr>
        <w:t xml:space="preserve"> with respect to newly formed or acquired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7.22    </w:t>
      </w:r>
      <w:r>
        <w:rPr>
          <w:rFonts w:ascii="Times New Roman" w:hAnsi="Times New Roman"/>
          <w:caps w:val="false"/>
          <w:smallCaps w:val="false"/>
          <w:sz w:val="20"/>
          <w:u w:val="single"/>
        </w:rPr>
        <w:t>Restrictions on Cash</w:t>
      </w:r>
      <w:r>
        <w:rPr>
          <w:rFonts w:ascii="Times New Roman" w:hAnsi="Times New Roman"/>
          <w:caps w:val="false"/>
          <w:smallCaps w:val="false"/>
          <w:sz w:val="20"/>
        </w:rPr>
        <w:t>. Without limiting the restrictions set forth in Sections 7.21 or 8.18, respectively, the Loan Parties shall ensure that the total amount of cash and Cash Equivalents held by all Subsidiaries of the Borrower that are not Loan Parties does not, as of the end of each fiscal quarter, exceed $[***] in the aggregate.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7.23    </w:t>
      </w:r>
      <w:r>
        <w:rPr>
          <w:rFonts w:ascii="Times New Roman" w:hAnsi="Times New Roman"/>
          <w:caps w:val="false"/>
          <w:smallCaps w:val="false"/>
          <w:sz w:val="20"/>
          <w:u w:val="single"/>
        </w:rPr>
        <w:t>People with Significant Control Regime</w:t>
      </w:r>
      <w:r>
        <w:rPr>
          <w:rFonts w:ascii="Times New Roman" w:hAnsi="Times New Roman"/>
          <w:caps w:val="false"/>
          <w:smallCaps w:val="false"/>
          <w:sz w:val="20"/>
        </w:rPr>
        <w:t>. Each of the Loan Parties shall within the relevant timeframe, comply with any notice it receives pursuant to Part 21A of the Companies Act 2006 from any company incorporated in the United Kingdom whose shares are the subject of Collateral Documents and promptly provide the Administrative Agent with a copy of that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VIII</w:t>
        <w:br/>
        <w:br/>
        <w:t>NEGATIVE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 long as any Lender shall have any Commitments hereunder, any Loan or other Obligation hereunder shall remain unpaid or unsatisfied (other than contingent indemnification obligations for which no claim has been asserted), no Loan Party shall, nor shall it permit any Subsidiary to, directly or indirectly: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8.01    </w:t>
      </w:r>
      <w:r>
        <w:rPr>
          <w:rFonts w:ascii="Times New Roman" w:hAnsi="Times New Roman"/>
          <w:caps w:val="false"/>
          <w:smallCaps w:val="false"/>
          <w:sz w:val="20"/>
          <w:u w:val="single"/>
        </w:rPr>
        <w:t>Liens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Create, incur, assume or suffer to exist any Lien upon any of its property, assets or revenues, whether now owned or hereafter acquired, other than the following: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Liens pursuant to any Loan Document;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Liens existing on the date hereof and listed on </w:t>
      </w:r>
      <w:r>
        <w:rPr>
          <w:rFonts w:ascii="Times New Roman" w:hAnsi="Times New Roman"/>
          <w:caps w:val="false"/>
          <w:smallCaps w:val="false"/>
          <w:sz w:val="20"/>
          <w:u w:val="single"/>
        </w:rPr>
        <w:t>Schedule 8.01</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Liens (other than Liens imposed under ERISA) for taxes, assessments or governmental charges or levies not yet delinquent or which are being contested in good faith and by appropriate proceedings diligently conducted, if adequate reserves with respect thereto are maintained on the books of the applicable Person in accordance with GAAP;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statutory Liens of landlords and Liens of carriers, warehousemen, mechanics, materialmen and suppliers and other Liens imposed by law or pursuant to customary reservations or retentions of title arising in the ordinary course of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 </w:t>
      </w:r>
      <w:r>
        <w:rPr>
          <w:rFonts w:ascii="Times New Roman" w:hAnsi="Times New Roman"/>
          <w:caps w:val="false"/>
          <w:smallCaps w:val="false"/>
          <w:sz w:val="20"/>
          <w:u w:val="single"/>
        </w:rPr>
        <w:t>provided 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such Liens do not have priority over any of the Administrative Agent’s Liens on the Collateral and the aggregate amount secured by all such Liens does not at any time exceed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pledges or deposits in the ordinary course of business in connection with workers’ compensation, unemployment insurance and other social security legislation, other than any Lien imposed by ERISA;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deposits to secure the performance of bids, trade contracts and leases (other than Indebtedness), statutory obligations, surety and appeal bonds, indemnity and performance bonds and other obligations of a like nature incurred in the ordinary course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easements, rights-of-way, restrictions and other similar encumbrances affecting real property which, in the aggregate, are not substantial in amount, and which do not materially interfere with the ordinary conduct of the business of the applicable Person;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Liens securing judgments, decrees or attachments (or appeal or other surety bonds relating to such judgments) not constituting an Event of Default under </w:t>
      </w:r>
      <w:r>
        <w:rPr>
          <w:rFonts w:ascii="Times New Roman" w:hAnsi="Times New Roman"/>
          <w:caps w:val="false"/>
          <w:smallCaps w:val="false"/>
          <w:sz w:val="20"/>
          <w:u w:val="single"/>
        </w:rPr>
        <w:t>Section 9.01(h)</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Liens securing Indebtedness permitted under </w:t>
      </w:r>
      <w:r>
        <w:rPr>
          <w:rFonts w:ascii="Times New Roman" w:hAnsi="Times New Roman"/>
          <w:caps w:val="false"/>
          <w:smallCaps w:val="false"/>
          <w:sz w:val="20"/>
          <w:u w:val="single"/>
        </w:rPr>
        <w:t>Section 8.03(e)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(i) such Liens do not at any time encumber any property other than the property financed by such Indebtedness, (ii) the Indebtedness secured thereby does not exceed the cost (negotiated on an arm’s length basis) of the property being acquired on the date of acquisition and (iii) such Liens attach to such property concurrently with or within ninety (90) days after the acquisition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(j)    licenses, sublicenses, leases or subleases (other than relating to intellectual property) granted to others in the ordinary course of business not interfering in any material respect with the business of any Loan Party or any of its Subsidiaries;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(k)    any interest of title of a lessor under, and Liens arising from UCC financing statements (or equivalent filings, registrations or agreements in foreign jurisdictions) relating to, leases permitted by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(l)    normal and customary banker’s liens and rights of setoff upon deposits of cash in favor of banks or other depository institutions;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(m)    Liens of a collection bank arising under Section 4-210 of the Uniform Commercial Code on items in the course of collection;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(n)    Liens of sellers of goods to the Borrower and any of its Subsidiaries arising under Article 2 of the Uniform Commercial Code or similar provisions of applicable law in the ordinary course of business, covering only the goods sold and securing only the unpaid purchase price for such goods and related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(o)    Permitted Licenses;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(p)    solely with respect to the Borrower, the pledge of its membership interests in JPR Royalty Sub pursuant to the “Pledge and Security Agreement” (as defined in the JPR Indenture as in effect on the date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(q)    [reserved];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(r)    Liens granted in the ordinary course of business on the unearned portion of insurance premiums securing the financing of insurance premiums permitted by </w:t>
      </w:r>
      <w:r>
        <w:rPr>
          <w:rFonts w:ascii="Times New Roman" w:hAnsi="Times New Roman"/>
          <w:caps w:val="false"/>
          <w:smallCaps w:val="false"/>
          <w:sz w:val="20"/>
          <w:u w:val="single"/>
        </w:rPr>
        <w:t>Section 8.03(h)</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    Liens in favor of HSBC Bank on the HSBC Cash Collateral Accounts to the extent securing obligations of Borrower permitted pursuant to </w:t>
      </w:r>
      <w:r>
        <w:rPr>
          <w:rFonts w:ascii="Times New Roman" w:hAnsi="Times New Roman"/>
          <w:caps w:val="false"/>
          <w:smallCaps w:val="false"/>
          <w:sz w:val="20"/>
          <w:u w:val="single"/>
        </w:rPr>
        <w:t>clause (h)</w:t>
      </w:r>
      <w:r>
        <w:rPr>
          <w:rFonts w:ascii="Times New Roman" w:hAnsi="Times New Roman"/>
          <w:caps w:val="false"/>
          <w:smallCaps w:val="false"/>
          <w:sz w:val="20"/>
        </w:rPr>
        <w:t xml:space="preserve"> of the definition of Permitted Contingent Obligations;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    cash collateral securing letters of credit permitted under clause (g) of the definition of “Permitted Contingent Obligations”;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amount of such cash collateral shall not exceed [***] percent ([***]%) of the face amount of the letter of credit it is securing; </w:t>
      </w:r>
      <w:r>
        <w:rPr>
          <w:rFonts w:ascii="Times New Roman" w:hAnsi="Times New Roman"/>
          <w:caps w:val="false"/>
          <w:smallCaps w:val="false"/>
          <w:strike/>
          <w:color w:val="FF0000"/>
          <w:sz w:val="20"/>
        </w:rPr>
        <w:t>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640"/>
        <w:jc w:val="both"/>
        <w:rPr>
          <w:rFonts w:ascii="Times New Roman" w:hAnsi="Times New Roman"/>
          <w:caps w:val="false"/>
          <w:smallCaps w:val="false"/>
          <w:color w:val="0000FF"/>
          <w:sz w:val="20"/>
          <w:u w:val="single"/>
          <w:bdr w:val="double" w:sz="2" w:space="1" w:color="000000"/>
        </w:rPr>
      </w:pPr>
      <w:r>
        <w:rPr>
          <w:rFonts w:ascii="Times New Roman" w:hAnsi="Times New Roman"/>
          <w:b/>
          <w:caps w:val="false"/>
          <w:smallCaps w:val="false"/>
          <w:color w:val="0000FF"/>
          <w:sz w:val="20"/>
          <w:u w:val="single"/>
          <w:bdr w:val="double" w:sz="2" w:space="1" w:color="000000"/>
        </w:rPr>
        <w:t>(u)</w:t>
      </w:r>
      <w:r>
        <w:rPr>
          <w:rFonts w:ascii="Times New Roman" w:hAnsi="Times New Roman"/>
          <w:caps w:val="false"/>
          <w:smallCaps w:val="false"/>
          <w:color w:val="0000FF"/>
          <w:sz w:val="20"/>
          <w:u w:val="single"/>
          <w:bdr w:val="double" w:sz="2" w:space="1" w:color="000000"/>
        </w:rPr>
        <w:t>         </w:t>
      </w:r>
      <w:r>
        <w:rPr>
          <w:rFonts w:ascii="Times New Roman" w:hAnsi="Times New Roman"/>
          <w:b/>
          <w:caps w:val="false"/>
          <w:smallCaps w:val="false"/>
          <w:color w:val="0000FF"/>
          <w:sz w:val="20"/>
          <w:u w:val="single"/>
          <w:bdr w:val="double" w:sz="2" w:space="1" w:color="000000"/>
        </w:rPr>
        <w:t xml:space="preserve">(i) the Back-Up Security Interests, subject to the Intercreditor Agreement and (ii) the backup security interests pursuant to clause (i)(c)(y) of the definition of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Royalty Financing Restrictions</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 xml:space="preserve">, subject to the intercreditor agreement entered into pursuant to clause (i)(c)(y) of the definition of </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Royalty Financing Restrictions</w:t>
      </w:r>
      <w:r>
        <w:rPr>
          <w:rFonts w:ascii="Times New Roman" w:hAnsi="Times New Roman"/>
          <w:caps w:val="false"/>
          <w:smallCaps w:val="false"/>
          <w:color w:val="0000FF"/>
          <w:sz w:val="20"/>
          <w:u w:val="single"/>
          <w:bdr w:val="double" w:sz="2" w:space="1" w:color="000000"/>
        </w:rPr>
        <w:t>”</w:t>
      </w:r>
      <w:r>
        <w:rPr>
          <w:rFonts w:ascii="Times New Roman" w:hAnsi="Times New Roman"/>
          <w:b/>
          <w:caps w:val="false"/>
          <w:smallCaps w:val="false"/>
          <w:color w:val="0000FF"/>
          <w:sz w:val="20"/>
          <w:u w:val="single"/>
          <w:bdr w:val="double" w:sz="2" w:space="1" w:color="000000"/>
        </w:rPr>
        <w:t>;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640"/>
        <w:jc w:val="both"/>
        <w:rPr>
          <w:rFonts w:ascii="Times New Roman" w:hAnsi="Times New Roman"/>
          <w:caps w:val="false"/>
          <w:smallCaps w:val="false"/>
          <w:sz w:val="20"/>
        </w:rPr>
      </w:pPr>
      <w:r>
        <w:rPr>
          <w:rFonts w:ascii="Times New Roman" w:hAnsi="Times New Roman"/>
          <w:b/>
          <w:caps w:val="false"/>
          <w:smallCaps w:val="false"/>
          <w:color w:val="0000FF"/>
          <w:sz w:val="20"/>
          <w:u w:val="single"/>
          <w:bdr w:val="double" w:sz="2" w:space="1" w:color="000000"/>
        </w:rPr>
        <w:t>(v)</w:t>
      </w:r>
      <w:r>
        <w:rPr>
          <w:rFonts w:ascii="Times New Roman" w:hAnsi="Times New Roman"/>
          <w:caps w:val="false"/>
          <w:smallCaps w:val="false"/>
          <w:sz w:val="20"/>
        </w:rPr>
        <w:t>         </w:t>
      </w:r>
      <w:r>
        <w:rPr>
          <w:rFonts w:ascii="Times New Roman" w:hAnsi="Times New Roman"/>
          <w:caps w:val="false"/>
          <w:smallCaps w:val="false"/>
          <w:strike/>
          <w:color w:val="FF0000"/>
          <w:sz w:val="20"/>
        </w:rPr>
        <w:t>(u)</w:t>
      </w:r>
      <w:r>
        <w:rPr>
          <w:rFonts w:ascii="Times New Roman" w:hAnsi="Times New Roman"/>
          <w:caps w:val="false"/>
          <w:smallCaps w:val="false"/>
          <w:sz w:val="20"/>
        </w:rPr>
        <w:t xml:space="preserve"> other Liens securing obligations (other than obligations constituting Capital Leases, letters of credit or debt for borrowed money) in an aggregate principal amount outstanding at any time not to exceed the Threshold Amount.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8.02    </w:t>
      </w:r>
      <w:r>
        <w:rPr>
          <w:rFonts w:ascii="Times New Roman" w:hAnsi="Times New Roman"/>
          <w:caps w:val="false"/>
          <w:smallCaps w:val="false"/>
          <w:sz w:val="20"/>
          <w:u w:val="single"/>
        </w:rPr>
        <w:t>Investments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Make any Investments, except: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Investments held by a Loan Party or a Subsidiary in the form of cash or Cash Equivalents;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Investments existing on date hereof and set forth in </w:t>
      </w:r>
      <w:r>
        <w:rPr>
          <w:rFonts w:ascii="Times New Roman" w:hAnsi="Times New Roman"/>
          <w:caps w:val="false"/>
          <w:smallCaps w:val="false"/>
          <w:sz w:val="20"/>
          <w:u w:val="single"/>
        </w:rPr>
        <w:t>Schedule 8.02</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Investments in any Person that is a Loan Party prior to giving effect to such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Investments by any Subsidiary of the Borrower that is not a Loan Party in any other Subsidiary of the Borrower that is not a Loan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(x) Investments consisting of extensions of credit in the nature of accounts receivable or notes receivable arising from the grant of trade credit in the ordinary course of business, (y) Investments received in satisfaction or partial satisfaction thereof from financially troubled account debtors to the extent reasonably necessary in order to prevent or limit loss and (z)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Permitted Acquisitions;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other Investments not exceeding the Threshold Amount in the aggregate at any one time outstanding;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no Investment otherwise permitted by this </w:t>
      </w:r>
      <w:r>
        <w:rPr>
          <w:rFonts w:ascii="Times New Roman" w:hAnsi="Times New Roman"/>
          <w:caps w:val="false"/>
          <w:smallCaps w:val="false"/>
          <w:sz w:val="20"/>
          <w:u w:val="single"/>
        </w:rPr>
        <w:t>clause (g)</w:t>
      </w:r>
      <w:r>
        <w:rPr>
          <w:rFonts w:ascii="Times New Roman" w:hAnsi="Times New Roman"/>
          <w:caps w:val="false"/>
          <w:smallCaps w:val="false"/>
          <w:sz w:val="20"/>
        </w:rPr>
        <w:t xml:space="preserve"> shall be permitted to be made if any Default has occurred and is continuing or would result therefrom; provided, further, that any Investment by a Loan Party in a Non-U.S. Subsidiary that is not a Loan Party in reliance on this clause (g) shall be limited to cash and Cash Equivalents;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Investments of cash and Cash Equivalents by Loan Parties in Non-U.S. Subsidiaries that are not Loan Parties, but solely to the extent that the aggregate amount of such Investments does not exceed $[***] at any time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[reserved];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(j)    Investments consisting of the endorsement of negotiable instruments for deposit or collection or similar transactions in the ordinary course of any Loan Party;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(k)    Investments consisting of (i) travel advances and employee relocation loans and other employee loans and advances in the ordinary course of business, and (ii) loans to employees, officers or directors relating to the purchase of equity securities of the Borrower pursuant to employee stock purchase plans or agreements approved by the Borrower’s board of directors, in an aggregate amount for all such Investments made in reliance of this </w:t>
      </w:r>
      <w:r>
        <w:rPr>
          <w:rFonts w:ascii="Times New Roman" w:hAnsi="Times New Roman"/>
          <w:caps w:val="false"/>
          <w:smallCaps w:val="false"/>
          <w:sz w:val="20"/>
          <w:u w:val="single"/>
        </w:rPr>
        <w:t>clause (k)</w:t>
      </w:r>
      <w:r>
        <w:rPr>
          <w:rFonts w:ascii="Times New Roman" w:hAnsi="Times New Roman"/>
          <w:caps w:val="false"/>
          <w:smallCaps w:val="false"/>
          <w:sz w:val="20"/>
        </w:rPr>
        <w:t xml:space="preserve"> not to exceed $[***] at any one time outstanding;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no Investment otherwise permitted by this </w:t>
      </w:r>
      <w:r>
        <w:rPr>
          <w:rFonts w:ascii="Times New Roman" w:hAnsi="Times New Roman"/>
          <w:caps w:val="false"/>
          <w:smallCaps w:val="false"/>
          <w:sz w:val="20"/>
          <w:u w:val="single"/>
        </w:rPr>
        <w:t>clause (k)</w:t>
      </w:r>
      <w:r>
        <w:rPr>
          <w:rFonts w:ascii="Times New Roman" w:hAnsi="Times New Roman"/>
          <w:caps w:val="false"/>
          <w:smallCaps w:val="false"/>
          <w:sz w:val="20"/>
        </w:rPr>
        <w:t xml:space="preserve"> shall be permitted to be made if any Default has occurred and is continuing or would result therefrom.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8.03    </w:t>
      </w:r>
      <w:r>
        <w:rPr>
          <w:rFonts w:ascii="Times New Roman" w:hAnsi="Times New Roman"/>
          <w:caps w:val="false"/>
          <w:smallCaps w:val="false"/>
          <w:sz w:val="20"/>
          <w:u w:val="single"/>
        </w:rPr>
        <w:t>Indebtedness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Create, incur, assume or suffer to exist any Indebtedness, except: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Indebtedness under the Loan Documents;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Indebtedness of the Borrower and its Subsidiaries existing on the date hereof and described on </w:t>
      </w:r>
      <w:r>
        <w:rPr>
          <w:rFonts w:ascii="Times New Roman" w:hAnsi="Times New Roman"/>
          <w:caps w:val="false"/>
          <w:smallCaps w:val="false"/>
          <w:sz w:val="20"/>
          <w:u w:val="single"/>
        </w:rPr>
        <w:t>Schedule 8.03</w:t>
      </w:r>
      <w:r>
        <w:rPr>
          <w:rFonts w:ascii="Times New Roman" w:hAnsi="Times New Roman"/>
          <w:caps w:val="false"/>
          <w:smallCaps w:val="false"/>
          <w:sz w:val="20"/>
        </w:rPr>
        <w:t xml:space="preserve"> and renewals, refinancings and extensions thereof; provided that no such Indebtedness shall be refinanced for a principal amount in excess of the principal balance outstanding thereon at the time of such refinancing except by an amount equal to unpaid accrued interest and premium thereon and fees, commissions and expenses (including upfront fees and original issue discount) reasonably incurred, in connection with such refinancing;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intercompany Indebtedness permitted under </w:t>
      </w:r>
      <w:r>
        <w:rPr>
          <w:rFonts w:ascii="Times New Roman" w:hAnsi="Times New Roman"/>
          <w:caps w:val="false"/>
          <w:smallCaps w:val="false"/>
          <w:sz w:val="20"/>
          <w:u w:val="single"/>
        </w:rPr>
        <w:t>Section 8.02</w:t>
      </w:r>
      <w:r>
        <w:rPr>
          <w:rFonts w:ascii="Times New Roman" w:hAnsi="Times New Roman"/>
          <w:caps w:val="false"/>
          <w:smallCaps w:val="false"/>
          <w:sz w:val="20"/>
        </w:rPr>
        <w:t xml:space="preserve"> (other than by reference to this </w:t>
      </w:r>
      <w:r>
        <w:rPr>
          <w:rFonts w:ascii="Times New Roman" w:hAnsi="Times New Roman"/>
          <w:caps w:val="false"/>
          <w:smallCaps w:val="false"/>
          <w:sz w:val="20"/>
          <w:u w:val="single"/>
        </w:rPr>
        <w:t>Section 8.03</w:t>
      </w:r>
      <w:r>
        <w:rPr>
          <w:rFonts w:ascii="Times New Roman" w:hAnsi="Times New Roman"/>
          <w:caps w:val="false"/>
          <w:smallCaps w:val="false"/>
          <w:sz w:val="20"/>
        </w:rPr>
        <w:t xml:space="preserve"> (or any sub-clause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obligations (contingent or otherwise) of the Borrower or any Subsidiary existing or arising under any Swap Contract,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purchase money Indebtedness (including obligations in respect of Capital Leases or Synthetic Leases) hereafter incurred by the Borrower or any of its Subsidiaries to finance the purchase of fixed assets, and renewals, refinancings and extensions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(i) no Default or Event of Default has occurred and is continuing both immediately prior to and after giving effect thereto, (ii) the total of all such Indebtedness for all such Persons taken together shall not exceed an aggregate principal amount of $[***] at any one time outstanding, (iii) such Indebtedness when incurred shall not exceed the purchase price of the asset(s) financed, and (iv) no such Indebtedness shall be refinanced for a principal amount in excess of the principal balance outstanding thereon at the time of such refinancing except by an amount equal to unpaid accrued interest and premium thereon plus other amounts owing or paid related to such Indebtedness, and fees, commissions and expenses (including upfront fees and original issue discount) reasonably incurred, in connection with such refinancing;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other unsecured Indebtedness hereafter incurred by the Borrower or any of its Subsidiaries in an aggregate amount not to exceed $[***] at any one time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Permitted Contingent Obligations;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Indebtedness incurred in the ordinary course of business not to exceed $[***] in the aggregate at any time outstanding owed to any Person providing property, casualty, liability, or other insurance to the Loan Parties, including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Convertible Bond Indebtedness;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(j)    Attributable Indebtedness in respect of Capital Leases incurred pursuant to automobile leases entered into in the ordinary course of business as part of employee compensation for employees based in Europe; provided that the aggregate amount of such Attributable Indebtedness incurred pursuant to this </w:t>
      </w:r>
      <w:r>
        <w:rPr>
          <w:rFonts w:ascii="Times New Roman" w:hAnsi="Times New Roman"/>
          <w:caps w:val="false"/>
          <w:smallCaps w:val="false"/>
          <w:sz w:val="20"/>
          <w:u w:val="single"/>
        </w:rPr>
        <w:t>clause (j)</w:t>
      </w:r>
      <w:r>
        <w:rPr>
          <w:rFonts w:ascii="Times New Roman" w:hAnsi="Times New Roman"/>
          <w:caps w:val="false"/>
          <w:smallCaps w:val="false"/>
          <w:sz w:val="20"/>
        </w:rPr>
        <w:t xml:space="preserve"> shall not exceed $[***] at any one time outstanding.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8.04    </w:t>
      </w:r>
      <w:r>
        <w:rPr>
          <w:rFonts w:ascii="Times New Roman" w:hAnsi="Times New Roman"/>
          <w:caps w:val="false"/>
          <w:smallCaps w:val="false"/>
          <w:sz w:val="20"/>
          <w:u w:val="single"/>
        </w:rPr>
        <w:t>Fundamental Changes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notwithstanding the foregoing provisions of this </w:t>
      </w:r>
      <w:r>
        <w:rPr>
          <w:rFonts w:ascii="Times New Roman" w:hAnsi="Times New Roman"/>
          <w:caps w:val="false"/>
          <w:smallCaps w:val="false"/>
          <w:sz w:val="20"/>
          <w:u w:val="single"/>
        </w:rPr>
        <w:t>Section 8.04</w:t>
      </w:r>
      <w:r>
        <w:rPr>
          <w:rFonts w:ascii="Times New Roman" w:hAnsi="Times New Roman"/>
          <w:caps w:val="false"/>
          <w:smallCaps w:val="false"/>
          <w:sz w:val="20"/>
        </w:rPr>
        <w:t xml:space="preserve"> but subject to the terms of </w:t>
      </w:r>
      <w:r>
        <w:rPr>
          <w:rFonts w:ascii="Times New Roman" w:hAnsi="Times New Roman"/>
          <w:caps w:val="false"/>
          <w:smallCaps w:val="false"/>
          <w:sz w:val="20"/>
          <w:u w:val="single"/>
        </w:rPr>
        <w:t>Sections 7.12</w:t>
      </w:r>
      <w:r>
        <w:rPr>
          <w:rFonts w:ascii="Times New Roman" w:hAnsi="Times New Roman"/>
          <w:caps w:val="false"/>
          <w:smallCaps w:val="false"/>
          <w:sz w:val="20"/>
        </w:rPr>
        <w:t xml:space="preserve"> and </w:t>
      </w:r>
      <w:r>
        <w:rPr>
          <w:rFonts w:ascii="Times New Roman" w:hAnsi="Times New Roman"/>
          <w:caps w:val="false"/>
          <w:smallCaps w:val="false"/>
          <w:sz w:val="20"/>
          <w:u w:val="single"/>
        </w:rPr>
        <w:t>7.14</w:t>
      </w:r>
      <w:r>
        <w:rPr>
          <w:rFonts w:ascii="Times New Roman" w:hAnsi="Times New Roman"/>
          <w:caps w:val="false"/>
          <w:smallCaps w:val="false"/>
          <w:sz w:val="20"/>
        </w:rPr>
        <w:t xml:space="preserve">, (a) the Borrower may merge or consolidate with any of its direct Subsidiaries, provided that the Borrower shall be the continuing or surviving entity, (b) any Loan Party (other than the Borrower) may merge or consolidate with any other Loan Party, (c) any Subsidiary that is not a Loan Party may be merged or consolidated with or into any Loan Party, provided that such Loan Party shall be the continuing or surviving entity, (d) any Subsidiary that is not a Loan Party may be merged or consolidated with or into any other direct Subsidiary of it that is not a Loan Party and (e) any Subsidiary that is not a Loan Party may dissolve, liquidate or wind up its affairs at any time provided that such dissolution, liquidation or winding up could not reasonably be expected to have a Material Adverse Effect and all of its assets and business are transferred to a Loan Party prior to or concurrently with such dissolution, liquidation or winding up;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in the case of (a) through (d) above, the merging parties are organized in the same jurisdiction (it being understood that for this purpose, States of the United States shall be deemed to be the same jurisdiction as each other).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8.05    </w:t>
      </w:r>
      <w:r>
        <w:rPr>
          <w:rFonts w:ascii="Times New Roman" w:hAnsi="Times New Roman"/>
          <w:caps w:val="false"/>
          <w:smallCaps w:val="false"/>
          <w:sz w:val="20"/>
          <w:u w:val="single"/>
        </w:rPr>
        <w:t>Dispositions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Make any Disposition, except, so long as no Default or Event of Default shall have occurred and be continuing both immediately prior to and after giving effect to such Disposition, (a) Permitted Licenses and dispositions of Inventory and Clinical Trial Material to licensees in connection with, and pursuant to reasonable and customary terms of, a Permitted License (provided that such dispositions shall be limited to Inventory and Clinical Trial Material related to the Product that is the subject of such Permitted License), (b) other Dispositions to the extent, in the case of this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(i) the consideration paid in connection therewith shall be cash or Cash Equivalents paid contemporaneous with consummation of the transaction and shall be in an amount not less than the fair market value of the property disposed of, (ii) such Disposition does not involve the sale, lease, license, transfer or other disposition of the Equity Interests in any Subsidiary, any Products and/or any IP Rights, and (iii) the aggregate fair market value of all of the assets sold or otherwise disposed of in such Disposition together with the aggregate fair market value of all assets sold or otherwise disposed of by the Borrower and its Subsidiaries in all such transactions does not exceed $[***] per fiscal year of the Borrower, and (c) asset sales of the Specified Products to any Person that is not an Affiliate of any Loan Party, Subsidiary or Affiliate of a Loan Party or Subsidiary (excluding, for the avoidance of doubt, the Disposition of any Equity Interests of a Subsidiary), to the extent, in the case of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that, the consideration paid in connection therewith shall be cash paid contemporaneously with the consummation of the transaction and shall be in an amount not less than the fair market value of the property disposed;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this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shall not include any Disposition in the form of a separate license, sale, transfer or financing of a right to receive any sales or revenue with respect to a Specified Product (or any IP Rights related to a Specified Product); </w:t>
      </w:r>
      <w:r>
        <w:rPr>
          <w:rFonts w:ascii="Times New Roman" w:hAnsi="Times New Roman"/>
          <w:caps w:val="false"/>
          <w:smallCaps w:val="false"/>
          <w:sz w:val="20"/>
          <w:u w:val="single"/>
        </w:rPr>
        <w:t>provided further that</w:t>
      </w:r>
      <w:r>
        <w:rPr>
          <w:rFonts w:ascii="Times New Roman" w:hAnsi="Times New Roman"/>
          <w:caps w:val="false"/>
          <w:smallCaps w:val="false"/>
          <w:sz w:val="20"/>
        </w:rPr>
        <w:t>, for the avoidance of doubt, the foregoing proviso shall not restrict any Permitted License or Other Royalty Financing otherwise separately permitted pursuant to the terms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8.06    </w:t>
      </w:r>
      <w:r>
        <w:rPr>
          <w:rFonts w:ascii="Times New Roman" w:hAnsi="Times New Roman"/>
          <w:caps w:val="false"/>
          <w:smallCaps w:val="false"/>
          <w:sz w:val="20"/>
          <w:u w:val="single"/>
        </w:rPr>
        <w:t>Restricted Payments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Declare or make, directly or indirectly, any Restricted Payment, or incur any obligation (contingent or otherwise) to do so, except that: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(i) each Subsidiary may make Restricted Payments to any Loan Party and (ii) each Subsidiary that is not a Loan Party may make Restricted Payments to another Subsidiary that is not a Loan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the Borrower and each Subsidiary may declare and make dividend payments or other distributions payable solely in the Qualified Capital Stock of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the Borrower may make (i) any payment of cash in lieu of a fractional share in accordance with the terms of any indenture governing Convertible Bond Indebtedness and (ii) subject to any subordination provisions applicable thereto, regularly scheduled interest payments as and when due in accordance with the terms of any indenture governing Convertible Bond Indebtedness;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(i) the Borrower may make cashless repurchases of its Equity Interests deemed to occur upon exercise of stock options or warrants of such Equity Interests to represent a portion of the exercise price of such options or warrants and (ii) to the extent constituting a Restricted Payment, the Borrower may acquire (or withhold) its Equity Interests pursuant to any employee stock option or similar plan in satisfaction of withholding or similar taxes payable by any present or former officer, employee, director or member of management and the Borrower may make deemed repurchases in connection with the exercise of stock options;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(i) the Borrower may (x) make the </w:t>
      </w:r>
      <w:r>
        <w:rPr>
          <w:rFonts w:ascii="Times New Roman" w:hAnsi="Times New Roman"/>
          <w:b/>
          <w:caps w:val="false"/>
          <w:smallCaps w:val="false"/>
          <w:color w:val="0000FF"/>
          <w:sz w:val="20"/>
          <w:u w:val="single"/>
          <w:bdr w:val="double" w:sz="2" w:space="1" w:color="000000"/>
        </w:rPr>
        <w:t>RP</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Royalty </w:t>
      </w:r>
      <w:r>
        <w:rPr>
          <w:rFonts w:ascii="Times New Roman" w:hAnsi="Times New Roman"/>
          <w:caps w:val="false"/>
          <w:smallCaps w:val="false"/>
          <w:strike/>
          <w:color w:val="FF0000"/>
          <w:sz w:val="20"/>
        </w:rPr>
        <w:t>Payment</w:t>
      </w:r>
      <w:r>
        <w:rPr>
          <w:rFonts w:ascii="Times New Roman" w:hAnsi="Times New Roman"/>
          <w:b/>
          <w:caps w:val="false"/>
          <w:smallCaps w:val="false"/>
          <w:color w:val="0000FF"/>
          <w:sz w:val="20"/>
          <w:u w:val="single"/>
          <w:bdr w:val="double" w:sz="2" w:space="1" w:color="000000"/>
        </w:rPr>
        <w:t>Payments</w:t>
      </w:r>
      <w:r>
        <w:rPr>
          <w:rFonts w:ascii="Times New Roman" w:hAnsi="Times New Roman"/>
          <w:caps w:val="false"/>
          <w:smallCaps w:val="false"/>
          <w:sz w:val="20"/>
        </w:rPr>
        <w:t xml:space="preserve"> on a quarterly basis to the </w:t>
      </w:r>
      <w:r>
        <w:rPr>
          <w:rFonts w:ascii="Times New Roman" w:hAnsi="Times New Roman"/>
          <w:b/>
          <w:caps w:val="false"/>
          <w:smallCaps w:val="false"/>
          <w:color w:val="0000FF"/>
          <w:sz w:val="20"/>
          <w:u w:val="single"/>
          <w:bdr w:val="double" w:sz="2" w:space="1" w:color="000000"/>
        </w:rPr>
        <w:t>2020 RP Buyer and the 2021 RP Buyer pursuant to Section 6.2(a) of 2021 RP Royalty Purchase Agreement, (y) make the Omers Royalty Payments on a quarterly basis to the Omers</w:t>
      </w:r>
      <w:r>
        <w:rPr>
          <w:rFonts w:ascii="Times New Roman" w:hAnsi="Times New Roman"/>
          <w:caps w:val="false"/>
          <w:smallCaps w:val="false"/>
          <w:sz w:val="20"/>
        </w:rPr>
        <w:t xml:space="preserve"> Buyer pursuant to Section 6.2(a) of the </w:t>
      </w:r>
      <w:r>
        <w:rPr>
          <w:rFonts w:ascii="Times New Roman" w:hAnsi="Times New Roman"/>
          <w:b/>
          <w:caps w:val="false"/>
          <w:smallCaps w:val="false"/>
          <w:color w:val="0000FF"/>
          <w:sz w:val="20"/>
          <w:u w:val="single"/>
          <w:bdr w:val="double" w:sz="2" w:space="1" w:color="000000"/>
        </w:rPr>
        <w:t>Omers</w:t>
      </w:r>
      <w:r>
        <w:rPr>
          <w:rFonts w:ascii="Times New Roman" w:hAnsi="Times New Roman"/>
          <w:caps w:val="false"/>
          <w:smallCaps w:val="false"/>
          <w:sz w:val="20"/>
        </w:rPr>
        <w:t xml:space="preserve"> Royalty </w:t>
      </w:r>
      <w:r>
        <w:rPr>
          <w:rFonts w:ascii="Times New Roman" w:hAnsi="Times New Roman"/>
          <w:caps w:val="false"/>
          <w:smallCaps w:val="false"/>
          <w:strike/>
          <w:color w:val="FF0000"/>
          <w:sz w:val="20"/>
        </w:rPr>
        <w:t>Financing</w:t>
      </w:r>
      <w:r>
        <w:rPr>
          <w:rFonts w:ascii="Times New Roman" w:hAnsi="Times New Roman"/>
          <w:b/>
          <w:caps w:val="false"/>
          <w:smallCaps w:val="false"/>
          <w:color w:val="0000FF"/>
          <w:sz w:val="20"/>
          <w:u w:val="single"/>
          <w:bdr w:val="double" w:sz="2" w:space="1" w:color="000000"/>
        </w:rPr>
        <w:t>Purchase</w:t>
      </w:r>
      <w:r>
        <w:rPr>
          <w:rFonts w:ascii="Times New Roman" w:hAnsi="Times New Roman"/>
          <w:caps w:val="false"/>
          <w:smallCaps w:val="false"/>
          <w:sz w:val="20"/>
        </w:rPr>
        <w:t xml:space="preserve"> Agreement and (y) make any other payments to the </w:t>
      </w:r>
      <w:r>
        <w:rPr>
          <w:rFonts w:ascii="Times New Roman" w:hAnsi="Times New Roman"/>
          <w:b/>
          <w:caps w:val="false"/>
          <w:smallCaps w:val="false"/>
          <w:color w:val="0000FF"/>
          <w:sz w:val="20"/>
          <w:u w:val="single"/>
          <w:bdr w:val="double" w:sz="2" w:space="1" w:color="000000"/>
        </w:rPr>
        <w:t>applicable</w:t>
      </w:r>
      <w:r>
        <w:rPr>
          <w:rFonts w:ascii="Times New Roman" w:hAnsi="Times New Roman"/>
          <w:caps w:val="false"/>
          <w:smallCaps w:val="false"/>
          <w:sz w:val="20"/>
        </w:rPr>
        <w:t xml:space="preserve"> Buyer required to be made under the </w:t>
      </w:r>
      <w:r>
        <w:rPr>
          <w:rFonts w:ascii="Times New Roman" w:hAnsi="Times New Roman"/>
          <w:b/>
          <w:caps w:val="false"/>
          <w:smallCaps w:val="false"/>
          <w:color w:val="0000FF"/>
          <w:sz w:val="20"/>
          <w:u w:val="single"/>
          <w:bdr w:val="double" w:sz="2" w:space="1" w:color="000000"/>
        </w:rPr>
        <w:t>2020 RP</w:t>
      </w:r>
      <w:r>
        <w:rPr>
          <w:rFonts w:ascii="Times New Roman" w:hAnsi="Times New Roman"/>
          <w:caps w:val="false"/>
          <w:smallCaps w:val="false"/>
          <w:sz w:val="20"/>
        </w:rPr>
        <w:t xml:space="preserve"> Royalty Financing Documents as in effect on the </w:t>
      </w:r>
      <w:r>
        <w:rPr>
          <w:rFonts w:ascii="Times New Roman" w:hAnsi="Times New Roman"/>
          <w:caps w:val="false"/>
          <w:smallCaps w:val="false"/>
          <w:strike/>
          <w:color w:val="FF0000"/>
          <w:sz w:val="20"/>
        </w:rPr>
        <w:t>date hereof and</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Amendment No. 1 Effective Date (and excluding any payments, the obligation of which to make has been replaced by an obligation to make such payment pursuant to the 2021 RP Royalty Financing Documents as in effect on the Amendment No. 1 Effective Date), the 2021 RP Royalty Financing Documents as in effect on the Amendment No. 1 Effective Date and the OMERS Royalty Financing Documents as in effect on the Amendment No. 1 Effective Date and</w:t>
      </w:r>
      <w:r>
        <w:rPr>
          <w:rFonts w:ascii="Times New Roman" w:hAnsi="Times New Roman"/>
          <w:caps w:val="false"/>
          <w:smallCaps w:val="false"/>
          <w:sz w:val="20"/>
        </w:rPr>
        <w:t xml:space="preserve"> (ii) subject to the Royalty Financing Restrictions, the Borrower may pay any revenue participation payment owing to the purchaser or buyer under any Other Royalty Financing Document pursuant to any comparable section in such Other Royalty Financing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8.07    </w:t>
      </w:r>
      <w:r>
        <w:rPr>
          <w:rFonts w:ascii="Times New Roman" w:hAnsi="Times New Roman"/>
          <w:caps w:val="false"/>
          <w:smallCaps w:val="false"/>
          <w:sz w:val="20"/>
          <w:u w:val="single"/>
        </w:rPr>
        <w:t>Change in Nature of Business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Engage in any material line of business substantially different from those lines of business conducted by the Borrower and its Subsidiaries on the Closing Date or any business substantially related or incidental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8.08    </w:t>
      </w:r>
      <w:r>
        <w:rPr>
          <w:rFonts w:ascii="Times New Roman" w:hAnsi="Times New Roman"/>
          <w:caps w:val="false"/>
          <w:smallCaps w:val="false"/>
          <w:sz w:val="20"/>
          <w:u w:val="single"/>
        </w:rPr>
        <w:t>Transactions with Affiliates and Insiders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Enter into or permit to exist any transaction or series of transactions, with any officer, director or Affiliate of a Loan Party or a Subsidiary other than (a) advances of working capital to any Loan Party, (b) [reserved], (c) intercompany transactions expressly permitted by </w:t>
      </w:r>
      <w:r>
        <w:rPr>
          <w:rFonts w:ascii="Times New Roman" w:hAnsi="Times New Roman"/>
          <w:caps w:val="false"/>
          <w:smallCaps w:val="false"/>
          <w:sz w:val="20"/>
          <w:u w:val="single"/>
        </w:rPr>
        <w:t>Section 8.02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8.03</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8.04</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8.05</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8.06</w:t>
      </w:r>
      <w:r>
        <w:rPr>
          <w:rFonts w:ascii="Times New Roman" w:hAnsi="Times New Roman"/>
          <w:caps w:val="false"/>
          <w:smallCaps w:val="false"/>
          <w:sz w:val="20"/>
        </w:rPr>
        <w:t xml:space="preserve"> (in each case, other than by reference to this </w:t>
      </w:r>
      <w:r>
        <w:rPr>
          <w:rFonts w:ascii="Times New Roman" w:hAnsi="Times New Roman"/>
          <w:caps w:val="false"/>
          <w:smallCaps w:val="false"/>
          <w:sz w:val="20"/>
          <w:u w:val="single"/>
        </w:rPr>
        <w:t>Section 8.08</w:t>
      </w:r>
      <w:r>
        <w:rPr>
          <w:rFonts w:ascii="Times New Roman" w:hAnsi="Times New Roman"/>
          <w:caps w:val="false"/>
          <w:smallCaps w:val="false"/>
          <w:sz w:val="20"/>
        </w:rPr>
        <w:t xml:space="preserve"> (or any sub-clause hereof)), (d) normal and reasonable compensation and reimbursement of expenses of officers and directors in the ordinary course of business (e)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 and (f) transactions solely between or among Loan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8.09    </w:t>
      </w:r>
      <w:r>
        <w:rPr>
          <w:rFonts w:ascii="Times New Roman" w:hAnsi="Times New Roman"/>
          <w:caps w:val="false"/>
          <w:smallCaps w:val="false"/>
          <w:sz w:val="20"/>
          <w:u w:val="single"/>
        </w:rPr>
        <w:t>Burdensome Agreements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Enter into, or permit to exist, any Contractual Obligation that (a) encumbers or restricts the ability of any such Person to (i) make Restricted Payments to any Loan Party, (ii) pay any Indebtedness or other obligations owed to any Loan Party, (iii) make loans or advances to any Loan Party, (iv)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(v)</w:t>
      </w:r>
      <w:r>
        <w:rPr>
          <w:rFonts w:ascii="Times New Roman" w:hAnsi="Times New Roman"/>
          <w:caps w:val="false"/>
          <w:smallCaps w:val="false"/>
          <w:sz w:val="20"/>
        </w:rPr>
        <w:t xml:space="preserve"> above) for (1) this Agreement and the other Loan Documents, (2) any document or instrument governing Indebtedness incurred pursuant to </w:t>
      </w:r>
      <w:r>
        <w:rPr>
          <w:rFonts w:ascii="Times New Roman" w:hAnsi="Times New Roman"/>
          <w:caps w:val="false"/>
          <w:smallCaps w:val="false"/>
          <w:sz w:val="20"/>
          <w:u w:val="single"/>
        </w:rPr>
        <w:t>Section 8.03(e)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any such restriction contained therein relates only to the asset or assets constructed or acquired in connection therewith, (3) customary provisions restricting assignment of any agreement entered into by the Borrower or any Subsidiary in the ordinary course of business, or (4) customary restrictions and conditions contained in any agreement relating to the sale of any property permitted under </w:t>
      </w:r>
      <w:r>
        <w:rPr>
          <w:rFonts w:ascii="Times New Roman" w:hAnsi="Times New Roman"/>
          <w:caps w:val="false"/>
          <w:smallCaps w:val="false"/>
          <w:sz w:val="20"/>
          <w:u w:val="single"/>
        </w:rPr>
        <w:t>Section 8.05</w:t>
      </w:r>
      <w:r>
        <w:rPr>
          <w:rFonts w:ascii="Times New Roman" w:hAnsi="Times New Roman"/>
          <w:caps w:val="false"/>
          <w:smallCaps w:val="false"/>
          <w:sz w:val="20"/>
        </w:rPr>
        <w:t xml:space="preserve"> pending the consummation of such sale s or (b) requires the grant of any security for any obligation if such property is given as security for the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8.10    </w:t>
      </w:r>
      <w:r>
        <w:rPr>
          <w:rFonts w:ascii="Times New Roman" w:hAnsi="Times New Roman"/>
          <w:caps w:val="false"/>
          <w:smallCaps w:val="false"/>
          <w:sz w:val="20"/>
          <w:u w:val="single"/>
        </w:rPr>
        <w:t>Use of Proceeds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Use the proceeds of any Loan,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8.11    </w:t>
      </w:r>
      <w:r>
        <w:rPr>
          <w:rFonts w:ascii="Times New Roman" w:hAnsi="Times New Roman"/>
          <w:caps w:val="false"/>
          <w:smallCaps w:val="false"/>
          <w:sz w:val="20"/>
          <w:u w:val="single"/>
        </w:rPr>
        <w:t>Prepayment of Other Indebtedness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Make (or give any notice with respect thereto) any voluntary or optional payment or prepayment or voluntary or optional redemption or acquisition for value of (including without limitation, by way of depositing money or securities with the trustee with respect thereto before due for the purpose of paying when due), refund, refinance or exchange of any Indebtedness of any Loan Party or any Subsidiary that is (or is required to be) (a) subordinated in right of payment to the Obligations, (b) unsecured Indebtedness or (c) Indebtedness secured by Liens which are junior to the Liens securing the Obligations, in the case of each of the foregoing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(c)</w:t>
      </w:r>
      <w:r>
        <w:rPr>
          <w:rFonts w:ascii="Times New Roman" w:hAnsi="Times New Roman"/>
          <w:caps w:val="false"/>
          <w:smallCaps w:val="false"/>
          <w:sz w:val="20"/>
        </w:rPr>
        <w:t xml:space="preserve"> except for (i) any settlement or conversion of Convertible Bond Indebtedness solely with or into common stock of the Borrower</w:t>
      </w:r>
      <w:r>
        <w:rPr>
          <w:rFonts w:ascii="Times New Roman" w:hAnsi="Times New Roman"/>
          <w:caps w:val="false"/>
          <w:smallCaps w:val="false"/>
          <w:sz w:val="20"/>
          <w:u w:val="single"/>
        </w:rPr>
        <w:t xml:space="preserve"> and (ii)</w:t>
      </w:r>
      <w:r>
        <w:rPr>
          <w:rFonts w:ascii="Times New Roman" w:hAnsi="Times New Roman"/>
          <w:caps w:val="false"/>
          <w:smallCaps w:val="false"/>
          <w:sz w:val="20"/>
        </w:rPr>
        <w:t xml:space="preserve"> any payment of cash in lieu of a fractional share in accordance with the terms of any indenture governing Convertible Bond Indebtedness in connection with the settlement or conversion of Convertible Bond Indebtedness permitted by clause (i) above of this </w:t>
      </w:r>
      <w:r>
        <w:rPr>
          <w:rFonts w:ascii="Times New Roman" w:hAnsi="Times New Roman"/>
          <w:caps w:val="false"/>
          <w:smallCaps w:val="false"/>
          <w:sz w:val="20"/>
          <w:u w:val="single"/>
        </w:rPr>
        <w:t>Section 8.11</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8.12    </w:t>
      </w:r>
      <w:r>
        <w:rPr>
          <w:rFonts w:ascii="Times New Roman" w:hAnsi="Times New Roman"/>
          <w:caps w:val="false"/>
          <w:smallCaps w:val="false"/>
          <w:sz w:val="20"/>
          <w:u w:val="single"/>
        </w:rPr>
        <w:t>Organization Documents; Fiscal Year; Legal Name, Jurisdiction of Formation and Form of Entity; Certain Amendments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(a)    Amend, modify or change its Organization Documents in a manner materially adverse to the Lenders.</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(b)    Change its fiscal year.</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rPr>
          <w:rFonts w:ascii="Times New Roman" w:hAnsi="Times New Roman"/>
          <w:caps w:val="false"/>
          <w:smallCaps w:val="false"/>
          <w:sz w:val="20"/>
        </w:rPr>
      </w:pPr>
      <w:r>
        <w:rPr>
          <w:rFonts w:ascii="Times New Roman" w:hAnsi="Times New Roman"/>
          <w:caps w:val="false"/>
          <w:smallCaps w:val="false"/>
          <w:sz w:val="20"/>
        </w:rPr>
        <w:t>(c)    Without providing five (5) days prior written notice to the Administrative Agent and otherwise taking any steps that in the Administrative Agent’s reasonable discretion would be necessary, appropriate or convenient in order to perfect and maintain perfection of the security interests granted under the Security Documents, change its name, jurisdiction of organization or form of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Amend, supplement, waive or otherwise modify (or permit the amendment, supplement, waiver or modification), or enter into any forbearance from exercising any rights with respect to, (i) any Material Contract (other than any Royalty Financing Document or Other Royalty Financing Document) if such amendment, supplement, waiver, other modification or forbearance could reasonably be expected to result in a material adverse effect on any Product Development and Commercialization Activities, (ii) any document or other agreement evidencing Indebtedness in excess of the Threshold Amount in a manner materially adverse to the Administrative Agent or any Lender or (iii) any Royalty Financing Document or Other Royalty Financing Document, in each case, in a manner adverse to the Administrative Agent or any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Each Loan Party shall, prior to entering into any amendment, supplement, waiver or other modification of, or forbearance with respect to, any Royalty Financing Document, Other Royalty Financing Document, other Material Contract or any document or other agreement evidencing Indebtedness in excess of the Threshold Amount to the extent such amendment, supplement, waiver, modification or forbearance is not permitted by this </w:t>
      </w:r>
      <w:r>
        <w:rPr>
          <w:rFonts w:ascii="Times New Roman" w:hAnsi="Times New Roman"/>
          <w:caps w:val="false"/>
          <w:smallCaps w:val="false"/>
          <w:sz w:val="20"/>
          <w:u w:val="single"/>
        </w:rPr>
        <w:t>Section 8.12</w:t>
      </w:r>
      <w:r>
        <w:rPr>
          <w:rFonts w:ascii="Times New Roman" w:hAnsi="Times New Roman"/>
          <w:caps w:val="false"/>
          <w:smallCaps w:val="false"/>
          <w:sz w:val="20"/>
        </w:rPr>
        <w:t xml:space="preserve">, deliver to Administrative Agent reasonably in advance of the execution thereof, any final or execution form copy of amendments, supplements, waivers or other modifications to such documents, and, if approval of Administrative Agent is required by the terms of this </w:t>
      </w:r>
      <w:r>
        <w:rPr>
          <w:rFonts w:ascii="Times New Roman" w:hAnsi="Times New Roman"/>
          <w:caps w:val="false"/>
          <w:smallCaps w:val="false"/>
          <w:sz w:val="20"/>
          <w:u w:val="single"/>
        </w:rPr>
        <w:t>Section 8.12</w:t>
      </w:r>
      <w:r>
        <w:rPr>
          <w:rFonts w:ascii="Times New Roman" w:hAnsi="Times New Roman"/>
          <w:caps w:val="false"/>
          <w:smallCaps w:val="false"/>
          <w:sz w:val="20"/>
        </w:rPr>
        <w:t xml:space="preserve"> prior to the taking of any such action, the Loan Parties agree not to take, nor permit any of its Subsidiaries to take, any such action with respect to any such documents without obtaining such approval from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8.13    </w:t>
      </w:r>
      <w:r>
        <w:rPr>
          <w:rFonts w:ascii="Times New Roman" w:hAnsi="Times New Roman"/>
          <w:caps w:val="false"/>
          <w:smallCaps w:val="false"/>
          <w:sz w:val="20"/>
          <w:u w:val="single"/>
        </w:rPr>
        <w:t>Ownership of Subsidiaries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 other provisions of this Agreement to the contrary, (a) permit any Person (other than any Loan Party or any Wholly-Owned Subsidiary of the Borrower) to own any Equity Interests of any Subsidiary of any Loan Party, except to qualify directors where required by applicable law or to satisfy other requirements of applicable law with respect to the ownership of Equity Interests of Non-U.S. Subsidiaries, (b) permit any Loan Party or any Subsidiary to issue or have outstanding any shares of Disqualified Capital Stock or (c) create, incur, assume or suffer to exist any Lien (other than Liens permitted under </w:t>
      </w:r>
      <w:r>
        <w:rPr>
          <w:rFonts w:ascii="Times New Roman" w:hAnsi="Times New Roman"/>
          <w:caps w:val="false"/>
          <w:smallCaps w:val="false"/>
          <w:sz w:val="20"/>
          <w:u w:val="single"/>
        </w:rPr>
        <w:t>Section 8.01(a)</w:t>
      </w:r>
      <w:r>
        <w:rPr>
          <w:rFonts w:ascii="Times New Roman" w:hAnsi="Times New Roman"/>
          <w:caps w:val="false"/>
          <w:smallCaps w:val="false"/>
          <w:sz w:val="20"/>
        </w:rPr>
        <w:t>) on any Equity Interests of any Subsidiary of any Loan Party.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8.14    </w:t>
      </w:r>
      <w:r>
        <w:rPr>
          <w:rFonts w:ascii="Times New Roman" w:hAnsi="Times New Roman"/>
          <w:caps w:val="false"/>
          <w:smallCaps w:val="false"/>
          <w:sz w:val="20"/>
          <w:u w:val="single"/>
        </w:rPr>
        <w:t>Sale Leasebacks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Enter into any Sale and Leaseback Transaction.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8.15    </w:t>
      </w:r>
      <w:r>
        <w:rPr>
          <w:rFonts w:ascii="Times New Roman" w:hAnsi="Times New Roman"/>
          <w:caps w:val="false"/>
          <w:smallCaps w:val="false"/>
          <w:sz w:val="20"/>
          <w:u w:val="single"/>
        </w:rPr>
        <w:t>Sanctions; Anti-Corruption Laws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Directly or indirectly, use the proceeds of any Loan, or lend, contribute or otherwise make available such proceeds of any Loan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transactions hereunder, whether as a Lender, Administrative Agent or otherwise) of Sanctions.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Directly or indirectly, use the proceeds of any Loan for any purpose which would breach the United States Foreign Corrupt Practices Act of 1977, the UK Bribery Act 2010 and other similar anti-corruption legislation in other jurisdictions.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8.16    </w:t>
      </w:r>
      <w:r>
        <w:rPr>
          <w:rFonts w:ascii="Times New Roman" w:hAnsi="Times New Roman"/>
          <w:caps w:val="false"/>
          <w:smallCaps w:val="false"/>
          <w:sz w:val="20"/>
          <w:u w:val="single"/>
        </w:rPr>
        <w:t>Minimum Liquidity</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Permit the amount of Unrestricted Cash of the Loan Parties held in Deposit Accounts for which the Administrative Agent shall have received a Deposit Account Control Agreement at any time to be less than: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if only the Term A Borrowing has occurred: $15,000,000;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if the Term B Borrowing has occurred but the Term C Loan Borrowing has not occurred: $20,000,000;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if the Term C Borrowing has occurred (and the Cure Right has not been exercised pursuant to </w:t>
      </w:r>
      <w:r>
        <w:rPr>
          <w:rFonts w:ascii="Times New Roman" w:hAnsi="Times New Roman"/>
          <w:caps w:val="false"/>
          <w:smallCaps w:val="false"/>
          <w:sz w:val="20"/>
          <w:u w:val="single"/>
        </w:rPr>
        <w:t>Section 9.04</w:t>
      </w:r>
      <w:r>
        <w:rPr>
          <w:rFonts w:ascii="Times New Roman" w:hAnsi="Times New Roman"/>
          <w:caps w:val="false"/>
          <w:smallCaps w:val="false"/>
          <w:sz w:val="20"/>
        </w:rPr>
        <w:t>): $15,000,000;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if the Cure Right has been exercised pursuant to </w:t>
      </w:r>
      <w:r>
        <w:rPr>
          <w:rFonts w:ascii="Times New Roman" w:hAnsi="Times New Roman"/>
          <w:caps w:val="false"/>
          <w:smallCaps w:val="false"/>
          <w:sz w:val="20"/>
          <w:u w:val="single"/>
        </w:rPr>
        <w:t>Section 9.04</w:t>
      </w:r>
      <w:r>
        <w:rPr>
          <w:rFonts w:ascii="Times New Roman" w:hAnsi="Times New Roman"/>
          <w:caps w:val="false"/>
          <w:smallCaps w:val="false"/>
          <w:sz w:val="20"/>
        </w:rPr>
        <w:t>: $20,000,000.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8.17    </w:t>
      </w:r>
      <w:r>
        <w:rPr>
          <w:rFonts w:ascii="Times New Roman" w:hAnsi="Times New Roman"/>
          <w:caps w:val="false"/>
          <w:smallCaps w:val="false"/>
          <w:sz w:val="20"/>
          <w:u w:val="single"/>
        </w:rPr>
        <w:t>Minimum Orladeyo Consolidated U.S. Net Product Sales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last day of each fiscal quarter of the Borrower (a “</w:t>
      </w:r>
      <w:r>
        <w:rPr>
          <w:rFonts w:ascii="Times New Roman" w:hAnsi="Times New Roman"/>
          <w:caps w:val="false"/>
          <w:smallCaps w:val="false"/>
          <w:sz w:val="20"/>
          <w:u w:val="single"/>
        </w:rPr>
        <w:t>Test Date</w:t>
      </w:r>
      <w:r>
        <w:rPr>
          <w:rFonts w:ascii="Times New Roman" w:hAnsi="Times New Roman"/>
          <w:caps w:val="false"/>
          <w:smallCaps w:val="false"/>
          <w:sz w:val="20"/>
        </w:rPr>
        <w:t>”) beginning with the first Test Date occurring immediately after the Term C Borrowing Date, permit Orladeyo Consolidated U.S. Net Product Sales for the four-fiscal quarter period ending on such Test Date to be less than the amount set forth in the table below:</w:t>
      </w:r>
    </w:p>
    <w:p>
      <w:pPr>
        <w:pStyle w:val="TextBody"/>
        <w:spacing w:before="0" w:after="0"/>
        <w:ind w:left="0" w:right="0" w:hanging="0"/>
        <w:rPr>
          <w:caps w:val="false"/>
          <w:smallCaps w:val="false"/>
        </w:rPr>
      </w:pPr>
      <w:r>
        <w:rPr>
          <w:caps w:val="false"/>
          <w:smallCaps w:val="false"/>
        </w:rPr>
        <w:t> </w:t>
      </w:r>
    </w:p>
    <w:tbl>
      <w:tblPr>
        <w:tblW w:w="9655" w:type="dxa"/>
        <w:jc w:val="left"/>
        <w:tblInd w:w="0" w:type="dxa"/>
        <w:tblCellMar>
          <w:top w:w="28" w:type="dxa"/>
          <w:left w:w="28" w:type="dxa"/>
          <w:bottom w:w="28" w:type="dxa"/>
          <w:right w:w="0" w:type="dxa"/>
        </w:tblCellMar>
      </w:tblPr>
      <w:tblGrid>
        <w:gridCol w:w="4715"/>
        <w:gridCol w:w="4940"/>
      </w:tblGrid>
      <w:tr>
        <w:trPr/>
        <w:tc>
          <w:tcPr>
            <w:tcW w:w="4715" w:type="dxa"/>
            <w:tcBorders>
              <w:top w:val="single" w:sz="2" w:space="0" w:color="000000"/>
              <w:left w:val="single" w:sz="2" w:space="0" w:color="000000"/>
              <w:bottom w:val="single" w:sz="2" w:space="0" w:color="000000"/>
            </w:tcBorders>
            <w:shd w:fill="E6E6E6"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Test Date ending after Term C Loan Borrowing Date:</w:t>
            </w:r>
          </w:p>
        </w:tc>
        <w:tc>
          <w:tcPr>
            <w:tcW w:w="4940"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Minimum Orladeyo Consolidated U.S. Net Product Sales</w:t>
            </w:r>
          </w:p>
        </w:tc>
      </w:tr>
      <w:tr>
        <w:trPr/>
        <w:tc>
          <w:tcPr>
            <w:tcW w:w="4715" w:type="dxa"/>
            <w:tcBorders>
              <w:left w:val="single" w:sz="2" w:space="0" w:color="000000"/>
              <w:bottom w:val="single" w:sz="2" w:space="0" w:color="000000"/>
            </w:tcBorders>
            <w:shd w:fill="FFFFFF"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First Test Date</w:t>
            </w:r>
          </w:p>
        </w:tc>
        <w:tc>
          <w:tcPr>
            <w:tcW w:w="4940" w:type="dxa"/>
            <w:tcBorders>
              <w:left w:val="single" w:sz="2" w:space="0" w:color="000000"/>
              <w:bottom w:val="single" w:sz="2" w:space="0" w:color="000000"/>
              <w:right w:val="single" w:sz="2" w:space="0" w:color="000000"/>
            </w:tcBorders>
            <w:shd w:fill="FFFFFF"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1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Second Test Date:</w:t>
            </w:r>
          </w:p>
        </w:tc>
        <w:tc>
          <w:tcPr>
            <w:tcW w:w="494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1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Third Test Date:</w:t>
            </w:r>
          </w:p>
        </w:tc>
        <w:tc>
          <w:tcPr>
            <w:tcW w:w="494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1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Fourth Test Date and each Test Date thereafter:</w:t>
            </w:r>
          </w:p>
        </w:tc>
        <w:tc>
          <w:tcPr>
            <w:tcW w:w="494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8.18    </w:t>
      </w:r>
      <w:r>
        <w:rPr>
          <w:rFonts w:ascii="Times New Roman" w:hAnsi="Times New Roman"/>
          <w:caps w:val="false"/>
          <w:smallCaps w:val="false"/>
          <w:sz w:val="20"/>
          <w:u w:val="single"/>
        </w:rPr>
        <w:t>MDCP</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Permit MDCP to (a) conduct any business operations, (b) have any cash or other assets (including any licenses or permits) or any liabilities (other than de minimis assets or liabilities as required by applicable Law), (c) own any Equity Interests of any Loan Party or any other Subsidiary of any Loan Party or (d) operate any part of the business of any Loan Party or any other Subsidiary.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Directly or indirectly, (A) make any Investment in MDCP or (B) sell, transfer, license, lease or dispose of any asset or property of such Loan Party or Subsidiary to MDCP.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IX</w:t>
        <w:br/>
        <w:br/>
        <w:t>EVENTS OF DEFAULT AND REMEDIES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9.01    </w:t>
      </w:r>
      <w:r>
        <w:rPr>
          <w:rFonts w:ascii="Times New Roman" w:hAnsi="Times New Roman"/>
          <w:caps w:val="false"/>
          <w:smallCaps w:val="false"/>
          <w:sz w:val="20"/>
          <w:u w:val="single"/>
        </w:rPr>
        <w:t>Events of Default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of the following shall constitute an Event of Default: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Non-Payment</w:t>
      </w:r>
      <w:r>
        <w:rPr>
          <w:rFonts w:ascii="Times New Roman" w:hAnsi="Times New Roman"/>
          <w:caps w:val="false"/>
          <w:smallCaps w:val="false"/>
          <w:sz w:val="20"/>
        </w:rPr>
        <w:t>. The Borrower or any other Loan Party fails to pay (i) when and as required to be paid herein, any amount of principal of any Loan (including any prepayment or repayment premium or exit fee due in connection with such principal amount), or (ii) within three Business Days after the same becomes due, any interest on any Loan, any fee due hereunder or any other amount payable hereunder or under any other Loan Document;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Specific Covenants</w:t>
      </w:r>
      <w:r>
        <w:rPr>
          <w:rFonts w:ascii="Times New Roman" w:hAnsi="Times New Roman"/>
          <w:caps w:val="false"/>
          <w:smallCaps w:val="false"/>
          <w:sz w:val="20"/>
        </w:rPr>
        <w:t xml:space="preserve">. Any Loan Party fails to perform or observe any term, covenant or agreement contained in any of </w:t>
      </w:r>
      <w:r>
        <w:rPr>
          <w:rFonts w:ascii="Times New Roman" w:hAnsi="Times New Roman"/>
          <w:caps w:val="false"/>
          <w:smallCaps w:val="false"/>
          <w:sz w:val="20"/>
          <w:u w:val="single"/>
        </w:rPr>
        <w:t>Section 7.01</w:t>
      </w:r>
      <w:r>
        <w:rPr>
          <w:rFonts w:ascii="Times New Roman" w:hAnsi="Times New Roman"/>
          <w:caps w:val="false"/>
          <w:smallCaps w:val="false"/>
          <w:sz w:val="20"/>
        </w:rPr>
        <w:t xml:space="preserve">, </w:t>
      </w:r>
      <w:r>
        <w:rPr>
          <w:rFonts w:ascii="Times New Roman" w:hAnsi="Times New Roman"/>
          <w:caps w:val="false"/>
          <w:smallCaps w:val="false"/>
          <w:sz w:val="20"/>
          <w:u w:val="single"/>
        </w:rPr>
        <w:t>7.02</w:t>
      </w:r>
      <w:r>
        <w:rPr>
          <w:rFonts w:ascii="Times New Roman" w:hAnsi="Times New Roman"/>
          <w:caps w:val="false"/>
          <w:smallCaps w:val="false"/>
          <w:sz w:val="20"/>
        </w:rPr>
        <w:t xml:space="preserve">, </w:t>
      </w:r>
      <w:r>
        <w:rPr>
          <w:rFonts w:ascii="Times New Roman" w:hAnsi="Times New Roman"/>
          <w:caps w:val="false"/>
          <w:smallCaps w:val="false"/>
          <w:sz w:val="20"/>
          <w:u w:val="single"/>
        </w:rPr>
        <w:t>7.03</w:t>
      </w:r>
      <w:r>
        <w:rPr>
          <w:rFonts w:ascii="Times New Roman" w:hAnsi="Times New Roman"/>
          <w:caps w:val="false"/>
          <w:smallCaps w:val="false"/>
          <w:sz w:val="20"/>
        </w:rPr>
        <w:t xml:space="preserve">, </w:t>
      </w:r>
      <w:r>
        <w:rPr>
          <w:rFonts w:ascii="Times New Roman" w:hAnsi="Times New Roman"/>
          <w:caps w:val="false"/>
          <w:smallCaps w:val="false"/>
          <w:sz w:val="20"/>
          <w:u w:val="single"/>
        </w:rPr>
        <w:t>7.05</w:t>
      </w:r>
      <w:r>
        <w:rPr>
          <w:rFonts w:ascii="Times New Roman" w:hAnsi="Times New Roman"/>
          <w:caps w:val="false"/>
          <w:smallCaps w:val="false"/>
          <w:sz w:val="20"/>
        </w:rPr>
        <w:t xml:space="preserve"> (solely as to any Loan Party), </w:t>
      </w:r>
      <w:r>
        <w:rPr>
          <w:rFonts w:ascii="Times New Roman" w:hAnsi="Times New Roman"/>
          <w:caps w:val="false"/>
          <w:smallCaps w:val="false"/>
          <w:sz w:val="20"/>
          <w:u w:val="single"/>
        </w:rPr>
        <w:t>7.10</w:t>
      </w:r>
      <w:r>
        <w:rPr>
          <w:rFonts w:ascii="Times New Roman" w:hAnsi="Times New Roman"/>
          <w:caps w:val="false"/>
          <w:smallCaps w:val="false"/>
          <w:sz w:val="20"/>
        </w:rPr>
        <w:t xml:space="preserve">, </w:t>
      </w:r>
      <w:r>
        <w:rPr>
          <w:rFonts w:ascii="Times New Roman" w:hAnsi="Times New Roman"/>
          <w:caps w:val="false"/>
          <w:smallCaps w:val="false"/>
          <w:sz w:val="20"/>
          <w:u w:val="single"/>
        </w:rPr>
        <w:t>7.11</w:t>
      </w:r>
      <w:r>
        <w:rPr>
          <w:rFonts w:ascii="Times New Roman" w:hAnsi="Times New Roman"/>
          <w:caps w:val="false"/>
          <w:smallCaps w:val="false"/>
          <w:sz w:val="20"/>
        </w:rPr>
        <w:t xml:space="preserve">, </w:t>
      </w:r>
      <w:r>
        <w:rPr>
          <w:rFonts w:ascii="Times New Roman" w:hAnsi="Times New Roman"/>
          <w:caps w:val="false"/>
          <w:smallCaps w:val="false"/>
          <w:sz w:val="20"/>
          <w:u w:val="single"/>
        </w:rPr>
        <w:t>7.12</w:t>
      </w:r>
      <w:r>
        <w:rPr>
          <w:rFonts w:ascii="Times New Roman" w:hAnsi="Times New Roman"/>
          <w:caps w:val="false"/>
          <w:smallCaps w:val="false"/>
          <w:sz w:val="20"/>
        </w:rPr>
        <w:t xml:space="preserve">, </w:t>
      </w:r>
      <w:r>
        <w:rPr>
          <w:rFonts w:ascii="Times New Roman" w:hAnsi="Times New Roman"/>
          <w:caps w:val="false"/>
          <w:smallCaps w:val="false"/>
          <w:sz w:val="20"/>
          <w:u w:val="single"/>
        </w:rPr>
        <w:t>7.14</w:t>
      </w:r>
      <w:r>
        <w:rPr>
          <w:rFonts w:ascii="Times New Roman" w:hAnsi="Times New Roman"/>
          <w:caps w:val="false"/>
          <w:smallCaps w:val="false"/>
          <w:sz w:val="20"/>
        </w:rPr>
        <w:t xml:space="preserve">, </w:t>
      </w:r>
      <w:r>
        <w:rPr>
          <w:rFonts w:ascii="Times New Roman" w:hAnsi="Times New Roman"/>
          <w:caps w:val="false"/>
          <w:smallCaps w:val="false"/>
          <w:sz w:val="20"/>
          <w:u w:val="single"/>
        </w:rPr>
        <w:t>7.16</w:t>
      </w:r>
      <w:r>
        <w:rPr>
          <w:rFonts w:ascii="Times New Roman" w:hAnsi="Times New Roman"/>
          <w:caps w:val="false"/>
          <w:smallCaps w:val="false"/>
          <w:sz w:val="20"/>
        </w:rPr>
        <w:t xml:space="preserve">, </w:t>
      </w:r>
      <w:r>
        <w:rPr>
          <w:rFonts w:ascii="Times New Roman" w:hAnsi="Times New Roman"/>
          <w:caps w:val="false"/>
          <w:smallCaps w:val="false"/>
          <w:sz w:val="20"/>
          <w:u w:val="single"/>
        </w:rPr>
        <w:t>7.17</w:t>
      </w:r>
      <w:r>
        <w:rPr>
          <w:rFonts w:ascii="Times New Roman" w:hAnsi="Times New Roman"/>
          <w:caps w:val="false"/>
          <w:smallCaps w:val="false"/>
          <w:sz w:val="20"/>
        </w:rPr>
        <w:t xml:space="preserve">, </w:t>
      </w:r>
      <w:r>
        <w:rPr>
          <w:rFonts w:ascii="Times New Roman" w:hAnsi="Times New Roman"/>
          <w:caps w:val="false"/>
          <w:smallCaps w:val="false"/>
          <w:sz w:val="20"/>
          <w:u w:val="single"/>
        </w:rPr>
        <w:t>7.18(b)</w:t>
      </w:r>
      <w:r>
        <w:rPr>
          <w:rFonts w:ascii="Times New Roman" w:hAnsi="Times New Roman"/>
          <w:caps w:val="false"/>
          <w:smallCaps w:val="false"/>
          <w:sz w:val="20"/>
        </w:rPr>
        <w:t xml:space="preserve">, </w:t>
      </w:r>
      <w:r>
        <w:rPr>
          <w:rFonts w:ascii="Times New Roman" w:hAnsi="Times New Roman"/>
          <w:caps w:val="false"/>
          <w:smallCaps w:val="false"/>
          <w:sz w:val="20"/>
          <w:u w:val="single"/>
        </w:rPr>
        <w:t>7.19</w:t>
      </w:r>
      <w:r>
        <w:rPr>
          <w:rFonts w:ascii="Times New Roman" w:hAnsi="Times New Roman"/>
          <w:caps w:val="false"/>
          <w:smallCaps w:val="false"/>
          <w:sz w:val="20"/>
        </w:rPr>
        <w:t xml:space="preserve">, </w:t>
      </w:r>
      <w:r>
        <w:rPr>
          <w:rFonts w:ascii="Times New Roman" w:hAnsi="Times New Roman"/>
          <w:caps w:val="false"/>
          <w:smallCaps w:val="false"/>
          <w:sz w:val="20"/>
          <w:u w:val="single"/>
        </w:rPr>
        <w:t>7.20</w:t>
      </w:r>
      <w:r>
        <w:rPr>
          <w:rFonts w:ascii="Times New Roman" w:hAnsi="Times New Roman"/>
          <w:caps w:val="false"/>
          <w:smallCaps w:val="false"/>
          <w:sz w:val="20"/>
        </w:rPr>
        <w:t xml:space="preserve">, </w:t>
      </w:r>
      <w:r>
        <w:rPr>
          <w:rFonts w:ascii="Times New Roman" w:hAnsi="Times New Roman"/>
          <w:caps w:val="false"/>
          <w:smallCaps w:val="false"/>
          <w:sz w:val="20"/>
          <w:u w:val="single"/>
        </w:rPr>
        <w:t>7.21</w:t>
      </w:r>
      <w:r>
        <w:rPr>
          <w:rFonts w:ascii="Times New Roman" w:hAnsi="Times New Roman"/>
          <w:caps w:val="false"/>
          <w:smallCaps w:val="false"/>
          <w:sz w:val="20"/>
        </w:rPr>
        <w:t xml:space="preserve"> or </w:t>
      </w:r>
      <w:r>
        <w:rPr>
          <w:rFonts w:ascii="Times New Roman" w:hAnsi="Times New Roman"/>
          <w:caps w:val="false"/>
          <w:smallCaps w:val="false"/>
          <w:sz w:val="20"/>
          <w:u w:val="single"/>
        </w:rPr>
        <w:t>7.22</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VIII</w:t>
      </w:r>
      <w:r>
        <w:rPr>
          <w:rFonts w:ascii="Times New Roman" w:hAnsi="Times New Roman"/>
          <w:caps w:val="false"/>
          <w:smallCaps w:val="false"/>
          <w:sz w:val="20"/>
        </w:rPr>
        <w: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Other Defaults</w:t>
      </w:r>
      <w:r>
        <w:rPr>
          <w:rFonts w:ascii="Times New Roman" w:hAnsi="Times New Roman"/>
          <w:caps w:val="false"/>
          <w:smallCaps w:val="false"/>
          <w:sz w:val="20"/>
        </w:rPr>
        <w:t xml:space="preserve">. Any Loan Party fails to perform or observe any other covenant or agreement (not specified in </w:t>
      </w:r>
      <w:r>
        <w:rPr>
          <w:rFonts w:ascii="Times New Roman" w:hAnsi="Times New Roman"/>
          <w:caps w:val="false"/>
          <w:smallCaps w:val="false"/>
          <w:sz w:val="20"/>
          <w:u w:val="single"/>
        </w:rPr>
        <w:t>subsection (a)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above) contained in any Loan Document on its part to be performed or observed and such failure continues for thirty (30) days after the earlier to occur of the date on which (i) a Responsible Officer of any Loan Party becomes aware of such failure or (ii) written notice thereof shall have been given to any Loan Party by the Administrative Agent or any Lender;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(and in all respects if any such representation or warranty is already qualified by materiality or reference to Material Adverse Effect) when made or deemed made;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Cross-Default</w:t>
      </w:r>
      <w:r>
        <w:rPr>
          <w:rFonts w:ascii="Times New Roman" w:hAnsi="Times New Roman"/>
          <w:caps w:val="false"/>
          <w:smallCaps w:val="false"/>
          <w:sz w:val="20"/>
        </w:rPr>
        <w:t>. (i) Any Loan Party or any Subsidiary (A) fails to make any payment beyond any applicable grace period (whether by scheduled maturity, required repayment or prepayment, acceleration, demand, or otherwise) in respect of any Indebtedness or Guarantee (other than Indebtedness hereunder, Indebtedness under Swap Contracts and Indebtedness under the JPR Indenture)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repay,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Insolvency Proceedings, Etc.</w:t>
      </w:r>
      <w:r>
        <w:rPr>
          <w:rFonts w:ascii="Times New Roman" w:hAnsi="Times New Roman"/>
          <w:caps w:val="false"/>
          <w:smallCaps w:val="false"/>
          <w:sz w:val="20"/>
        </w:rPr>
        <w:t xml:space="preserve"> Any Loan Party or any of its Subsidiaries </w:t>
      </w:r>
      <w:r>
        <w:rPr>
          <w:rFonts w:ascii="Times New Roman" w:hAnsi="Times New Roman"/>
          <w:b/>
          <w:caps w:val="false"/>
          <w:smallCaps w:val="false"/>
          <w:color w:val="0000FF"/>
          <w:sz w:val="20"/>
          <w:u w:val="single"/>
          <w:bdr w:val="double" w:sz="2" w:space="1" w:color="000000"/>
        </w:rPr>
        <w:t>(i)</w:t>
      </w:r>
      <w:r>
        <w:rPr>
          <w:rFonts w:ascii="Times New Roman" w:hAnsi="Times New Roman"/>
          <w:caps w:val="false"/>
          <w:smallCaps w:val="false"/>
          <w:sz w:val="20"/>
        </w:rPr>
        <w:t xml:space="preserve"> institutes or consents to the institution of any proceeding under any Debtor Relief Law, </w:t>
      </w:r>
      <w:r>
        <w:rPr>
          <w:rFonts w:ascii="Times New Roman" w:hAnsi="Times New Roman"/>
          <w:caps w:val="false"/>
          <w:smallCaps w:val="false"/>
          <w:strike/>
          <w:color w:val="FF0000"/>
          <w:sz w:val="20"/>
        </w:rPr>
        <w:t>or</w:t>
      </w:r>
      <w:r>
        <w:rPr>
          <w:rFonts w:ascii="Times New Roman" w:hAnsi="Times New Roman"/>
          <w:b/>
          <w:caps w:val="false"/>
          <w:smallCaps w:val="false"/>
          <w:color w:val="0000FF"/>
          <w:sz w:val="20"/>
          <w:u w:val="single"/>
          <w:bdr w:val="double" w:sz="2" w:space="1" w:color="000000"/>
        </w:rPr>
        <w:t>(ii)</w:t>
      </w:r>
      <w:r>
        <w:rPr>
          <w:rFonts w:ascii="Times New Roman" w:hAnsi="Times New Roman"/>
          <w:caps w:val="false"/>
          <w:smallCaps w:val="false"/>
          <w:sz w:val="20"/>
        </w:rPr>
        <w:t xml:space="preserve"> makes an assignment for the benefit of creditors; </w:t>
      </w:r>
      <w:r>
        <w:rPr>
          <w:rFonts w:ascii="Times New Roman" w:hAnsi="Times New Roman"/>
          <w:caps w:val="false"/>
          <w:smallCaps w:val="false"/>
          <w:strike/>
          <w:color w:val="FF0000"/>
          <w:sz w:val="20"/>
        </w:rPr>
        <w:t>or</w:t>
      </w:r>
      <w:r>
        <w:rPr>
          <w:rFonts w:ascii="Times New Roman" w:hAnsi="Times New Roman"/>
          <w:b/>
          <w:caps w:val="false"/>
          <w:smallCaps w:val="false"/>
          <w:color w:val="0000FF"/>
          <w:sz w:val="20"/>
          <w:u w:val="single"/>
          <w:bdr w:val="double" w:sz="2" w:space="1" w:color="000000"/>
        </w:rPr>
        <w:t>(iii)</w:t>
      </w:r>
      <w:r>
        <w:rPr>
          <w:rFonts w:ascii="Times New Roman" w:hAnsi="Times New Roman"/>
          <w:caps w:val="false"/>
          <w:smallCaps w:val="false"/>
          <w:sz w:val="20"/>
        </w:rPr>
        <w:t xml:space="preserve"> applies for or consents to the appointment of any receiver, trustee, custodian, conservator, liquidator, rehabilitator, Examiner or similar officer for it or for all or any material part of its property</w:t>
      </w:r>
      <w:r>
        <w:rPr>
          <w:rFonts w:ascii="Times New Roman" w:hAnsi="Times New Roman"/>
          <w:caps w:val="false"/>
          <w:smallCaps w:val="false"/>
          <w:strike/>
          <w:color w:val="FF0000"/>
          <w:sz w:val="20"/>
        </w:rPr>
        <w:t>;or</w:t>
      </w:r>
      <w:r>
        <w:rPr>
          <w:rFonts w:ascii="Times New Roman" w:hAnsi="Times New Roman"/>
          <w:b/>
          <w:caps w:val="false"/>
          <w:smallCaps w:val="false"/>
          <w:color w:val="0000FF"/>
          <w:sz w:val="20"/>
          <w:u w:val="single"/>
          <w:bdr w:val="double" w:sz="2" w:space="1" w:color="000000"/>
        </w:rPr>
        <w:t>, (iv) is adjudicated as insolvent or to be liquidated, (v) takes any corporate action for the purpose of any of (i) through (iv) of this Section 9.01(f), (vi)</w:t>
      </w:r>
      <w:r>
        <w:rPr>
          <w:rFonts w:ascii="Times New Roman" w:hAnsi="Times New Roman"/>
          <w:caps w:val="false"/>
          <w:smallCaps w:val="false"/>
          <w:sz w:val="20"/>
        </w:rPr>
        <w:t xml:space="preserve"> any receiver, trustee, custodian, conservator, liquidator, rehabilitator, Examiner or similar officer is appointed without the application or consent of such Person and the appointment continues undischarged or unstayed for sixty (60) calendar days</w:t>
      </w:r>
      <w:r>
        <w:rPr>
          <w:rFonts w:ascii="Times New Roman" w:hAnsi="Times New Roman"/>
          <w:caps w:val="false"/>
          <w:smallCaps w:val="false"/>
          <w:strike/>
          <w:color w:val="FF0000"/>
          <w:sz w:val="20"/>
        </w:rPr>
        <w:t>; or</w:t>
      </w:r>
      <w:r>
        <w:rPr>
          <w:rFonts w:ascii="Times New Roman" w:hAnsi="Times New Roman"/>
          <w:b/>
          <w:caps w:val="false"/>
          <w:smallCaps w:val="false"/>
          <w:color w:val="0000FF"/>
          <w:sz w:val="20"/>
        </w:rPr>
        <w:t>, (vii)</w:t>
      </w:r>
      <w:r>
        <w:rPr>
          <w:rFonts w:ascii="Times New Roman" w:hAnsi="Times New Roman"/>
          <w:caps w:val="false"/>
          <w:smallCaps w:val="false"/>
          <w:sz w:val="20"/>
        </w:rPr>
        <w:t xml:space="preserve"> any proceeding under any Debtor Relief Law relating to any such Person or to all or any material part of its property is instituted without the consent of such Person and continues undismissed or unstayed for sixty (60) calendar days, or </w:t>
      </w:r>
      <w:r>
        <w:rPr>
          <w:rFonts w:ascii="Times New Roman" w:hAnsi="Times New Roman"/>
          <w:b/>
          <w:caps w:val="false"/>
          <w:smallCaps w:val="false"/>
          <w:color w:val="0000FF"/>
          <w:sz w:val="20"/>
          <w:u w:val="single"/>
          <w:bdr w:val="double" w:sz="2" w:space="1" w:color="000000"/>
        </w:rPr>
        <w:t>(viii)</w:t>
      </w:r>
      <w:r>
        <w:rPr>
          <w:rFonts w:ascii="Times New Roman" w:hAnsi="Times New Roman"/>
          <w:caps w:val="false"/>
          <w:smallCaps w:val="false"/>
          <w:sz w:val="20"/>
        </w:rPr>
        <w:t xml:space="preserve"> an order for relief is entered in any such proceeding;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Inability to Pay Debts; Attachment</w:t>
      </w:r>
      <w:r>
        <w:rPr>
          <w:rFonts w:ascii="Times New Roman" w:hAnsi="Times New Roman"/>
          <w:caps w:val="false"/>
          <w:smallCaps w:val="false"/>
          <w:sz w:val="20"/>
        </w:rPr>
        <w:t>. (i) Any Loan Party or any of its Subsidiaries becomes unable or admits in writing its inability or fails generally to pay its debts as they become due, or is declared to be unable to pay its debts under applicable Law, or (ii)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Judgments</w:t>
      </w:r>
      <w:r>
        <w:rPr>
          <w:rFonts w:ascii="Times New Roman" w:hAnsi="Times New Roman"/>
          <w:caps w:val="false"/>
          <w:smallCaps w:val="false"/>
          <w:sz w:val="20"/>
        </w:rPr>
        <w:t>. There is entered against any Loan Party or any Subsidiary (i) one or more final judgments or orders for the payment of money in an aggregate amount exceeding $[***]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such judgment or order shall not have been vacated or discharged or stayed or bonded pending appeal within thirty (30) calendar days from entry thereof;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ERISA</w:t>
      </w:r>
      <w:r>
        <w:rPr>
          <w:rFonts w:ascii="Times New Roman" w:hAnsi="Times New Roman"/>
          <w:caps w:val="false"/>
          <w:smallCaps w:val="false"/>
          <w:sz w:val="20"/>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Invalidity of Loan Documents</w:t>
      </w:r>
      <w:r>
        <w:rPr>
          <w:rFonts w:ascii="Times New Roman" w:hAnsi="Times New Roman"/>
          <w:caps w:val="false"/>
          <w:smallCaps w:val="false"/>
          <w:sz w:val="20"/>
        </w:rPr>
        <w:t>. Any Loan Document, at any time after its execution and delivery and for any reason other than as expressly permitted hereunder or thereunder,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There occurs any circumstance or circumstances that has had, either individually or in the aggregate, or could reasonably be expected, either individually or in the aggregate, to have a Material Adverse Effect;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Change of Control</w:t>
      </w:r>
      <w:r>
        <w:rPr>
          <w:rFonts w:ascii="Times New Roman" w:hAnsi="Times New Roman"/>
          <w:caps w:val="false"/>
          <w:smallCaps w:val="false"/>
          <w:sz w:val="20"/>
        </w:rPr>
        <w:t>. There occurs any Change of Control;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Invalidity of Subordination Provisions</w:t>
      </w:r>
      <w:r>
        <w:rPr>
          <w:rFonts w:ascii="Times New Roman" w:hAnsi="Times New Roman"/>
          <w:caps w:val="false"/>
          <w:smallCaps w:val="false"/>
          <w:sz w:val="20"/>
        </w:rPr>
        <w:t>. Any subordination provision in any document or instrument governing Indebtedness that is purported to be subordinated to the Obligations or any subordination provision in any subordination agreement that relates to any Indebtedness that is to be subordinated to the Obligations, or any subordination provision in any guaranty by any Loan Party of any such Indebtedness, shall cease to be in full force and effect, or any Person (including any holder of any such Indebtedness) shall contest in any manner the validity, binding nature or enforceability of any such provision;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Injunction</w:t>
      </w:r>
      <w:r>
        <w:rPr>
          <w:rFonts w:ascii="Times New Roman" w:hAnsi="Times New Roman"/>
          <w:caps w:val="false"/>
          <w:smallCaps w:val="false"/>
          <w:sz w:val="20"/>
        </w:rPr>
        <w:t>. Any court order enjoins, restrains, or prevents any Loan Party from conducting any material part of its business for a period of thirty (30) consecutive days during which a stay of enforcement of such court order, by reason of a pending appeal or otherwise, is not in effect;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Regulatory Matters</w:t>
      </w:r>
      <w:r>
        <w:rPr>
          <w:rFonts w:ascii="Times New Roman" w:hAnsi="Times New Roman"/>
          <w:caps w:val="false"/>
          <w:smallCaps w:val="false"/>
          <w:sz w:val="20"/>
        </w:rPr>
        <w:t xml:space="preserve">. If any of the following occurs: (i) the FDA, CMS, EMA, DEA, or any other Governmental Authority issues a letter or other written communication asserting that any approved Product lacks a Material Required Permit or does not comply with applicable Law, in each such case described in this </w:t>
      </w:r>
      <w:r>
        <w:rPr>
          <w:rFonts w:ascii="Times New Roman" w:hAnsi="Times New Roman"/>
          <w:caps w:val="false"/>
          <w:smallCaps w:val="false"/>
          <w:sz w:val="20"/>
          <w:u w:val="single"/>
        </w:rPr>
        <w:t>clause (o)</w:t>
      </w:r>
      <w:r>
        <w:rPr>
          <w:rFonts w:ascii="Times New Roman" w:hAnsi="Times New Roman"/>
          <w:caps w:val="false"/>
          <w:smallCaps w:val="false"/>
          <w:sz w:val="20"/>
        </w:rPr>
        <w:t>, that causes such Loan Party or its applicable Subsidiary to discontinue, materially adversely alter or suspend manufacturing, or cease distribution of any of its Material Products, or causes a delay in the manufacture or offering of any of its Material Products, that could reasonably be expected, either individually or in the aggregate, to result in a material adverse effect on any Product Development and Commercialization Activities; (ii) any involuntary or voluntary recall of any Material Product that could reasonably be expected, either individually or in the aggregate, to have a Material Adverse Effect; or (iii) any Loan Party or any Subsidiary enters into a settlement agreement with the FDA, CMS, EMA, DEA, or any other Governmental Authority that could reasonably be expected, either individually or in the aggregate, to have a Material Adverse Effect.;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Third Party Payor Arrangements</w:t>
      </w:r>
      <w:r>
        <w:rPr>
          <w:rFonts w:ascii="Times New Roman" w:hAnsi="Times New Roman"/>
          <w:caps w:val="false"/>
          <w:smallCaps w:val="false"/>
          <w:sz w:val="20"/>
        </w:rPr>
        <w:t>. If any of the following occurs: a Loan Party or any officer, director, chief operating officer, chief financial officer, treasurer, secretary or senior vice president of a Loan Party (A) shall have been found guilty of an act of fraud or been convicted of a felony crime that relates to any services provided by any Loan Party to a Third Party Payor or in connection with a Third Party Payor Arrangement or (B) shall have been indicted for a felony crime relating to any services provided by any Loan Party to a Third Party Payor or in connection with a Third Party Payor Arrangement;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Overpayment</w:t>
      </w:r>
      <w:r>
        <w:rPr>
          <w:rFonts w:ascii="Times New Roman" w:hAnsi="Times New Roman"/>
          <w:caps w:val="false"/>
          <w:smallCaps w:val="false"/>
          <w:sz w:val="20"/>
        </w:rPr>
        <w:t>. If any Loan Party is found to have been overpaid by a Government Account Debtor by more than the Threshold Amount during any period covered by an audit conducted by such Government Account Debtor, and such Loan Party has not within thirty (30) days after its receipt of knowledge of such overpayment either (i) repaid or reserved for such overpayment in a manner reasonably acceptable to the Required Lenders or (ii) notified the applicable Government Account Debtor or Governmental Authority and requested a repayment schedule for such overpayment;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Material Products</w:t>
      </w:r>
      <w:r>
        <w:rPr>
          <w:rFonts w:ascii="Times New Roman" w:hAnsi="Times New Roman"/>
          <w:caps w:val="false"/>
          <w:smallCaps w:val="false"/>
          <w:sz w:val="20"/>
        </w:rPr>
        <w:t>. If any of the following occurs: (i) the FDA shall revoke, withdraw, suspend, cancel, materially adversely limit, terminate or materially adversely modify any approved Required Permit related to any Material Product; (ii) any Governmental Authority (other than the FDA) shall revoke, withdraw, suspend, cancel, materially limit, terminate or materially modify any approved Required Permit related to any Material Product (in each case, a “</w:t>
      </w:r>
      <w:r>
        <w:rPr>
          <w:rFonts w:ascii="Times New Roman" w:hAnsi="Times New Roman"/>
          <w:caps w:val="false"/>
          <w:smallCaps w:val="false"/>
          <w:sz w:val="20"/>
          <w:u w:val="single"/>
        </w:rPr>
        <w:t>Non-FDA Governmental Action</w:t>
      </w:r>
      <w:r>
        <w:rPr>
          <w:rFonts w:ascii="Times New Roman" w:hAnsi="Times New Roman"/>
          <w:caps w:val="false"/>
          <w:smallCaps w:val="false"/>
          <w:sz w:val="20"/>
        </w:rPr>
        <w:t xml:space="preserve">”) and, in any such case, Consolidated Revenues shall decrease by greater than [***], as assessed as at the end of each of the four fiscal quarters immediately following such Non-FDA Governmental Action by comparing Consolidated Revenues for the four fiscal quarter period most recently ended prior to such Non-FDA Governmental Action for which the Borrower was required to deliver financial statements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as against Consolidated Revenues for the four fiscal quarter period ending on the applicable date of assessment; or (iii) any Safety Notice is issued or initiated in connection with any Material Product after approval by the FDA or any other Governmental Authority and Consolidated Revenues shall decrease by greater than [***], as assessed as at the end of each of the four fiscal quarters immediately following the issuance or initiation of such Safety Notice by comparing Consolidated Revenues for the four fiscal quarter period most recently ended prior to the issuance or initiation of such Safety Notice for which the Borrower was required to deliver financial statements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as against Consolidated Revenues for the four fiscal quarter period ending on the applicable date of assessment;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Royalty Financing and Other Royalty Financings</w:t>
      </w:r>
      <w:r>
        <w:rPr>
          <w:rFonts w:ascii="Times New Roman" w:hAnsi="Times New Roman"/>
          <w:caps w:val="false"/>
          <w:smallCaps w:val="false"/>
          <w:sz w:val="20"/>
        </w:rPr>
        <w:t>. (i) The Borrower or any Subsidiary fails to pay within [***] after the same becomes due any amount owing under any Royalty Financing Document or any Other Royalty Financing Document, unless the amount of such payment is otherwise being disputed in good faith by the Borrower or such Subsidiary, in accordance with the terms of such Royalty Financing Document or Other Royalty Financing Documents, as applicable or (ii) any other material breach or default under any Royalty Financing Document or any Other Royalty Financing Document occurs and continues unremedied for more than thirty (30) days;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Public Securities Exchange</w:t>
      </w:r>
      <w:r>
        <w:rPr>
          <w:rFonts w:ascii="Times New Roman" w:hAnsi="Times New Roman"/>
          <w:caps w:val="false"/>
          <w:smallCaps w:val="false"/>
          <w:sz w:val="20"/>
        </w:rPr>
        <w:t>. The Borrower’s equity fails to remain registered with the SEC in good standing;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Delisting</w:t>
      </w:r>
      <w:r>
        <w:rPr>
          <w:rFonts w:ascii="Times New Roman" w:hAnsi="Times New Roman"/>
          <w:caps w:val="false"/>
          <w:smallCaps w:val="false"/>
          <w:sz w:val="20"/>
        </w:rPr>
        <w:t>. The Borrower fails to maintain at least one class of common shares of the Borrower which is subject to price quotations on a national stock exchange in the United States (such as NASDAQ, NYSE, AMEX or any successor thereto);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Non-Permitted License and Non-Permitted Royalty Financing</w:t>
      </w:r>
      <w:r>
        <w:rPr>
          <w:rFonts w:ascii="Times New Roman" w:hAnsi="Times New Roman"/>
          <w:caps w:val="false"/>
          <w:smallCaps w:val="false"/>
          <w:sz w:val="20"/>
        </w:rPr>
        <w:t>. The Borrower or any Subsidiary enters into a Non-Permitted License or a Non-Permitted Royalty Financing.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9.02    </w:t>
      </w:r>
      <w:r>
        <w:rPr>
          <w:rFonts w:ascii="Times New Roman" w:hAnsi="Times New Roman"/>
          <w:caps w:val="false"/>
          <w:smallCaps w:val="false"/>
          <w:sz w:val="20"/>
          <w:u w:val="single"/>
        </w:rPr>
        <w:t>Remedies Upon Event of Default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Event of Default occurs and is continuing, the Administrative Agent shall, at the request of, or may, with the consent of, the Required Lenders may take any or all of the following 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declare the commitment of each Lender to make Loans to be terminated, whereupon such commitments and obligations shall be terminated;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declare the unpaid principal amount of all outstanding Loans, all interest accrued and unpaid thereon, prepayment and repayment premiums thereto (if any)</w:t>
      </w:r>
      <w:r>
        <w:rPr>
          <w:rFonts w:ascii="Times New Roman" w:hAnsi="Times New Roman"/>
          <w:b/>
          <w:caps w:val="false"/>
          <w:smallCaps w:val="false"/>
          <w:color w:val="0000FF"/>
          <w:sz w:val="20"/>
          <w:u w:val="single"/>
          <w:bdr w:val="double" w:sz="2" w:space="1" w:color="000000"/>
        </w:rPr>
        <w:t>,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and exit fees and all other amounts owing or payable hereunder or under any other Loan Document </w:t>
      </w:r>
      <w:r>
        <w:rPr>
          <w:rFonts w:ascii="Times New Roman" w:hAnsi="Times New Roman"/>
          <w:b/>
          <w:caps w:val="false"/>
          <w:smallCaps w:val="false"/>
          <w:color w:val="0000FF"/>
          <w:sz w:val="20"/>
          <w:u w:val="single"/>
          <w:bdr w:val="double" w:sz="2" w:space="1" w:color="000000"/>
        </w:rPr>
        <w:t>(including the amounts payable pursuant to Section 2.04(b)</w:t>
      </w:r>
      <w:r>
        <w:rPr>
          <w:rFonts w:ascii="Times New Roman" w:hAnsi="Times New Roman"/>
          <w:caps w:val="false"/>
          <w:smallCaps w:val="false"/>
          <w:sz w:val="20"/>
        </w:rPr>
        <w:t>) to be immediately due and payable, without presentment, demand, protest or other notice of any kind, all of which are hereby expressly waived by the Loan Parties;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exercise on behalf of itself and the Lenders all rights and remedies available to the Administrative Agent and/or the Lenders under the Loan Documents;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upon the occurrence of an Event of Default under </w:t>
      </w:r>
      <w:r>
        <w:rPr>
          <w:rFonts w:ascii="Times New Roman" w:hAnsi="Times New Roman"/>
          <w:caps w:val="false"/>
          <w:smallCaps w:val="false"/>
          <w:sz w:val="20"/>
          <w:u w:val="single"/>
        </w:rPr>
        <w:t>Section 9.01(f)</w:t>
      </w:r>
      <w:r>
        <w:rPr>
          <w:rFonts w:ascii="Times New Roman" w:hAnsi="Times New Roman"/>
          <w:caps w:val="false"/>
          <w:smallCaps w:val="false"/>
          <w:sz w:val="20"/>
        </w:rPr>
        <w:t xml:space="preserve"> or </w:t>
      </w:r>
      <w:r>
        <w:rPr>
          <w:rFonts w:ascii="Times New Roman" w:hAnsi="Times New Roman"/>
          <w:caps w:val="false"/>
          <w:smallCaps w:val="false"/>
          <w:sz w:val="20"/>
          <w:u w:val="single"/>
        </w:rPr>
        <w:t>(g)</w:t>
      </w:r>
      <w:r>
        <w:rPr>
          <w:rFonts w:ascii="Times New Roman" w:hAnsi="Times New Roman"/>
          <w:caps w:val="false"/>
          <w:smallCaps w:val="false"/>
          <w:sz w:val="20"/>
        </w:rPr>
        <w:t xml:space="preserve">, the obligation of each Lender to make any Loans </w:t>
      </w:r>
      <w:r>
        <w:rPr>
          <w:rFonts w:ascii="Times New Roman" w:hAnsi="Times New Roman"/>
          <w:b/>
          <w:caps w:val="false"/>
          <w:smallCaps w:val="false"/>
          <w:color w:val="0000FF"/>
          <w:sz w:val="20"/>
          <w:u w:val="single"/>
          <w:bdr w:val="double" w:sz="2" w:space="1" w:color="000000"/>
        </w:rPr>
        <w:t>and each of the Commitments</w:t>
      </w:r>
      <w:r>
        <w:rPr>
          <w:rFonts w:ascii="Times New Roman" w:hAnsi="Times New Roman"/>
          <w:caps w:val="false"/>
          <w:smallCaps w:val="false"/>
          <w:sz w:val="20"/>
        </w:rPr>
        <w:t xml:space="preserve"> shall automatically terminate, the unpaid principal amount of all outstanding Loans and all interest, prepayment and repayment premiums, </w:t>
      </w:r>
      <w:r>
        <w:rPr>
          <w:rFonts w:ascii="Times New Roman" w:hAnsi="Times New Roman"/>
          <w:b/>
          <w:caps w:val="false"/>
          <w:smallCaps w:val="false"/>
          <w:color w:val="0000FF"/>
          <w:sz w:val="20"/>
          <w:u w:val="single"/>
          <w:bdr w:val="double" w:sz="2" w:space="1" w:color="000000"/>
        </w:rPr>
        <w:t>including the Make-Whole Amount,</w:t>
      </w:r>
      <w:r>
        <w:rPr>
          <w:rFonts w:ascii="Times New Roman" w:hAnsi="Times New Roman"/>
          <w:caps w:val="false"/>
          <w:smallCaps w:val="false"/>
          <w:sz w:val="20"/>
        </w:rPr>
        <w:t xml:space="preserve"> exit fees and other amounts as aforesaid shall automatically become due and payable, in each case without further act of the Administrative Agent or any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Upon the </w:t>
      </w:r>
      <w:r>
        <w:rPr>
          <w:rFonts w:ascii="Times New Roman" w:hAnsi="Times New Roman"/>
          <w:b/>
          <w:caps w:val="false"/>
          <w:smallCaps w:val="false"/>
          <w:color w:val="0000FF"/>
          <w:sz w:val="20"/>
          <w:u w:val="single"/>
          <w:bdr w:val="double" w:sz="2" w:space="1" w:color="000000"/>
        </w:rPr>
        <w:t>Loans becoming due and payable under this Section 9.02, whether by declaration or</w:t>
      </w:r>
      <w:r>
        <w:rPr>
          <w:rFonts w:ascii="Times New Roman" w:hAnsi="Times New Roman"/>
          <w:caps w:val="false"/>
          <w:smallCaps w:val="false"/>
          <w:sz w:val="20"/>
        </w:rPr>
        <w:t xml:space="preserve"> acceleration (including automatic acceleration triggered by any insolvency proceeding pursuant to </w:t>
      </w:r>
      <w:r>
        <w:rPr>
          <w:rFonts w:ascii="Times New Roman" w:hAnsi="Times New Roman"/>
          <w:caps w:val="false"/>
          <w:smallCaps w:val="false"/>
          <w:sz w:val="20"/>
          <w:u w:val="single"/>
        </w:rPr>
        <w:t>Section 9.01(f)</w:t>
      </w:r>
      <w:r>
        <w:rPr>
          <w:rFonts w:ascii="Times New Roman" w:hAnsi="Times New Roman"/>
          <w:caps w:val="false"/>
          <w:smallCaps w:val="false"/>
          <w:sz w:val="20"/>
        </w:rPr>
        <w:t xml:space="preserve">), all outstanding </w:t>
      </w:r>
      <w:r>
        <w:rPr>
          <w:rFonts w:ascii="Times New Roman" w:hAnsi="Times New Roman"/>
          <w:caps w:val="false"/>
          <w:smallCaps w:val="false"/>
          <w:strike/>
          <w:color w:val="FF0000"/>
          <w:sz w:val="20"/>
        </w:rPr>
        <w:t>Notes</w:t>
      </w:r>
      <w:r>
        <w:rPr>
          <w:rFonts w:ascii="Times New Roman" w:hAnsi="Times New Roman"/>
          <w:b/>
          <w:caps w:val="false"/>
          <w:smallCaps w:val="false"/>
          <w:color w:val="0000FF"/>
          <w:sz w:val="20"/>
          <w:u w:val="single"/>
          <w:bdr w:val="double" w:sz="2" w:space="1" w:color="000000"/>
        </w:rPr>
        <w:t>Loans</w:t>
      </w:r>
      <w:r>
        <w:rPr>
          <w:rFonts w:ascii="Times New Roman" w:hAnsi="Times New Roman"/>
          <w:caps w:val="false"/>
          <w:smallCaps w:val="false"/>
          <w:sz w:val="20"/>
        </w:rPr>
        <w:t xml:space="preserve">, accrued and unpaid interest, the prepayment and repayment premiums required by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including the Make-Whole Amount,</w:t>
      </w:r>
      <w:r>
        <w:rPr>
          <w:rFonts w:ascii="Times New Roman" w:hAnsi="Times New Roman"/>
          <w:caps w:val="false"/>
          <w:smallCaps w:val="false"/>
          <w:sz w:val="20"/>
        </w:rPr>
        <w:t xml:space="preserve"> the exit fee required by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and the other Obligations </w:t>
      </w:r>
      <w:r>
        <w:rPr>
          <w:rFonts w:ascii="Times New Roman" w:hAnsi="Times New Roman"/>
          <w:b/>
          <w:caps w:val="false"/>
          <w:smallCaps w:val="false"/>
          <w:color w:val="0000FF"/>
          <w:sz w:val="20"/>
          <w:u w:val="single"/>
          <w:bdr w:val="double" w:sz="2" w:space="1" w:color="000000"/>
        </w:rPr>
        <w:t>(including the amounts payable pursuant to Section 2.04(b), including the Make-Whole Amount) shall</w:t>
      </w:r>
      <w:r>
        <w:rPr>
          <w:rFonts w:ascii="Times New Roman" w:hAnsi="Times New Roman"/>
          <w:caps w:val="false"/>
          <w:smallCaps w:val="false"/>
          <w:sz w:val="20"/>
        </w:rPr>
        <w:t xml:space="preserve"> become immediately due and payable. If the Obligations are accelerated for any reason (</w:t>
      </w:r>
      <w:r>
        <w:rPr>
          <w:rFonts w:ascii="Times New Roman" w:hAnsi="Times New Roman"/>
          <w:b/>
          <w:caps w:val="false"/>
          <w:smallCaps w:val="false"/>
          <w:color w:val="0000FF"/>
          <w:sz w:val="20"/>
          <w:u w:val="single"/>
          <w:bdr w:val="double" w:sz="2" w:space="1" w:color="000000"/>
        </w:rPr>
        <w:t>including automatic acceleration triggered by any insolvency proceeding pursuant to Section 9.01(f))</w:t>
      </w:r>
      <w:r>
        <w:rPr>
          <w:rFonts w:ascii="Times New Roman" w:hAnsi="Times New Roman"/>
          <w:caps w:val="false"/>
          <w:smallCaps w:val="false"/>
          <w:sz w:val="20"/>
        </w:rPr>
        <w:t xml:space="preserve">, the prepayment and repayment premiums required by </w:t>
      </w:r>
      <w:r>
        <w:rPr>
          <w:rFonts w:ascii="Times New Roman" w:hAnsi="Times New Roman"/>
          <w:caps w:val="false"/>
          <w:smallCaps w:val="false"/>
          <w:sz w:val="20"/>
          <w:u w:val="single"/>
        </w:rPr>
        <w:t>Section 2.03(d)</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caps w:val="false"/>
          <w:smallCaps w:val="false"/>
          <w:sz w:val="20"/>
        </w:rPr>
        <w:t xml:space="preserve"> and the exit fee required by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and the amounts payable pursuant to Section 2.04(b), including the Make-Whole Amount</w:t>
      </w:r>
      <w:r>
        <w:rPr>
          <w:rFonts w:ascii="Times New Roman" w:hAnsi="Times New Roman"/>
          <w:caps w:val="false"/>
          <w:smallCaps w:val="false"/>
          <w:sz w:val="20"/>
        </w:rPr>
        <w:t xml:space="preserve"> will also be due and payable as though such Obligations were voluntarily </w:t>
      </w:r>
      <w:r>
        <w:rPr>
          <w:rFonts w:ascii="Times New Roman" w:hAnsi="Times New Roman"/>
          <w:b/>
          <w:caps w:val="false"/>
          <w:smallCaps w:val="false"/>
          <w:color w:val="0000FF"/>
          <w:sz w:val="20"/>
          <w:u w:val="single"/>
          <w:bdr w:val="double" w:sz="2" w:space="1" w:color="000000"/>
        </w:rPr>
        <w:t>drawn and/or</w:t>
      </w:r>
      <w:r>
        <w:rPr>
          <w:rFonts w:ascii="Times New Roman" w:hAnsi="Times New Roman"/>
          <w:caps w:val="false"/>
          <w:smallCaps w:val="false"/>
          <w:sz w:val="20"/>
        </w:rPr>
        <w:t xml:space="preserve"> prepaid and any discount on the Loans shall be deemed earned in full and, in each case, shall constitute part of the Obligations, in view of the impracticability and extreme difficulty of ascertaining actual damages and by mutual agreement of the parties as to a reasonable calculation of each Lender’s lost profits as a result thereof. Any prepayment or repayment premium required by </w:t>
      </w:r>
      <w:r>
        <w:rPr>
          <w:rFonts w:ascii="Times New Roman" w:hAnsi="Times New Roman"/>
          <w:caps w:val="false"/>
          <w:smallCaps w:val="false"/>
          <w:sz w:val="20"/>
          <w:u w:val="single"/>
        </w:rPr>
        <w:t>Section 2.03(d)</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caps w:val="false"/>
          <w:smallCaps w:val="false"/>
          <w:sz w:val="20"/>
        </w:rPr>
        <w:t xml:space="preserve"> or the exit fee required by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and the amounts payable pursuant to Section 2.04(b), including the Make-Whole Amount,</w:t>
      </w:r>
      <w:r>
        <w:rPr>
          <w:rFonts w:ascii="Times New Roman" w:hAnsi="Times New Roman"/>
          <w:caps w:val="false"/>
          <w:smallCaps w:val="false"/>
          <w:sz w:val="20"/>
        </w:rPr>
        <w:t xml:space="preserve"> payable pursuant to the preceding sentence shall be presumed to be the liquidated damages sustained by each Lender as the result of the early termination and the Loan Parties agree that it is reasonable under the circumstances currently existing. The prepayment and repayment premiums required by </w:t>
      </w:r>
      <w:r>
        <w:rPr>
          <w:rFonts w:ascii="Times New Roman" w:hAnsi="Times New Roman"/>
          <w:caps w:val="false"/>
          <w:smallCaps w:val="false"/>
          <w:sz w:val="20"/>
          <w:u w:val="single"/>
        </w:rPr>
        <w:t>Section 2.03(d)</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and the exit fee required by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and the amounts payable pursuant to Section 2.04(b), including the Make-Whole Amount,</w:t>
      </w:r>
      <w:r>
        <w:rPr>
          <w:rFonts w:ascii="Times New Roman" w:hAnsi="Times New Roman"/>
          <w:caps w:val="false"/>
          <w:smallCaps w:val="false"/>
          <w:sz w:val="20"/>
        </w:rPr>
        <w:t xml:space="preserve"> shall also be payable, and any discount on the Loans shall be deemed earned in full, in each case, in the event that the Obligations (and/or this Agreement) are satisfied or released by foreclosure (whether by power of judicial proceeding), deed in lieu of foreclosure or by any other means. TO THE EXTENT PERMITTED BY APPLICABLE LAW, THE BORROWER AND THE OTHER LOAN PARTIES EXPRESSLY WAIVE THE PROVISIONS OF ANY PRESENT OR FUTURE STATUTE OR LAW THAT PROHIBITS OR MAY PROHIBIT THE COLLECTION OF THE FOREGOING PREPAYMENT OR REPAYMENT PREMIUM, </w:t>
      </w:r>
      <w:r>
        <w:rPr>
          <w:rFonts w:ascii="Times New Roman" w:hAnsi="Times New Roman"/>
          <w:b/>
          <w:caps w:val="false"/>
          <w:smallCaps w:val="false"/>
          <w:color w:val="0000FF"/>
          <w:sz w:val="20"/>
          <w:u w:val="single"/>
          <w:bdr w:val="double" w:sz="2" w:space="1" w:color="000000"/>
        </w:rPr>
        <w:t>INCLUDING ANY MAKE-WHOLE AMOUNT,</w:t>
      </w:r>
      <w:r>
        <w:rPr>
          <w:rFonts w:ascii="Times New Roman" w:hAnsi="Times New Roman"/>
          <w:caps w:val="false"/>
          <w:smallCaps w:val="false"/>
          <w:sz w:val="20"/>
        </w:rPr>
        <w:t xml:space="preserve"> EXIT FEE, </w:t>
      </w:r>
      <w:r>
        <w:rPr>
          <w:rFonts w:ascii="Times New Roman" w:hAnsi="Times New Roman"/>
          <w:b/>
          <w:caps w:val="false"/>
          <w:smallCaps w:val="false"/>
          <w:color w:val="0000FF"/>
          <w:sz w:val="20"/>
          <w:u w:val="single"/>
          <w:bdr w:val="double" w:sz="2" w:space="1" w:color="000000"/>
        </w:rPr>
        <w:t>AMOUNT</w:t>
      </w:r>
      <w:r>
        <w:rPr>
          <w:rFonts w:ascii="Times New Roman" w:hAnsi="Times New Roman"/>
          <w:caps w:val="false"/>
          <w:smallCaps w:val="false"/>
          <w:sz w:val="20"/>
        </w:rPr>
        <w:t xml:space="preserve"> AND ANY DISCOUNT ON THE LOANS IN CONNECTION WITH ANY SUCH ACCELERATION. The Borrower and the other Loan Parties expressly agree that (i) the prepayment and repayment premiums required by </w:t>
      </w:r>
      <w:r>
        <w:rPr>
          <w:rFonts w:ascii="Times New Roman" w:hAnsi="Times New Roman"/>
          <w:caps w:val="false"/>
          <w:smallCaps w:val="false"/>
          <w:sz w:val="20"/>
          <w:u w:val="single"/>
        </w:rPr>
        <w:t>Section 2.03(d)</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the exit fee required by </w:t>
      </w:r>
      <w:r>
        <w:rPr>
          <w:rFonts w:ascii="Times New Roman" w:hAnsi="Times New Roman"/>
          <w:caps w:val="false"/>
          <w:smallCaps w:val="false"/>
          <w:sz w:val="20"/>
          <w:u w:val="single"/>
        </w:rPr>
        <w:t>Section 2.07(b)</w:t>
      </w:r>
      <w:r>
        <w:rPr>
          <w:rFonts w:ascii="Times New Roman" w:hAnsi="Times New Roman"/>
          <w:b/>
          <w:caps w:val="false"/>
          <w:smallCaps w:val="false"/>
          <w:color w:val="0000FF"/>
          <w:sz w:val="20"/>
          <w:u w:val="single"/>
          <w:bdr w:val="double" w:sz="2" w:space="1" w:color="000000"/>
        </w:rPr>
        <w:t>, the amounts payable pursuant to Section 2.04(b), including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and discount on the Loans provided for herein, are reasonable and are the product of an arm’s length transaction between sophisticated business people, ably represented by counsel, (ii) the prepayment and repayment premiums required by </w:t>
      </w:r>
      <w:r>
        <w:rPr>
          <w:rFonts w:ascii="Times New Roman" w:hAnsi="Times New Roman"/>
          <w:caps w:val="false"/>
          <w:smallCaps w:val="false"/>
          <w:sz w:val="20"/>
          <w:u w:val="single"/>
        </w:rPr>
        <w:t>Section 2.03(d</w:t>
      </w:r>
      <w:r>
        <w:rPr>
          <w:rFonts w:ascii="Times New Roman" w:hAnsi="Times New Roman"/>
          <w:caps w:val="false"/>
          <w:smallCaps w:val="false"/>
          <w:sz w:val="20"/>
        </w:rPr>
        <w:t>)</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the exit fee required by </w:t>
      </w:r>
      <w:r>
        <w:rPr>
          <w:rFonts w:ascii="Times New Roman" w:hAnsi="Times New Roman"/>
          <w:caps w:val="false"/>
          <w:smallCaps w:val="false"/>
          <w:sz w:val="20"/>
          <w:u w:val="single"/>
        </w:rPr>
        <w:t>Section 2.07(b)</w:t>
      </w:r>
      <w:r>
        <w:rPr>
          <w:rFonts w:ascii="Times New Roman" w:hAnsi="Times New Roman"/>
          <w:b/>
          <w:caps w:val="false"/>
          <w:smallCaps w:val="false"/>
          <w:color w:val="0000FF"/>
          <w:sz w:val="20"/>
          <w:u w:val="single"/>
          <w:bdr w:val="double" w:sz="2" w:space="1" w:color="000000"/>
        </w:rPr>
        <w:t>, the amounts payable pursuant to Section 2.04(b), including the Make-Whole Amount,</w:t>
      </w:r>
      <w:r>
        <w:rPr>
          <w:rFonts w:ascii="Times New Roman" w:hAnsi="Times New Roman"/>
          <w:caps w:val="false"/>
          <w:smallCaps w:val="false"/>
          <w:sz w:val="20"/>
        </w:rPr>
        <w:t xml:space="preserve"> and discount on the Loans, shall be payable notwithstanding the then prevailing market rates at the time payment is made, (iii) there has been a course of conduct between the Lenders and the Borrower and the other Loan Parties giving specific consideration in this transaction for such agreement to pay the prepayment and repayment premiums required by </w:t>
      </w:r>
      <w:r>
        <w:rPr>
          <w:rFonts w:ascii="Times New Roman" w:hAnsi="Times New Roman"/>
          <w:caps w:val="false"/>
          <w:smallCaps w:val="false"/>
          <w:sz w:val="20"/>
          <w:u w:val="single"/>
        </w:rPr>
        <w:t>Section 2.03(d)</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the exit fee required by </w:t>
      </w:r>
      <w:r>
        <w:rPr>
          <w:rFonts w:ascii="Times New Roman" w:hAnsi="Times New Roman"/>
          <w:caps w:val="false"/>
          <w:smallCaps w:val="false"/>
          <w:sz w:val="20"/>
          <w:u w:val="single"/>
        </w:rPr>
        <w:t>Section 2.07(b)</w:t>
      </w:r>
      <w:r>
        <w:rPr>
          <w:rFonts w:ascii="Times New Roman" w:hAnsi="Times New Roman"/>
          <w:b/>
          <w:caps w:val="false"/>
          <w:smallCaps w:val="false"/>
          <w:color w:val="0000FF"/>
          <w:sz w:val="20"/>
          <w:u w:val="single"/>
          <w:bdr w:val="double" w:sz="2" w:space="1" w:color="000000"/>
        </w:rPr>
        <w:t>, the amounts payable pursuant to Section 2.04(b), including the Make-Whole Amount,</w:t>
      </w:r>
      <w:r>
        <w:rPr>
          <w:rFonts w:ascii="Times New Roman" w:hAnsi="Times New Roman"/>
          <w:caps w:val="false"/>
          <w:smallCaps w:val="false"/>
          <w:sz w:val="20"/>
        </w:rPr>
        <w:t xml:space="preserve"> and discount on the Loans, (iv) the Borrower and the other Loan Parties shall be estopped hereafter from claiming differently than as agreed to in this paragraph and (v) the prepayment premium required by </w:t>
      </w:r>
      <w:r>
        <w:rPr>
          <w:rFonts w:ascii="Times New Roman" w:hAnsi="Times New Roman"/>
          <w:caps w:val="false"/>
          <w:smallCaps w:val="false"/>
          <w:sz w:val="20"/>
          <w:u w:val="single"/>
        </w:rPr>
        <w:t>Section 2.03(d)</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the exit fee required by </w:t>
      </w:r>
      <w:r>
        <w:rPr>
          <w:rFonts w:ascii="Times New Roman" w:hAnsi="Times New Roman"/>
          <w:caps w:val="false"/>
          <w:smallCaps w:val="false"/>
          <w:sz w:val="20"/>
          <w:u w:val="single"/>
        </w:rPr>
        <w:t>Section 2.07(b)</w:t>
      </w:r>
      <w:r>
        <w:rPr>
          <w:rFonts w:ascii="Times New Roman" w:hAnsi="Times New Roman"/>
          <w:b/>
          <w:caps w:val="false"/>
          <w:smallCaps w:val="false"/>
          <w:color w:val="0000FF"/>
          <w:sz w:val="20"/>
          <w:u w:val="single"/>
          <w:bdr w:val="double" w:sz="2" w:space="1" w:color="000000"/>
        </w:rPr>
        <w:t>, the amounts payable pursuant to Section 2.04(b), including the Make-Whole Amount,</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and any discount on the Loans represent a good faith, reasonable estimate and calculation of the lost profits or damages of the Lenders and that it would be impractical and extremely difficult to ascertain the actual amount of damages to the Lenders or profits lost by the Lenders as a result of any early termination. The Borrower and the other Loan Parties expressly acknowledge that their agreement to pay the prepayment and repayment premiums required by </w:t>
      </w:r>
      <w:r>
        <w:rPr>
          <w:rFonts w:ascii="Times New Roman" w:hAnsi="Times New Roman"/>
          <w:caps w:val="false"/>
          <w:smallCaps w:val="false"/>
          <w:sz w:val="20"/>
          <w:u w:val="single"/>
        </w:rPr>
        <w:t>Section 2.03(d)</w:t>
      </w:r>
      <w:r>
        <w:rPr>
          <w:rFonts w:ascii="Times New Roman" w:hAnsi="Times New Roman"/>
          <w:caps w:val="false"/>
          <w:smallCaps w:val="false"/>
          <w:strike/>
          <w:color w:val="FF0000"/>
          <w:sz w:val="20"/>
        </w:rPr>
        <w:t xml:space="preserve"> and</w:t>
      </w:r>
      <w:r>
        <w:rPr>
          <w:rFonts w:ascii="Times New Roman" w:hAnsi="Times New Roman"/>
          <w:b/>
          <w:caps w:val="false"/>
          <w:smallCaps w:val="false"/>
          <w:color w:val="0000FF"/>
          <w:sz w:val="20"/>
          <w:u w:val="single"/>
          <w:bdr w:val="double" w:sz="2" w:space="1" w:color="000000"/>
        </w:rPr>
        <w:t>, including the Make-Whole Amount,</w:t>
      </w:r>
      <w:r>
        <w:rPr>
          <w:rFonts w:ascii="Times New Roman" w:hAnsi="Times New Roman"/>
          <w:caps w:val="false"/>
          <w:smallCaps w:val="false"/>
          <w:sz w:val="20"/>
        </w:rPr>
        <w:t xml:space="preserve"> the exit fee required by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w:t>
      </w:r>
      <w:r>
        <w:rPr>
          <w:rFonts w:ascii="Times New Roman" w:hAnsi="Times New Roman"/>
          <w:b/>
          <w:caps w:val="false"/>
          <w:smallCaps w:val="false"/>
          <w:color w:val="0000FF"/>
          <w:sz w:val="20"/>
          <w:u w:val="single"/>
          <w:bdr w:val="double" w:sz="2" w:space="1" w:color="000000"/>
        </w:rPr>
        <w:t>and</w:t>
      </w:r>
      <w:r>
        <w:rPr>
          <w:rFonts w:ascii="Times New Roman" w:hAnsi="Times New Roman"/>
          <w:caps w:val="false"/>
          <w:smallCaps w:val="false"/>
          <w:color w:val="0000FF"/>
          <w:sz w:val="20"/>
          <w:u w:val="single"/>
          <w:bdr w:val="double" w:sz="2" w:space="1" w:color="000000"/>
        </w:rPr>
        <w:t xml:space="preserve"> </w:t>
      </w:r>
      <w:r>
        <w:rPr>
          <w:rFonts w:ascii="Times New Roman" w:hAnsi="Times New Roman"/>
          <w:b/>
          <w:caps w:val="false"/>
          <w:smallCaps w:val="false"/>
          <w:color w:val="0000FF"/>
          <w:sz w:val="20"/>
          <w:u w:val="single"/>
          <w:bdr w:val="double" w:sz="2" w:space="1" w:color="000000"/>
        </w:rPr>
        <w:t>the amounts payable pursuant to Section 2.04(b), including the Make-Whole Amount,</w:t>
      </w:r>
      <w:r>
        <w:rPr>
          <w:rFonts w:ascii="Times New Roman" w:hAnsi="Times New Roman"/>
          <w:caps w:val="false"/>
          <w:smallCaps w:val="false"/>
          <w:sz w:val="20"/>
        </w:rPr>
        <w:t xml:space="preserve"> as herein described and discount on the Loans to the Lenders as herein described, is a material inducement to the Lenders to make the Loans hereunder. </w:t>
      </w:r>
      <w:r>
        <w:rPr>
          <w:rFonts w:ascii="Times New Roman" w:hAnsi="Times New Roman"/>
          <w:b/>
          <w:caps w:val="false"/>
          <w:smallCaps w:val="false"/>
          <w:color w:val="0000FF"/>
          <w:sz w:val="20"/>
          <w:u w:val="single"/>
          <w:bdr w:val="double" w:sz="2" w:space="1" w:color="000000"/>
        </w:rPr>
        <w:t xml:space="preserve">The Loan Parties further acknowledge that each lender has a right to maintain its investment in the Loans free from repayment by the Loan Parties (except as herein specifically provided for) and that the provision for payment of the prepayment or repayment premium required by Section 2.03(d), including the Make-Whole Amount, or the exit fee required by Section 2.07(b) and the amounts payable pursuant to Section 2.04(b), including the Make-Whole Amount, if the Loans are prepaid or accelerated (including automatic acceleration triggered by any insolvency proceeding pursuant to Section 9.01(f)) as a result of an Event of Default, is intended to provide compensation for the deprivation of such right under such circumstances.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9.03    </w:t>
      </w:r>
      <w:r>
        <w:rPr>
          <w:rFonts w:ascii="Times New Roman" w:hAnsi="Times New Roman"/>
          <w:caps w:val="false"/>
          <w:smallCaps w:val="false"/>
          <w:sz w:val="20"/>
          <w:u w:val="single"/>
        </w:rPr>
        <w:t>Application of Funds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After the exercise of remedies provided for in </w:t>
      </w:r>
      <w:r>
        <w:rPr>
          <w:rFonts w:ascii="Times New Roman" w:hAnsi="Times New Roman"/>
          <w:caps w:val="false"/>
          <w:smallCaps w:val="false"/>
          <w:sz w:val="20"/>
          <w:u w:val="single"/>
        </w:rPr>
        <w:t>Section 9.02</w:t>
      </w:r>
      <w:r>
        <w:rPr>
          <w:rFonts w:ascii="Times New Roman" w:hAnsi="Times New Roman"/>
          <w:caps w:val="false"/>
          <w:smallCaps w:val="false"/>
          <w:sz w:val="20"/>
        </w:rPr>
        <w:t xml:space="preserve"> (or after the Loans have automatically become immediately due and payable as set forth in the proviso to </w:t>
      </w:r>
      <w:r>
        <w:rPr>
          <w:rFonts w:ascii="Times New Roman" w:hAnsi="Times New Roman"/>
          <w:caps w:val="false"/>
          <w:smallCaps w:val="false"/>
          <w:sz w:val="20"/>
          <w:u w:val="single"/>
        </w:rPr>
        <w:t>Section 9.02</w:t>
      </w:r>
      <w:r>
        <w:rPr>
          <w:rFonts w:ascii="Times New Roman" w:hAnsi="Times New Roman"/>
          <w:caps w:val="false"/>
          <w:smallCaps w:val="false"/>
          <w:sz w:val="20"/>
        </w:rPr>
        <w:t>), any amounts received by any Lender or the Administrative Agent on account of the Obligations shall be applied by the Administrative Agent in the following order: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First</w:t>
      </w:r>
      <w:r>
        <w:rPr>
          <w:rFonts w:ascii="Times New Roman" w:hAnsi="Times New Roman"/>
          <w:caps w:val="false"/>
          <w:smallCaps w:val="false"/>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caps w:val="false"/>
          <w:smallCaps w:val="false"/>
          <w:sz w:val="20"/>
          <w:u w:val="single"/>
        </w:rPr>
        <w:t>Articles III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X</w:t>
      </w:r>
      <w:r>
        <w:rPr>
          <w:rFonts w:ascii="Times New Roman" w:hAnsi="Times New Roman"/>
          <w:caps w:val="false"/>
          <w:smallCaps w:val="false"/>
          <w:sz w:val="20"/>
        </w:rPr>
        <w:t>) payable to the Administrative Agent in its capacity as such;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Second</w:t>
      </w:r>
      <w:r>
        <w:rPr>
          <w:rFonts w:ascii="Times New Roman" w:hAnsi="Times New Roman"/>
          <w:caps w:val="false"/>
          <w:smallCaps w:val="false"/>
          <w:sz w:val="20"/>
        </w:rPr>
        <w:t xml:space="preserve">, to payment of that portion of the Obligations constituting fees, indemnities and other amounts (other than principal, interest, prepayment and repayment premiums and exit fees) payable to the Secured Parties (other than the Administrative Agent) (including fees, charges and disbursements of counsel to the respective Secured Parties (other than the Administrative Agent)) arising under the Loan Documents and amounts payable under </w:t>
      </w:r>
      <w:r>
        <w:rPr>
          <w:rFonts w:ascii="Times New Roman" w:hAnsi="Times New Roman"/>
          <w:caps w:val="false"/>
          <w:smallCaps w:val="false"/>
          <w:sz w:val="20"/>
          <w:u w:val="single"/>
        </w:rPr>
        <w:t>Articles III and X</w:t>
      </w:r>
      <w:r>
        <w:rPr>
          <w:rFonts w:ascii="Times New Roman" w:hAnsi="Times New Roman"/>
          <w:caps w:val="false"/>
          <w:smallCaps w:val="false"/>
          <w:sz w:val="20"/>
        </w:rPr>
        <w:t xml:space="preserve">, ratably among them in proportion to the respective amounts described in this clause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payable to them;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Third</w:t>
      </w:r>
      <w:r>
        <w:rPr>
          <w:rFonts w:ascii="Times New Roman" w:hAnsi="Times New Roman"/>
          <w:caps w:val="false"/>
          <w:smallCaps w:val="false"/>
          <w:sz w:val="20"/>
        </w:rPr>
        <w:t xml:space="preserve">, to payment of that portion of the Obligations constituting accrued and unpaid interest on and prepayment and repayment premiums and the exit fee with respect to the Loans, ratably among the Lenders in proportion to the respective amounts described in this clause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held by them;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Fourth</w:t>
      </w:r>
      <w:r>
        <w:rPr>
          <w:rFonts w:ascii="Times New Roman" w:hAnsi="Times New Roman"/>
          <w:caps w:val="false"/>
          <w:smallCaps w:val="false"/>
          <w:sz w:val="20"/>
        </w:rPr>
        <w:t xml:space="preserve">, to payment of that portion of the Obligations constituting accrued and unpaid principal of the Loans, ratably among the Lenders in proportion to the respective amounts described in this clause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held by them;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Last</w:t>
      </w:r>
      <w:r>
        <w:rPr>
          <w:rFonts w:ascii="Times New Roman" w:hAnsi="Times New Roman"/>
          <w:caps w:val="false"/>
          <w:smallCaps w:val="false"/>
          <w:sz w:val="20"/>
        </w:rPr>
        <w:t>, the balance, if any, after all of the Obligations have been indefeasibly paid in full, to the Borrower or as otherwise required by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9.04    </w:t>
      </w:r>
      <w:r>
        <w:rPr>
          <w:rFonts w:ascii="Times New Roman" w:hAnsi="Times New Roman"/>
          <w:caps w:val="false"/>
          <w:smallCaps w:val="false"/>
          <w:sz w:val="20"/>
          <w:u w:val="single"/>
        </w:rPr>
        <w:t>Cure Right</w:t>
      </w:r>
      <w:r>
        <w:rPr>
          <w:rFonts w:ascii="Times New Roman" w:hAnsi="Times New Roman"/>
          <w:caps w:val="false"/>
          <w:smallCaps w:val="false"/>
          <w:sz w:val="20"/>
        </w:rPr>
        <w:t xml:space="preserve">. Notwithstanding anything to the contrary contained herein, in the event the Loan Parties fail to comply with the minimum Orladeyo Consolidated U.S. Net Product Sales requirement set forth in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as of any Test Date, the Borrower shall have a one-time right (the “</w:t>
      </w:r>
      <w:r>
        <w:rPr>
          <w:rFonts w:ascii="Times New Roman" w:hAnsi="Times New Roman"/>
          <w:caps w:val="false"/>
          <w:smallCaps w:val="false"/>
          <w:sz w:val="20"/>
          <w:u w:val="single"/>
        </w:rPr>
        <w:t>Cure Right</w:t>
      </w:r>
      <w:r>
        <w:rPr>
          <w:rFonts w:ascii="Times New Roman" w:hAnsi="Times New Roman"/>
          <w:caps w:val="false"/>
          <w:smallCaps w:val="false"/>
          <w:sz w:val="20"/>
        </w:rPr>
        <w:t xml:space="preserve">”), to repay in full the entire amount of the Term C Loans outstanding at such time together with all accrued and unpaid interest thereon plus the prepayment or repayment premium required by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and the exit fee required under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plus any other fees or amounts payable hereunder at such time. The exercise of the Cure Right shall be subject to the following conditions: (a) the Borrower shall have delivered to the Administrative Agent irrevocable written notice of the Borrower’s intent to exercise the Cure Right with respect to such Test Date not later than 9:00 a.m. on the date at least five (5) Business Days in advance the Borrower making the Cure Right payment and (b) such Cure Right payment shall be made by the Borrower no later than thirty (30) days after such Test Date. Following the exercise of the Cure Right and the repayment in full pursuant to this </w:t>
      </w:r>
      <w:r>
        <w:rPr>
          <w:rFonts w:ascii="Times New Roman" w:hAnsi="Times New Roman"/>
          <w:caps w:val="false"/>
          <w:smallCaps w:val="false"/>
          <w:sz w:val="20"/>
          <w:u w:val="single"/>
        </w:rPr>
        <w:t>Section 9.04</w:t>
      </w:r>
      <w:r>
        <w:rPr>
          <w:rFonts w:ascii="Times New Roman" w:hAnsi="Times New Roman"/>
          <w:caps w:val="false"/>
          <w:smallCaps w:val="false"/>
          <w:sz w:val="20"/>
        </w:rPr>
        <w:t xml:space="preserve">, no Default or Event of Default under </w:t>
      </w:r>
      <w:r>
        <w:rPr>
          <w:rFonts w:ascii="Times New Roman" w:hAnsi="Times New Roman"/>
          <w:caps w:val="false"/>
          <w:smallCaps w:val="false"/>
          <w:sz w:val="20"/>
          <w:u w:val="single"/>
        </w:rPr>
        <w:t>Section 9.01(b)</w:t>
      </w:r>
      <w:r>
        <w:rPr>
          <w:rFonts w:ascii="Times New Roman" w:hAnsi="Times New Roman"/>
          <w:caps w:val="false"/>
          <w:smallCaps w:val="false"/>
          <w:sz w:val="20"/>
        </w:rPr>
        <w:t xml:space="preserve"> for the failure to perform the covenant contained in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shall be deemed to have existed for so long as, on a pro forma basis, the Loan Parties are in compliance with the financial covenant set forth in </w:t>
      </w:r>
      <w:r>
        <w:rPr>
          <w:rFonts w:ascii="Times New Roman" w:hAnsi="Times New Roman"/>
          <w:caps w:val="false"/>
          <w:smallCaps w:val="false"/>
          <w:sz w:val="20"/>
          <w:u w:val="single"/>
        </w:rPr>
        <w:t>Section 8.16(iv)</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w:t>
        <w:br/>
        <w:br/>
        <w:t>INCREASED COSTS AND INABILITY TO DETERMINE RATES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10.01    </w:t>
      </w:r>
      <w:r>
        <w:rPr>
          <w:rFonts w:ascii="Times New Roman" w:hAnsi="Times New Roman"/>
          <w:caps w:val="false"/>
          <w:smallCaps w:val="false"/>
          <w:sz w:val="20"/>
          <w:u w:val="single"/>
        </w:rPr>
        <w:t>Increased Costs, Etc.</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Increased Costs Generally.</w:t>
      </w:r>
      <w:r>
        <w:rPr>
          <w:rFonts w:ascii="Times New Roman" w:hAnsi="Times New Roman"/>
          <w:caps w:val="false"/>
          <w:smallCaps w:val="false"/>
          <w:sz w:val="20"/>
        </w:rPr>
        <w:t xml:space="preserve"> If any Change in Law shall: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subject any Recipient to any Taxes (other than (A) Indemnified Taxes and (B) Excluded Taxes) on its loans, loan principal, commitments, or other obligations, or its deposits, reserves, other liabilities or capital attributable thereto;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impose on any Lender any other condition, cost or expense (other than Taxes) affecting this Agreement; and the result of any of the foregoing shall be to increase the cost to such Lender of making or maintaining any Loan (or of maintaining its obligation to make any such Loan), then, upon written demand of such Lender, the Borrower will pay to such Lender, as the case may be, such additional amount or amounts as will compensate such Lender, as the case may be, for such additional costs incurred or reduction suffered.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Capital Requirements</w:t>
      </w:r>
      <w:r>
        <w:rPr>
          <w:rFonts w:ascii="Times New Roman" w:hAnsi="Times New Roman"/>
          <w:caps w:val="false"/>
          <w:smallCaps w:val="false"/>
          <w:sz w:val="20"/>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as the case may be, such additional amount or amounts as will compensate such Lender or such Lender’s holding company for any such reduction suffered.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Certificates for Reimbursement.</w:t>
      </w:r>
      <w:r>
        <w:rPr>
          <w:rFonts w:ascii="Times New Roman" w:hAnsi="Times New Roman"/>
          <w:caps w:val="false"/>
          <w:smallCaps w:val="false"/>
          <w:sz w:val="20"/>
        </w:rPr>
        <w:t xml:space="preserve"> A certificate of a Lender setting forth the amount or amounts necessary to compensate such Lender or its holding company, as the case may be, as specified in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this Section and delivered to the Borrower shall be conclusive absent manifest error. The Borrower shall pay such Lender the amount shown as due on any such certificate within ten (10) days after receipt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Delay in Requests.</w:t>
      </w:r>
      <w:r>
        <w:rPr>
          <w:rFonts w:ascii="Times New Roman" w:hAnsi="Times New Roman"/>
          <w:caps w:val="false"/>
          <w:smallCaps w:val="false"/>
          <w:sz w:val="20"/>
        </w:rPr>
        <w:t xml:space="preserve"> Failure or delay on the part of any Lender to demand compensation pursuant to the foregoing provisions of this Section shall not constitute a waiver of such Lender’s right to demand such compensation,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Borrower shall not be required to compensate a Lender pursuant to the foregoing provisions of this Section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10.02    </w:t>
      </w:r>
      <w:r>
        <w:rPr>
          <w:rFonts w:ascii="Times New Roman" w:hAnsi="Times New Roman"/>
          <w:caps w:val="false"/>
          <w:smallCaps w:val="false"/>
          <w:sz w:val="20"/>
          <w:u w:val="single"/>
        </w:rPr>
        <w:t>Mitigation Obligations; Replacement of Lenders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Designation of a Different Lending Office</w:t>
      </w:r>
      <w:r>
        <w:rPr>
          <w:rFonts w:ascii="Times New Roman" w:hAnsi="Times New Roman"/>
          <w:caps w:val="false"/>
          <w:smallCaps w:val="false"/>
          <w:sz w:val="20"/>
        </w:rPr>
        <w:t xml:space="preserve">. If any Lender requests compensation under </w:t>
      </w:r>
      <w:r>
        <w:rPr>
          <w:rFonts w:ascii="Times New Roman" w:hAnsi="Times New Roman"/>
          <w:caps w:val="false"/>
          <w:smallCaps w:val="false"/>
          <w:sz w:val="20"/>
          <w:u w:val="single"/>
        </w:rPr>
        <w:t>Section 10.01</w:t>
      </w:r>
      <w:r>
        <w:rPr>
          <w:rFonts w:ascii="Times New Roman" w:hAnsi="Times New Roman"/>
          <w:caps w:val="false"/>
          <w:smallCaps w:val="false"/>
          <w:sz w:val="20"/>
        </w:rPr>
        <w:t xml:space="preserve"> or requires the Borrower to pay any Taxes or additional amounts to any Lender or any Governmental Authority for the account of any Lender pursuant to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or if any Lender gives a notice pursuant to </w:t>
      </w:r>
      <w:r>
        <w:rPr>
          <w:rFonts w:ascii="Times New Roman" w:hAnsi="Times New Roman"/>
          <w:caps w:val="false"/>
          <w:smallCaps w:val="false"/>
          <w:sz w:val="20"/>
          <w:u w:val="single"/>
        </w:rPr>
        <w:t>Section 10.04</w:t>
      </w:r>
      <w:r>
        <w:rPr>
          <w:rFonts w:ascii="Times New Roman" w:hAnsi="Times New Roman"/>
          <w:caps w:val="false"/>
          <w:smallCaps w:val="false"/>
          <w:sz w:val="20"/>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or </w:t>
      </w:r>
      <w:r>
        <w:rPr>
          <w:rFonts w:ascii="Times New Roman" w:hAnsi="Times New Roman"/>
          <w:caps w:val="false"/>
          <w:smallCaps w:val="false"/>
          <w:sz w:val="20"/>
          <w:u w:val="single"/>
        </w:rPr>
        <w:t>10.01</w:t>
      </w:r>
      <w:r>
        <w:rPr>
          <w:rFonts w:ascii="Times New Roman" w:hAnsi="Times New Roman"/>
          <w:caps w:val="false"/>
          <w:smallCaps w:val="false"/>
          <w:sz w:val="20"/>
        </w:rPr>
        <w:t xml:space="preserve">, as the case may be, in the future, or eliminate the need for the notice pursuant to </w:t>
      </w:r>
      <w:r>
        <w:rPr>
          <w:rFonts w:ascii="Times New Roman" w:hAnsi="Times New Roman"/>
          <w:caps w:val="false"/>
          <w:smallCaps w:val="false"/>
          <w:sz w:val="20"/>
          <w:u w:val="single"/>
        </w:rPr>
        <w:t>Section 10.04</w:t>
      </w:r>
      <w:r>
        <w:rPr>
          <w:rFonts w:ascii="Times New Roman" w:hAnsi="Times New Roman"/>
          <w:caps w:val="false"/>
          <w:smallCaps w:val="false"/>
          <w:sz w:val="20"/>
        </w:rPr>
        <w:t>, as applicable, and (ii) in each case, would not subject such Lender, as the case may be, to any unreimbursed cost or expense and would not otherwise be disadvantageous to such Lender. The Borrower hereby agrees to pay all reasonable costs and expenses incurred by any Lender in connection with any such designation or assignment.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Replacement of Lenders.</w:t>
      </w:r>
      <w:r>
        <w:rPr>
          <w:rFonts w:ascii="Times New Roman" w:hAnsi="Times New Roman"/>
          <w:caps w:val="false"/>
          <w:smallCaps w:val="false"/>
          <w:sz w:val="20"/>
        </w:rPr>
        <w:t xml:space="preserve"> If any Lender requests compensation under </w:t>
      </w:r>
      <w:r>
        <w:rPr>
          <w:rFonts w:ascii="Times New Roman" w:hAnsi="Times New Roman"/>
          <w:caps w:val="false"/>
          <w:smallCaps w:val="false"/>
          <w:sz w:val="20"/>
          <w:u w:val="single"/>
        </w:rPr>
        <w:t>Section 10.01</w:t>
      </w:r>
      <w:r>
        <w:rPr>
          <w:rFonts w:ascii="Times New Roman" w:hAnsi="Times New Roman"/>
          <w:caps w:val="false"/>
          <w:smallCaps w:val="false"/>
          <w:sz w:val="20"/>
        </w:rPr>
        <w:t xml:space="preserve">, or if the Borrower is required to pay any Taxes or additional amounts to any Lender or any Governmental Authority for the account of any Lender pursuant to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and, in each case, such Lender has declined or is unable to designate a different Lending Office in accordance with </w:t>
      </w:r>
      <w:r>
        <w:rPr>
          <w:rFonts w:ascii="Times New Roman" w:hAnsi="Times New Roman"/>
          <w:caps w:val="false"/>
          <w:smallCaps w:val="false"/>
          <w:sz w:val="20"/>
          <w:u w:val="single"/>
        </w:rPr>
        <w:t>Section 10.02(a)</w:t>
      </w:r>
      <w:r>
        <w:rPr>
          <w:rFonts w:ascii="Times New Roman" w:hAnsi="Times New Roman"/>
          <w:caps w:val="false"/>
          <w:smallCaps w:val="false"/>
          <w:sz w:val="20"/>
        </w:rPr>
        <w:t xml:space="preserve">, the Borrower may replace such Lender in accordance with </w:t>
      </w:r>
      <w:r>
        <w:rPr>
          <w:rFonts w:ascii="Times New Roman" w:hAnsi="Times New Roman"/>
          <w:caps w:val="false"/>
          <w:smallCaps w:val="false"/>
          <w:sz w:val="20"/>
          <w:u w:val="single"/>
        </w:rPr>
        <w:t>Section 12.13.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10.03    </w:t>
      </w:r>
      <w:r>
        <w:rPr>
          <w:rFonts w:ascii="Times New Roman" w:hAnsi="Times New Roman"/>
          <w:caps w:val="false"/>
          <w:smallCaps w:val="false"/>
          <w:sz w:val="20"/>
          <w:u w:val="single"/>
        </w:rPr>
        <w:t>Inability to Determine Rates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If prior to the commencement of any Interest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360" w:right="0" w:firstLine="720"/>
        <w:jc w:val="both"/>
        <w:rPr>
          <w:rFonts w:ascii="Times New Roman" w:hAnsi="Times New Roman"/>
          <w:caps w:val="false"/>
          <w:smallCaps w:val="false"/>
          <w:sz w:val="20"/>
        </w:rPr>
      </w:pPr>
      <w:r>
        <w:rPr>
          <w:rFonts w:ascii="Times New Roman" w:hAnsi="Times New Roman"/>
          <w:caps w:val="false"/>
          <w:smallCaps w:val="false"/>
          <w:sz w:val="20"/>
        </w:rPr>
        <w:t>(i)         the Administrative Agent determines (which determination shall be conclusive absent manifest error) that (1) adequate and reasonable means do not exist for ascertaining Three-Month LIBOR for such Interest Period;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360" w:right="0" w:firstLine="720"/>
        <w:jc w:val="both"/>
        <w:rPr>
          <w:rFonts w:ascii="Times New Roman" w:hAnsi="Times New Roman"/>
          <w:caps w:val="false"/>
          <w:smallCaps w:val="false"/>
          <w:sz w:val="20"/>
        </w:rPr>
      </w:pPr>
      <w:r>
        <w:rPr>
          <w:rFonts w:ascii="Times New Roman" w:hAnsi="Times New Roman"/>
          <w:caps w:val="false"/>
          <w:smallCaps w:val="false"/>
          <w:sz w:val="20"/>
        </w:rPr>
        <w:t>(ii)         the Administrative Agent is advised by the Required Lenders that Three-Month LIBOR for such Interest Period will not adequately and fairly reflect the cost to such Lenders of making or maintaining their Loans for such Interest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then the Administrative Agent shall give notice thereof to the Borrower and the Lenders by as promptly as practicable thereafter. In the event of any such determination, until the Administrative Agent has advised the Borrower that the circumstances giving rise to such notice no longer exist, Three-Month LIBOR shall be determined by the Administrative Agent solely by reference to clause (ii) of the definition of Three-Month LIBOR.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Benchmark Replacement</w:t>
      </w:r>
      <w:r>
        <w:rPr>
          <w:rFonts w:ascii="Times New Roman" w:hAnsi="Times New Roman"/>
          <w:caps w:val="false"/>
          <w:smallCaps w:val="false"/>
          <w:sz w:val="20"/>
        </w:rPr>
        <w:t xml:space="preserve">. Notwithstanding anything to the contrary herein or in any other Loan Document, but without limiting </w:t>
      </w:r>
      <w:r>
        <w:rPr>
          <w:rFonts w:ascii="Times New Roman" w:hAnsi="Times New Roman"/>
          <w:caps w:val="false"/>
          <w:smallCaps w:val="false"/>
          <w:sz w:val="20"/>
          <w:u w:val="single"/>
        </w:rPr>
        <w:t>Section 10.03(a)</w:t>
      </w:r>
      <w:r>
        <w:rPr>
          <w:rFonts w:ascii="Times New Roman" w:hAnsi="Times New Roman"/>
          <w:caps w:val="false"/>
          <w:smallCaps w:val="false"/>
          <w:sz w:val="20"/>
        </w:rPr>
        <w:t xml:space="preserve"> above, upon the occurrence of a Benchmark Transition Event or an Early Opt-in Election, as applicable, the Administrative Agent and the Borrower may amend this Agreement to replace Three-Month LIBOR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Three-Month LIBOR with a Benchmark Replacement pursuant to this </w:t>
      </w:r>
      <w:r>
        <w:rPr>
          <w:rFonts w:ascii="Times New Roman" w:hAnsi="Times New Roman"/>
          <w:caps w:val="false"/>
          <w:smallCaps w:val="false"/>
          <w:sz w:val="20"/>
          <w:u w:val="single"/>
        </w:rPr>
        <w:t>Section 10.03</w:t>
      </w:r>
      <w:r>
        <w:rPr>
          <w:rFonts w:ascii="Times New Roman" w:hAnsi="Times New Roman"/>
          <w:caps w:val="false"/>
          <w:smallCaps w:val="false"/>
          <w:sz w:val="20"/>
        </w:rPr>
        <w:t xml:space="preserve"> will occur prior to the applicable Benchmark Transition Start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Benchmark Replacement Conforming Changes</w:t>
      </w:r>
      <w:r>
        <w:rPr>
          <w:rFonts w:ascii="Times New Roman" w:hAnsi="Times New Roman"/>
          <w:caps w:val="false"/>
          <w:smallCaps w:val="false"/>
          <w:sz w:val="20"/>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Notices: Standards for Decisions and Determinations</w:t>
      </w:r>
      <w:r>
        <w:rPr>
          <w:rFonts w:ascii="Times New Roman" w:hAnsi="Times New Roman"/>
          <w:caps w:val="false"/>
          <w:smallCaps w:val="false"/>
          <w:sz w:val="20"/>
        </w:rPr>
        <w:t xml:space="preserve">. 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Times New Roman" w:hAnsi="Times New Roman"/>
          <w:caps w:val="false"/>
          <w:smallCaps w:val="false"/>
          <w:sz w:val="20"/>
          <w:u w:val="single"/>
        </w:rPr>
        <w:t>Section 10.03</w:t>
      </w:r>
      <w:r>
        <w:rPr>
          <w:rFonts w:ascii="Times New Roman" w:hAnsi="Times New Roman"/>
          <w:caps w:val="false"/>
          <w:smallCaps w:val="false"/>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Times New Roman" w:hAnsi="Times New Roman"/>
          <w:caps w:val="false"/>
          <w:smallCaps w:val="false"/>
          <w:sz w:val="20"/>
          <w:u w:val="single"/>
        </w:rPr>
        <w:t>Section 10.03</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Upon the Borrower’s receipt of notice of the commencement of a Benchmark Unavailability Period, Three-Month LIBOR shall be determined by the Administrative Agent solely by reference to clause (ii) of the definition of Three-Month LIBOR during such Benchmark Unavailability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Certain Defined Terms</w:t>
      </w:r>
      <w:r>
        <w:rPr>
          <w:rFonts w:ascii="Times New Roman" w:hAnsi="Times New Roman"/>
          <w:caps w:val="false"/>
          <w:smallCaps w:val="false"/>
          <w:sz w:val="20"/>
        </w:rPr>
        <w:t xml:space="preserve">. As used in this </w:t>
      </w:r>
      <w:r>
        <w:rPr>
          <w:rFonts w:ascii="Times New Roman" w:hAnsi="Times New Roman"/>
          <w:caps w:val="false"/>
          <w:smallCaps w:val="false"/>
          <w:sz w:val="20"/>
          <w:u w:val="single"/>
        </w:rPr>
        <w:t>Section 10.03</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Replacement</w:t>
      </w:r>
      <w:r>
        <w:rPr>
          <w:rFonts w:ascii="Times New Roman" w:hAnsi="Times New Roman"/>
          <w:caps w:val="false"/>
          <w:smallCaps w:val="false"/>
          <w:sz w:val="20"/>
        </w:rPr>
        <w:t>”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Three-Month LIBOR for U.S. dollar-denominated syndicated credit facilities and (b) the Benchmark Replacement Adjustment; provided that, if the Benchmark Replacement as so determined would be less than 1.75% per annum, the Benchmark Replacement will be deemed to be 1.75% per annum for the purposes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Replacement Adjustment</w:t>
      </w:r>
      <w:r>
        <w:rPr>
          <w:rFonts w:ascii="Times New Roman" w:hAnsi="Times New Roman"/>
          <w:caps w:val="false"/>
          <w:smallCaps w:val="false"/>
          <w:sz w:val="20"/>
        </w:rPr>
        <w:t>” means, with respect to any replacement of Three-Month LIBOR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Three-Month LIBOR with the applicable Unadjusted Benchmark Replacement by the Relevant Governmental Body or (ii) any evolving or then-prevailing market convention for determining a spread adjustment, or method for calculating or determining such spread adjustment, for the replacement of Three-Month LIBOR with the applicable Unadjusted Benchmark Replacement for U.S. dollar-denominated syndicated credit facilities at such time.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800"/>
        <w:jc w:val="both"/>
        <w:rPr>
          <w:caps w:val="false"/>
          <w:smallCaps w:val="false"/>
        </w:rPr>
      </w:pPr>
      <w:r>
        <w:rPr>
          <w:caps w:val="false"/>
          <w:smallCaps w:val="false"/>
          <w:u w:val="single"/>
        </w:rPr>
        <w:t>“</w:t>
      </w:r>
      <w:r>
        <w:rPr>
          <w:rFonts w:ascii="Times New Roman" w:hAnsi="Times New Roman"/>
          <w:caps w:val="false"/>
          <w:smallCaps w:val="false"/>
          <w:sz w:val="20"/>
          <w:u w:val="single"/>
        </w:rPr>
        <w:t>Benchmark Replacement Conforming Changes</w:t>
      </w:r>
      <w:r>
        <w:rPr>
          <w:rFonts w:ascii="Times New Roman" w:hAnsi="Times New Roman"/>
          <w:caps w:val="false"/>
          <w:smallCaps w:val="false"/>
          <w:sz w:val="20"/>
        </w:rPr>
        <w:t>” means, with respect to any Benchmark Replacement, any technical, administrative or operational changes (including changes to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800"/>
        <w:jc w:val="both"/>
        <w:rPr>
          <w:caps w:val="false"/>
          <w:smallCaps w:val="false"/>
        </w:rPr>
      </w:pPr>
      <w:r>
        <w:rPr>
          <w:caps w:val="false"/>
          <w:smallCaps w:val="false"/>
          <w:u w:val="single"/>
        </w:rPr>
        <w:t>“</w:t>
      </w:r>
      <w:r>
        <w:rPr>
          <w:rFonts w:ascii="Times New Roman" w:hAnsi="Times New Roman"/>
          <w:caps w:val="false"/>
          <w:smallCaps w:val="false"/>
          <w:sz w:val="20"/>
          <w:u w:val="single"/>
        </w:rPr>
        <w:t>Benchmark Replacement Date</w:t>
      </w:r>
      <w:r>
        <w:rPr>
          <w:rFonts w:ascii="Times New Roman" w:hAnsi="Times New Roman"/>
          <w:caps w:val="false"/>
          <w:smallCaps w:val="false"/>
          <w:sz w:val="20"/>
        </w:rPr>
        <w:t>” means the earlier to occur of the following events with respect to Three-Month LIBOR: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460"/>
        <w:jc w:val="both"/>
        <w:rPr>
          <w:rFonts w:ascii="Times New Roman" w:hAnsi="Times New Roman"/>
          <w:caps w:val="false"/>
          <w:smallCaps w:val="false"/>
          <w:sz w:val="20"/>
        </w:rPr>
      </w:pPr>
      <w:r>
        <w:rPr>
          <w:rFonts w:ascii="Times New Roman" w:hAnsi="Times New Roman"/>
          <w:caps w:val="false"/>
          <w:smallCaps w:val="false"/>
          <w:sz w:val="20"/>
        </w:rPr>
        <w:t>(1)    in the case of clause (1) or (2) of the definition of “Benchmark Transition Event,” the later of (a) the date of the public statement or publication of information referenced therein and (b) the date on which the administrator of Three-Month LIBOR permanently or indefinitely ceases to provide Three-Month LIBOR;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firstLine="460"/>
        <w:jc w:val="both"/>
        <w:rPr>
          <w:rFonts w:ascii="Times New Roman" w:hAnsi="Times New Roman"/>
          <w:caps w:val="false"/>
          <w:smallCaps w:val="false"/>
          <w:sz w:val="20"/>
        </w:rPr>
      </w:pPr>
      <w:r>
        <w:rPr>
          <w:rFonts w:ascii="Times New Roman" w:hAnsi="Times New Roman"/>
          <w:caps w:val="false"/>
          <w:smallCaps w:val="false"/>
          <w:sz w:val="20"/>
        </w:rPr>
        <w:t>(2)    in the case of clause (3) of the definition of “Benchmark Transition Event,” the date of the public statement or publication of information referenced therein.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800"/>
        <w:jc w:val="both"/>
        <w:rPr>
          <w:caps w:val="false"/>
          <w:smallCaps w:val="false"/>
        </w:rPr>
      </w:pPr>
      <w:r>
        <w:rPr>
          <w:caps w:val="false"/>
          <w:smallCaps w:val="false"/>
          <w:u w:val="single"/>
        </w:rPr>
        <w:t>“</w:t>
      </w:r>
      <w:r>
        <w:rPr>
          <w:rFonts w:ascii="Times New Roman" w:hAnsi="Times New Roman"/>
          <w:caps w:val="false"/>
          <w:smallCaps w:val="false"/>
          <w:sz w:val="20"/>
          <w:u w:val="single"/>
        </w:rPr>
        <w:t>Benchmark Transition Event</w:t>
      </w:r>
      <w:r>
        <w:rPr>
          <w:rFonts w:ascii="Times New Roman" w:hAnsi="Times New Roman"/>
          <w:caps w:val="false"/>
          <w:smallCaps w:val="false"/>
          <w:sz w:val="20"/>
        </w:rPr>
        <w:t>” means the occurrence of one or more of the following events with respect to Three-Month LIBOR: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firstLine="460"/>
        <w:jc w:val="both"/>
        <w:rPr>
          <w:rFonts w:ascii="Times New Roman" w:hAnsi="Times New Roman"/>
          <w:caps w:val="false"/>
          <w:smallCaps w:val="false"/>
          <w:sz w:val="20"/>
        </w:rPr>
      </w:pPr>
      <w:r>
        <w:rPr>
          <w:rFonts w:ascii="Times New Roman" w:hAnsi="Times New Roman"/>
          <w:caps w:val="false"/>
          <w:smallCaps w:val="false"/>
          <w:sz w:val="20"/>
        </w:rPr>
        <w:t>(1)    a public statement or publication of information by or on behalf of the administrator of Three-Month LIBOR announcing that such administrator has ceased or will cease to provide Three-Month LIBOR, permanently or indefinitely, provided that, at the time of such statement or publication, there is no successor administrator that will continue to provide Three-Month LIBOR;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firstLine="460"/>
        <w:jc w:val="both"/>
        <w:rPr>
          <w:rFonts w:ascii="Times New Roman" w:hAnsi="Times New Roman"/>
          <w:caps w:val="false"/>
          <w:smallCaps w:val="false"/>
          <w:sz w:val="20"/>
        </w:rPr>
      </w:pPr>
      <w:r>
        <w:rPr>
          <w:rFonts w:ascii="Times New Roman" w:hAnsi="Times New Roman"/>
          <w:caps w:val="false"/>
          <w:smallCaps w:val="false"/>
          <w:sz w:val="20"/>
        </w:rPr>
        <w:t>(2)    a public statement or publication of information by the regulatory supervisor for the administrator of Three-Month LIBOR, the U.S. Federal Reserve System, an insolvency official with jurisdiction over the administrator for Three-Month LIBOR, a resolution authority with jurisdiction over the administrator for Three-Month LIBOR or a court or an entity with similar insolvency or resolution authority over the administrator for Three-Month LIBOR, which states that the administrator of Three-Month LIBOR has ceased or will cease to provide Three-Month LIBOR permanently or indefinitely, provided that, at the time of such statement or publication, there is no successor administrator that will continue to provide Three-Month LIBOR; 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firstLine="460"/>
        <w:jc w:val="both"/>
        <w:rPr>
          <w:rFonts w:ascii="Times New Roman" w:hAnsi="Times New Roman"/>
          <w:caps w:val="false"/>
          <w:smallCaps w:val="false"/>
          <w:sz w:val="20"/>
        </w:rPr>
      </w:pPr>
      <w:r>
        <w:rPr>
          <w:rFonts w:ascii="Times New Roman" w:hAnsi="Times New Roman"/>
          <w:caps w:val="false"/>
          <w:smallCaps w:val="false"/>
          <w:sz w:val="20"/>
        </w:rPr>
        <w:t>(3)    a public statement or publication of information by the regulatory supervisor for the administrator of Three-Month LIBOR announcing that Three-Month LIBOR is no longer representative.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800"/>
        <w:jc w:val="both"/>
        <w:rPr>
          <w:caps w:val="false"/>
          <w:smallCaps w:val="false"/>
        </w:rPr>
      </w:pPr>
      <w:r>
        <w:rPr>
          <w:caps w:val="false"/>
          <w:smallCaps w:val="false"/>
          <w:u w:val="single"/>
        </w:rPr>
        <w:t>“</w:t>
      </w:r>
      <w:r>
        <w:rPr>
          <w:rFonts w:ascii="Times New Roman" w:hAnsi="Times New Roman"/>
          <w:caps w:val="false"/>
          <w:smallCaps w:val="false"/>
          <w:sz w:val="20"/>
          <w:u w:val="single"/>
        </w:rPr>
        <w:t>Benchmark Transition Start Date</w:t>
      </w:r>
      <w:r>
        <w:rPr>
          <w:rFonts w:ascii="Times New Roman" w:hAnsi="Times New Roman"/>
          <w:caps w:val="false"/>
          <w:smallCaps w:val="false"/>
          <w:sz w:val="20"/>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xml:space="preserve">” means, if a Benchmark Transition Event and its related Benchmark Replacement Date have occurred with respect to Three-Month LIBOR and solely to the extent that Three-Month LIBOR has not been replaced with a Benchmark Replacement, the period (x) beginning at the time that such Benchmark Replacement Date has occurred if, at such time, no Benchmark Replacement has replaced Three-Month LIBOR for all purposes hereunder in accordance with this </w:t>
      </w:r>
      <w:r>
        <w:rPr>
          <w:rFonts w:ascii="Times New Roman" w:hAnsi="Times New Roman"/>
          <w:caps w:val="false"/>
          <w:smallCaps w:val="false"/>
          <w:sz w:val="20"/>
          <w:u w:val="single"/>
        </w:rPr>
        <w:t>Section 10.03</w:t>
      </w:r>
      <w:r>
        <w:rPr>
          <w:rFonts w:ascii="Times New Roman" w:hAnsi="Times New Roman"/>
          <w:caps w:val="false"/>
          <w:smallCaps w:val="false"/>
          <w:sz w:val="20"/>
        </w:rPr>
        <w:t xml:space="preserve"> and (y) ending at the time that a Benchmark Replacement has replaced Three-Month LIBOR for all purposes hereunder pursuant to this </w:t>
      </w:r>
      <w:r>
        <w:rPr>
          <w:rFonts w:ascii="Times New Roman" w:hAnsi="Times New Roman"/>
          <w:caps w:val="false"/>
          <w:smallCaps w:val="false"/>
          <w:sz w:val="20"/>
          <w:u w:val="single"/>
        </w:rPr>
        <w:t>Section 10.03</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Early Opt-in Election</w:t>
      </w:r>
      <w:r>
        <w:rPr>
          <w:rFonts w:ascii="Times New Roman" w:hAnsi="Times New Roman"/>
          <w:caps w:val="false"/>
          <w:smallCaps w:val="false"/>
          <w:sz w:val="20"/>
        </w:rPr>
        <w:t>” means the occurrence 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(1)    (i)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this </w:t>
      </w:r>
      <w:r>
        <w:rPr>
          <w:rFonts w:ascii="Times New Roman" w:hAnsi="Times New Roman"/>
          <w:caps w:val="false"/>
          <w:smallCaps w:val="false"/>
          <w:sz w:val="20"/>
          <w:u w:val="single"/>
        </w:rPr>
        <w:t>Section 10.03</w:t>
      </w:r>
      <w:r>
        <w:rPr>
          <w:rFonts w:ascii="Times New Roman" w:hAnsi="Times New Roman"/>
          <w:caps w:val="false"/>
          <w:smallCaps w:val="false"/>
          <w:sz w:val="20"/>
        </w:rPr>
        <w:t xml:space="preserve"> are being executed or amended, as applicable, to incorporate or adopt a new benchmark interest rate to replace Three-Month LIBOR,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firstLine="360"/>
        <w:jc w:val="both"/>
        <w:rPr>
          <w:rFonts w:ascii="Times New Roman" w:hAnsi="Times New Roman"/>
          <w:caps w:val="false"/>
          <w:smallCaps w:val="false"/>
          <w:sz w:val="20"/>
        </w:rPr>
      </w:pPr>
      <w:r>
        <w:rPr>
          <w:rFonts w:ascii="Times New Roman" w:hAnsi="Times New Roman"/>
          <w:caps w:val="false"/>
          <w:smallCaps w:val="false"/>
          <w:sz w:val="20"/>
        </w:rPr>
        <w:t>(2)    (i)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Federal Reserve Bank of New York</w:t>
      </w:r>
      <w:r>
        <w:rPr>
          <w:rFonts w:ascii="Times New Roman" w:hAnsi="Times New Roman"/>
          <w:caps w:val="false"/>
          <w:smallCaps w:val="false"/>
          <w:sz w:val="20"/>
        </w:rPr>
        <w:t>’</w:t>
      </w:r>
      <w:r>
        <w:rPr>
          <w:rFonts w:ascii="Times New Roman" w:hAnsi="Times New Roman"/>
          <w:caps w:val="false"/>
          <w:smallCaps w:val="false"/>
          <w:sz w:val="20"/>
          <w:u w:val="single"/>
        </w:rPr>
        <w:t>s Website</w:t>
      </w:r>
      <w:r>
        <w:rPr>
          <w:rFonts w:ascii="Times New Roman" w:hAnsi="Times New Roman"/>
          <w:caps w:val="false"/>
          <w:smallCaps w:val="false"/>
          <w:sz w:val="20"/>
        </w:rPr>
        <w:t>” means the website of the Federal Reserve Bank of New York at http://www.newyorkfed.org, or any successor source.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Relevant Governmental Body</w:t>
      </w:r>
      <w:r>
        <w:rPr>
          <w:rFonts w:ascii="Times New Roman" w:hAnsi="Times New Roman"/>
          <w:caps w:val="false"/>
          <w:smallCaps w:val="false"/>
          <w:sz w:val="20"/>
        </w:rPr>
        <w:t>” means the Federal Reserve Board and/or the Federal Reserve Bank of New York, or a committee officially endorsed or convened by the Federal Reserve Board and/or the Federal Reserve Bank of New York or any successor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SOFR</w:t>
      </w:r>
      <w:r>
        <w:rPr>
          <w:rFonts w:ascii="Times New Roman" w:hAnsi="Times New Roman"/>
          <w:caps w:val="false"/>
          <w:smallCaps w:val="false"/>
          <w:sz w:val="20"/>
        </w:rPr>
        <w:t>” with respect to any day means the secured overnight financing rate published for such day by the Federal Reserve Bank of New York, as the administrator of the benchmark, (or a successor administrator) on the Federal Reserve Bank of New York’s Website.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Term SOFR</w:t>
      </w:r>
      <w:r>
        <w:rPr>
          <w:rFonts w:ascii="Times New Roman" w:hAnsi="Times New Roman"/>
          <w:caps w:val="false"/>
          <w:smallCaps w:val="false"/>
          <w:sz w:val="20"/>
        </w:rPr>
        <w:t>” means the forward-looking term rate based on SOFR that has been selected or recommended by the Relevant Governmental Body.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Unadjusted Benchmark Replacement</w:t>
      </w:r>
      <w:r>
        <w:rPr>
          <w:rFonts w:ascii="Times New Roman" w:hAnsi="Times New Roman"/>
          <w:caps w:val="false"/>
          <w:smallCaps w:val="false"/>
          <w:sz w:val="20"/>
        </w:rPr>
        <w:t>” means the Benchmark Replacement excluding the Benchmark Replacement Adjustment.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10.04    </w:t>
      </w:r>
      <w:r>
        <w:rPr>
          <w:rFonts w:ascii="Times New Roman" w:hAnsi="Times New Roman"/>
          <w:caps w:val="false"/>
          <w:smallCaps w:val="false"/>
          <w:sz w:val="20"/>
          <w:u w:val="single"/>
        </w:rPr>
        <w:t>Illegality</w:t>
      </w:r>
      <w:r>
        <w:rPr>
          <w:rFonts w:ascii="Times New Roman" w:hAnsi="Times New Roman"/>
          <w:caps w:val="false"/>
          <w:smallCaps w:val="false"/>
          <w:sz w:val="20"/>
        </w:rPr>
        <w:t xml:space="preserve">. If any Lender determines that any Law has made it unlawful, or that any Governmental Authority has asserted that it is unlawful, for any Lender to make or maintain any Loan whose interest is determined by reference to Three-Month LIBOR, or to determine or charge interest rates based upon Three-Month LIBOR, or any Governmental Authority has imposed material restrictions on the authority of such Lender to purchase or sell, or to take deposits of, Dollars in the London interbank market, then, on notice thereof by such Lender to the Borrower through the Administrative Agent, (a) any obligation of such Lender to make or maintain or charge interest with respect to any such Loan whose interest is determined by reference to Three-Month LIBOR shall be suspended, and (b) the interest rate on the Loans of such Lender shall, if necessary to avoid such illegality, be determined by the Administrative Agent without reference to </w:t>
      </w:r>
      <w:r>
        <w:rPr>
          <w:rFonts w:ascii="Times New Roman" w:hAnsi="Times New Roman"/>
          <w:caps w:val="false"/>
          <w:smallCaps w:val="false"/>
          <w:sz w:val="20"/>
          <w:u w:val="single"/>
        </w:rPr>
        <w:t>clause (y)</w:t>
      </w:r>
      <w:r>
        <w:rPr>
          <w:rFonts w:ascii="Times New Roman" w:hAnsi="Times New Roman"/>
          <w:caps w:val="false"/>
          <w:smallCaps w:val="false"/>
          <w:sz w:val="20"/>
        </w:rPr>
        <w:t xml:space="preserve"> in the definition of Three-Month LIBOR, in each case until such Lender notifies the Administrative Agent and the Borrower that the circumstances giving rise to such determination no longer exist. Upon receipt of such notice by the Administrative Agent and the Borrower, all Loans of such Lender the interest rate on which is determined by reference to </w:t>
      </w:r>
      <w:r>
        <w:rPr>
          <w:rFonts w:ascii="Times New Roman" w:hAnsi="Times New Roman"/>
          <w:caps w:val="false"/>
          <w:smallCaps w:val="false"/>
          <w:sz w:val="20"/>
          <w:u w:val="single"/>
        </w:rPr>
        <w:t>clause (y)</w:t>
      </w:r>
      <w:r>
        <w:rPr>
          <w:rFonts w:ascii="Times New Roman" w:hAnsi="Times New Roman"/>
          <w:caps w:val="false"/>
          <w:smallCaps w:val="false"/>
          <w:sz w:val="20"/>
        </w:rPr>
        <w:t xml:space="preserve"> in the definition of Three-Month LIBOR shall be determined by the Administrative Agent without reference to </w:t>
      </w:r>
      <w:r>
        <w:rPr>
          <w:rFonts w:ascii="Times New Roman" w:hAnsi="Times New Roman"/>
          <w:caps w:val="false"/>
          <w:smallCaps w:val="false"/>
          <w:sz w:val="20"/>
          <w:u w:val="single"/>
        </w:rPr>
        <w:t>clause (y)</w:t>
      </w:r>
      <w:r>
        <w:rPr>
          <w:rFonts w:ascii="Times New Roman" w:hAnsi="Times New Roman"/>
          <w:caps w:val="false"/>
          <w:smallCaps w:val="false"/>
          <w:sz w:val="20"/>
        </w:rPr>
        <w:t xml:space="preserve"> in the definition of Three-Month LIBOR, until such Lender notifies the Administrative Agent and the Borrower that the circumstance giving rise to such determination no longer exist.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10.05    </w:t>
      </w:r>
      <w:r>
        <w:rPr>
          <w:rFonts w:ascii="Times New Roman" w:hAnsi="Times New Roman"/>
          <w:caps w:val="false"/>
          <w:smallCaps w:val="false"/>
          <w:sz w:val="20"/>
          <w:u w:val="single"/>
        </w:rPr>
        <w:t>Survival</w:t>
      </w:r>
      <w:r>
        <w:rPr>
          <w:rFonts w:ascii="Times New Roman" w:hAnsi="Times New Roman"/>
          <w:caps w:val="false"/>
          <w:smallCaps w:val="false"/>
          <w:sz w:val="20"/>
        </w:rPr>
        <w:t>. All of the Borrower’s obligations under this Article X shall survive termination of the Commitments, prepayment or repayment of all Obligations hereunder and resignation of the 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w:t>
        <w:br/>
        <w:br/>
        <w:t>ADMINISTRATIVE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11.01    </w:t>
      </w:r>
      <w:r>
        <w:rPr>
          <w:rFonts w:ascii="Times New Roman" w:hAnsi="Times New Roman"/>
          <w:caps w:val="false"/>
          <w:smallCaps w:val="false"/>
          <w:sz w:val="20"/>
          <w:u w:val="single"/>
        </w:rPr>
        <w:t>Appointment and Authority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Each of the Lenders hereby irrevocably appoints Athyrium Opportunities III Co-Invest 1 LP, a Delaware limited partnership,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powers and discretion as are incidental thereto. The provisions of this Article are solely for the benefit of the Administrative Agent and the Lenders,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actions, powers and discretion as are incidental thereto. In this connection, the Administrative Agent, as “collateral agent” and any co-agents, sub-agents and attorneys-in-fact appointed by the Administrative Agent pursuant to </w:t>
      </w:r>
      <w:r>
        <w:rPr>
          <w:rFonts w:ascii="Times New Roman" w:hAnsi="Times New Roman"/>
          <w:caps w:val="false"/>
          <w:smallCaps w:val="false"/>
          <w:sz w:val="20"/>
          <w:u w:val="single"/>
        </w:rPr>
        <w:t>Section 11.05</w:t>
      </w:r>
      <w:r>
        <w:rPr>
          <w:rFonts w:ascii="Times New Roman" w:hAnsi="Times New Roman"/>
          <w:caps w:val="false"/>
          <w:smallCaps w:val="false"/>
          <w:sz w:val="2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caps w:val="false"/>
          <w:smallCaps w:val="false"/>
          <w:sz w:val="20"/>
          <w:u w:val="single"/>
        </w:rPr>
        <w:t>Article XI</w:t>
      </w:r>
      <w:r>
        <w:rPr>
          <w:rFonts w:ascii="Times New Roman" w:hAnsi="Times New Roman"/>
          <w:caps w:val="false"/>
          <w:smallCaps w:val="false"/>
          <w:sz w:val="20"/>
        </w:rPr>
        <w:t xml:space="preserve"> and </w:t>
      </w:r>
      <w:r>
        <w:rPr>
          <w:rFonts w:ascii="Times New Roman" w:hAnsi="Times New Roman"/>
          <w:caps w:val="false"/>
          <w:smallCaps w:val="false"/>
          <w:sz w:val="20"/>
          <w:u w:val="single"/>
        </w:rPr>
        <w:t>Article XII</w:t>
      </w:r>
      <w:r>
        <w:rPr>
          <w:rFonts w:ascii="Times New Roman" w:hAnsi="Times New Roman"/>
          <w:caps w:val="false"/>
          <w:smallCaps w:val="false"/>
          <w:sz w:val="20"/>
        </w:rPr>
        <w:t>, as though such co-agents, sub-agents and attorneys-in-fact were the “Administrative Agent” under the Loan Documents as if set forth in full herein with respect thereto. The Administrative Agent is hereby authorized to enter into the Intercreditor Agreement and any other intercreditor agreement or subordination agreement contemplated by the terms of this Agreement, and each Lender agrees to be bound by the terms of the Intercreditor Agreement and such other intercreditor agreement or subordination agreement and directs the Administrative Agent to enter into the Intercreditor Agreement and such other intercreditor agreement or subordination agreement, in each case, on behalf of the Secured Parties and agrees that the Administrative Agent may take such actions on its behalf as is contemplated by the terms of the Intercreditor Agreement or such other intercreditor agreement or subordination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11.02    </w:t>
      </w:r>
      <w:r>
        <w:rPr>
          <w:rFonts w:ascii="Times New Roman" w:hAnsi="Times New Roman"/>
          <w:caps w:val="false"/>
          <w:smallCaps w:val="false"/>
          <w:sz w:val="20"/>
          <w:u w:val="single"/>
        </w:rPr>
        <w:t>Rights as a Lender</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11.03    </w:t>
      </w:r>
      <w:r>
        <w:rPr>
          <w:rFonts w:ascii="Times New Roman" w:hAnsi="Times New Roman"/>
          <w:caps w:val="false"/>
          <w:smallCaps w:val="false"/>
          <w:sz w:val="20"/>
          <w:u w:val="single"/>
        </w:rPr>
        <w:t>Exculpatory Provisions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shall not be subject to any fiduciary or other implied duties, regardless of whether a Default has occurred and is continuing;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aps w:val="false"/>
          <w:smallCaps w:val="false"/>
          <w:sz w:val="20"/>
          <w:u w:val="single"/>
        </w:rPr>
        <w:t>Section 12.01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9.02</w:t>
      </w:r>
      <w:r>
        <w:rPr>
          <w:rFonts w:ascii="Times New Roman" w:hAnsi="Times New Roman"/>
          <w:caps w:val="false"/>
          <w:smallCaps w:val="false"/>
          <w:sz w:val="2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hAnsi="Times New Roman"/>
          <w:caps w:val="false"/>
          <w:smallCaps w:val="false"/>
          <w:sz w:val="20"/>
          <w:u w:val="single"/>
        </w:rPr>
        <w:t>Article V</w:t>
      </w:r>
      <w:r>
        <w:rPr>
          <w:rFonts w:ascii="Times New Roman" w:hAnsi="Times New Roman"/>
          <w:caps w:val="false"/>
          <w:smallCaps w:val="false"/>
          <w:sz w:val="20"/>
        </w:rPr>
        <w:t xml:space="preserve"> or elsewhere herein, other than to confirm receipt of items expressly required to be delivered to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11.04    </w:t>
      </w:r>
      <w:r>
        <w:rPr>
          <w:rFonts w:ascii="Times New Roman" w:hAnsi="Times New Roman"/>
          <w:caps w:val="false"/>
          <w:smallCaps w:val="false"/>
          <w:sz w:val="20"/>
          <w:u w:val="single"/>
        </w:rPr>
        <w:t>Reliance by Administrative Agent</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11.05    </w:t>
      </w:r>
      <w:r>
        <w:rPr>
          <w:rFonts w:ascii="Times New Roman" w:hAnsi="Times New Roman"/>
          <w:caps w:val="false"/>
          <w:smallCaps w:val="false"/>
          <w:sz w:val="20"/>
          <w:u w:val="single"/>
        </w:rPr>
        <w:t>Delegation of Duties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11.06    </w:t>
      </w:r>
      <w:r>
        <w:rPr>
          <w:rFonts w:ascii="Times New Roman" w:hAnsi="Times New Roman"/>
          <w:caps w:val="false"/>
          <w:smallCaps w:val="false"/>
          <w:sz w:val="20"/>
          <w:u w:val="single"/>
        </w:rPr>
        <w:t>Resignation of Administrative Agent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Administrative Agent may resign as Administrative Agent at any time by giving thirty (30) days advance notice thereof to the Lenders and the Borrower and, thereafter, the retiring Administrative Agent shall be discharged from its duties and obligations hereunder. Upon any such resignation, the Required Lenders shall have the right, subject to the approval of the Borrower (so long as no Event of Default has occurred and is continuing; such approval not to be unreasonably withheld), to appoint a successor Administrative Agent. If no successor Administrative Agent shall have been so appointed by the Required Lenders, been approved (so long as no Event of Default has occurred and is continuing) by the Borrower or have accepted such appointment within thirty (30) days after the Administrative Agent’s giving of notice of resignation, then the Administrative Agent may, on behalf of the Lenders, appoint a successor Administrative Agent reasonably acceptable to the Borrower (so long as no Default or Event of Default has occurred and is continuing). Upon the acceptance of any appointment as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Administrative Agent, the provisions of this </w:t>
      </w:r>
      <w:r>
        <w:rPr>
          <w:rFonts w:ascii="Times New Roman" w:hAnsi="Times New Roman"/>
          <w:caps w:val="false"/>
          <w:smallCaps w:val="false"/>
          <w:sz w:val="20"/>
          <w:u w:val="single"/>
        </w:rPr>
        <w:t>Section 11.06</w:t>
      </w:r>
      <w:r>
        <w:rPr>
          <w:rFonts w:ascii="Times New Roman" w:hAnsi="Times New Roman"/>
          <w:caps w:val="false"/>
          <w:smallCaps w:val="false"/>
          <w:sz w:val="20"/>
        </w:rPr>
        <w:t xml:space="preserve"> shall continue in effect for its benefit in respect of any actions taken or omitted to be taken by it while it was acting as Administrative Agent. If no successor has accepted appointment as Administrative Agent by the date which is thirty (30) days following a retiring Administrative Agent’s notice of resignation, the retiring Administrative Agent’s resignation shall nevertheless thereupon become effective and the Required Lenders shall perform all of the duties of the Administrative Agent hereunder until such time, if any, as the Required Lenders appoint a successor agent as provided for above. In the event that a new Administrative Agent is appointed and such Administrative Agent is not an Affiliate of the holders of a majority in interest of the Loans, then the Borrower shall agree to pay to such Administrative Agent the fees and expenses (such fees to be payable annually in advance) that such Administrative Agent may reasonably request in connection with its appointment and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11.07    </w:t>
      </w:r>
      <w:r>
        <w:rPr>
          <w:rFonts w:ascii="Times New Roman" w:hAnsi="Times New Roman"/>
          <w:caps w:val="false"/>
          <w:smallCaps w:val="false"/>
          <w:sz w:val="20"/>
          <w:u w:val="single"/>
        </w:rPr>
        <w:t>Non-Reliance on Administrative Agent and Other Lenders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11.08    </w:t>
      </w:r>
      <w:r>
        <w:rPr>
          <w:rFonts w:ascii="Times New Roman" w:hAnsi="Times New Roman"/>
          <w:caps w:val="false"/>
          <w:smallCaps w:val="false"/>
          <w:sz w:val="20"/>
          <w:u w:val="single"/>
        </w:rPr>
        <w:t>Administrative Agent May File Proofs of Claim</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caps w:val="false"/>
          <w:smallCaps w:val="false"/>
          <w:sz w:val="20"/>
          <w:u w:val="single"/>
        </w:rPr>
        <w:t>Section 12.04</w:t>
      </w:r>
      <w:r>
        <w:rPr>
          <w:rFonts w:ascii="Times New Roman" w:hAnsi="Times New Roman"/>
          <w:caps w:val="false"/>
          <w:smallCaps w:val="false"/>
          <w:sz w:val="20"/>
        </w:rPr>
        <w:t>) allowed in such judicial proceeding;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to collect and receive any monies or other property payable or deliverable on any such claims and to distribute the same;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aps w:val="false"/>
          <w:smallCaps w:val="false"/>
          <w:sz w:val="20"/>
          <w:u w:val="single"/>
        </w:rPr>
        <w:t>Section 12.04</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11.09    </w:t>
      </w:r>
      <w:r>
        <w:rPr>
          <w:rFonts w:ascii="Times New Roman" w:hAnsi="Times New Roman"/>
          <w:caps w:val="false"/>
          <w:smallCaps w:val="false"/>
          <w:sz w:val="20"/>
          <w:u w:val="single"/>
        </w:rPr>
        <w:t>Collateral and Guaranty Matters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Lenders irrevocably authorize the Administrative Agent, at its option and in its discretion,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to release any Lien on any Collateral granted to or held by the Administrative Agent under any Loan Document (i) upon payment in full of all Obligations (other than contingent indemnification obligations for which no claim has been asserted) under the Loan Documents and the termination of all unused Commitments, (ii) that is sold or otherwise disposed of or to be sold or otherwise disposed of as part of or in connection with any sale or other Disposition permitted hereunder or any Involuntary Disposition, or (iii) as approved in accordance with </w:t>
      </w:r>
      <w:r>
        <w:rPr>
          <w:rFonts w:ascii="Times New Roman" w:hAnsi="Times New Roman"/>
          <w:caps w:val="false"/>
          <w:smallCaps w:val="false"/>
          <w:sz w:val="20"/>
          <w:u w:val="single"/>
        </w:rPr>
        <w:t>Section 12.01</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to subordinate any Lien on any property granted to or held by the Administrative Agent under any Loan Document to the holder of any Lien on such property that is permitted by </w:t>
      </w:r>
      <w:r>
        <w:rPr>
          <w:rFonts w:ascii="Times New Roman" w:hAnsi="Times New Roman"/>
          <w:caps w:val="false"/>
          <w:smallCaps w:val="false"/>
          <w:sz w:val="20"/>
          <w:u w:val="single"/>
        </w:rPr>
        <w:t>Section 8.01(i)</w:t>
      </w:r>
      <w:r>
        <w:rPr>
          <w:rFonts w:ascii="Times New Roman" w:hAnsi="Times New Roman"/>
          <w:caps w:val="false"/>
          <w:smallCaps w:val="false"/>
          <w:sz w:val="20"/>
        </w:rPr>
        <w:t>;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to release any Guarantor from its obligations under the Guaranty (i) if such Person ceases to be a Subsidiary as a result of a transaction permitted under the Loan Documents or (ii) upon payment in full of all Obligations (other than contingent indemnification obligations for which no claim has been asserted) under the Loan Documents and the termination of all unused Commitments.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hAnsi="Times New Roman"/>
          <w:caps w:val="false"/>
          <w:smallCaps w:val="false"/>
          <w:sz w:val="20"/>
          <w:u w:val="single"/>
        </w:rPr>
        <w:t>Section 11.09</w:t>
      </w:r>
      <w:r>
        <w:rPr>
          <w:rFonts w:ascii="Times New Roman" w:hAnsi="Times New Roman"/>
          <w:caps w:val="false"/>
          <w:smallCaps w:val="false"/>
          <w:sz w:val="20"/>
        </w:rPr>
        <w:t xml:space="preserve">. At any time that a Loan Party desires the Administrative Agent to take any action pursuant to this </w:t>
      </w:r>
      <w:r>
        <w:rPr>
          <w:rFonts w:ascii="Times New Roman" w:hAnsi="Times New Roman"/>
          <w:caps w:val="false"/>
          <w:smallCaps w:val="false"/>
          <w:sz w:val="20"/>
          <w:u w:val="single"/>
        </w:rPr>
        <w:t>Section 11.09</w:t>
      </w:r>
      <w:r>
        <w:rPr>
          <w:rFonts w:ascii="Times New Roman" w:hAnsi="Times New Roman"/>
          <w:caps w:val="false"/>
          <w:smallCaps w:val="false"/>
          <w:sz w:val="20"/>
        </w:rPr>
        <w:t xml:space="preserve">, such Loan Party shall deliver a certificate signed by a Responsible Officer of such Loan Party stating that the action is permitted pursuant to this </w:t>
      </w:r>
      <w:r>
        <w:rPr>
          <w:rFonts w:ascii="Times New Roman" w:hAnsi="Times New Roman"/>
          <w:caps w:val="false"/>
          <w:smallCaps w:val="false"/>
          <w:sz w:val="20"/>
          <w:u w:val="single"/>
        </w:rPr>
        <w:t>Section 11.09</w:t>
      </w:r>
      <w:r>
        <w:rPr>
          <w:rFonts w:ascii="Times New Roman" w:hAnsi="Times New Roman"/>
          <w:caps w:val="false"/>
          <w:smallCaps w:val="false"/>
          <w:sz w:val="20"/>
        </w:rPr>
        <w:t xml:space="preserve"> and the terms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XII</w:t>
        <w:br/>
        <w:br/>
        <w:t>MISCELLANEOUS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12.01    </w:t>
      </w:r>
      <w:r>
        <w:rPr>
          <w:rFonts w:ascii="Times New Roman" w:hAnsi="Times New Roman"/>
          <w:caps w:val="false"/>
          <w:smallCaps w:val="false"/>
          <w:sz w:val="20"/>
          <w:u w:val="single"/>
        </w:rPr>
        <w:t>Amendments, Etc.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no such amendment, waiver or consent shall: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extend or increase the Commitment of a Lender (or reinstate any Commitment terminated pursuant to </w:t>
      </w:r>
      <w:r>
        <w:rPr>
          <w:rFonts w:ascii="Times New Roman" w:hAnsi="Times New Roman"/>
          <w:caps w:val="false"/>
          <w:smallCaps w:val="false"/>
          <w:sz w:val="20"/>
          <w:u w:val="single"/>
        </w:rPr>
        <w:t>Section 9.02</w:t>
      </w:r>
      <w:r>
        <w:rPr>
          <w:rFonts w:ascii="Times New Roman" w:hAnsi="Times New Roman"/>
          <w:caps w:val="false"/>
          <w:smallCaps w:val="false"/>
          <w:sz w:val="20"/>
        </w:rPr>
        <w:t xml:space="preserve">) without the written consent of such Lender whose Commitment is being extended or increased (it being understood and agreed that a waiver of any condition precedent set forth in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or of any Default or a mandatory reduction in Commitments is not considered an extension or increase in Commitments of any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postpone any date fixed by this Agreement or any other Loan Document for any payment of principal (excluding mandatory repayments and prepayments), interest, prepayment or repayment premiums, the exit fee,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reduce the principal of, the rate of interest specified herein on or the prepayment or repayment premiums or exit fees specified herein for any Loan, or any fees or other amounts payable hereunder or under any other Loan Document without the written consent of each Lender entitled to receive such payment of principal, interest, fees or other amounts;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only the consent of the Required Lenders shall be necessary to amend the definition of “Default Rate” or to waive any obligation of the Borrower to pay interest at the Default Rate;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change any provision of this </w:t>
      </w:r>
      <w:r>
        <w:rPr>
          <w:rFonts w:ascii="Times New Roman" w:hAnsi="Times New Roman"/>
          <w:caps w:val="false"/>
          <w:smallCaps w:val="false"/>
          <w:sz w:val="20"/>
          <w:u w:val="single"/>
        </w:rPr>
        <w:t>Section 12.01(a)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2.11</w:t>
      </w:r>
      <w:r>
        <w:rPr>
          <w:rFonts w:ascii="Times New Roman" w:hAnsi="Times New Roman"/>
          <w:caps w:val="false"/>
          <w:smallCaps w:val="false"/>
          <w:sz w:val="20"/>
        </w:rPr>
        <w:t xml:space="preserve">, the definition of “Required Lenders,” change the waterfall set forth in </w:t>
      </w:r>
      <w:r>
        <w:rPr>
          <w:rFonts w:ascii="Times New Roman" w:hAnsi="Times New Roman"/>
          <w:caps w:val="false"/>
          <w:smallCaps w:val="false"/>
          <w:sz w:val="20"/>
          <w:u w:val="single"/>
        </w:rPr>
        <w:t>Section 9.03</w:t>
      </w:r>
      <w:r>
        <w:rPr>
          <w:rFonts w:ascii="Times New Roman" w:hAnsi="Times New Roman"/>
          <w:caps w:val="false"/>
          <w:smallCaps w:val="false"/>
          <w:sz w:val="20"/>
        </w:rPr>
        <w:t xml:space="preserve"> or otherwise or have the effect of changing the priority or pro rata treatment of any payments (including voluntary and mandatory repayments and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in each case, without the written consent of each Lender directly affected thereby;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release all or substantially all of the Collateral without the written consent of each Lender directly affected thereby, except to the extent the release of the Collateral is expressly permitted by </w:t>
      </w:r>
      <w:r>
        <w:rPr>
          <w:rFonts w:ascii="Times New Roman" w:hAnsi="Times New Roman"/>
          <w:caps w:val="false"/>
          <w:smallCaps w:val="false"/>
          <w:sz w:val="20"/>
          <w:u w:val="single"/>
        </w:rPr>
        <w:t>Section 11.09</w:t>
      </w:r>
      <w:r>
        <w:rPr>
          <w:rFonts w:ascii="Times New Roman" w:hAnsi="Times New Roman"/>
          <w:caps w:val="false"/>
          <w:smallCaps w:val="false"/>
          <w:sz w:val="20"/>
        </w:rPr>
        <w:t xml:space="preserve"> (in which case such release may be made by the Administrative Agent acting alone);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release the Borrower or, except in connection with a merger, amalgamation or consolidation permitted under </w:t>
      </w:r>
      <w:r>
        <w:rPr>
          <w:rFonts w:ascii="Times New Roman" w:hAnsi="Times New Roman"/>
          <w:caps w:val="false"/>
          <w:smallCaps w:val="false"/>
          <w:sz w:val="20"/>
          <w:u w:val="single"/>
        </w:rPr>
        <w:t>Section 8.04</w:t>
      </w:r>
      <w:r>
        <w:rPr>
          <w:rFonts w:ascii="Times New Roman" w:hAnsi="Times New Roman"/>
          <w:caps w:val="false"/>
          <w:smallCaps w:val="false"/>
          <w:sz w:val="20"/>
        </w:rPr>
        <w:t xml:space="preserve">, all or substantially all of the Guarantors without the written consent of each Lender directly affected thereby, except to the extent the release of any Guarantor is permitted pursuant to </w:t>
      </w:r>
      <w:r>
        <w:rPr>
          <w:rFonts w:ascii="Times New Roman" w:hAnsi="Times New Roman"/>
          <w:caps w:val="false"/>
          <w:smallCaps w:val="false"/>
          <w:sz w:val="20"/>
          <w:u w:val="single"/>
        </w:rPr>
        <w:t>Section 11.09</w:t>
      </w:r>
      <w:r>
        <w:rPr>
          <w:rFonts w:ascii="Times New Roman" w:hAnsi="Times New Roman"/>
          <w:caps w:val="false"/>
          <w:smallCaps w:val="false"/>
          <w:sz w:val="20"/>
        </w:rPr>
        <w:t xml:space="preserve"> (in which case such release may be made by the Administrative Agent acting alone);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(vii)    advance the date fixed for, or increase, any scheduled installment of principal due to any of the Lenders under any Loan Document, in each case, without the written consent of each Lender directly affected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it being agreed that (X) all Lenders shall be deemed to be directly and adversely affected by an amendment, waiver or supplement described in the preceding clause (iv), (v), (vi) or (vii) and (Y) notwithstanding anything to the contrary in the preceding clause (X), only those Lenders that have not been provided a reasonable opportunity, as determined in the good faith judgment of Administrative Agent, to receive the most-favorable treatment under or in connection with the applicable amendment, waiver or supplement described in the preceding clause (iv), (v), (vi) or (vii)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unless also signed by the Administrative Agent, no amendment, waiver or consent shall affect the rights or duties of the Administrative Agent under this Agreement or any other Loan Document; </w:t>
      </w:r>
      <w:r>
        <w:rPr>
          <w:rFonts w:ascii="Times New Roman" w:hAnsi="Times New Roman"/>
          <w:caps w:val="false"/>
          <w:smallCaps w:val="false"/>
          <w:sz w:val="20"/>
          <w:u w:val="single"/>
        </w:rPr>
        <w:t>provided, however, that,</w:t>
      </w:r>
      <w:r>
        <w:rPr>
          <w:rFonts w:ascii="Times New Roman" w:hAnsi="Times New Roman"/>
          <w:caps w:val="false"/>
          <w:smallCaps w:val="false"/>
          <w:sz w:val="20"/>
        </w:rPr>
        <w:t xml:space="preserve"> notwithstanding anything to the contrary herein,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contained herein, (i) the Administrative Agent and the Borrower may make amendments contemplated by </w:t>
      </w:r>
      <w:r>
        <w:rPr>
          <w:rFonts w:ascii="Times New Roman" w:hAnsi="Times New Roman"/>
          <w:caps w:val="false"/>
          <w:smallCaps w:val="false"/>
          <w:sz w:val="20"/>
          <w:u w:val="single"/>
        </w:rPr>
        <w:t>Section 10.03</w:t>
      </w:r>
      <w:r>
        <w:rPr>
          <w:rFonts w:ascii="Times New Roman" w:hAnsi="Times New Roman"/>
          <w:caps w:val="false"/>
          <w:smallCaps w:val="false"/>
          <w:sz w:val="20"/>
        </w:rPr>
        <w:t>, (ii) the Borrowers and the Administrative Agent may, without the input or consent of any other Lender, make technical, administrative or operational amendments to the Loan Documents as are advisable in their good faith judgment in connection with (A) the addition of Non-U.S. Subsidiaries as Loan Parties and (B) the inclusion of the assets of such Non-U.S. Subsidiaries as Collateral, (iii) if the Administrative Agent and the Borrower have jointly identified an obvious error or any error or omission of a technical or immaterial nature, in each case, in any provision of the Loan Documents (including, for the avoidance of doubt, any exhibit, schedule or annex thereto), then the Administrative Agent and the Borrower shall be permitted to amend such provision and such amendment shall become effective without any further action or consent of any other party to any Loan Document.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12.02    </w:t>
      </w:r>
      <w:r>
        <w:rPr>
          <w:rFonts w:ascii="Times New Roman" w:hAnsi="Times New Roman"/>
          <w:caps w:val="false"/>
          <w:smallCaps w:val="false"/>
          <w:sz w:val="20"/>
          <w:u w:val="single"/>
        </w:rPr>
        <w:t>Notices and Other Communications; Facsimile Copies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Notices Generally</w:t>
      </w:r>
      <w:r>
        <w:rPr>
          <w:rFonts w:ascii="Times New Roman" w:hAnsi="Times New Roman"/>
          <w:caps w:val="false"/>
          <w:smallCaps w:val="false"/>
          <w:sz w:val="20"/>
        </w:rPr>
        <w:t xml:space="preserve">. Except in the case of notices and other communications expressly permitted to be given by telephone (and except as provided in </w:t>
      </w:r>
      <w:r>
        <w:rPr>
          <w:rFonts w:ascii="Times New Roman" w:hAnsi="Times New Roman"/>
          <w:caps w:val="false"/>
          <w:smallCaps w:val="false"/>
          <w:sz w:val="20"/>
          <w:u w:val="single"/>
        </w:rPr>
        <w:t>subsection (b)</w:t>
      </w:r>
      <w:r>
        <w:rPr>
          <w:rFonts w:ascii="Times New Roman" w:hAnsi="Times New Roman"/>
          <w:caps w:val="false"/>
          <w:smallCaps w:val="false"/>
          <w:sz w:val="20"/>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if to the Borrower or any other Loan Party or the Administrative Agent, to the address, facsimile number, electronic mail address or telephone number specified for such person on </w:t>
      </w:r>
      <w:r>
        <w:rPr>
          <w:rFonts w:ascii="Times New Roman" w:hAnsi="Times New Roman"/>
          <w:caps w:val="false"/>
          <w:smallCaps w:val="false"/>
          <w:sz w:val="20"/>
          <w:u w:val="single"/>
        </w:rPr>
        <w:t>Schedule 12.02</w:t>
      </w:r>
      <w:r>
        <w:rPr>
          <w:rFonts w:ascii="Times New Roman" w:hAnsi="Times New Roman"/>
          <w:caps w:val="false"/>
          <w:smallCaps w:val="false"/>
          <w:sz w:val="20"/>
        </w:rPr>
        <w:t>;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if to any other Lender, to the address, facsimile number, electronic mail address or telephone number of its Lending Office (whether specified on </w:t>
      </w:r>
      <w:r>
        <w:rPr>
          <w:rFonts w:ascii="Times New Roman" w:hAnsi="Times New Roman"/>
          <w:caps w:val="false"/>
          <w:smallCaps w:val="false"/>
          <w:sz w:val="20"/>
          <w:u w:val="single"/>
        </w:rPr>
        <w:t>Schedule 12.02</w:t>
      </w:r>
      <w:r>
        <w:rPr>
          <w:rFonts w:ascii="Times New Roman" w:hAnsi="Times New Roman"/>
          <w:caps w:val="false"/>
          <w:smallCaps w:val="false"/>
          <w:sz w:val="20"/>
        </w:rPr>
        <w:t xml:space="preserve"> or separately specified to the Borrower and the Administrative Agent).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caps w:val="false"/>
          <w:smallCaps w:val="false"/>
          <w:sz w:val="20"/>
          <w:u w:val="single"/>
        </w:rPr>
        <w:t>subsection (b)</w:t>
      </w:r>
      <w:r>
        <w:rPr>
          <w:rFonts w:ascii="Times New Roman" w:hAnsi="Times New Roman"/>
          <w:caps w:val="false"/>
          <w:smallCaps w:val="false"/>
          <w:sz w:val="20"/>
        </w:rPr>
        <w:t xml:space="preserve"> below, shall be effective as provided in such </w:t>
      </w:r>
      <w:r>
        <w:rPr>
          <w:rFonts w:ascii="Times New Roman" w:hAnsi="Times New Roman"/>
          <w:caps w:val="false"/>
          <w:smallCaps w:val="false"/>
          <w:sz w:val="20"/>
          <w:u w:val="single"/>
        </w:rPr>
        <w:t>subsection (b)</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Electronic Communications</w:t>
      </w:r>
      <w:r>
        <w:rPr>
          <w:rFonts w:ascii="Times New Roman" w:hAnsi="Times New Roman"/>
          <w:caps w:val="false"/>
          <w:smallCaps w:val="false"/>
          <w:sz w:val="20"/>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the foregoing shall not apply to notices to any Lender pursuant to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approval of such procedures may be limited to particular notices or communications.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of notification that such notice or communication is available and identifying the website address therefor;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for both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Change of Address, Etc</w:t>
      </w:r>
      <w:r>
        <w:rPr>
          <w:rFonts w:ascii="Times New Roman" w:hAnsi="Times New Roman"/>
          <w:caps w:val="false"/>
          <w:smallCaps w:val="false"/>
          <w:sz w:val="20"/>
        </w:rPr>
        <w:t>. Each of the Borrower, other Loan Parties, the Lenders and the Administrative Agent may change its address, facsimile or telephone number for notices and other communications hereunder by notice to the other parties hereto.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Reliance by Administrative Agent and Lenders</w:t>
      </w:r>
      <w:r>
        <w:rPr>
          <w:rFonts w:ascii="Times New Roman" w:hAnsi="Times New Roman"/>
          <w:caps w:val="false"/>
          <w:smallCaps w:val="false"/>
          <w:sz w:val="20"/>
        </w:rPr>
        <w:t>. The Administrative Agent and the Lenders shall be entitled to rely and act upon any notices (including telephonic or electronic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12.03    </w:t>
      </w:r>
      <w:r>
        <w:rPr>
          <w:rFonts w:ascii="Times New Roman" w:hAnsi="Times New Roman"/>
          <w:caps w:val="false"/>
          <w:smallCaps w:val="false"/>
          <w:sz w:val="20"/>
          <w:u w:val="single"/>
        </w:rPr>
        <w:t>No Waiver; Cumulative Remedies; Enforcement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80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for the benefit of all the Secured Parties;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hAnsi="Times New Roman"/>
          <w:caps w:val="false"/>
          <w:smallCaps w:val="false"/>
          <w:sz w:val="20"/>
          <w:u w:val="single"/>
        </w:rPr>
        <w:t>Section 12.08</w:t>
      </w:r>
      <w:r>
        <w:rPr>
          <w:rFonts w:ascii="Times New Roman" w:hAnsi="Times New Roman"/>
          <w:caps w:val="false"/>
          <w:smallCaps w:val="false"/>
          <w:sz w:val="20"/>
        </w:rPr>
        <w:t xml:space="preserve"> (subject to the terms of </w:t>
      </w:r>
      <w:r>
        <w:rPr>
          <w:rFonts w:ascii="Times New Roman" w:hAnsi="Times New Roman"/>
          <w:caps w:val="false"/>
          <w:smallCaps w:val="false"/>
          <w:sz w:val="20"/>
          <w:u w:val="single"/>
        </w:rPr>
        <w:t>Section 2.11)</w:t>
      </w:r>
      <w:r>
        <w:rPr>
          <w:rFonts w:ascii="Times New Roman" w:hAnsi="Times New Roman"/>
          <w:caps w:val="false"/>
          <w:smallCaps w:val="false"/>
          <w:sz w:val="20"/>
        </w:rPr>
        <w:t xml:space="preserve">, or (c) any Lender from filing proofs of claim or appearing and filing pleadings on its own behalf during the pendency of a proceeding relative to any Loan Party under any Debtor Relief Law;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and (ii) in addition to the matters set forth in </w:t>
      </w:r>
      <w:r>
        <w:rPr>
          <w:rFonts w:ascii="Times New Roman" w:hAnsi="Times New Roman"/>
          <w:caps w:val="false"/>
          <w:smallCaps w:val="false"/>
          <w:sz w:val="20"/>
          <w:u w:val="single"/>
        </w:rPr>
        <w:t>clauses (b)</w:t>
      </w:r>
      <w:r>
        <w:rPr>
          <w:rFonts w:ascii="Times New Roman" w:hAnsi="Times New Roman"/>
          <w:caps w:val="false"/>
          <w:smallCaps w:val="false"/>
          <w:sz w:val="20"/>
        </w:rPr>
        <w:t xml:space="preserve"> and </w:t>
      </w:r>
      <w:r>
        <w:rPr>
          <w:rFonts w:ascii="Times New Roman" w:hAnsi="Times New Roman"/>
          <w:caps w:val="false"/>
          <w:smallCaps w:val="false"/>
          <w:sz w:val="20"/>
          <w:u w:val="single"/>
        </w:rPr>
        <w:t>(c)</w:t>
      </w:r>
      <w:r>
        <w:rPr>
          <w:rFonts w:ascii="Times New Roman" w:hAnsi="Times New Roman"/>
          <w:caps w:val="false"/>
          <w:smallCaps w:val="false"/>
          <w:sz w:val="20"/>
        </w:rPr>
        <w:t xml:space="preserve"> of the preceding proviso and subject to </w:t>
      </w:r>
      <w:r>
        <w:rPr>
          <w:rFonts w:ascii="Times New Roman" w:hAnsi="Times New Roman"/>
          <w:caps w:val="false"/>
          <w:smallCaps w:val="false"/>
          <w:sz w:val="20"/>
          <w:u w:val="single"/>
        </w:rPr>
        <w:t>Section 2.11</w:t>
      </w:r>
      <w:r>
        <w:rPr>
          <w:rFonts w:ascii="Times New Roman" w:hAnsi="Times New Roman"/>
          <w:caps w:val="false"/>
          <w:smallCaps w:val="false"/>
          <w:sz w:val="20"/>
        </w:rPr>
        <w:t>, any Lender may, with the consent of the Required Lenders, enforce any rights and remedies available to it and as authorized by the Required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12.04    </w:t>
      </w:r>
      <w:r>
        <w:rPr>
          <w:rFonts w:ascii="Times New Roman" w:hAnsi="Times New Roman"/>
          <w:caps w:val="false"/>
          <w:smallCaps w:val="false"/>
          <w:sz w:val="20"/>
          <w:u w:val="single"/>
        </w:rPr>
        <w:t>Expenses; Indemnity; and Damage Waiver</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Costs and Expenses</w:t>
      </w:r>
      <w:r>
        <w:rPr>
          <w:rFonts w:ascii="Times New Roman" w:hAnsi="Times New Roman"/>
          <w:caps w:val="false"/>
          <w:smallCaps w:val="false"/>
          <w:sz w:val="20"/>
        </w:rPr>
        <w:t>. The Loan Parties shall pay (i) all reasonable out-of-pocket expenses incurred by the Administrative Agent, each Lender and their respective Affiliates (including the reasonable fees, charges and disbursements of counsel to the Administrative Agent or any Lender), in connection with (A) the preparation, negotiation, execution and delivery of this Agreement and the other Loan Documents and (B) any amendments, modifications or waivers of the provisions hereof or thereof (whether or not the transactions contemplated hereby or thereby shall be consummated) or the administration of this Agreement and the other Loan Documents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Indemnification by the Loan Parties</w:t>
      </w:r>
      <w:r>
        <w:rPr>
          <w:rFonts w:ascii="Times New Roman" w:hAnsi="Times New Roman"/>
          <w:caps w:val="false"/>
          <w:smallCaps w:val="false"/>
          <w:sz w:val="20"/>
        </w:rPr>
        <w:t>. The Loan Parties shall indemnify the Administrative Agent (and any sub-agent thereof) and each Lender, and each Related Party of any of the foregoing Persons (each such Person being called an “</w:t>
      </w:r>
      <w:r>
        <w:rPr>
          <w:rFonts w:ascii="Times New Roman" w:hAnsi="Times New Roman"/>
          <w:caps w:val="false"/>
          <w:smallCaps w:val="false"/>
          <w:sz w:val="20"/>
          <w:u w:val="single"/>
        </w:rPr>
        <w:t>Indemnitee</w:t>
      </w:r>
      <w:r>
        <w:rPr>
          <w:rFonts w:ascii="Times New Roman" w:hAnsi="Times New Roman"/>
          <w:caps w:val="false"/>
          <w:smallCaps w:val="false"/>
          <w:sz w:val="20"/>
        </w:rPr>
        <w:t xml:space="preserve">”) against, and hold each Indemnitee harmless from, any and all losses, claims, damages, liabilities and related expenses (including the reasonable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w:t>
      </w:r>
      <w:r>
        <w:rPr>
          <w:rFonts w:ascii="Times New Roman" w:hAnsi="Times New Roman"/>
          <w:caps w:val="false"/>
          <w:smallCaps w:val="false"/>
          <w:strike/>
          <w:color w:val="FF0000"/>
          <w:sz w:val="20"/>
        </w:rPr>
        <w:t xml:space="preserve">or </w:t>
      </w:r>
      <w:r>
        <w:rPr>
          <w:rFonts w:ascii="Times New Roman" w:hAnsi="Times New Roman"/>
          <w:caps w:val="false"/>
          <w:smallCaps w:val="false"/>
          <w:sz w:val="20"/>
        </w:rPr>
        <w:t xml:space="preserve">(iv) </w:t>
      </w:r>
      <w:r>
        <w:rPr>
          <w:rFonts w:ascii="Times New Roman" w:hAnsi="Times New Roman"/>
          <w:b/>
          <w:caps w:val="false"/>
          <w:smallCaps w:val="false"/>
          <w:color w:val="0000FF"/>
          <w:sz w:val="20"/>
          <w:u w:val="single"/>
          <w:bdr w:val="double" w:sz="2" w:space="1" w:color="000000"/>
        </w:rPr>
        <w:t>[***] or (vii)</w:t>
      </w:r>
      <w:r>
        <w:rPr>
          <w:rFonts w:ascii="Times New Roman" w:hAnsi="Times New Roman"/>
          <w:caps w:val="false"/>
          <w:smallCaps w:val="false"/>
          <w:sz w:val="20"/>
        </w:rPr>
        <w:t xml:space="preserve">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if the Borrower or other Loan Party has obtained a final and nonappealable judgment in its favor on such claim as determined by a court of competent jurisdiction.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this </w:t>
      </w:r>
      <w:r>
        <w:rPr>
          <w:rFonts w:ascii="Times New Roman" w:hAnsi="Times New Roman"/>
          <w:caps w:val="false"/>
          <w:smallCaps w:val="false"/>
          <w:sz w:val="20"/>
          <w:u w:val="single"/>
        </w:rPr>
        <w:t>Section 12.04</w:t>
      </w:r>
      <w:r>
        <w:rPr>
          <w:rFonts w:ascii="Times New Roman" w:hAnsi="Times New Roman"/>
          <w:caps w:val="false"/>
          <w:smallCaps w:val="false"/>
          <w:sz w:val="20"/>
        </w:rPr>
        <w:t xml:space="preserve"> shall not apply with respect to Taxes other than any Taxes that represent losses, claims, damages, etc. arising from any non-Tax claim.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Waiver of Consequential Damages, Etc.</w:t>
      </w:r>
      <w:r>
        <w:rPr>
          <w:rFonts w:ascii="Times New Roman" w:hAnsi="Times New Roman"/>
          <w:caps w:val="false"/>
          <w:smallCaps w:val="false"/>
          <w:sz w:val="20"/>
        </w:rPr>
        <w:t xml:space="preserve"> To the fullest extent permitted by applicable law, the Borrower shall (and shall cause each Subsidiary to) not assert, and the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hAnsi="Times New Roman"/>
          <w:caps w:val="false"/>
          <w:smallCaps w:val="false"/>
          <w:sz w:val="20"/>
          <w:u w:val="single"/>
        </w:rPr>
        <w:t>subsection (b)</w:t>
      </w:r>
      <w:r>
        <w:rPr>
          <w:rFonts w:ascii="Times New Roman" w:hAnsi="Times New Roman"/>
          <w:caps w:val="false"/>
          <w:smallCaps w:val="false"/>
          <w:sz w:val="20"/>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Reimbursement by Lenders</w:t>
      </w:r>
      <w:r>
        <w:rPr>
          <w:rFonts w:ascii="Times New Roman" w:hAnsi="Times New Roman"/>
          <w:caps w:val="false"/>
          <w:smallCaps w:val="false"/>
          <w:sz w:val="20"/>
        </w:rPr>
        <w:t xml:space="preserve">. To the extent that the Loan Parties for any reason fail to indefeasibly pay any amount required under </w:t>
      </w:r>
      <w:r>
        <w:rPr>
          <w:rFonts w:ascii="Times New Roman" w:hAnsi="Times New Roman"/>
          <w:caps w:val="false"/>
          <w:smallCaps w:val="false"/>
          <w:sz w:val="20"/>
          <w:u w:val="single"/>
        </w:rPr>
        <w:t>subsection (a)</w:t>
      </w:r>
      <w:r>
        <w:rPr>
          <w:rFonts w:ascii="Times New Roman" w:hAnsi="Times New Roman"/>
          <w:caps w:val="false"/>
          <w:smallCaps w:val="false"/>
          <w:sz w:val="20"/>
        </w:rPr>
        <w:t xml:space="preserve"> or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this Section to be paid by them to the Administrative Agent (or any sub-agent thereof) or any Related Party thereof, each Lender severally agrees to pay to the Administrative Agent (or any such sub-agent) or such Related Party, as the case may be, such Lender’s </w:t>
      </w:r>
      <w:r>
        <w:rPr>
          <w:rFonts w:ascii="Times New Roman" w:hAnsi="Times New Roman"/>
          <w:i/>
          <w:caps w:val="false"/>
          <w:smallCaps w:val="false"/>
          <w:sz w:val="20"/>
        </w:rPr>
        <w:t>pro rata</w:t>
      </w:r>
      <w:r>
        <w:rPr>
          <w:rFonts w:ascii="Times New Roman" w:hAnsi="Times New Roman"/>
          <w:caps w:val="false"/>
          <w:smallCaps w:val="false"/>
          <w:sz w:val="20"/>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the unreimbursed expense or indemnified loss, claim, damage, liability or related expense, as the case may be, was incurred by or asserted against the Administrative Agent (or any such sub-agent), or against any Related Party thereof acting for the Administrative Agent (or any such sub-agent) in connection with such capacity. The obligations of the Lenders under this </w:t>
      </w:r>
      <w:r>
        <w:rPr>
          <w:rFonts w:ascii="Times New Roman" w:hAnsi="Times New Roman"/>
          <w:caps w:val="false"/>
          <w:smallCaps w:val="false"/>
          <w:sz w:val="20"/>
          <w:u w:val="single"/>
        </w:rPr>
        <w:t>subsection (d)</w:t>
      </w:r>
      <w:r>
        <w:rPr>
          <w:rFonts w:ascii="Times New Roman" w:hAnsi="Times New Roman"/>
          <w:caps w:val="false"/>
          <w:smallCaps w:val="false"/>
          <w:sz w:val="20"/>
        </w:rPr>
        <w:t xml:space="preserve"> are subject to the provisions of </w:t>
      </w:r>
      <w:r>
        <w:rPr>
          <w:rFonts w:ascii="Times New Roman" w:hAnsi="Times New Roman"/>
          <w:caps w:val="false"/>
          <w:smallCaps w:val="false"/>
          <w:sz w:val="20"/>
          <w:u w:val="single"/>
        </w:rPr>
        <w:t>Section 2.10(b)</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Payments</w:t>
      </w:r>
      <w:r>
        <w:rPr>
          <w:rFonts w:ascii="Times New Roman" w:hAnsi="Times New Roman"/>
          <w:caps w:val="false"/>
          <w:smallCaps w:val="false"/>
          <w:sz w:val="20"/>
        </w:rPr>
        <w:t>. All amounts due under this Section shall be payable not later than five (5) Business Days after demand therefor.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The agreements in this Section and the indemnity provisions of </w:t>
      </w:r>
      <w:r>
        <w:rPr>
          <w:rFonts w:ascii="Times New Roman" w:hAnsi="Times New Roman"/>
          <w:caps w:val="false"/>
          <w:smallCaps w:val="false"/>
          <w:sz w:val="20"/>
          <w:u w:val="single"/>
        </w:rPr>
        <w:t>Section 12.02(d)</w:t>
      </w:r>
      <w:r>
        <w:rPr>
          <w:rFonts w:ascii="Times New Roman" w:hAnsi="Times New Roman"/>
          <w:caps w:val="false"/>
          <w:smallCaps w:val="false"/>
          <w:sz w:val="20"/>
        </w:rPr>
        <w:t xml:space="preserve"> shall survive the resignation of the Administrative Agent, the replacement of any Lender, the termination of the Commitments and the repayment, prepayment, satisfaction or discharge of all the other Obligations.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12.05    </w:t>
      </w:r>
      <w:r>
        <w:rPr>
          <w:rFonts w:ascii="Times New Roman" w:hAnsi="Times New Roman"/>
          <w:caps w:val="false"/>
          <w:smallCaps w:val="false"/>
          <w:sz w:val="20"/>
          <w:u w:val="single"/>
        </w:rPr>
        <w:t>Marshalling; Payments Set Aside</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None of the Administrative Agent or the Lenders shall be under any obligation to marshal any assets in favor of any Loan Party or any other Person or against or in payment of any or all of the Obligations. 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interest thereon from the date of such demand to the date such payment is made at a rate per annum equal to the Federal Funds Rate from time to time in effect. The obligations of the Lenders under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of the preceding sentence shall survive the payment in full of the Obligations and the termination of this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12.06    </w:t>
      </w:r>
      <w:r>
        <w:rPr>
          <w:rFonts w:ascii="Times New Roman" w:hAnsi="Times New Roman"/>
          <w:caps w:val="false"/>
          <w:smallCaps w:val="false"/>
          <w:sz w:val="20"/>
          <w:u w:val="single"/>
        </w:rPr>
        <w:t>Successors and Assigns; Transfers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Successors and Assigns Generally</w:t>
      </w:r>
      <w:r>
        <w:rPr>
          <w:rFonts w:ascii="Times New Roman" w:hAnsi="Times New Roman"/>
          <w:caps w:val="false"/>
          <w:smallCaps w:val="false"/>
          <w:sz w:val="20"/>
        </w:rPr>
        <w:t xml:space="preserve">. The provisions of this Agreement and the other Loan Documents shall be binding upon and inure to the benefit of the parties hereto and thereto and their respective successors and assigns permitted hereby, except that the Borrower and the other Loan Parties may not assign or otherwise transfer any of their respective rights or obligations hereunder or thereunder without the prior written consent of the Administrative Agent and each Lender and no Lender may assign or otherwise transfer any of its rights or obligations hereunder except (i) to an assignee in accordance with the provisions of clause (b) of this Section, (ii) by way of participation in accordance with the provisions of </w:t>
      </w:r>
      <w:r>
        <w:rPr>
          <w:rFonts w:ascii="Times New Roman" w:hAnsi="Times New Roman"/>
          <w:caps w:val="false"/>
          <w:smallCaps w:val="false"/>
          <w:sz w:val="20"/>
          <w:u w:val="single"/>
        </w:rPr>
        <w:t>clause (d</w:t>
      </w:r>
      <w:r>
        <w:rPr>
          <w:rFonts w:ascii="Times New Roman" w:hAnsi="Times New Roman"/>
          <w:caps w:val="false"/>
          <w:smallCaps w:val="false"/>
          <w:sz w:val="20"/>
        </w:rPr>
        <w:t xml:space="preserve">) of this Section or (iii) by way of pledge or assignment of a security interest subject to the restrictions of clause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caps w:val="false"/>
          <w:smallCaps w:val="false"/>
          <w:sz w:val="20"/>
          <w:u w:val="single"/>
        </w:rPr>
        <w:t>clause (d)</w:t>
      </w:r>
      <w:r>
        <w:rPr>
          <w:rFonts w:ascii="Times New Roman" w:hAnsi="Times New Roman"/>
          <w:caps w:val="false"/>
          <w:smallCaps w:val="false"/>
          <w:sz w:val="20"/>
        </w:rPr>
        <w:t xml:space="preserve"> of this Section and, to the extent expressly contemplated hereby, the Related Parties of each of the Administrative Agent and the Lenders) any legal or equitable right, remedy or claim under or by reason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Assignments by Lenders</w:t>
      </w:r>
      <w:r>
        <w:rPr>
          <w:rFonts w:ascii="Times New Roman" w:hAnsi="Times New Roman"/>
          <w:caps w:val="false"/>
          <w:smallCaps w:val="false"/>
          <w:sz w:val="20"/>
        </w:rPr>
        <w:t xml:space="preserve">. Any Lender may at any time assign to one or more assignees all or a portion of its rights and obligations under this Agreement and the other Loan Documents (including all or a portion of its Commitments under any Facility and the Loans at the time owing to it (in each case with respect to any Facility));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any such assignment shall be subject to the following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Minimum Amounts.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660" w:right="0" w:firstLine="800"/>
        <w:jc w:val="both"/>
        <w:rPr>
          <w:rFonts w:ascii="Times New Roman" w:hAnsi="Times New Roman"/>
          <w:caps w:val="false"/>
          <w:smallCaps w:val="false"/>
          <w:sz w:val="20"/>
        </w:rPr>
      </w:pPr>
      <w:r>
        <w:rPr>
          <w:rFonts w:ascii="Times New Roman" w:hAnsi="Times New Roman"/>
          <w:caps w:val="false"/>
          <w:smallCaps w:val="false"/>
          <w:sz w:val="20"/>
        </w:rPr>
        <w:t xml:space="preserve">(A)         in the case of an assignment of the entire remaining amount of the assigning Lender’s Commitment with respect to any Facility and/or the Loans with respect to any Facility at the time owing to it or contemporaneous assignments to related Approved Funds that equal at least the amount specified in </w:t>
      </w:r>
      <w:r>
        <w:rPr>
          <w:rFonts w:ascii="Times New Roman" w:hAnsi="Times New Roman"/>
          <w:caps w:val="false"/>
          <w:smallCaps w:val="false"/>
          <w:sz w:val="20"/>
          <w:u w:val="single"/>
        </w:rPr>
        <w:t>paragraph (b)(i)(B)</w:t>
      </w:r>
      <w:r>
        <w:rPr>
          <w:rFonts w:ascii="Times New Roman" w:hAnsi="Times New Roman"/>
          <w:caps w:val="false"/>
          <w:smallCaps w:val="false"/>
          <w:sz w:val="20"/>
        </w:rPr>
        <w:t xml:space="preserve"> of this Section in the aggregate or in the case of an assignment to a Lender, an Affiliate of a Lender or an Approved Fund, no minimum amount need be assigned;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660" w:right="0" w:firstLine="800"/>
        <w:jc w:val="both"/>
        <w:rPr>
          <w:rFonts w:ascii="Times New Roman" w:hAnsi="Times New Roman"/>
          <w:caps w:val="false"/>
          <w:smallCaps w:val="false"/>
          <w:sz w:val="20"/>
        </w:rPr>
      </w:pPr>
      <w:r>
        <w:rPr>
          <w:rFonts w:ascii="Times New Roman" w:hAnsi="Times New Roman"/>
          <w:caps w:val="false"/>
          <w:smallCaps w:val="false"/>
          <w:sz w:val="20"/>
        </w:rPr>
        <w:t xml:space="preserve">(B)         in any case not described in </w:t>
      </w:r>
      <w:r>
        <w:rPr>
          <w:rFonts w:ascii="Times New Roman" w:hAnsi="Times New Roman"/>
          <w:caps w:val="false"/>
          <w:smallCaps w:val="false"/>
          <w:sz w:val="20"/>
          <w:u w:val="single"/>
        </w:rPr>
        <w:t>clause (b)(i)(A)</w:t>
      </w:r>
      <w:r>
        <w:rPr>
          <w:rFonts w:ascii="Times New Roman" w:hAnsi="Times New Roman"/>
          <w:caps w:val="false"/>
          <w:smallCaps w:val="false"/>
          <w:sz w:val="20"/>
        </w:rPr>
        <w:t xml:space="preserve"> of this Section, the aggregate amount of the applicable Commitment (which for this purpose includes Loans outstanding thereunder) or, if the applicable Commitment is not then in effect, the principal outstanding balance of the Loans with respect to any Facility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 unless each of the Administrative Agent and, so long as no Event of Default has occurred and is continuing, the Borrower otherwise consents (each such consent not to be unreasonably withheld or delayed);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Proportionate Amounts.</w:t>
      </w:r>
      <w:r>
        <w:rPr>
          <w:rFonts w:ascii="Times New Roman" w:hAnsi="Times New Roman"/>
          <w:caps w:val="false"/>
          <w:smallCaps w:val="false"/>
          <w:sz w:val="20"/>
        </w:rPr>
        <w:t xml:space="preserve"> Each partial assignment shall be made as an assignment of a proportionate part of all of the assigning Lender’s rights and obligations under this Agreement with respect to the Loans or the Commitment assigned;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Required Consents.</w:t>
      </w:r>
      <w:r>
        <w:rPr>
          <w:rFonts w:ascii="Times New Roman" w:hAnsi="Times New Roman"/>
          <w:caps w:val="false"/>
          <w:smallCaps w:val="false"/>
          <w:sz w:val="20"/>
        </w:rPr>
        <w:t xml:space="preserve"> No consent shall be required for any assignment except to the extent required by </w:t>
      </w:r>
      <w:r>
        <w:rPr>
          <w:rFonts w:ascii="Times New Roman" w:hAnsi="Times New Roman"/>
          <w:caps w:val="false"/>
          <w:smallCaps w:val="false"/>
          <w:sz w:val="20"/>
          <w:u w:val="single"/>
        </w:rPr>
        <w:t>clause (b)(i)(B)</w:t>
      </w:r>
      <w:r>
        <w:rPr>
          <w:rFonts w:ascii="Times New Roman" w:hAnsi="Times New Roman"/>
          <w:caps w:val="false"/>
          <w:smallCaps w:val="false"/>
          <w:sz w:val="20"/>
        </w:rPr>
        <w:t xml:space="preserve"> of this Section and, in addition: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24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the Borrower shall be deemed to have consented to any such assignment unless it shall object thereto by written notice to the Administrative Agent within five (5) Business Days after having received notice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520" w:right="0" w:firstLine="940"/>
        <w:jc w:val="both"/>
        <w:rPr>
          <w:rFonts w:ascii="Times New Roman" w:hAnsi="Times New Roman"/>
          <w:caps w:val="false"/>
          <w:smallCaps w:val="false"/>
          <w:sz w:val="20"/>
        </w:rPr>
      </w:pPr>
      <w:r>
        <w:rPr>
          <w:rFonts w:ascii="Times New Roman" w:hAnsi="Times New Roman"/>
          <w:caps w:val="false"/>
          <w:smallCaps w:val="false"/>
          <w:sz w:val="20"/>
        </w:rPr>
        <w:t>(B)         the consent of the Administrative Agent (such consent not to be unreasonably withheld or delayed) shall be required for assignments in respect of (i) any unfunded Commitment if such assignment is to a Person that is not a Lender with a Commitment in respect of the applicable Facility, an Affiliate of such Lender or an Approved Fund with respect to such Lender or (ii) any Loan to a Person that is not a Lender, an Affiliate of a Lender or an Approved Fund;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Assignment and Assumption.</w:t>
      </w:r>
      <w:r>
        <w:rPr>
          <w:rFonts w:ascii="Times New Roman" w:hAnsi="Times New Roman"/>
          <w:caps w:val="false"/>
          <w:smallCaps w:val="false"/>
          <w:sz w:val="20"/>
        </w:rPr>
        <w:t xml:space="preserve"> The parties to each assignment shall execute and deliver to the Administrative Agent an Assignment and Assumption. The assignee, if it is not a Lender, shall deliver to the Administrative Agent such information, including notice information, as the Administrative Agent shall reasonably require.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No Assignment to Certain Persons.</w:t>
      </w:r>
      <w:r>
        <w:rPr>
          <w:rFonts w:ascii="Times New Roman" w:hAnsi="Times New Roman"/>
          <w:caps w:val="false"/>
          <w:smallCaps w:val="false"/>
          <w:sz w:val="20"/>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hAnsi="Times New Roman"/>
          <w:caps w:val="false"/>
          <w:smallCaps w:val="false"/>
          <w:sz w:val="20"/>
          <w:u w:val="single"/>
        </w:rPr>
        <w:t>clause (B)</w:t>
      </w:r>
      <w:r>
        <w:rPr>
          <w:rFonts w:ascii="Times New Roman" w:hAnsi="Times New Roman"/>
          <w:caps w:val="false"/>
          <w:smallCaps w:val="false"/>
          <w:sz w:val="20"/>
        </w:rPr>
        <w:t xml:space="preserve"> or (C) to a natural Person.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Certain Additional Payments.</w:t>
      </w:r>
      <w:r>
        <w:rPr>
          <w:rFonts w:ascii="Times New Roman" w:hAnsi="Times New Roman"/>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Subject to acceptance and recording thereof by the Administrative Agent pursuant to </w:t>
      </w:r>
      <w:r>
        <w:rPr>
          <w:rFonts w:ascii="Times New Roman" w:hAnsi="Times New Roman"/>
          <w:caps w:val="false"/>
          <w:smallCaps w:val="false"/>
          <w:sz w:val="20"/>
          <w:u w:val="single"/>
        </w:rPr>
        <w:t>clause (c)</w:t>
      </w:r>
      <w:r>
        <w:rPr>
          <w:rFonts w:ascii="Times New Roman" w:hAnsi="Times New Roman"/>
          <w:caps w:val="false"/>
          <w:smallCaps w:val="false"/>
          <w:sz w:val="20"/>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aps w:val="false"/>
          <w:smallCaps w:val="false"/>
          <w:sz w:val="20"/>
          <w:u w:val="single"/>
        </w:rPr>
        <w:t>Sections 3.01, 10.01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11.04</w:t>
      </w:r>
      <w:r>
        <w:rPr>
          <w:rFonts w:ascii="Times New Roman" w:hAnsi="Times New Roman"/>
          <w:caps w:val="false"/>
          <w:smallCaps w:val="false"/>
          <w:sz w:val="20"/>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hAnsi="Times New Roman"/>
          <w:caps w:val="false"/>
          <w:smallCaps w:val="false"/>
          <w:sz w:val="20"/>
          <w:u w:val="single"/>
        </w:rPr>
        <w:t>clause (d)</w:t>
      </w:r>
      <w:r>
        <w:rPr>
          <w:rFonts w:ascii="Times New Roman" w:hAnsi="Times New Roman"/>
          <w:caps w:val="false"/>
          <w:smallCaps w:val="false"/>
          <w:sz w:val="20"/>
        </w:rPr>
        <w:t xml:space="preserve"> of this Section.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Register</w:t>
      </w:r>
      <w:r>
        <w:rPr>
          <w:rFonts w:ascii="Times New Roman" w:hAnsi="Times New Roman"/>
          <w:caps w:val="false"/>
          <w:smallCaps w:val="false"/>
          <w:sz w:val="20"/>
        </w:rPr>
        <w:t>. The Administrative Agent, acting solely for this purpose as a non-fiduciary agent of the Borrower,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caps w:val="false"/>
          <w:smallCaps w:val="false"/>
          <w:sz w:val="20"/>
          <w:u w:val="single"/>
        </w:rPr>
        <w:t>Register</w:t>
      </w:r>
      <w:r>
        <w:rPr>
          <w:rFonts w:ascii="Times New Roman" w:hAnsi="Times New Roman"/>
          <w:caps w:val="false"/>
          <w:smallCaps w:val="false"/>
          <w:sz w:val="20"/>
        </w:rPr>
        <w:t>”). Notwithstanding anything to the contrary in any Loan Document,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Participations</w:t>
      </w:r>
      <w:r>
        <w:rPr>
          <w:rFonts w:ascii="Times New Roman" w:hAnsi="Times New Roman"/>
          <w:caps w:val="false"/>
          <w:smallCaps w:val="false"/>
          <w:sz w:val="20"/>
        </w:rPr>
        <w:t>. Any Lender may at any time, without the consent of, or notice to, the Borrower or the Administrative Agent, sell participations to any Person (other than a natural Person, a Defaulting Lender (or a holding company, investment vehicle or trust for, or owned and operated for the primary benefit of a natural Person) or the Borrower or any of the Borrower’s Affiliates or Subsidiaries) (each, a “</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in all or a portion of such Lender’s rights and/or obligations under this Agreement (including all or a portion of its Commitments and/or Loans owing to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caps w:val="false"/>
          <w:smallCaps w:val="false"/>
          <w:sz w:val="20"/>
          <w:u w:val="single"/>
        </w:rPr>
        <w:t>Section 12.04(d)</w:t>
      </w:r>
      <w:r>
        <w:rPr>
          <w:rFonts w:ascii="Times New Roman" w:hAnsi="Times New Roman"/>
          <w:caps w:val="false"/>
          <w:smallCaps w:val="false"/>
          <w:sz w:val="20"/>
        </w:rPr>
        <w:t xml:space="preserve"> without regard to the existence of any participation.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such agreement or instrument may provide that such Lender will not, without the consent of the Participant, agree to any amendment, waiver or other modification described in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(vi)</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12.01(a)</w:t>
      </w:r>
      <w:r>
        <w:rPr>
          <w:rFonts w:ascii="Times New Roman" w:hAnsi="Times New Roman"/>
          <w:caps w:val="false"/>
          <w:smallCaps w:val="false"/>
          <w:sz w:val="20"/>
        </w:rPr>
        <w:t xml:space="preserve"> that affects such Participant. The Borrower agrees that each Participant shall be entitled to the benefits of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(subject to the requirements and limitations therein (it being understood that the documentation required under </w:t>
      </w:r>
      <w:r>
        <w:rPr>
          <w:rFonts w:ascii="Times New Roman" w:hAnsi="Times New Roman"/>
          <w:caps w:val="false"/>
          <w:smallCaps w:val="false"/>
          <w:sz w:val="20"/>
          <w:u w:val="single"/>
        </w:rPr>
        <w:t>Section 3.01(f)</w:t>
      </w:r>
      <w:r>
        <w:rPr>
          <w:rFonts w:ascii="Times New Roman" w:hAnsi="Times New Roman"/>
          <w:caps w:val="false"/>
          <w:smallCaps w:val="false"/>
          <w:sz w:val="20"/>
        </w:rPr>
        <w:t xml:space="preserve"> shall be delivered to the participating Lender)) and </w:t>
      </w:r>
      <w:r>
        <w:rPr>
          <w:rFonts w:ascii="Times New Roman" w:hAnsi="Times New Roman"/>
          <w:caps w:val="false"/>
          <w:smallCaps w:val="false"/>
          <w:sz w:val="20"/>
          <w:u w:val="single"/>
        </w:rPr>
        <w:t>Section</w:t>
      </w:r>
      <w:r>
        <w:rPr>
          <w:rFonts w:ascii="Times New Roman" w:hAnsi="Times New Roman"/>
          <w:caps w:val="false"/>
          <w:smallCaps w:val="false"/>
          <w:sz w:val="20"/>
        </w:rPr>
        <w:t> </w:t>
      </w:r>
      <w:r>
        <w:rPr>
          <w:rFonts w:ascii="Times New Roman" w:hAnsi="Times New Roman"/>
          <w:caps w:val="false"/>
          <w:smallCaps w:val="false"/>
          <w:sz w:val="20"/>
          <w:u w:val="single"/>
        </w:rPr>
        <w:t>10.01</w:t>
      </w:r>
      <w:r>
        <w:rPr>
          <w:rFonts w:ascii="Times New Roman" w:hAnsi="Times New Roman"/>
          <w:caps w:val="false"/>
          <w:smallCaps w:val="false"/>
          <w:sz w:val="20"/>
        </w:rPr>
        <w:t xml:space="preserve"> to the same extent as if it were a Lender and had acquired its interest by assignment pursuant to </w:t>
      </w:r>
      <w:r>
        <w:rPr>
          <w:rFonts w:ascii="Times New Roman" w:hAnsi="Times New Roman"/>
          <w:caps w:val="false"/>
          <w:smallCaps w:val="false"/>
          <w:sz w:val="20"/>
          <w:u w:val="single"/>
        </w:rPr>
        <w:t>paragraph (b)</w:t>
      </w:r>
      <w:r>
        <w:rPr>
          <w:rFonts w:ascii="Times New Roman" w:hAnsi="Times New Roman"/>
          <w:caps w:val="false"/>
          <w:smallCaps w:val="false"/>
          <w:sz w:val="20"/>
        </w:rPr>
        <w:t xml:space="preserve"> of this Section;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such Participant (A) agrees to be subject to the provisions of </w:t>
      </w:r>
      <w:r>
        <w:rPr>
          <w:rFonts w:ascii="Times New Roman" w:hAnsi="Times New Roman"/>
          <w:caps w:val="false"/>
          <w:smallCaps w:val="false"/>
          <w:sz w:val="20"/>
          <w:u w:val="single"/>
        </w:rPr>
        <w:t>Sections 10.02</w:t>
      </w:r>
      <w:r>
        <w:rPr>
          <w:rFonts w:ascii="Times New Roman" w:hAnsi="Times New Roman"/>
          <w:caps w:val="false"/>
          <w:smallCaps w:val="false"/>
          <w:sz w:val="20"/>
        </w:rPr>
        <w:t xml:space="preserve"> and </w:t>
      </w:r>
      <w:r>
        <w:rPr>
          <w:rFonts w:ascii="Times New Roman" w:hAnsi="Times New Roman"/>
          <w:caps w:val="false"/>
          <w:smallCaps w:val="false"/>
          <w:sz w:val="20"/>
          <w:u w:val="single"/>
        </w:rPr>
        <w:t>12.13</w:t>
      </w:r>
      <w:r>
        <w:rPr>
          <w:rFonts w:ascii="Times New Roman" w:hAnsi="Times New Roman"/>
          <w:caps w:val="false"/>
          <w:smallCaps w:val="false"/>
          <w:sz w:val="20"/>
        </w:rPr>
        <w:t xml:space="preserve"> as if it were an assignee under </w:t>
      </w:r>
      <w:r>
        <w:rPr>
          <w:rFonts w:ascii="Times New Roman" w:hAnsi="Times New Roman"/>
          <w:caps w:val="false"/>
          <w:smallCaps w:val="false"/>
          <w:sz w:val="20"/>
          <w:u w:val="single"/>
        </w:rPr>
        <w:t>paragraph (b)</w:t>
      </w:r>
      <w:r>
        <w:rPr>
          <w:rFonts w:ascii="Times New Roman" w:hAnsi="Times New Roman"/>
          <w:caps w:val="false"/>
          <w:smallCaps w:val="false"/>
          <w:sz w:val="20"/>
        </w:rPr>
        <w:t xml:space="preserve"> of this Section and (B) shall not be entitled to receive any greater payment under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or </w:t>
      </w:r>
      <w:r>
        <w:rPr>
          <w:rFonts w:ascii="Times New Roman" w:hAnsi="Times New Roman"/>
          <w:caps w:val="false"/>
          <w:smallCaps w:val="false"/>
          <w:sz w:val="20"/>
          <w:u w:val="single"/>
        </w:rPr>
        <w:t>10.01</w:t>
      </w:r>
      <w:r>
        <w:rPr>
          <w:rFonts w:ascii="Times New Roman" w:hAnsi="Times New Roman"/>
          <w:caps w:val="false"/>
          <w:smallCaps w:val="false"/>
          <w:sz w:val="20"/>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caps w:val="false"/>
          <w:smallCaps w:val="false"/>
          <w:sz w:val="20"/>
          <w:u w:val="single"/>
        </w:rPr>
        <w:t>Section 12.02</w:t>
      </w:r>
      <w:r>
        <w:rPr>
          <w:rFonts w:ascii="Times New Roman" w:hAnsi="Times New Roman"/>
          <w:caps w:val="false"/>
          <w:smallCaps w:val="false"/>
          <w:sz w:val="20"/>
        </w:rPr>
        <w:t xml:space="preserve"> with respect to any Participant. To the fullest extent permitted by law, each Participant also shall be entitled to the benefits of </w:t>
      </w:r>
      <w:r>
        <w:rPr>
          <w:rFonts w:ascii="Times New Roman" w:hAnsi="Times New Roman"/>
          <w:caps w:val="false"/>
          <w:smallCaps w:val="false"/>
          <w:sz w:val="20"/>
          <w:u w:val="single"/>
        </w:rPr>
        <w:t>Section 12.08</w:t>
      </w:r>
      <w:r>
        <w:rPr>
          <w:rFonts w:ascii="Times New Roman" w:hAnsi="Times New Roman"/>
          <w:caps w:val="false"/>
          <w:smallCaps w:val="false"/>
          <w:sz w:val="20"/>
        </w:rPr>
        <w:t xml:space="preserve"> as though it were a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such Participant agrees to be subject to </w:t>
      </w:r>
      <w:r>
        <w:rPr>
          <w:rFonts w:ascii="Times New Roman" w:hAnsi="Times New Roman"/>
          <w:caps w:val="false"/>
          <w:smallCaps w:val="false"/>
          <w:sz w:val="20"/>
          <w:u w:val="single"/>
        </w:rPr>
        <w:t>Section 2.11</w:t>
      </w:r>
      <w:r>
        <w:rPr>
          <w:rFonts w:ascii="Times New Roman" w:hAnsi="Times New Roman"/>
          <w:caps w:val="false"/>
          <w:smallCaps w:val="false"/>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Treasury Regulations. Notwithstanding anything to the contrary in any Loan Document,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Certain Pledges</w:t>
      </w:r>
      <w:r>
        <w:rPr>
          <w:rFonts w:ascii="Times New Roman" w:hAnsi="Times New Roman"/>
          <w:caps w:val="false"/>
          <w:smallCaps w:val="false"/>
          <w:sz w:val="20"/>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no such pledge or assignment shall release such Lender from any of its obligations hereunder or substitute any such pledgee or assignee for such Lender as a party 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12.07    </w:t>
      </w:r>
      <w:r>
        <w:rPr>
          <w:rFonts w:ascii="Times New Roman" w:hAnsi="Times New Roman"/>
          <w:caps w:val="false"/>
          <w:smallCaps w:val="false"/>
          <w:sz w:val="20"/>
          <w:u w:val="single"/>
        </w:rPr>
        <w:t>Treatment of Certain Information; Confidentiality</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as may be reasonably necessary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Participant, assignee or transferee (or its Related Parties) of, or any prospective Participant, assignee or transferee (or its Related Parties) of, any of its rights and obligations under this Agreement or (ii) any actual or prospective party (or its Related Parties) to any swap, derivative or other transaction under which payments are to be made by reference to a Loan Party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(i) to the members of its investment committee (it being understood that the Persons to whom such disclosure is made will be informed of the confidential nature of such Information and instructed to keep such Information confidential) or (j) to the extent such Information (x) becomes publicly available other than as a result of a breach of this Section or (y) becomes available to the Administrative Agent, any Lender or any of their respective Affiliates on a nonconfidential basis from a source other than the Loan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Section, “</w:t>
      </w:r>
      <w:r>
        <w:rPr>
          <w:rFonts w:ascii="Times New Roman" w:hAnsi="Times New Roman"/>
          <w:caps w:val="false"/>
          <w:smallCaps w:val="false"/>
          <w:sz w:val="20"/>
          <w:u w:val="single"/>
        </w:rPr>
        <w:t>Information</w:t>
      </w:r>
      <w:r>
        <w:rPr>
          <w:rFonts w:ascii="Times New Roman" w:hAnsi="Times New Roman"/>
          <w:caps w:val="false"/>
          <w:smallCaps w:val="false"/>
          <w:sz w:val="20"/>
        </w:rPr>
        <w:t xml:space="preserve">” means all information received from a Loan Party or any Subsidiary relating to the Loan Parties or any Subsidiary or any of their respective businesses, other than any such information that is available to the Administrative Agent or any Lender on a nonconfidential basis,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in the case of information received from a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12.08    </w:t>
      </w:r>
      <w:r>
        <w:rPr>
          <w:rFonts w:ascii="Times New Roman" w:hAnsi="Times New Roman"/>
          <w:caps w:val="false"/>
          <w:smallCaps w:val="false"/>
          <w:sz w:val="20"/>
          <w:u w:val="single"/>
        </w:rPr>
        <w:t>Set-off</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Loan Party may be contingent or unmatured or are owed to a branch office or Affiliate of such Lender different from the branch office or Affiliate holding such deposit or obligated on such indebtedness;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aps w:val="false"/>
          <w:smallCaps w:val="false"/>
          <w:sz w:val="20"/>
          <w:u w:val="single"/>
        </w:rPr>
        <w:t>Section 2.12</w:t>
      </w:r>
      <w:r>
        <w:rPr>
          <w:rFonts w:ascii="Times New Roman" w:hAnsi="Times New Roman"/>
          <w:caps w:val="false"/>
          <w:smallCaps w:val="false"/>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failure to give such notice shall not affect the validity of such setoff and application.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12.09    </w:t>
      </w:r>
      <w:r>
        <w:rPr>
          <w:rFonts w:ascii="Times New Roman" w:hAnsi="Times New Roman"/>
          <w:caps w:val="false"/>
          <w:smallCaps w:val="false"/>
          <w:sz w:val="20"/>
          <w:u w:val="single"/>
        </w:rPr>
        <w:t>Interest Rate Limitation</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caps w:val="false"/>
          <w:smallCaps w:val="false"/>
          <w:sz w:val="20"/>
          <w:u w:val="single"/>
        </w:rPr>
        <w:t>Maximum Rate</w:t>
      </w:r>
      <w:r>
        <w:rPr>
          <w:rFonts w:ascii="Times New Roman" w:hAnsi="Times New Roman"/>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repayments or prepayments and the effects thereof, and (c) amortize, prorate, allocate, and spread in equal or unequal parts the total amount of interest throughout the contemplated term of the Obligations 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12.10    </w:t>
      </w:r>
      <w:r>
        <w:rPr>
          <w:rFonts w:ascii="Times New Roman" w:hAnsi="Times New Roman"/>
          <w:caps w:val="false"/>
          <w:smallCaps w:val="false"/>
          <w:sz w:val="20"/>
          <w:u w:val="single"/>
        </w:rPr>
        <w:t>Counterparts; Integration; Effectiveness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Athyrium or its Affiliates, the Lenders or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caps w:val="false"/>
          <w:smallCaps w:val="false"/>
          <w:sz w:val="20"/>
          <w:u w:val="single"/>
        </w:rPr>
        <w:t>Section 5.01</w:t>
      </w:r>
      <w:r>
        <w:rPr>
          <w:rFonts w:ascii="Times New Roman" w:hAnsi="Times New Roman"/>
          <w:caps w:val="false"/>
          <w:smallCaps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fax transmission or e-mail transmission (e.g., “pdf” or “tif”) shall be effective as delivery of a manually executed counterpart of this Agreement or such other Loan Documents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12.11    </w:t>
      </w:r>
      <w:r>
        <w:rPr>
          <w:rFonts w:ascii="Times New Roman" w:hAnsi="Times New Roman"/>
          <w:caps w:val="false"/>
          <w:smallCaps w:val="false"/>
          <w:sz w:val="20"/>
          <w:u w:val="single"/>
        </w:rPr>
        <w:t>Survival of Representations and Warranties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representations and warranties made hereunder and in any other Loan Document or other document delivered pursuant hereto or thereto or in connection herewith or therewith shall survive the execution and delivery hereof and thereof and shall continue in full force and effect as long as any Loan or other Obligation hereunder shall remain unpaid or unsatisfied and until all of the Commitments have been terminated in accordance with the terms 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 and until all of the Commitments have been terminated in accordance with the terms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12.12    </w:t>
      </w:r>
      <w:r>
        <w:rPr>
          <w:rFonts w:ascii="Times New Roman" w:hAnsi="Times New Roman"/>
          <w:caps w:val="false"/>
          <w:smallCaps w:val="false"/>
          <w:sz w:val="20"/>
          <w:u w:val="single"/>
        </w:rPr>
        <w:t>Severability</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If any provision </w:t>
      </w:r>
      <w:r>
        <w:rPr>
          <w:rFonts w:ascii="Times New Roman" w:hAnsi="Times New Roman"/>
          <w:b/>
          <w:caps w:val="false"/>
          <w:smallCaps w:val="false"/>
          <w:color w:val="0000FF"/>
          <w:sz w:val="20"/>
          <w:u w:val="single"/>
          <w:bdr w:val="double" w:sz="2" w:space="1" w:color="000000"/>
        </w:rPr>
        <w:t>(or portion of a provision)</w:t>
      </w:r>
      <w:r>
        <w:rPr>
          <w:rFonts w:ascii="Times New Roman" w:hAnsi="Times New Roman"/>
          <w:caps w:val="false"/>
          <w:smallCaps w:val="false"/>
          <w:sz w:val="20"/>
        </w:rPr>
        <w:t xml:space="preserve"> of this Agreement or the other Loan Documents is held to be illegal, invalid or unenforceable, (a) the legality, validity and enforceability of the remaining provisions </w:t>
      </w:r>
      <w:r>
        <w:rPr>
          <w:rFonts w:ascii="Times New Roman" w:hAnsi="Times New Roman"/>
          <w:b/>
          <w:caps w:val="false"/>
          <w:smallCaps w:val="false"/>
          <w:color w:val="0000FF"/>
          <w:sz w:val="20"/>
          <w:u w:val="single"/>
          <w:bdr w:val="double" w:sz="2" w:space="1" w:color="000000"/>
        </w:rPr>
        <w:t>(or portion of such provision)</w:t>
      </w:r>
      <w:r>
        <w:rPr>
          <w:rFonts w:ascii="Times New Roman" w:hAnsi="Times New Roman"/>
          <w:caps w:val="false"/>
          <w:smallCaps w:val="false"/>
          <w:sz w:val="20"/>
        </w:rPr>
        <w:t xml:space="preserve"> of this Agreement and the other Loan Documents shall not be affected or impaired thereby and (b) the parties shall endeavor in good faith negotiations to replace the illegal, invalid or unenforceable provisions </w:t>
      </w:r>
      <w:r>
        <w:rPr>
          <w:rFonts w:ascii="Times New Roman" w:hAnsi="Times New Roman"/>
          <w:b/>
          <w:caps w:val="false"/>
          <w:smallCaps w:val="false"/>
          <w:color w:val="0000FF"/>
          <w:sz w:val="20"/>
          <w:u w:val="single"/>
          <w:bdr w:val="double" w:sz="2" w:space="1" w:color="000000"/>
        </w:rPr>
        <w:t>(or portions of such provisions)</w:t>
      </w:r>
      <w:r>
        <w:rPr>
          <w:rFonts w:ascii="Times New Roman" w:hAnsi="Times New Roman"/>
          <w:caps w:val="false"/>
          <w:smallCaps w:val="false"/>
          <w:sz w:val="20"/>
        </w:rPr>
        <w:t xml:space="preserve"> with valid provisions the economic effect of which comes as close as possible to that of the illegal, invalid or unenforceable provisions </w:t>
      </w:r>
      <w:r>
        <w:rPr>
          <w:rFonts w:ascii="Times New Roman" w:hAnsi="Times New Roman"/>
          <w:b/>
          <w:caps w:val="false"/>
          <w:smallCaps w:val="false"/>
          <w:color w:val="0000FF"/>
          <w:sz w:val="20"/>
          <w:u w:val="single"/>
          <w:bdr w:val="double" w:sz="2" w:space="1" w:color="000000"/>
        </w:rPr>
        <w:t>(or portion of such provisions)</w:t>
      </w:r>
      <w:r>
        <w:rPr>
          <w:rFonts w:ascii="Times New Roman" w:hAnsi="Times New Roman"/>
          <w:caps w:val="false"/>
          <w:smallCaps w:val="false"/>
          <w:sz w:val="20"/>
        </w:rPr>
        <w:t xml:space="preserve">. The invalidity of a provision </w:t>
      </w:r>
      <w:r>
        <w:rPr>
          <w:rFonts w:ascii="Times New Roman" w:hAnsi="Times New Roman"/>
          <w:b/>
          <w:caps w:val="false"/>
          <w:smallCaps w:val="false"/>
          <w:color w:val="0000FF"/>
          <w:sz w:val="20"/>
          <w:u w:val="single"/>
          <w:bdr w:val="double" w:sz="2" w:space="1" w:color="000000"/>
        </w:rPr>
        <w:t>(or portion of a provision)</w:t>
      </w:r>
      <w:r>
        <w:rPr>
          <w:rFonts w:ascii="Times New Roman" w:hAnsi="Times New Roman"/>
          <w:caps w:val="false"/>
          <w:smallCaps w:val="false"/>
          <w:sz w:val="20"/>
        </w:rPr>
        <w:t xml:space="preserve"> in a particular jurisdiction shall not invalidate or render unenforceable such provision </w:t>
      </w:r>
      <w:r>
        <w:rPr>
          <w:rFonts w:ascii="Times New Roman" w:hAnsi="Times New Roman"/>
          <w:b/>
          <w:caps w:val="false"/>
          <w:smallCaps w:val="false"/>
          <w:color w:val="0000FF"/>
          <w:sz w:val="20"/>
          <w:u w:val="single"/>
          <w:bdr w:val="double" w:sz="2" w:space="1" w:color="000000"/>
        </w:rPr>
        <w:t>(or portion of such provision)</w:t>
      </w:r>
      <w:r>
        <w:rPr>
          <w:rFonts w:ascii="Times New Roman" w:hAnsi="Times New Roman"/>
          <w:caps w:val="false"/>
          <w:smallCaps w:val="false"/>
          <w:sz w:val="20"/>
        </w:rPr>
        <w:t xml:space="preserve"> in any other jurisdiction. Without limiting the foregoing provisions of this Section 12.12, if and to the extent that the enforceability of any provisions </w:t>
      </w:r>
      <w:r>
        <w:rPr>
          <w:rFonts w:ascii="Times New Roman" w:hAnsi="Times New Roman"/>
          <w:b/>
          <w:caps w:val="false"/>
          <w:smallCaps w:val="false"/>
          <w:color w:val="0000FF"/>
          <w:sz w:val="20"/>
          <w:u w:val="single"/>
          <w:bdr w:val="double" w:sz="2" w:space="1" w:color="000000"/>
        </w:rPr>
        <w:t>(or portions of such provisions)</w:t>
      </w:r>
      <w:r>
        <w:rPr>
          <w:rFonts w:ascii="Times New Roman" w:hAnsi="Times New Roman"/>
          <w:caps w:val="false"/>
          <w:smallCaps w:val="false"/>
          <w:sz w:val="20"/>
        </w:rPr>
        <w:t xml:space="preserve"> in this Agreement relating to Defaulting Lenders shall be limited by Debtor Relief Laws, as determined in good faith by the Administrative Agent, then such provisions </w:t>
      </w:r>
      <w:r>
        <w:rPr>
          <w:rFonts w:ascii="Times New Roman" w:hAnsi="Times New Roman"/>
          <w:b/>
          <w:caps w:val="false"/>
          <w:smallCaps w:val="false"/>
          <w:color w:val="0000FF"/>
          <w:sz w:val="20"/>
          <w:u w:val="single"/>
          <w:bdr w:val="double" w:sz="2" w:space="1" w:color="000000"/>
        </w:rPr>
        <w:t>(or portions of such provisions)</w:t>
      </w:r>
      <w:r>
        <w:rPr>
          <w:rFonts w:ascii="Times New Roman" w:hAnsi="Times New Roman"/>
          <w:caps w:val="false"/>
          <w:smallCaps w:val="false"/>
          <w:sz w:val="20"/>
        </w:rPr>
        <w:t xml:space="preserve"> shall be deemed to be in effect only to the extent not so limited.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12.13    </w:t>
      </w:r>
      <w:r>
        <w:rPr>
          <w:rFonts w:ascii="Times New Roman" w:hAnsi="Times New Roman"/>
          <w:caps w:val="false"/>
          <w:smallCaps w:val="false"/>
          <w:sz w:val="20"/>
          <w:u w:val="single"/>
        </w:rPr>
        <w:t>Replacement of Lenders.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800"/>
        <w:jc w:val="both"/>
        <w:rPr>
          <w:rFonts w:ascii="Times New Roman" w:hAnsi="Times New Roman"/>
          <w:caps w:val="false"/>
          <w:smallCaps w:val="false"/>
          <w:sz w:val="20"/>
        </w:rPr>
      </w:pPr>
      <w:r>
        <w:rPr>
          <w:rFonts w:ascii="Times New Roman" w:hAnsi="Times New Roman"/>
          <w:caps w:val="false"/>
          <w:smallCaps w:val="false"/>
          <w:sz w:val="20"/>
        </w:rPr>
        <w:t xml:space="preserve">If the Borrower is entitled to replace a Lender pursuant to the provisions of </w:t>
      </w:r>
      <w:r>
        <w:rPr>
          <w:rFonts w:ascii="Times New Roman" w:hAnsi="Times New Roman"/>
          <w:caps w:val="false"/>
          <w:smallCaps w:val="false"/>
          <w:sz w:val="20"/>
          <w:u w:val="single"/>
        </w:rPr>
        <w:t>Section 10.02</w:t>
      </w:r>
      <w:r>
        <w:rPr>
          <w:rFonts w:ascii="Times New Roman" w:hAnsi="Times New Roman"/>
          <w:caps w:val="false"/>
          <w:smallCaps w:val="false"/>
          <w:sz w:val="20"/>
        </w:rPr>
        <w:t xml:space="preserve"> or if any Lender is a Defaulting Lender or a Non-Consenting Lender, then the Borrower may, at its sole expense and effort, upon written notice to such Lender and the Administrative Agent, require such Lender to assign and delegate, without recourse (in accordance with and subject to the restrictions contained in, and consents required by, </w:t>
      </w:r>
      <w:r>
        <w:rPr>
          <w:rFonts w:ascii="Times New Roman" w:hAnsi="Times New Roman"/>
          <w:caps w:val="false"/>
          <w:smallCaps w:val="false"/>
          <w:sz w:val="20"/>
          <w:u w:val="single"/>
        </w:rPr>
        <w:t>Section 12.06),</w:t>
      </w:r>
      <w:r>
        <w:rPr>
          <w:rFonts w:ascii="Times New Roman" w:hAnsi="Times New Roman"/>
          <w:caps w:val="false"/>
          <w:smallCaps w:val="false"/>
          <w:sz w:val="20"/>
        </w:rPr>
        <w:t xml:space="preserve"> all of its interests, rights (other than its existing rights to payments pursuant to </w:t>
      </w:r>
      <w:r>
        <w:rPr>
          <w:rFonts w:ascii="Times New Roman" w:hAnsi="Times New Roman"/>
          <w:caps w:val="false"/>
          <w:smallCaps w:val="false"/>
          <w:sz w:val="20"/>
          <w:u w:val="single"/>
        </w:rPr>
        <w:t>Sections 3.01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10.01)</w:t>
      </w:r>
      <w:r>
        <w:rPr>
          <w:rFonts w:ascii="Times New Roman" w:hAnsi="Times New Roman"/>
          <w:caps w:val="false"/>
          <w:smallCaps w:val="false"/>
          <w:sz w:val="20"/>
        </w:rPr>
        <w:t xml:space="preserve"> and obligations under this Agreement and the related Loan Documents to an assignee that shall assume such obligations (which assignee may be another Lender, if a Lender accepts such assignment), </w:t>
      </w:r>
      <w:r>
        <w:rPr>
          <w:rFonts w:ascii="Times New Roman" w:hAnsi="Times New Roman"/>
          <w:caps w:val="false"/>
          <w:smallCaps w:val="false"/>
          <w:sz w:val="20"/>
          <w:u w:val="single"/>
        </w:rPr>
        <w:t>provided,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such Lender shall have received payment of an amount equal to one hundred percent (100%) of (x) the outstanding principal of its Loans, accrued interest thereon and all other amounts payable to it hereunder and under the other Loan Documents (other than repayment or prepayment premiums or the exit fee) from the assignee (to the extent of such outstanding principal and accrued interest) or the Borrower (in the case of all other amounts) and (y) the repayment or prepayment premium required by </w:t>
      </w:r>
      <w:r>
        <w:rPr>
          <w:rFonts w:ascii="Times New Roman" w:hAnsi="Times New Roman"/>
          <w:caps w:val="false"/>
          <w:smallCaps w:val="false"/>
          <w:sz w:val="20"/>
          <w:u w:val="single"/>
        </w:rPr>
        <w:t>Section 2.03(d)</w:t>
      </w:r>
      <w:r>
        <w:rPr>
          <w:rFonts w:ascii="Times New Roman" w:hAnsi="Times New Roman"/>
          <w:caps w:val="false"/>
          <w:smallCaps w:val="false"/>
          <w:sz w:val="20"/>
        </w:rPr>
        <w:t xml:space="preserve"> and the exit fee required under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in each case, from the Borrower, as if such assignment was a prepayment of one hundred percent (100%) of the outstanding principal amount of such assignor’s Loans on the effective date of such assignment;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such assignment does not conflict with applicable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in the case of any such assignment resulting from a claim for compensation under </w:t>
      </w:r>
      <w:r>
        <w:rPr>
          <w:rFonts w:ascii="Times New Roman" w:hAnsi="Times New Roman"/>
          <w:caps w:val="false"/>
          <w:smallCaps w:val="false"/>
          <w:sz w:val="20"/>
          <w:u w:val="single"/>
        </w:rPr>
        <w:t>Section 10.01</w:t>
      </w:r>
      <w:r>
        <w:rPr>
          <w:rFonts w:ascii="Times New Roman" w:hAnsi="Times New Roman"/>
          <w:caps w:val="false"/>
          <w:smallCaps w:val="false"/>
          <w:sz w:val="20"/>
        </w:rPr>
        <w:t xml:space="preserve"> or payments required to be made pursuant to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such assignment will result in a reduction in such compensation or payments thereafter;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r>
        <w:rPr>
          <w:rFonts w:ascii="Times New Roman" w:hAnsi="Times New Roman"/>
          <w:caps w:val="false"/>
          <w:smallCaps w:val="false"/>
          <w:sz w:val="20"/>
          <w:u w:val="single"/>
        </w:rPr>
        <w:t>provided, that,</w:t>
      </w:r>
      <w:r>
        <w:rPr>
          <w:rFonts w:ascii="Times New Roman" w:hAnsi="Times New Roman"/>
          <w:caps w:val="false"/>
          <w:smallCaps w:val="false"/>
          <w:sz w:val="20"/>
        </w:rPr>
        <w:t xml:space="preserve"> the failure by any Defaulting Lender or any Non-Consenting Lender to execute and deliver an Assignment and Assumption shall not impair the validity of the removal of such Defaulting Lender or Non-Consenting Lender and the mandatory assignment of such Defaulting Lender or Non-Consenting Lender’s outstanding Loans pursuant to this </w:t>
      </w:r>
      <w:r>
        <w:rPr>
          <w:rFonts w:ascii="Times New Roman" w:hAnsi="Times New Roman"/>
          <w:caps w:val="false"/>
          <w:smallCaps w:val="false"/>
          <w:sz w:val="20"/>
          <w:u w:val="single"/>
        </w:rPr>
        <w:t>Section 12.13</w:t>
      </w:r>
      <w:r>
        <w:rPr>
          <w:rFonts w:ascii="Times New Roman" w:hAnsi="Times New Roman"/>
          <w:caps w:val="false"/>
          <w:smallCaps w:val="false"/>
          <w:sz w:val="20"/>
        </w:rPr>
        <w:t xml:space="preserve"> shall nevertheless be effective without the execution by such Defaulting Lender or Non-Consenting Lender of an Assignment and Assumption.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880"/>
        <w:jc w:val="both"/>
        <w:rPr>
          <w:rFonts w:ascii="Times New Roman" w:hAnsi="Times New Roman"/>
          <w:caps w:val="false"/>
          <w:smallCaps w:val="false"/>
          <w:sz w:val="20"/>
        </w:rPr>
      </w:pPr>
      <w:r>
        <w:rPr>
          <w:rFonts w:ascii="Times New Roman" w:hAnsi="Times New Roman"/>
          <w:caps w:val="false"/>
          <w:smallCaps w:val="false"/>
          <w:sz w:val="20"/>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12.14    </w:t>
      </w:r>
      <w:r>
        <w:rPr>
          <w:rFonts w:ascii="Times New Roman" w:hAnsi="Times New Roman"/>
          <w:caps w:val="false"/>
          <w:smallCaps w:val="false"/>
          <w:sz w:val="20"/>
          <w:u w:val="single"/>
        </w:rPr>
        <w:t>Governing Law; Jurisdiction; Etc.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SUBMISSION TO JURISDICTION</w:t>
      </w:r>
      <w:r>
        <w:rPr>
          <w:rFonts w:ascii="Times New Roman" w:hAnsi="Times New Roman"/>
          <w:caps w:val="false"/>
          <w:smallCaps w:val="false"/>
          <w:sz w:val="20"/>
        </w:rPr>
        <w:t>. EACH LOAN PARTY IRREVOCABLY AND UNCONDITIONALLY AGREES THAT IT WILL NOT (AND IT WILL NOT PERMIT ANY LOAN PARTY TO)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OTHER FORUM OTHER THAN THE COURTS OF THE STATE OF NEW YORK AND ANY UNITED STATES DISTRICT COURT IN THE STATE OF NEW YORK, AND ANY APPELLATE COURT FROM ANY THEREOF LOCATED IN NEW YORK COUNTY, NEW YORK,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THEIR RESPECTIVE PROPERTIES IN THE COURTS OF ANY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WAIVER OF VENUE</w:t>
      </w:r>
      <w:r>
        <w:rPr>
          <w:rFonts w:ascii="Times New Roman" w:hAnsi="Times New Roman"/>
          <w:caps w:val="false"/>
          <w:smallCaps w:val="false"/>
          <w:sz w:val="20"/>
        </w:rPr>
        <w:t>. THE BORROWER AND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SERVICE OF PROCESS</w:t>
      </w:r>
      <w:r>
        <w:rPr>
          <w:rFonts w:ascii="Times New Roman" w:hAnsi="Times New Roman"/>
          <w:caps w:val="false"/>
          <w:smallCaps w:val="false"/>
          <w:sz w:val="20"/>
        </w:rPr>
        <w:t xml:space="preserve">. EACH PARTY HERETO IRREVOCABLY CONSENTS TO SERVICE OF PROCESS IN THE MANNER PROVIDED FOR NOTICES IN </w:t>
      </w:r>
      <w:r>
        <w:rPr>
          <w:rFonts w:ascii="Times New Roman" w:hAnsi="Times New Roman"/>
          <w:caps w:val="false"/>
          <w:smallCaps w:val="false"/>
          <w:sz w:val="20"/>
          <w:u w:val="single"/>
        </w:rPr>
        <w:t>SECTION 12.02</w:t>
      </w:r>
      <w:r>
        <w:rPr>
          <w:rFonts w:ascii="Times New Roman" w:hAnsi="Times New Roman"/>
          <w:caps w:val="false"/>
          <w:smallCaps w:val="false"/>
          <w:sz w:val="20"/>
        </w:rPr>
        <w:t>. NOTHING IN THIS AGREEMENT WILL AFFECT THE RIGHT OF ANY PARTY HERETO TO SERVE PROCESS IN ANY OTHER MANNER PERMITTED BY APPLICABLE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12.15    </w:t>
      </w:r>
      <w:r>
        <w:rPr>
          <w:rFonts w:ascii="Times New Roman" w:hAnsi="Times New Roman"/>
          <w:caps w:val="false"/>
          <w:smallCaps w:val="false"/>
          <w:sz w:val="20"/>
          <w:u w:val="single"/>
        </w:rPr>
        <w:t>Waiver of Right to Trial by Jury</w:t>
      </w:r>
      <w:r>
        <w:rPr>
          <w:rFonts w:ascii="Times New Roman" w:hAnsi="Times New Roman"/>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12.16    </w:t>
      </w:r>
      <w:r>
        <w:rPr>
          <w:rFonts w:ascii="Times New Roman" w:hAnsi="Times New Roman"/>
          <w:caps w:val="false"/>
          <w:smallCaps w:val="false"/>
          <w:sz w:val="20"/>
          <w:u w:val="single"/>
        </w:rPr>
        <w:t>Judgment Currency</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1440"/>
        <w:jc w:val="both"/>
        <w:rPr>
          <w:rFonts w:ascii="Times New Roman" w:hAnsi="Times New Roman"/>
          <w:caps w:val="false"/>
          <w:smallCaps w:val="false"/>
          <w:sz w:val="20"/>
        </w:rPr>
      </w:pPr>
      <w:r>
        <w:rPr>
          <w:rFonts w:ascii="Times New Roman" w:hAnsi="Times New Roman"/>
          <w:caps w:val="false"/>
          <w:smallCaps w:val="false"/>
          <w:sz w:val="20"/>
        </w:rPr>
        <w:t>(b)    The obligations of the Loan Parties in respect of any sum due to any party hereto or any holder of the Obligations owing hereunder (the “</w:t>
      </w:r>
      <w:r>
        <w:rPr>
          <w:rFonts w:ascii="Times New Roman" w:hAnsi="Times New Roman"/>
          <w:caps w:val="false"/>
          <w:smallCaps w:val="false"/>
          <w:sz w:val="20"/>
          <w:u w:val="single"/>
        </w:rPr>
        <w:t>Applicable Creditor</w:t>
      </w:r>
      <w:r>
        <w:rPr>
          <w:rFonts w:ascii="Times New Roman" w:hAnsi="Times New Roman"/>
          <w:caps w:val="false"/>
          <w:smallCaps w:val="false"/>
          <w:sz w:val="20"/>
        </w:rPr>
        <w:t>”) shall, notwithstanding any judgment in a currency (the “</w:t>
      </w:r>
      <w:r>
        <w:rPr>
          <w:rFonts w:ascii="Times New Roman" w:hAnsi="Times New Roman"/>
          <w:caps w:val="false"/>
          <w:smallCaps w:val="false"/>
          <w:sz w:val="20"/>
          <w:u w:val="single"/>
        </w:rPr>
        <w:t>Judgment Currency</w:t>
      </w:r>
      <w:r>
        <w:rPr>
          <w:rFonts w:ascii="Times New Roman" w:hAnsi="Times New Roman"/>
          <w:caps w:val="false"/>
          <w:smallCaps w:val="false"/>
          <w:sz w:val="20"/>
        </w:rPr>
        <w:t>”) other than the currency in which such sum is stated to be due hereunder (the “</w:t>
      </w:r>
      <w:r>
        <w:rPr>
          <w:rFonts w:ascii="Times New Roman" w:hAnsi="Times New Roman"/>
          <w:caps w:val="false"/>
          <w:smallCaps w:val="false"/>
          <w:sz w:val="20"/>
          <w:u w:val="single"/>
        </w:rPr>
        <w:t>Agreement Currency</w:t>
      </w:r>
      <w:r>
        <w:rPr>
          <w:rFonts w:ascii="Times New Roman" w:hAnsi="Times New Roman"/>
          <w:caps w:val="false"/>
          <w:smallCaps w:val="false"/>
          <w:sz w:val="20"/>
        </w:rPr>
        <w:t xml:space="preserve">”),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Loan Parties agree, as a separate obligation and notwithstanding any such judgment, to jointly and severally indemnify the Applicable Creditor against such loss. The obligations of the Borrower contained in this </w:t>
      </w:r>
      <w:r>
        <w:rPr>
          <w:rFonts w:ascii="Times New Roman" w:hAnsi="Times New Roman"/>
          <w:caps w:val="false"/>
          <w:smallCaps w:val="false"/>
          <w:sz w:val="20"/>
          <w:u w:val="single"/>
        </w:rPr>
        <w:t>Section 12.16</w:t>
      </w:r>
      <w:r>
        <w:rPr>
          <w:rFonts w:ascii="Times New Roman" w:hAnsi="Times New Roman"/>
          <w:caps w:val="false"/>
          <w:smallCaps w:val="false"/>
          <w:sz w:val="20"/>
        </w:rPr>
        <w:t xml:space="preserve"> shall survive the termination of this Agreement, the termination of the Commitments and the payment of all other amounts owing hereunder.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12.17    </w:t>
      </w:r>
      <w:r>
        <w:rPr>
          <w:rFonts w:ascii="Times New Roman" w:hAnsi="Times New Roman"/>
          <w:caps w:val="false"/>
          <w:smallCaps w:val="false"/>
          <w:sz w:val="20"/>
          <w:u w:val="single"/>
        </w:rPr>
        <w:t>Electronic Execution of Assignments and Certain Other Documents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and any document, amendment, approval, consent, information, notice, certificate, request, statement, disclosure or authorization related to this Agreement (each a “</w:t>
      </w:r>
      <w:r>
        <w:rPr>
          <w:rFonts w:ascii="Times New Roman" w:hAnsi="Times New Roman"/>
          <w:caps w:val="false"/>
          <w:smallCaps w:val="false"/>
          <w:sz w:val="20"/>
          <w:u w:val="single"/>
        </w:rPr>
        <w:t>Communication</w:t>
      </w:r>
      <w:r>
        <w:rPr>
          <w:rFonts w:ascii="Times New Roman" w:hAnsi="Times New Roman"/>
          <w:caps w:val="false"/>
          <w:smallCaps w:val="false"/>
          <w:sz w:val="20"/>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 w:hAnsi="Times New Roman"/>
          <w:caps w:val="false"/>
          <w:smallCaps w:val="false"/>
          <w:sz w:val="20"/>
          <w:u w:val="single"/>
        </w:rPr>
        <w:t>Electronic Copy</w:t>
      </w:r>
      <w:r>
        <w:rPr>
          <w:rFonts w:ascii="Times New Roman" w:hAnsi="Times New Roman"/>
          <w:caps w:val="false"/>
          <w:smallCaps w:val="false"/>
          <w:sz w:val="20"/>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any Loan Party without further verification and (b) upon the request of the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12.18    </w:t>
      </w:r>
      <w:r>
        <w:rPr>
          <w:rFonts w:ascii="Times New Roman" w:hAnsi="Times New Roman"/>
          <w:caps w:val="false"/>
          <w:smallCaps w:val="false"/>
          <w:sz w:val="20"/>
          <w:u w:val="single"/>
        </w:rPr>
        <w:t>USA PATRIOT Act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of the Loan Parties agrees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12.19    </w:t>
      </w:r>
      <w:r>
        <w:rPr>
          <w:rFonts w:ascii="Times New Roman" w:hAnsi="Times New Roman"/>
          <w:caps w:val="false"/>
          <w:smallCaps w:val="false"/>
          <w:sz w:val="20"/>
          <w:u w:val="single"/>
        </w:rPr>
        <w:t>No Advisory or Fiduciary Relationship</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Athyrium and its Affiliates, and the Lenders are arm’s-length commercial transactions between the Borrower and its Affiliates, on the one hand, and the Administrative Agent, Athyrium and its Affiliates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(b)(i) the Administrative Agent, Athyrium and its Affiliates and each Lender is and has been acting solely as a principal and, except as expressly agreed in writing by the relevant parties, has not been, is not and will not be acting as an advisor, agent or fiduciary, for the Borrower or any of its Affiliates or any other Person and (ii) neither the Administrative Agent nor any Lender has any obligation to the Borrower or any of its Affiliates with respect to the transactions contemplated hereby except those obligations expressly set forth herein and in the other Loan Documents; and (c) the Administrative Agent, Athyrium and its Affiliates and the Lenders and their respective Affiliates may be engaged in a broad range of transactions that involve interests that differ from those of the Borrower and its Affiliates, and neither the Administrative Agent, Athyrium or its Affiliates nor any Lender has any obligation to disclose any of such interests to the Borrower or its Affiliates. To the fullest extent permitted by law, the Borrower hereby waives and releases any claims that they may have against the Administrative Agent, Athyrium or its Affiliates or any Lenders with respect to any breach or alleged breach of agency or fiduciary duty in connection with any aspect of any transaction contemplated hereby.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12.20    </w:t>
      </w:r>
      <w:r>
        <w:rPr>
          <w:rFonts w:ascii="Times New Roman" w:hAnsi="Times New Roman"/>
          <w:caps w:val="false"/>
          <w:smallCaps w:val="false"/>
          <w:sz w:val="20"/>
          <w:u w:val="single"/>
        </w:rPr>
        <w:t xml:space="preserve">Acknowledgement and Consent to Bail-In of </w:t>
      </w:r>
      <w:r>
        <w:rPr>
          <w:rFonts w:ascii="Times New Roman" w:hAnsi="Times New Roman"/>
          <w:caps w:val="false"/>
          <w:smallCaps w:val="false"/>
          <w:strike/>
          <w:color w:val="FF0000"/>
          <w:sz w:val="20"/>
          <w:u w:val="single"/>
        </w:rPr>
        <w:t>EEA</w:t>
      </w:r>
      <w:r>
        <w:rPr>
          <w:rFonts w:ascii="Times New Roman" w:hAnsi="Times New Roman"/>
          <w:b/>
          <w:caps w:val="false"/>
          <w:smallCaps w:val="false"/>
          <w:color w:val="0000FF"/>
          <w:sz w:val="20"/>
          <w:u w:val="single"/>
          <w:bdr w:val="double" w:sz="2" w:space="1" w:color="000000"/>
        </w:rPr>
        <w:t>Affected</w:t>
      </w:r>
      <w:r>
        <w:rPr>
          <w:rFonts w:ascii="Times New Roman" w:hAnsi="Times New Roman"/>
          <w:caps w:val="false"/>
          <w:smallCaps w:val="false"/>
          <w:sz w:val="20"/>
          <w:u w:val="single"/>
        </w:rPr>
        <w:t xml:space="preserve"> Financial Institutions</w:t>
      </w:r>
      <w:r>
        <w:rPr>
          <w:rFonts w:ascii="Times New Roman" w:hAnsi="Times New Roman"/>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in any Loan Document or in any other agreement, arrangement or understanding among any such parties, each party hereto acknowledges that any liability of any Lender that is an </w:t>
      </w:r>
      <w:r>
        <w:rPr>
          <w:rFonts w:ascii="Times New Roman" w:hAnsi="Times New Roman"/>
          <w:caps w:val="false"/>
          <w:smallCaps w:val="false"/>
          <w:strike/>
          <w:color w:val="FF0000"/>
          <w:sz w:val="20"/>
        </w:rPr>
        <w:t>EEA</w:t>
      </w:r>
      <w:r>
        <w:rPr>
          <w:rFonts w:ascii="Times New Roman" w:hAnsi="Times New Roman"/>
          <w:b/>
          <w:caps w:val="false"/>
          <w:smallCaps w:val="false"/>
          <w:color w:val="0000FF"/>
          <w:sz w:val="20"/>
          <w:u w:val="single"/>
          <w:bdr w:val="double" w:sz="2" w:space="1" w:color="000000"/>
        </w:rPr>
        <w:t>Affected</w:t>
      </w:r>
      <w:r>
        <w:rPr>
          <w:rFonts w:ascii="Times New Roman" w:hAnsi="Times New Roman"/>
          <w:caps w:val="false"/>
          <w:smallCaps w:val="false"/>
          <w:sz w:val="20"/>
        </w:rPr>
        <w:t xml:space="preserve"> Financial Institution arising under any Loan Document, to the extent such liability is unsecured, may be subject to the write-down and conversion powers of an </w:t>
      </w:r>
      <w:r>
        <w:rPr>
          <w:rFonts w:ascii="Times New Roman" w:hAnsi="Times New Roman"/>
          <w:caps w:val="false"/>
          <w:smallCaps w:val="false"/>
          <w:strike/>
          <w:color w:val="FF0000"/>
          <w:sz w:val="20"/>
        </w:rPr>
        <w:t>EEA</w:t>
      </w:r>
      <w:r>
        <w:rPr>
          <w:rFonts w:ascii="Times New Roman" w:hAnsi="Times New Roman"/>
          <w:b/>
          <w:caps w:val="false"/>
          <w:smallCaps w:val="false"/>
          <w:color w:val="0000FF"/>
          <w:sz w:val="20"/>
          <w:u w:val="single"/>
          <w:bdr w:val="double" w:sz="2" w:space="1" w:color="000000"/>
        </w:rPr>
        <w:t>the applicable</w:t>
      </w:r>
      <w:r>
        <w:rPr>
          <w:rFonts w:ascii="Times New Roman" w:hAnsi="Times New Roman"/>
          <w:caps w:val="false"/>
          <w:smallCaps w:val="false"/>
          <w:sz w:val="20"/>
        </w:rPr>
        <w:t xml:space="preserve"> Resolution Authority and agrees and consents to, and acknowledges and agrees to be bound by (a) the application of any Write-Down and Conversion Powers by </w:t>
      </w:r>
      <w:r>
        <w:rPr>
          <w:rFonts w:ascii="Times New Roman" w:hAnsi="Times New Roman"/>
          <w:caps w:val="false"/>
          <w:smallCaps w:val="false"/>
          <w:strike/>
          <w:color w:val="FF0000"/>
          <w:sz w:val="20"/>
        </w:rPr>
        <w:t>an EEA</w:t>
      </w:r>
      <w:r>
        <w:rPr>
          <w:rFonts w:ascii="Times New Roman" w:hAnsi="Times New Roman"/>
          <w:b/>
          <w:caps w:val="false"/>
          <w:smallCaps w:val="false"/>
          <w:color w:val="0000FF"/>
          <w:sz w:val="20"/>
          <w:u w:val="single"/>
          <w:bdr w:val="double" w:sz="2" w:space="1" w:color="000000"/>
        </w:rPr>
        <w:t>the applicable</w:t>
      </w:r>
      <w:r>
        <w:rPr>
          <w:rFonts w:ascii="Times New Roman" w:hAnsi="Times New Roman"/>
          <w:caps w:val="false"/>
          <w:smallCaps w:val="false"/>
          <w:sz w:val="20"/>
        </w:rPr>
        <w:t xml:space="preserve"> Resolution Authority to any such liabilities arising hereunder which may be payable to it by any Lender that is an </w:t>
      </w:r>
      <w:r>
        <w:rPr>
          <w:rFonts w:ascii="Times New Roman" w:hAnsi="Times New Roman"/>
          <w:caps w:val="false"/>
          <w:smallCaps w:val="false"/>
          <w:strike/>
          <w:color w:val="FF0000"/>
          <w:sz w:val="20"/>
        </w:rPr>
        <w:t>EEA</w:t>
      </w:r>
      <w:r>
        <w:rPr>
          <w:rFonts w:ascii="Times New Roman" w:hAnsi="Times New Roman"/>
          <w:b/>
          <w:caps w:val="false"/>
          <w:smallCaps w:val="false"/>
          <w:color w:val="0000FF"/>
          <w:sz w:val="20"/>
          <w:u w:val="single"/>
          <w:bdr w:val="double" w:sz="2" w:space="1" w:color="000000"/>
        </w:rPr>
        <w:t>Affected</w:t>
      </w:r>
      <w:r>
        <w:rPr>
          <w:rFonts w:ascii="Times New Roman" w:hAnsi="Times New Roman"/>
          <w:caps w:val="false"/>
          <w:smallCaps w:val="false"/>
          <w:sz w:val="20"/>
        </w:rPr>
        <w:t xml:space="preserve">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w:t>
      </w:r>
      <w:r>
        <w:rPr>
          <w:rFonts w:ascii="Times New Roman" w:hAnsi="Times New Roman"/>
          <w:caps w:val="false"/>
          <w:smallCaps w:val="false"/>
          <w:strike/>
          <w:color w:val="FF0000"/>
          <w:sz w:val="20"/>
        </w:rPr>
        <w:t>EEA</w:t>
      </w:r>
      <w:r>
        <w:rPr>
          <w:rFonts w:ascii="Times New Roman" w:hAnsi="Times New Roman"/>
          <w:b/>
          <w:caps w:val="false"/>
          <w:smallCaps w:val="false"/>
          <w:color w:val="0000FF"/>
          <w:sz w:val="20"/>
          <w:u w:val="single"/>
          <w:bdr w:val="double" w:sz="2" w:space="1" w:color="000000"/>
        </w:rPr>
        <w:t>Affected</w:t>
      </w:r>
      <w:r>
        <w:rPr>
          <w:rFonts w:ascii="Times New Roman" w:hAnsi="Times New Roman"/>
          <w:caps w:val="false"/>
          <w:smallCaps w:val="false"/>
          <w:sz w:val="20"/>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t>
      </w:r>
      <w:r>
        <w:rPr>
          <w:rFonts w:ascii="Times New Roman" w:hAnsi="Times New Roman"/>
          <w:caps w:val="false"/>
          <w:smallCaps w:val="false"/>
          <w:strike/>
          <w:color w:val="FF0000"/>
          <w:sz w:val="20"/>
        </w:rPr>
        <w:t>write-down and conversion powers of any EEA</w:t>
      </w:r>
      <w:r>
        <w:rPr>
          <w:rFonts w:ascii="Times New Roman" w:hAnsi="Times New Roman"/>
          <w:b/>
          <w:caps w:val="false"/>
          <w:smallCaps w:val="false"/>
          <w:color w:val="0000FF"/>
          <w:sz w:val="20"/>
          <w:u w:val="single"/>
          <w:bdr w:val="double" w:sz="2" w:space="1" w:color="000000"/>
        </w:rPr>
        <w:t>Write-Down and Conversion Powers of the applicable</w:t>
      </w:r>
      <w:r>
        <w:rPr>
          <w:rFonts w:ascii="Times New Roman" w:hAnsi="Times New Roman"/>
          <w:b/>
          <w:caps w:val="false"/>
          <w:smallCaps w:val="false"/>
          <w:sz w:val="20"/>
        </w:rPr>
        <w:t xml:space="preserve"> </w:t>
      </w:r>
      <w:r>
        <w:rPr>
          <w:rFonts w:ascii="Times New Roman" w:hAnsi="Times New Roman"/>
          <w:caps w:val="false"/>
          <w:smallCaps w:val="false"/>
          <w:sz w:val="20"/>
        </w:rPr>
        <w:t>Resolution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12.21    </w:t>
      </w:r>
      <w:r>
        <w:rPr>
          <w:rFonts w:ascii="Times New Roman" w:hAnsi="Times New Roman"/>
          <w:caps w:val="false"/>
          <w:smallCaps w:val="false"/>
          <w:sz w:val="20"/>
          <w:u w:val="single"/>
        </w:rPr>
        <w:t>Publicity</w:t>
      </w:r>
      <w:r>
        <w:rPr>
          <w:rFonts w:ascii="Times New Roman" w:hAnsi="Times New Roman"/>
          <w:caps w:val="false"/>
          <w:smallCaps w:val="false"/>
          <w:sz w:val="20"/>
        </w:rPr>
        <w:t>. The Loan Parties will not directly or indirectly publish, disclose or otherwise use in any public disclosure, advertising material, promotional material, press release or interview, any reference to the name, logo or any trademark of the Administrative Agent or any Lender or any of their Affiliates or any reference to this Agreement or the financing evidenced hereby, in any case except as required by applicable Law, subpoena or judicial or similar order, in which case the Loan Parties shall endeavor to give the Administrative Agent prior written notice of such publication or other disclosure. Each Lender and each Loan Party hereby authorizes each Lender to publish the name of such Lender and each Loan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such Lender elects to submit for publication. In addition, each Lender and each Loan Party agrees that each Lender may provide lending industry trade organizations with information necessary and customary for inclusion in league table measurements after the Closing Date. With respect to any of the foregoing, such authorization shall be subject to such Lender providing the Loan Parties and the other Lenders with an opportunity to review and confer with such Lender regarding, and approve, the contents of any such tombstone, advertisement or information, as applicable, prior to its initial submission for publication, but subsequent publications of the same tombstone, advertisement or information shall not require any Loan Party’s approval.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12.22    </w:t>
      </w:r>
      <w:r>
        <w:rPr>
          <w:rFonts w:ascii="Times New Roman" w:hAnsi="Times New Roman"/>
          <w:caps w:val="false"/>
          <w:smallCaps w:val="false"/>
          <w:sz w:val="20"/>
          <w:u w:val="single"/>
        </w:rPr>
        <w:t>Conflicts</w:t>
      </w:r>
      <w:r>
        <w:rPr>
          <w:rFonts w:ascii="Times New Roman" w:hAnsi="Times New Roman"/>
          <w:caps w:val="false"/>
          <w:smallCaps w:val="false"/>
          <w:sz w:val="20"/>
        </w:rPr>
        <w:t>. Notwithstanding anything to the contrary contained herein or in any other Loan Document, in the event of any conflict or inconsistency between this Agreement and any other Loan Document, the terms of this Agreement shall govern and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12.23    </w:t>
      </w:r>
      <w:r>
        <w:rPr>
          <w:rFonts w:ascii="Times New Roman" w:hAnsi="Times New Roman"/>
          <w:b/>
          <w:caps w:val="false"/>
          <w:smallCaps w:val="false"/>
          <w:color w:val="0000FF"/>
          <w:sz w:val="20"/>
          <w:u w:val="single"/>
          <w:bdr w:val="double" w:sz="2" w:space="1" w:color="000000"/>
        </w:rPr>
        <w:t>Acknowledgement by the Loan Parties. The Loan Parties acknowledge that, if the Loans are prepaid or accelerated (including automatic acceleration triggered by any insolvency proceeding pursuant to Section 9.01(f)) as a result of an Event of Default), the legal, equitable and contractual rights to which the Administrative Agent and the Lenders are entitled under this Agreement include the right to receive the prepayment or repayment premium required by Section 2.03(d), the Make-Whole Amount, or the exit fee required by Section 2.07(b), and the amounts payable pursuant to Section 2.04(b), including the Make-Whole Amount. The Loan Parties also acknowledge that payment of each of the amounts set forth in the immediately preceding sentence will be necessary to cure all defaults if any Loan Party becomes a debtor in a proceeding under the Bankruptcy Code and seeks to reinstate the Obligations pursuant to Section 1124(2) of the Bankruptcy Code. Accordingly, if any Loan Party become a debtor in a proceeding under the Bankruptcy Code, the Administrative Agent and the Lenders shall be impaired for purposes of any plan of reorganization or liquidation unless each of the amounts set forth in the first sentence of this Section 9.02(d) are paid in full pursuant to any plan of reorganization or liquidation under Chapter 11 of the Bankruptcy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[SIGNATURE PAGES </w:t>
      </w:r>
      <w:r>
        <w:rPr>
          <w:rFonts w:ascii="Times New Roman" w:hAnsi="Times New Roman"/>
          <w:caps w:val="false"/>
          <w:smallCaps w:val="false"/>
          <w:strike/>
          <w:color w:val="FF0000"/>
          <w:sz w:val="20"/>
        </w:rPr>
        <w:t>FOLLOW</w:t>
      </w:r>
      <w:r>
        <w:rPr>
          <w:rFonts w:ascii="Times New Roman" w:hAnsi="Times New Roman"/>
          <w:b/>
          <w:caps w:val="false"/>
          <w:smallCaps w:val="false"/>
          <w:color w:val="0000FF"/>
          <w:sz w:val="20"/>
          <w:u w:val="single"/>
          <w:bdr w:val="double" w:sz="2" w:space="1" w:color="000000"/>
        </w:rPr>
        <w:t>ON FILE WITH THE ADMINISTRATIVE AGENT</w:t>
      </w:r>
      <w:r>
        <w:rPr>
          <w:rFonts w:ascii="Times New Roman" w:hAnsi="Times New Roman"/>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ANNEX B</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COMPLEMENT INHIBITOR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jc w:val="right"/>
        <w:rPr>
          <w:rFonts w:ascii="Times New Roman;Times;serif" w:hAnsi="Times New Roman;Times;serif"/>
          <w:b/>
          <w:sz w:val="20"/>
        </w:rPr>
      </w:pPr>
      <w:bookmarkStart w:id="42" w:name="ex_340700.htm"/>
      <w:bookmarkStart w:id="43" w:name="ksex_340700"/>
      <w:bookmarkEnd w:id="42"/>
      <w:bookmarkEnd w:id="43"/>
      <w:r>
        <w:rPr>
          <w:rFonts w:ascii="Times New Roman;Times;serif" w:hAnsi="Times New Roman;Times;serif"/>
          <w:b/>
          <w:sz w:val="20"/>
        </w:rPr>
        <w:t>Exhibit 10.102</w:t>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information has been omitted from this exhibit in places marked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because it is both not material and would likely cause competitive harm to the registrant if publicly disclosed.</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In addition, certain personally identifiable information contained in this document, marked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has been omitted from this exhibit pursuant to Item 601(a)(6) under Regulation 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2021 Purchase and Sale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By and Between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BioCryst Pharmaceuticals,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center"/>
        <w:rPr>
          <w:rFonts w:ascii="Times New Roman" w:hAnsi="Times New Roman"/>
          <w:smallCaps/>
          <w:sz w:val="20"/>
        </w:rPr>
      </w:pPr>
      <w:r>
        <w:rPr>
          <w:rFonts w:ascii="Times New Roman" w:hAnsi="Times New Roman"/>
          <w:smallCaps/>
          <w:sz w:val="20"/>
        </w:rPr>
        <w:t>RPI 2019 Intermediate Finance Trust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Dated as of November 19,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24" w:type="dxa"/>
        <w:jc w:val="left"/>
        <w:tblInd w:w="0" w:type="dxa"/>
        <w:tblCellMar>
          <w:top w:w="0" w:type="dxa"/>
          <w:left w:w="0" w:type="dxa"/>
          <w:bottom w:w="0" w:type="dxa"/>
          <w:right w:w="0" w:type="dxa"/>
        </w:tblCellMar>
      </w:tblPr>
      <w:tblGrid>
        <w:gridCol w:w="1245"/>
        <w:gridCol w:w="7369"/>
        <w:gridCol w:w="410"/>
      </w:tblGrid>
      <w:tr>
        <w:trPr/>
        <w:tc>
          <w:tcPr>
            <w:tcW w:w="1245" w:type="dxa"/>
            <w:tcBorders/>
            <w:shd w:fill="auto" w:val="clear"/>
            <w:vAlign w:val="center"/>
          </w:tcPr>
          <w:p>
            <w:pPr>
              <w:pStyle w:val="TableContents"/>
              <w:spacing w:before="0" w:after="283"/>
              <w:rPr/>
            </w:pPr>
            <w:r>
              <w:rPr/>
              <w:t> </w:t>
            </w:r>
          </w:p>
        </w:tc>
        <w:tc>
          <w:tcPr>
            <w:tcW w:w="7369"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1 DEFINITIONS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Definitions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Certain Interpretations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2 PURCHASE, SALE AND ASSIGNMENT OF THE  2021 REVENUE PARTICIPATION RIGHT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2.1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Purchase, Sale and Assignment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2.2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Purchase Price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2.3</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Assumed Obligations, Etc.</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3 CLOSING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3.1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Closing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3.2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Payment of Purchase Price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3.3</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Bill of Sale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4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4.1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Seller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4.2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Buyer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4.3</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Implied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5 CONDITIONS TO CLOSING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5.1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Conditions to the Buyer</w:t>
            </w:r>
            <w:r>
              <w:rPr>
                <w:rFonts w:ascii="Times New Roman" w:hAnsi="Times New Roman"/>
                <w:caps w:val="false"/>
                <w:smallCaps w:val="false"/>
                <w:sz w:val="20"/>
              </w:rPr>
              <w:t>’</w:t>
            </w:r>
            <w:r>
              <w:rPr>
                <w:rFonts w:ascii="Times New Roman" w:hAnsi="Times New Roman"/>
                <w:caps w:val="false"/>
                <w:smallCaps w:val="false"/>
                <w:sz w:val="20"/>
                <w:u w:val="single"/>
              </w:rPr>
              <w:t>s Obligations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5.2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Conditions to the Seller</w:t>
            </w:r>
            <w:r>
              <w:rPr>
                <w:rFonts w:ascii="Times New Roman" w:hAnsi="Times New Roman"/>
                <w:caps w:val="false"/>
                <w:smallCaps w:val="false"/>
                <w:sz w:val="20"/>
              </w:rPr>
              <w:t>’</w:t>
            </w:r>
            <w:r>
              <w:rPr>
                <w:rFonts w:ascii="Times New Roman" w:hAnsi="Times New Roman"/>
                <w:caps w:val="false"/>
                <w:smallCaps w:val="false"/>
                <w:sz w:val="20"/>
                <w:u w:val="single"/>
              </w:rPr>
              <w:t>s Obligations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6 COVENANTS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Reporting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Royalty Payments; Revenue Participation and Royalty Payment Details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6.3</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Disclosures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6.4</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Inspections and Audits of the Seller</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6.5</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Intellectual Property Matters.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6.6</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In-Licenses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6.7</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Out-Licenses and Permitted Sales.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6.8</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Restricted Indebtedness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6.9</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Diligence.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6.10</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Efforts to Consummate Transactions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Further Assurances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Impairment of Revenue Participation Right or Back-Up Security Interest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6.13</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Certain Tax Matters.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7 INDEMNIFICATION</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General Indemnity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Notice of Claims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7.3</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Limitations on Liability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7.4</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Exclusive Remedy; No Duplication of Recovery under 2020 Agreement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7.5</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Tax Treatment of Indemnification Payments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8 CONFIDENTIALITY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8.1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Confidentiality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8.2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Authorized Disclosure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861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9 TERMINATION; SURVIVAL; SURVIVAL OF 2020 AGREEMENT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9.1</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Mutual Termination</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9.2</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Automatic Termination</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12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9.3</w:t>
            </w:r>
          </w:p>
        </w:tc>
        <w:tc>
          <w:tcPr>
            <w:tcW w:w="7369"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Survival</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bl>
    <w:p>
      <w:pPr>
        <w:pStyle w:val="TextBody"/>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6285" w:type="dxa"/>
        <w:jc w:val="left"/>
        <w:tblInd w:w="0" w:type="dxa"/>
        <w:tblCellMar>
          <w:top w:w="0" w:type="dxa"/>
          <w:left w:w="0" w:type="dxa"/>
          <w:bottom w:w="0" w:type="dxa"/>
          <w:right w:w="0" w:type="dxa"/>
        </w:tblCellMar>
      </w:tblPr>
      <w:tblGrid>
        <w:gridCol w:w="1145"/>
        <w:gridCol w:w="4910"/>
        <w:gridCol w:w="230"/>
      </w:tblGrid>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9.4</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Survival of 2020 Agreement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w:t>
            </w:r>
          </w:p>
        </w:tc>
      </w:tr>
      <w:tr>
        <w:trPr/>
        <w:tc>
          <w:tcPr>
            <w:tcW w:w="6055"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10 MISCELLANEOUS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Headings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10.2</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Notices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10.3</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Expenses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53</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10.4</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Assignment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53</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10.5</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Amendment and Waiver.</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10.6</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Entire Agreement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10.7</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Third Party Beneficiaries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10.8</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Governing Law</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10.9</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Jurisdiction; Venue.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55</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10.10</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Severability</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10.11</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Specific Performance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10.12</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Counterparts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10.13</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Relationship of the Parties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10.14</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Intercreditor Agreement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10.15</w:t>
            </w:r>
          </w:p>
        </w:tc>
        <w:tc>
          <w:tcPr>
            <w:tcW w:w="491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Trustee Capacity of Wilmington Trust, National Association</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57</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(ii)</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795" w:type="dxa"/>
        <w:jc w:val="left"/>
        <w:tblInd w:w="0" w:type="dxa"/>
        <w:tblCellMar>
          <w:top w:w="0" w:type="dxa"/>
          <w:left w:w="0" w:type="dxa"/>
          <w:bottom w:w="0" w:type="dxa"/>
          <w:right w:w="0" w:type="dxa"/>
        </w:tblCellMar>
      </w:tblPr>
      <w:tblGrid>
        <w:gridCol w:w="920"/>
        <w:gridCol w:w="3875"/>
      </w:tblGrid>
      <w:tr>
        <w:trPr/>
        <w:tc>
          <w:tcPr>
            <w:tcW w:w="4795" w:type="dxa"/>
            <w:gridSpan w:val="2"/>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Index of Exhibits, Schedules and Annexes</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A:</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BCX9930</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B: </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Complement Inhibitor</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C: </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Amended and Restated Intercreditor Agreement</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D: </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Purchase Agreement</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E:</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Bill of Sale</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F:</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Form of Seller Opinion</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G:</w:t>
            </w:r>
          </w:p>
        </w:tc>
        <w:tc>
          <w:tcPr>
            <w:tcW w:w="38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Combined Royalty and Revenue Sharing Rates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(iii)</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2021 PURCHASE AND SALE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This 2021 PURCHASE AND SALE AGREEMENT, dated as of November 19, 2021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and entered into by and between RPI 2019 Intermediate Finance Trust, a Delaware statutory trust (the “</w:t>
      </w:r>
      <w:r>
        <w:rPr>
          <w:rFonts w:ascii="Times New Roman" w:hAnsi="Times New Roman"/>
          <w:caps w:val="false"/>
          <w:smallCaps w:val="false"/>
          <w:sz w:val="20"/>
          <w:u w:val="single"/>
        </w:rPr>
        <w:t>Buyer</w:t>
      </w:r>
      <w:r>
        <w:rPr>
          <w:rFonts w:ascii="Times New Roman" w:hAnsi="Times New Roman"/>
          <w:caps w:val="false"/>
          <w:smallCaps w:val="false"/>
          <w:sz w:val="20"/>
        </w:rPr>
        <w:t>”), and BioCryst Pharmaceuticals, Inc., a Delaware corporation (the “</w:t>
      </w:r>
      <w:r>
        <w:rPr>
          <w:rFonts w:ascii="Times New Roman" w:hAnsi="Times New Roman"/>
          <w:caps w:val="false"/>
          <w:smallCaps w:val="false"/>
          <w:sz w:val="20"/>
          <w:u w:val="single"/>
        </w:rPr>
        <w:t>Seller</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W I T N E S S E T H</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the Seller is in the business of, among other things, developing and commercializing the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the Buyer and the Seller previously entered into that certain Purchase and Sale Agreement, dated December 7, 2020 (the “</w:t>
      </w:r>
      <w:r>
        <w:rPr>
          <w:rFonts w:ascii="Times New Roman" w:hAnsi="Times New Roman"/>
          <w:caps w:val="false"/>
          <w:smallCaps w:val="false"/>
          <w:sz w:val="20"/>
          <w:u w:val="single"/>
        </w:rPr>
        <w:t>2020 Agreement</w:t>
      </w:r>
      <w:r>
        <w:rPr>
          <w:rFonts w:ascii="Times New Roman" w:hAnsi="Times New Roman"/>
          <w:caps w:val="false"/>
          <w:smallCaps w:val="false"/>
          <w:sz w:val="20"/>
        </w:rPr>
        <w:t>”) pursuant to which the Buyer purchased the 2020 Revenue Participation Right from the Seller as further set forth in the 2020 Agreement (the “</w:t>
      </w:r>
      <w:r>
        <w:rPr>
          <w:rFonts w:ascii="Times New Roman" w:hAnsi="Times New Roman"/>
          <w:caps w:val="false"/>
          <w:smallCaps w:val="false"/>
          <w:sz w:val="20"/>
          <w:u w:val="single"/>
        </w:rPr>
        <w:t>2020 Transaction</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the Seller desires additional funding to, among other things, develop and commercialize the Products and the Buyer desires, on the terms and conditions set forth herein, to provide the Seller with such additional funding;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the Buyer desires to purchase the 2021 Revenue Participation Right from the Seller in exchange for payment of the Purchase Price, and the Seller desires to sell the 2021 Revenue Participation Right to the Buyer in exchange for the Buyer’s payment of the Purchase Price, in each case on the terms and conditions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NOW THEREFORE, in consideration of the representations, warranties, covenants and agreements set forth herein and for good and valuable consideration, the receipt and adequacy of which are hereby acknowledged, the Seller and the Buyer hereby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DEFINITIONS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Definitions</w:t>
      </w:r>
      <w:r>
        <w:rPr>
          <w:rFonts w:ascii="Times New Roman" w:hAnsi="Times New Roman"/>
          <w:caps w:val="false"/>
          <w:smallCaps w:val="false"/>
          <w:sz w:val="20"/>
        </w:rPr>
        <w:t>. The following terms, as used herein, shall have the following meanings: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Agreement</w:t>
      </w:r>
      <w:r>
        <w:rPr>
          <w:rFonts w:ascii="Times New Roman" w:hAnsi="Times New Roman"/>
          <w:caps w:val="false"/>
          <w:smallCaps w:val="false"/>
          <w:sz w:val="20"/>
        </w:rPr>
        <w:t>” is as defined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BCX9930 Royalty Payments</w:t>
      </w:r>
      <w:r>
        <w:rPr>
          <w:rFonts w:ascii="Times New Roman" w:hAnsi="Times New Roman"/>
          <w:caps w:val="false"/>
          <w:smallCaps w:val="false"/>
          <w:sz w:val="20"/>
        </w:rPr>
        <w:t>” means, for each calendar quarter, an amount payable to the Buyer equal to (i) the amount of worldwide aggregate BCX9930 Net Sales (other than Product Partnering Revenue attributable to BCX9930) during such calendar quarter, multiplied by one percent (1%), plus (ii) the amount of Product Partnering Revenue attributable to BCX9930 during such calendar quarter, multiplied by one percent (1%).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Closing Date</w:t>
      </w:r>
      <w:r>
        <w:rPr>
          <w:rFonts w:ascii="Times New Roman" w:hAnsi="Times New Roman"/>
          <w:caps w:val="false"/>
          <w:smallCaps w:val="false"/>
          <w:sz w:val="20"/>
        </w:rPr>
        <w:t>” means December 7, 2020, the date of closing of the 2020 Transaction under the 2020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Orladeyo Direct Sales Royalty Rate</w:t>
      </w:r>
      <w:r>
        <w:rPr>
          <w:rFonts w:ascii="Times New Roman" w:hAnsi="Times New Roman"/>
          <w:caps w:val="false"/>
          <w:smallCaps w:val="false"/>
          <w:sz w:val="20"/>
        </w:rPr>
        <w:t>” means the percentage based on the applicable level of Orladeyo Direct Sales in a calendar year as set forth in the chart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6975"/>
        <w:gridCol w:w="3230"/>
      </w:tblGrid>
      <w:tr>
        <w:trPr/>
        <w:tc>
          <w:tcPr>
            <w:tcW w:w="6975"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Tiers based on Annual Orladeyo Direct Sales</w:t>
            </w:r>
          </w:p>
        </w:tc>
        <w:tc>
          <w:tcPr>
            <w:tcW w:w="3230"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2020 Orladeyo Direct Sales Royalty Rate</w:t>
            </w:r>
          </w:p>
        </w:tc>
      </w:tr>
      <w:tr>
        <w:trPr/>
        <w:tc>
          <w:tcPr>
            <w:tcW w:w="697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Annual Orladeyo Direct Sales of up to $350,000,000</w:t>
            </w:r>
          </w:p>
        </w:tc>
        <w:tc>
          <w:tcPr>
            <w:tcW w:w="323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8.75%</w:t>
            </w:r>
          </w:p>
        </w:tc>
      </w:tr>
      <w:tr>
        <w:trPr/>
        <w:tc>
          <w:tcPr>
            <w:tcW w:w="697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Annual Orladeyo Direct Sales exceeding $350,000,000 and less than or equal to $550,000,000</w:t>
            </w:r>
          </w:p>
        </w:tc>
        <w:tc>
          <w:tcPr>
            <w:tcW w:w="323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2.75%</w:t>
            </w:r>
          </w:p>
        </w:tc>
      </w:tr>
      <w:tr>
        <w:trPr/>
        <w:tc>
          <w:tcPr>
            <w:tcW w:w="697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Annual Orladeyo Direct Sales in excess of $550,000,000</w:t>
            </w:r>
          </w:p>
        </w:tc>
        <w:tc>
          <w:tcPr>
            <w:tcW w:w="323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Orladeyo Indirect Revenue Sharing Rate</w:t>
      </w:r>
      <w:r>
        <w:rPr>
          <w:rFonts w:ascii="Times New Roman" w:hAnsi="Times New Roman"/>
          <w:caps w:val="false"/>
          <w:smallCaps w:val="false"/>
          <w:sz w:val="20"/>
        </w:rPr>
        <w:t>” means the percentage based on the applicable level of Orladeyo Indirect Revenue in a calendar year as set forth in the chart below:</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5723"/>
        <w:gridCol w:w="1566"/>
        <w:gridCol w:w="2916"/>
      </w:tblGrid>
      <w:tr>
        <w:trPr/>
        <w:tc>
          <w:tcPr>
            <w:tcW w:w="5723"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Applicable Orladeyo Indirect Revenue</w:t>
            </w:r>
          </w:p>
        </w:tc>
        <w:tc>
          <w:tcPr>
            <w:tcW w:w="1566"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2020 Orladeyo Indirect Revenue Sharing Rate</w:t>
            </w:r>
          </w:p>
        </w:tc>
        <w:tc>
          <w:tcPr>
            <w:tcW w:w="2916"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Orladeyo Indirect Revenue Threshold</w:t>
            </w:r>
          </w:p>
        </w:tc>
      </w:tr>
      <w:tr>
        <w:trPr/>
        <w:tc>
          <w:tcPr>
            <w:tcW w:w="572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Orladeyo Indirect Revenue that does not constitute (a) Orladeyo Indirect Royalties or (b) a milestone payment attributable to a threshold of commercial sales achieved or similar sales-based measurement (such Orladeyo Indirect Revenue set forth in this Row A, the “</w:t>
            </w:r>
            <w:r>
              <w:rPr>
                <w:rFonts w:ascii="Times New Roman;Times;serif" w:hAnsi="Times New Roman;Times;serif"/>
                <w:caps w:val="false"/>
                <w:smallCaps w:val="false"/>
                <w:sz w:val="20"/>
                <w:u w:val="single"/>
              </w:rPr>
              <w:t>Orladeyo Flat Rate Indirect Revenue</w:t>
            </w:r>
            <w:r>
              <w:rPr>
                <w:rFonts w:ascii="Times New Roman;Times;serif" w:hAnsi="Times New Roman;Times;serif"/>
                <w:caps w:val="false"/>
                <w:smallCaps w:val="false"/>
                <w:sz w:val="20"/>
              </w:rPr>
              <w:t>”)</w:t>
            </w:r>
          </w:p>
        </w:tc>
        <w:tc>
          <w:tcPr>
            <w:tcW w:w="1566"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2916"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w:t>
            </w:r>
          </w:p>
        </w:tc>
      </w:tr>
      <w:tr>
        <w:trPr/>
        <w:tc>
          <w:tcPr>
            <w:tcW w:w="572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All Orladeyo Indirect Revenue including (without duplication) Orladeyo Indirect Royalties but excluding Orladeyo Flat Rate Indirect Revenue</w:t>
            </w:r>
          </w:p>
        </w:tc>
        <w:tc>
          <w:tcPr>
            <w:tcW w:w="1566"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2916"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Orladeyo Indirect Sales up to $150,000,000 in such calendar year</w:t>
            </w:r>
          </w:p>
        </w:tc>
      </w:tr>
      <w:tr>
        <w:trPr/>
        <w:tc>
          <w:tcPr>
            <w:tcW w:w="572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All Orladeyo Indirect Revenue including (without duplication) Orladeyo Indirect Royalties but excluding Orladeyo Flat Rate Indirect Revenue</w:t>
            </w:r>
          </w:p>
        </w:tc>
        <w:tc>
          <w:tcPr>
            <w:tcW w:w="1566"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2916"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Orladeyo Indirect Sales exceeding $150,000,000 and less than or equal to $230,000,000 in such calendar year</w:t>
            </w:r>
          </w:p>
        </w:tc>
      </w:tr>
      <w:tr>
        <w:trPr/>
        <w:tc>
          <w:tcPr>
            <w:tcW w:w="572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 All Orladeyo Indirect Revenue including (without duplication) Orladeyo Indirect Royalties but excluding Orladeyo Flat Rate Indirect Revenue</w:t>
            </w:r>
          </w:p>
        </w:tc>
        <w:tc>
          <w:tcPr>
            <w:tcW w:w="1566"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2916"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Orladeyo Indirect Sales exceeding $230,000,000 in such calendar year</w:t>
            </w:r>
          </w:p>
        </w:tc>
      </w:tr>
    </w:tbl>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Orladeyo Royalty Payments</w:t>
      </w:r>
      <w:r>
        <w:rPr>
          <w:rFonts w:ascii="Times New Roman" w:hAnsi="Times New Roman"/>
          <w:caps w:val="false"/>
          <w:smallCaps w:val="false"/>
          <w:sz w:val="20"/>
        </w:rPr>
        <w:t>” means, for each calendar quarter, an amount payable to the Buyer equal to (i) the amount of all aggregate Orladeyo Direct Sales during such calendar quarter multiplied by the 2020 Orladeyo Direct Sales Royalty Rate, plus (ii) the amount of all Orladeyo Indirect Revenue during such calendar quarter multiplied by the applicable 2020 Orladeyo Indirect Revenue Sharing Rate, plus (iii) the amount of all Product Partnering Revenue attributable to Orladeyo during such calendar quarter multiplied by 8.75%.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Revenue Participation Right</w:t>
      </w:r>
      <w:r>
        <w:rPr>
          <w:rFonts w:ascii="Times New Roman" w:hAnsi="Times New Roman"/>
          <w:caps w:val="false"/>
          <w:smallCaps w:val="false"/>
          <w:sz w:val="20"/>
        </w:rPr>
        <w:t>” means the right to receive the 2020 Royalty Payments, as modified by the Additional Components.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Royalty Payments</w:t>
      </w:r>
      <w:r>
        <w:rPr>
          <w:rFonts w:ascii="Times New Roman" w:hAnsi="Times New Roman"/>
          <w:caps w:val="false"/>
          <w:smallCaps w:val="false"/>
          <w:sz w:val="20"/>
        </w:rPr>
        <w:t>” means the 2020 Orladeyo Royalty Payments and the 2020 BCX9930 Royalty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Transaction</w:t>
      </w:r>
      <w:r>
        <w:rPr>
          <w:rFonts w:ascii="Times New Roman" w:hAnsi="Times New Roman"/>
          <w:caps w:val="false"/>
          <w:smallCaps w:val="false"/>
          <w:sz w:val="20"/>
        </w:rPr>
        <w:t>” is defined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Combined BCX9930 and Complement Inhibitor Product Partnering Revenue Sharing Rate</w:t>
      </w:r>
      <w:r>
        <w:rPr>
          <w:rFonts w:ascii="Times New Roman" w:hAnsi="Times New Roman"/>
          <w:caps w:val="false"/>
          <w:smallCaps w:val="false"/>
          <w:sz w:val="20"/>
        </w:rPr>
        <w:t>” means the percentage based on the applicable level of Product Partnering Revenue in a calendar year attributable to BCX9930 and Complement Inhibitor as set forth in the chart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5962"/>
        <w:gridCol w:w="4243"/>
      </w:tblGrid>
      <w:tr>
        <w:trPr/>
        <w:tc>
          <w:tcPr>
            <w:tcW w:w="5962"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Tiers based on Product Partnering Revenue attributable to BCX9930 and Complement Inhibitor</w:t>
            </w:r>
          </w:p>
        </w:tc>
        <w:tc>
          <w:tcPr>
            <w:tcW w:w="4243"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 Combined BCX9930 and Complement Inhibitor Product Partnering Revenue Sharing Rate</w:t>
            </w:r>
          </w:p>
        </w:tc>
      </w:tr>
      <w:tr>
        <w:trPr/>
        <w:tc>
          <w:tcPr>
            <w:tcW w:w="5962"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Annual Product Partnering Revenue attributable to BCX9930 and Complement Inhibitor less than or equal to $1.5 billion</w:t>
            </w:r>
          </w:p>
        </w:tc>
        <w:tc>
          <w:tcPr>
            <w:tcW w:w="4243"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5962"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Annual Product Partnering Revenue attributable to BCX9930 and Complement Inhibitor exceeding $1.5 billion and less than or equal to $3 billion</w:t>
            </w:r>
          </w:p>
        </w:tc>
        <w:tc>
          <w:tcPr>
            <w:tcW w:w="4243"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5962"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Annual Product Partnering Revenue attributable to BCX9930 and Complement Inhibitor in excess of $3 billion</w:t>
            </w:r>
          </w:p>
        </w:tc>
        <w:tc>
          <w:tcPr>
            <w:tcW w:w="4243"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Combined BCX9930 and Complement Inhibitor Royalty Payments</w:t>
      </w:r>
      <w:r>
        <w:rPr>
          <w:rFonts w:ascii="Times New Roman" w:hAnsi="Times New Roman"/>
          <w:caps w:val="false"/>
          <w:smallCaps w:val="false"/>
          <w:sz w:val="20"/>
        </w:rPr>
        <w:t>” means for each calendar quarter from and after October 1, 2021, an amount payable to the Buyer equal to (i) the amount of all aggregate Combined BCX9930 and Complement Inhibitor Net Sales (other than Product Partnering Revenue attributable to BCX9930 or Complement Inhibitor) during such calendar quarter multiplied by the 2021 Combined BCX9930 and Complement Inhibitor Royalty Rate, plus (ii) the amount of all Product Partnering Revenue attributable to BCX9930 and Complement Inhibitor during such calendar quarter multiplied by the 2021 Combined BCX9930 and Complement Inhibitor Product Partnering Revenue Sharing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Combined BCX9930 and Complement Inhibitor Royalty Rate</w:t>
      </w:r>
      <w:r>
        <w:rPr>
          <w:rFonts w:ascii="Times New Roman" w:hAnsi="Times New Roman"/>
          <w:caps w:val="false"/>
          <w:smallCaps w:val="false"/>
          <w:sz w:val="20"/>
        </w:rPr>
        <w:t>” means the percentage based on the applicable level of Combined BCX9930 and Complement Inhibitor Net Sales in a calendar year as set forth in the chart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6403"/>
        <w:gridCol w:w="3802"/>
      </w:tblGrid>
      <w:tr>
        <w:trPr/>
        <w:tc>
          <w:tcPr>
            <w:tcW w:w="6403"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Tiers based on Combined BCX9930 and Complement Inhibitor Net Sales</w:t>
            </w:r>
          </w:p>
        </w:tc>
        <w:tc>
          <w:tcPr>
            <w:tcW w:w="3802"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 Combined BCX9930 and Complement Inhibitor Royalty Rate</w:t>
            </w:r>
          </w:p>
        </w:tc>
      </w:tr>
      <w:tr>
        <w:trPr/>
        <w:tc>
          <w:tcPr>
            <w:tcW w:w="640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Annual Combined BCX9930 and Complement Inhibitor Net Sales less than or equal to $1.5 billion</w:t>
            </w:r>
          </w:p>
        </w:tc>
        <w:tc>
          <w:tcPr>
            <w:tcW w:w="380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640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Annual Combined BCX9930 and Complement Inhibitor Net Sales exceeding $1.5 billion and less than or equal to $3 billion</w:t>
            </w:r>
          </w:p>
        </w:tc>
        <w:tc>
          <w:tcPr>
            <w:tcW w:w="380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640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Annual Combined BCX9930 and Complement Inhibitor Net Sales in excess of $3 billion</w:t>
            </w:r>
          </w:p>
        </w:tc>
        <w:tc>
          <w:tcPr>
            <w:tcW w:w="380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Orladeyo Direct Sales Royalty Rate</w:t>
      </w:r>
      <w:r>
        <w:rPr>
          <w:rFonts w:ascii="Times New Roman" w:hAnsi="Times New Roman"/>
          <w:caps w:val="false"/>
          <w:smallCaps w:val="false"/>
          <w:sz w:val="20"/>
        </w:rPr>
        <w:t>” means the percentage based on the applicable level of Orladeyo Direct Sales in a calendar year as set forth in the chart below, which percentage shall be in addition to, and not in lieu of, the 2020 Orladeyo Direct Sales Royalty Rate as further set forth above:</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6975"/>
        <w:gridCol w:w="3230"/>
      </w:tblGrid>
      <w:tr>
        <w:trPr/>
        <w:tc>
          <w:tcPr>
            <w:tcW w:w="6975"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Tiers based on Annual Orladeyo Direct Sales</w:t>
            </w:r>
          </w:p>
        </w:tc>
        <w:tc>
          <w:tcPr>
            <w:tcW w:w="3230"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 Orladeyo Direct Sales Royalty Rate</w:t>
            </w:r>
          </w:p>
        </w:tc>
      </w:tr>
      <w:tr>
        <w:trPr/>
        <w:tc>
          <w:tcPr>
            <w:tcW w:w="697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Annual Orladeyo Direct Sales of up to $350,000,000</w:t>
            </w:r>
          </w:p>
        </w:tc>
        <w:tc>
          <w:tcPr>
            <w:tcW w:w="323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0.75%</w:t>
            </w:r>
          </w:p>
        </w:tc>
      </w:tr>
      <w:tr>
        <w:trPr/>
        <w:tc>
          <w:tcPr>
            <w:tcW w:w="697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Annual Orladeyo Direct Sales exceeding $350,000,000 and less than or equal to $550,000,000</w:t>
            </w:r>
          </w:p>
        </w:tc>
        <w:tc>
          <w:tcPr>
            <w:tcW w:w="323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1.75%</w:t>
            </w:r>
          </w:p>
        </w:tc>
      </w:tr>
      <w:tr>
        <w:trPr/>
        <w:tc>
          <w:tcPr>
            <w:tcW w:w="697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Annual Orladeyo Direct Sales in excess of $550,000,000</w:t>
            </w:r>
          </w:p>
        </w:tc>
        <w:tc>
          <w:tcPr>
            <w:tcW w:w="3230"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Orladeyo Indirect Revenue Sharing Rate</w:t>
      </w:r>
      <w:r>
        <w:rPr>
          <w:rFonts w:ascii="Times New Roman" w:hAnsi="Times New Roman"/>
          <w:caps w:val="false"/>
          <w:smallCaps w:val="false"/>
          <w:sz w:val="20"/>
        </w:rPr>
        <w:t>” means the percentage based on the applicable level of Orladeyo Indirect Revenue in a calendar year as set forth in the chart below, which percentage shall be in addition to, and not in lieu of, the 2020 Orladeyo Indirect Revenue Sharing Rate as further set forth above:</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4441"/>
        <w:gridCol w:w="1912"/>
        <w:gridCol w:w="3852"/>
      </w:tblGrid>
      <w:tr>
        <w:trPr/>
        <w:tc>
          <w:tcPr>
            <w:tcW w:w="4441"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Applicable Orladeyo Indirect Revenue</w:t>
            </w:r>
          </w:p>
        </w:tc>
        <w:tc>
          <w:tcPr>
            <w:tcW w:w="1912"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 Orladeyo Indirect Revenue Sharing Rate</w:t>
            </w:r>
          </w:p>
        </w:tc>
        <w:tc>
          <w:tcPr>
            <w:tcW w:w="3852"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Orladeyo Indirect Revenue Threshold</w:t>
            </w:r>
          </w:p>
        </w:tc>
      </w:tr>
      <w:tr>
        <w:trPr/>
        <w:tc>
          <w:tcPr>
            <w:tcW w:w="4441"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Orladeyo Flat Rate Indirect Revenue</w:t>
            </w:r>
          </w:p>
        </w:tc>
        <w:tc>
          <w:tcPr>
            <w:tcW w:w="1912"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c>
          <w:tcPr>
            <w:tcW w:w="385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w:t>
            </w:r>
          </w:p>
        </w:tc>
      </w:tr>
      <w:tr>
        <w:trPr/>
        <w:tc>
          <w:tcPr>
            <w:tcW w:w="4441"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All Orladeyo Indirect Revenue including (without duplication) Orladeyo Indirect Royalties but excluding Orladeyo Flat Rate Indirect Revenue</w:t>
            </w:r>
          </w:p>
        </w:tc>
        <w:tc>
          <w:tcPr>
            <w:tcW w:w="1912"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c>
          <w:tcPr>
            <w:tcW w:w="385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Orladeyo Indirect Sales up to $150,000,000 in such calendar year</w:t>
            </w:r>
          </w:p>
        </w:tc>
      </w:tr>
      <w:tr>
        <w:trPr/>
        <w:tc>
          <w:tcPr>
            <w:tcW w:w="4441"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All Orladeyo Indirect Revenue including (without duplication) Orladeyo Indirect Royalties but excluding Orladeyo Flat Rate Indirect Revenue</w:t>
            </w:r>
          </w:p>
        </w:tc>
        <w:tc>
          <w:tcPr>
            <w:tcW w:w="1912"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385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Orladeyo Indirect Sales exceeding $150,000,000 and less than or equal to $230,000,000 in such calendar year</w:t>
            </w:r>
          </w:p>
        </w:tc>
      </w:tr>
      <w:tr>
        <w:trPr/>
        <w:tc>
          <w:tcPr>
            <w:tcW w:w="4441"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 All Orladeyo Indirect Revenue including (without duplication) Orladeyo Indirect Royalties but excluding Orladeyo Flat Rate Indirect Revenue</w:t>
            </w:r>
          </w:p>
        </w:tc>
        <w:tc>
          <w:tcPr>
            <w:tcW w:w="1912"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385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Orladeyo Indirect Sales exceeding $230,000,000 in such calendar year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Orladeyo Royalty Payments</w:t>
      </w:r>
      <w:r>
        <w:rPr>
          <w:rFonts w:ascii="Times New Roman" w:hAnsi="Times New Roman"/>
          <w:caps w:val="false"/>
          <w:smallCaps w:val="false"/>
          <w:sz w:val="20"/>
        </w:rPr>
        <w:t>” means, for each calendar quarter from and after October 1, 2021, an amount payable to the Buyer equal to (i) the amount of all aggregate Orladeyo Direct Sales during such calendar quarter multiplied by the 2021 Orladeyo Direct Sales Royalty Rate, plus (ii) the amount of all Orladeyo Indirect Revenue during such calendar quarter multiplied by the applicable 2021 Orladeyo Indirect Revenue Sharing Rate, plus (iii) the amount of all Product Partnering Revenue attributable to Orladeyo during such calendar quarter multiplied by 0.75%.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Revenue Participation Right</w:t>
      </w:r>
      <w:r>
        <w:rPr>
          <w:rFonts w:ascii="Times New Roman" w:hAnsi="Times New Roman"/>
          <w:caps w:val="false"/>
          <w:smallCaps w:val="false"/>
          <w:sz w:val="20"/>
        </w:rPr>
        <w:t>” means the right to receive the 2021 Royalty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Royalty Payments</w:t>
      </w:r>
      <w:r>
        <w:rPr>
          <w:rFonts w:ascii="Times New Roman" w:hAnsi="Times New Roman"/>
          <w:caps w:val="false"/>
          <w:smallCaps w:val="false"/>
          <w:sz w:val="20"/>
        </w:rPr>
        <w:t>” means the 2021 Orladeyo Royalty Payments and the 2021 Combined BCX9930 and Complement Inhibitor Royalty Payments, which are in addition to, and not in lieu of, the 2020 Royalty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Additional Components</w:t>
      </w:r>
      <w:r>
        <w:rPr>
          <w:rFonts w:ascii="Times New Roman" w:hAnsi="Times New Roman"/>
          <w:caps w:val="false"/>
          <w:smallCaps w:val="false"/>
          <w:sz w:val="20"/>
        </w:rPr>
        <w:t>” means (a) the components included in the definitions of “BCX9930”, “Orladeyo”, “Orladeyo Direct Sales”, “Orladeyo Indirect Revenue” and “Product Partnering Revenue” provided for herein (except, with respect to Product Partnering Revenue, for references to Complement Inhibitor which shall not be deemed an Additional Component), which were not described in the definitions of “BCX9930”, “Orladeyo”, “Orladeyo Direct Sales”, “Orladeyo Indirect Revenue” and “Product Partnering Revenue” as defined in the 2020 Agreement and (b) new defined term “BCX9930 Net Sales” set forth herein, which was not a defined term in the 2020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with respect to any particular Person, any other Person directly or indirectly controlling, controlled by or under common control with such particular Person. For purposes of the foregoing sentence, the term “control” means direct or indirect ownership of (x) fifty percent (50%) or more, including ownership by trusts with substantially the same beneficial interests, of the voting and equity rights of such Person, firm, trust, corporation, partnership or other entity or combination thereof, or (y) the power to direct the management of such person, firm, trust, corporation, partnership or other entity or combination thereof, by contract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Agreement</w:t>
      </w:r>
      <w:r>
        <w:rPr>
          <w:rFonts w:ascii="Times New Roman" w:hAnsi="Times New Roman"/>
          <w:caps w:val="false"/>
          <w:smallCaps w:val="false"/>
          <w:sz w:val="20"/>
        </w:rPr>
        <w:t>” is defined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Athyrium</w:t>
      </w:r>
      <w:r>
        <w:rPr>
          <w:rFonts w:ascii="Times New Roman" w:hAnsi="Times New Roman"/>
          <w:caps w:val="false"/>
          <w:smallCaps w:val="false"/>
          <w:sz w:val="20"/>
        </w:rPr>
        <w:t>” means Athyrium Opportunities III Co-Invest 1 LP, together with its successors in such capacity.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Athyrium Credit Agreement</w:t>
      </w:r>
      <w:r>
        <w:rPr>
          <w:rFonts w:ascii="Times New Roman" w:hAnsi="Times New Roman"/>
          <w:caps w:val="false"/>
          <w:smallCaps w:val="false"/>
          <w:sz w:val="20"/>
        </w:rPr>
        <w:t>” means that certain Credit Agreement, dated December 7, 2020, among the Seller, each Person identified as a “Guarantor” on the signature pages thereto and each other Person that joins as a Guarantor (together with their successors and permitted assigns) (each, a “</w:t>
      </w:r>
      <w:r>
        <w:rPr>
          <w:rFonts w:ascii="Times New Roman" w:hAnsi="Times New Roman"/>
          <w:caps w:val="false"/>
          <w:smallCaps w:val="false"/>
          <w:sz w:val="20"/>
          <w:u w:val="single"/>
        </w:rPr>
        <w:t>Guarantor</w:t>
      </w:r>
      <w:r>
        <w:rPr>
          <w:rFonts w:ascii="Times New Roman" w:hAnsi="Times New Roman"/>
          <w:caps w:val="false"/>
          <w:smallCaps w:val="false"/>
          <w:sz w:val="20"/>
        </w:rPr>
        <w:t>”), each of the Persons identified as a “Lender” on the signature pages thereto and their successors and assigns, and Athyrium, as administrative agent, and its successors and assigns, as amended by that certain Amendment No. 1 to Credit Agreement dated as of the date hereof and as further amended, restated, amended and restated, supplemented, waived, replaced (whether or not upon termination, and whether with the original lenders or otherwise), increased, restructured, repaid, refunded, refinanced or otherwise modified from time to time, including any indentures, credit facilities, term loan facility or other agreement extending the maturity thereof, refinancing, replacing or otherwise restructuring all or a portion of the Indebtedness under such indentures, credit facilities, term loan facility or other agreement or any successor or replacement indentures, credit facilities, term loan facility or other agreement and whether with the original obligors, agent, lenders, institutional investors or otherwise, and whether provided under the original Athyrium Credit Agreement or one or more other credit or other agreements or indentures, and any agreement (and related document) governing Indebtedness incurred to refinance, in whole or in part, the borrowings, other extensions of credit and commitments then outstanding or permitted to be outstanding under such debt facilities or successor debt facilities, whether by the same or any other obligor, issuer, agent, lender or group of lenders (or institutional investors).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Athyrium Indebtedness</w:t>
      </w:r>
      <w:r>
        <w:rPr>
          <w:rFonts w:ascii="Times New Roman" w:hAnsi="Times New Roman"/>
          <w:caps w:val="false"/>
          <w:smallCaps w:val="false"/>
          <w:sz w:val="20"/>
        </w:rPr>
        <w:t>” means all of the Seller’s and its Subsidiaries’ Indebtedness and other Obligations and commitments to provide credit extensions to the Seller or any of its Subsidiaries, in each case, under the Athyrium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Athyrium Loan Documents</w:t>
      </w:r>
      <w:r>
        <w:rPr>
          <w:rFonts w:ascii="Times New Roman" w:hAnsi="Times New Roman"/>
          <w:caps w:val="false"/>
          <w:smallCaps w:val="false"/>
          <w:sz w:val="20"/>
        </w:rPr>
        <w:t>” means (a) the Athyrium Credit Agreement, and (b) each other “Loan Document” or such similar term as defined in the Athyrium Credit Agreement, in each case as amended, restated, amended and restated, modified or otherwise supplemented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Attributable Indebtedness</w:t>
      </w:r>
      <w:r>
        <w:rPr>
          <w:rFonts w:ascii="Times New Roman" w:hAnsi="Times New Roman"/>
          <w:caps w:val="false"/>
          <w:smallCaps w:val="false"/>
          <w:sz w:val="20"/>
        </w:rPr>
        <w:t>” means “Attributable Indebtedness” or such similar term as defined in the Athyrium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Back-Up Security Interest</w:t>
      </w:r>
      <w:r>
        <w:rPr>
          <w:rFonts w:ascii="Times New Roman" w:hAnsi="Times New Roman"/>
          <w:caps w:val="false"/>
          <w:smallCaps w:val="false"/>
          <w:sz w:val="20"/>
        </w:rPr>
        <w:t>” is defined in Section 2.1(c).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Bankruptcy Laws</w:t>
      </w:r>
      <w:r>
        <w:rPr>
          <w:rFonts w:ascii="Times New Roman" w:hAnsi="Times New Roman"/>
          <w:caps w:val="false"/>
          <w:smallCaps w:val="false"/>
          <w:sz w:val="20"/>
        </w:rPr>
        <w:t>” means, collectively, bankruptcy, insolvency, reorganization, moratorium, fraudulent conveyance, fraudulent transfer or other similar laws affecting the enforcement of creditors’ rights generally.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BCX9930</w:t>
      </w:r>
      <w:r>
        <w:rPr>
          <w:rFonts w:ascii="Times New Roman" w:hAnsi="Times New Roman"/>
          <w:caps w:val="false"/>
          <w:smallCaps w:val="false"/>
          <w:sz w:val="20"/>
        </w:rPr>
        <w:t>” means (a) the oral Factor D inhibitor known as BCX9930 described on Exhibit A hereto,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BCX9930 Net Sales</w:t>
      </w:r>
      <w:r>
        <w:rPr>
          <w:rFonts w:ascii="Times New Roman" w:hAnsi="Times New Roman"/>
          <w:caps w:val="false"/>
          <w:smallCaps w:val="false"/>
          <w:sz w:val="20"/>
        </w:rPr>
        <w:t>” means Net Sales of BCX9930, including recovery of monetary damages from a Third Party in an action brought for such Third Party’s infringement of any Patent Rights relating to BCX9930, where such damages, whether in the form of judgment or settlement, are awarded for such infringement of such Patent Rights but solely to the extent that such monetary damages are treated as BCX9930 Net Sales in accordance with Section 6.5(d) and after application of clauses (i) and (ii)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other than (a) a Saturday or Sunday or (b) a day on which banking institutions located in New York are permitted or required by applicable law or regulation to remain 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Buyer</w:t>
      </w:r>
      <w:r>
        <w:rPr>
          <w:rFonts w:ascii="Times New Roman" w:hAnsi="Times New Roman"/>
          <w:caps w:val="false"/>
          <w:smallCaps w:val="false"/>
          <w:sz w:val="20"/>
        </w:rPr>
        <w:t>” is defined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Buyer Indemnified Parties</w:t>
      </w:r>
      <w:r>
        <w:rPr>
          <w:rFonts w:ascii="Times New Roman" w:hAnsi="Times New Roman"/>
          <w:caps w:val="false"/>
          <w:smallCaps w:val="false"/>
          <w:sz w:val="20"/>
        </w:rPr>
        <w:t>” is defined in ‎Section 7.1(a).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Capital Lease</w:t>
      </w:r>
      <w:r>
        <w:rPr>
          <w:rFonts w:ascii="Times New Roman" w:hAnsi="Times New Roman"/>
          <w:caps w:val="false"/>
          <w:smallCaps w:val="false"/>
          <w:sz w:val="20"/>
        </w:rPr>
        <w:t>” means, as applied to any Person, any lease of any property by that Person as lessee which, in accordance with GAAP, is required to be accounted for as a capital lease on the balance sheet of that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Clinical and Commercial Quarterly Report</w:t>
      </w:r>
      <w:r>
        <w:rPr>
          <w:rFonts w:ascii="Times New Roman" w:hAnsi="Times New Roman"/>
          <w:caps w:val="false"/>
          <w:smallCaps w:val="false"/>
          <w:sz w:val="20"/>
        </w:rPr>
        <w:t>” is defined in ‎Section 6.1(a).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Clinical and Commercial Semi-Annual Report</w:t>
      </w:r>
      <w:r>
        <w:rPr>
          <w:rFonts w:ascii="Times New Roman" w:hAnsi="Times New Roman"/>
          <w:caps w:val="false"/>
          <w:smallCaps w:val="false"/>
          <w:sz w:val="20"/>
        </w:rPr>
        <w:t>” is defined in ‎Section 6.1(a).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Clinical Trial</w:t>
      </w:r>
      <w:r>
        <w:rPr>
          <w:rFonts w:ascii="Times New Roman" w:hAnsi="Times New Roman"/>
          <w:caps w:val="false"/>
          <w:smallCaps w:val="false"/>
          <w:sz w:val="20"/>
        </w:rPr>
        <w:t>” means a clinical trial intended to support the Marketing Approval or Commercialization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Clinical Updates</w:t>
      </w:r>
      <w:r>
        <w:rPr>
          <w:rFonts w:ascii="Times New Roman" w:hAnsi="Times New Roman"/>
          <w:caps w:val="false"/>
          <w:smallCaps w:val="false"/>
          <w:sz w:val="20"/>
        </w:rPr>
        <w:t>” means (a) a summary of any material updates with respect to the Clinical Trials, including the number of patients currently enrolled in each such Clinical Trial, the number of sites conducting each such Clinical Trial, the material progress of each such Clinical Trial, any material modifications to each such Clinical Trial, any adverse events in the Clinical Trials, (b) written plans to start new Clinical Trials, and (c) investigator brochures for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Closing</w:t>
      </w:r>
      <w:r>
        <w:rPr>
          <w:rFonts w:ascii="Times New Roman" w:hAnsi="Times New Roman"/>
          <w:caps w:val="false"/>
          <w:smallCaps w:val="false"/>
          <w:sz w:val="20"/>
        </w:rPr>
        <w:t>” means the closing of the sale, transfer, assignment and conveyance of the 2021 Revenue Participation Right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Closing Date</w:t>
      </w:r>
      <w:r>
        <w:rPr>
          <w:rFonts w:ascii="Times New Roman" w:hAnsi="Times New Roman"/>
          <w:caps w:val="false"/>
          <w:smallCaps w:val="false"/>
          <w:sz w:val="20"/>
        </w:rPr>
        <w:t>” means the date on which the Closing occurs pursuant to ‎Section 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CMC</w:t>
      </w:r>
      <w:r>
        <w:rPr>
          <w:rFonts w:ascii="Times New Roman" w:hAnsi="Times New Roman"/>
          <w:caps w:val="false"/>
          <w:smallCaps w:val="false"/>
          <w:sz w:val="20"/>
        </w:rPr>
        <w:t>” means chemistry, manufacturing and controls with respect to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caps w:val="false"/>
          <w:smallCaps w:val="false"/>
        </w:rPr>
      </w:pPr>
      <w:r>
        <w:rPr>
          <w:caps w:val="false"/>
          <w:smallCaps w:val="false"/>
          <w:u w:val="single"/>
        </w:rPr>
        <w:t>“</w:t>
      </w:r>
      <w:r>
        <w:rPr>
          <w:rFonts w:ascii="Times New Roman" w:hAnsi="Times New Roman"/>
          <w:caps w:val="false"/>
          <w:smallCaps w:val="false"/>
          <w:sz w:val="20"/>
          <w:u w:val="single"/>
        </w:rPr>
        <w:t>Combination Product</w:t>
      </w:r>
      <w:r>
        <w:rPr>
          <w:rFonts w:ascii="Times New Roman" w:hAnsi="Times New Roman"/>
          <w:caps w:val="false"/>
          <w:smallCaps w:val="false"/>
          <w:sz w:val="20"/>
        </w:rPr>
        <w:t>” means: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(a)    a single pharmaceutical formulation (whether co-formulated or administered together via the same administration route) containing as its active ingredients both a Product and one or more other therapeutically or prophylactically active pharmaceutical or biologic ingredients (each an “</w:t>
      </w:r>
      <w:r>
        <w:rPr>
          <w:rFonts w:ascii="Times New Roman" w:hAnsi="Times New Roman"/>
          <w:caps w:val="false"/>
          <w:smallCaps w:val="false"/>
          <w:sz w:val="20"/>
          <w:u w:val="single"/>
        </w:rPr>
        <w:t>Other Component</w:t>
      </w:r>
      <w:r>
        <w:rPr>
          <w:rFonts w:ascii="Times New Roman" w:hAnsi="Times New Roman"/>
          <w:caps w:val="false"/>
          <w:smallCaps w:val="false"/>
          <w:sz w:val="20"/>
        </w:rPr>
        <w:t>”),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(b)    a combination therapy comprised of a Product and one or more Other Component(s), whether priced and sold in a single package containing such multiple products, packaged separately but sold together for a single price, or sold under separate price points but labeled for use together,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in this Agreement shall be deemed to include Combination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Combined BCX9930 and Complement Inhibitor Net Sales</w:t>
      </w:r>
      <w:r>
        <w:rPr>
          <w:rFonts w:ascii="Times New Roman" w:hAnsi="Times New Roman"/>
          <w:caps w:val="false"/>
          <w:smallCaps w:val="false"/>
          <w:sz w:val="20"/>
        </w:rPr>
        <w:t>” means the annual worldwide aggregate BCX9930 Net Sales and Complement Inhibitor Net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Commercial Updates</w:t>
      </w:r>
      <w:r>
        <w:rPr>
          <w:rFonts w:ascii="Times New Roman" w:hAnsi="Times New Roman"/>
          <w:caps w:val="false"/>
          <w:smallCaps w:val="false"/>
          <w:sz w:val="20"/>
        </w:rPr>
        <w:t>” means a summary of material updates with respect to the Seller’s and its Affiliates’ and any Licensee’s sales and marketing activities and, if material, commercial manufacturing matters with respect to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Commercialization</w:t>
      </w:r>
      <w:r>
        <w:rPr>
          <w:rFonts w:ascii="Times New Roman" w:hAnsi="Times New Roman"/>
          <w:caps w:val="false"/>
          <w:smallCaps w:val="false"/>
          <w:sz w:val="20"/>
        </w:rPr>
        <w:t>” means any and all activities directed to the distribution, marketing, detailing, promotion, selling and securing of reimbursement of a Product (including the using, importing, selling and offering for sale of such Product), and shall include post-Marketing Approval studies to the extent required by a Regulatory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Regulatory Authority, Commercialization shall not include any activities directed to the research or development (including pre-clinical and clinical development) or manufacture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Commercially Reasonable Efforts</w:t>
      </w:r>
      <w:r>
        <w:rPr>
          <w:rFonts w:ascii="Times New Roman" w:hAnsi="Times New Roman"/>
          <w:caps w:val="false"/>
          <w:smallCaps w:val="false"/>
          <w:sz w:val="20"/>
        </w:rPr>
        <w:t>” means the level of efforts and resources (measured as of the time that such efforts and resources are required to be used under this Agreement) that are commonly used by a commercial-stage public biotechnology company of similar size and resources to Seller (provided that such size and resources shall not decrease below the size and resources of the Seller as of the Closing Date), to develop, manufacture or commercialize, as the case may be, a comparable product for a comparable clinical indication (with respect to market size and commercial opportunity) at a similar stage in its development or product life and of a similar market and potential to the Product, taking into account all relevant factors, including without limitation, safety, efficacy, product labeling or anticipated labeling, pre-clinical and regulatory developments, past performance of such Product, pricing considerations, the profit and commercial potential of the Product, medical and clinical considerations, the extent of intellectual property and regulatory exclusivity relating to such Product, the present and future regulatory environment, the likelihood of regulatory approval, competitive market conditions, and other relevant factors, but without regard to the Seller’s financial obligations under this Agreement, in each case, measured by the facts and circumstances as of the time that such efforts and resources are required to be used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Complement Inhibitor</w:t>
      </w:r>
      <w:r>
        <w:rPr>
          <w:rFonts w:ascii="Times New Roman" w:hAnsi="Times New Roman"/>
          <w:caps w:val="false"/>
          <w:smallCaps w:val="false"/>
          <w:sz w:val="20"/>
        </w:rPr>
        <w:t>” means (a) the inhibitor described on Exhibit 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Complement Inhibitor Net Sales</w:t>
      </w:r>
      <w:r>
        <w:rPr>
          <w:rFonts w:ascii="Times New Roman" w:hAnsi="Times New Roman"/>
          <w:caps w:val="false"/>
          <w:smallCaps w:val="false"/>
          <w:sz w:val="20"/>
        </w:rPr>
        <w:t>” means Net Sales of Complement Inhibitor, including recovery of monetary damages from a Third Party in an action brought for such Third Party’s infringement of any Patent Rights relating to Complement Inhibitor, where such damages, whether in the form of judgment or settlement, are awarded for such infringement of such Patent Rights but solely to the extent that such monetary damages are treated as Complement Inhibitor Net Sales in accordance with Section 6.5(d) and after application of clauses (i) and (ii)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is defined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Controlling Agreement</w:t>
      </w:r>
      <w:r>
        <w:rPr>
          <w:rFonts w:ascii="Times New Roman" w:hAnsi="Times New Roman"/>
          <w:caps w:val="false"/>
          <w:smallCaps w:val="false"/>
          <w:sz w:val="20"/>
        </w:rPr>
        <w:t>” is defined in ‎Section 10.14.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Convertible Bond Indebtedness</w:t>
      </w:r>
      <w:r>
        <w:rPr>
          <w:rFonts w:ascii="Times New Roman" w:hAnsi="Times New Roman"/>
          <w:caps w:val="false"/>
          <w:smallCaps w:val="false"/>
          <w:sz w:val="20"/>
        </w:rPr>
        <w:t>” means any Indebtedness having a feature which entitles the holder thereof to convert or exchange all or a portion of such Indebtedness into shares of common capital stock of the Seller; provided, that, (a) the principal amount (or accreted value, if applicable) of such Convertible Bond Indebtedness does not exceed $[***], (b) such Convertible Bond Indebtedness shall be unsecured, (c) no Subsidiary shall Guarantee such Convertible Bond Indebtedness, (d) such Convertible Bond Indebtedness shall not mature, and no scheduled or mandatory principal payments, repayments, prepayments, cash settlements, repurchases, redemptions or sinking fund or like payments (but excluding, for the avoidance of doubt, regularly scheduled cash interest payments and conversion of such Convertible Bond Indebtedness into shares of common capital stock of the Seller in accordance with the terms thereof) of such Convertible Bond Indebtedness shall be required at any time on or prior to the date that is one (1) year after the “Maturity Date” or such similar term under the Athyrium Loan Documents (which in the case of the maturity of such Convertible Bond Indebtedness shall be tested at the time of incurrence thereof), other than upon a “Change of Control”, “fundamental change”, “make-whole fundamental change” or similar event, (e) such Convertible Bond Indebtedness shall (i) not include (A) any financial maintenance covenants or (B) other covenants and defaults that are, taken as a whole, more restrictive on the Seller and its Subsidiaries than the covenants and defaults set forth in the Athyrium Loan Documents and (ii) have a cash interest rate of less than the greater of (x) [***] percent ([***]%) per annum and (y) such cash interest rate as the administrative agent under the Athyrium Credit Agreement, in its sole discretion, shall approve in writing after the Closing Date, upon the request of the Seller in light of changes to market interest rates for similar convertible notes, (f) such Convertible Bond Indebtedness shall include conversion, redemption and fundamental change provisions that are customary for public market convertible indebtedness (pursuant to a public offering or an offering under Rule 144A or Regulation S of the Securities Act), (g) such Convertible Bond Indebtedness shall be subordinated in right of payment to the Royalty Payments that are owed or may be owed in the future to the Buyer pursuant to the terms of a subordination, intercreditor, or other similar agreement (or terms of subordination incorporated into the indenture under which such Convertible Bond Indebtedness is issued), in each case in form and substance, and on terms, approved by the Buyer, the Seller, and the applicable Third Party in writing, (h) no Default or Event of Default or such similar terms (in each case as defined in the Athyrium Credit Agreement) shall have occurred and be continuing at the time of incurrence of such Convertible Bond Indebtedness or could result therefrom, and (i) the Seller shall have delivered to the administrative agent under the Athyrium Credit Agreement a certificate of an officer of the Seller certifying as to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Direct Sales Territories</w:t>
      </w:r>
      <w:r>
        <w:rPr>
          <w:rFonts w:ascii="Times New Roman" w:hAnsi="Times New Roman"/>
          <w:caps w:val="false"/>
          <w:smallCaps w:val="false"/>
          <w:sz w:val="20"/>
        </w:rPr>
        <w:t>” means the United States, the United Kingdom, Germany, France, [***] and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Disclosing Party</w:t>
      </w:r>
      <w:r>
        <w:rPr>
          <w:rFonts w:ascii="Times New Roman" w:hAnsi="Times New Roman"/>
          <w:caps w:val="false"/>
          <w:smallCaps w:val="false"/>
          <w:sz w:val="20"/>
        </w:rPr>
        <w:t>” is defined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Disclosure Schedule</w:t>
      </w:r>
      <w:r>
        <w:rPr>
          <w:rFonts w:ascii="Times New Roman" w:hAnsi="Times New Roman"/>
          <w:caps w:val="false"/>
          <w:smallCaps w:val="false"/>
          <w:sz w:val="20"/>
        </w:rPr>
        <w:t>” means the Disclosure Schedule, dated as of the date hereof, delivered to the Buyer by the Seller concurrently with the execution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Distributor</w:t>
      </w:r>
      <w:r>
        <w:rPr>
          <w:rFonts w:ascii="Times New Roman" w:hAnsi="Times New Roman"/>
          <w:caps w:val="false"/>
          <w:smallCaps w:val="false"/>
          <w:sz w:val="20"/>
        </w:rPr>
        <w:t>” means a Third Party that (a) purchases or has the option to purchase any Product in finished form from or at the direction of the Seller or any of its Affiliates, (b) has the right, option or obligation to distribute, market and sell such Product (with or without packaging rights) in one or more regions, and (c) does not otherwise make any royalty, milestone, profit share or other similar payment to the Seller or its Affiliate based on such Third Party’s sale of the Product. The term “packaging rights” in this definition will mean the right for the Distributor to package or have packaged Product supplied in unpackaged bulk form into individual ready-for-sale packs.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EMA</w:t>
      </w:r>
      <w:r>
        <w:rPr>
          <w:rFonts w:ascii="Times New Roman" w:hAnsi="Times New Roman"/>
          <w:caps w:val="false"/>
          <w:smallCaps w:val="false"/>
          <w:sz w:val="20"/>
        </w:rPr>
        <w:t>” means the European Medicines Agency, or any successor agency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Existing Out</w:t>
      </w:r>
      <w:r>
        <w:rPr>
          <w:rFonts w:ascii="Times New Roman" w:hAnsi="Times New Roman"/>
          <w:caps w:val="false"/>
          <w:smallCaps w:val="false"/>
          <w:sz w:val="20"/>
        </w:rPr>
        <w:noBreakHyphen/>
      </w:r>
      <w:r>
        <w:rPr>
          <w:rFonts w:ascii="Times New Roman" w:hAnsi="Times New Roman"/>
          <w:caps w:val="false"/>
          <w:smallCaps w:val="false"/>
          <w:sz w:val="20"/>
          <w:u w:val="single"/>
        </w:rPr>
        <w:t>License</w:t>
      </w:r>
      <w:r>
        <w:rPr>
          <w:rFonts w:ascii="Times New Roman" w:hAnsi="Times New Roman"/>
          <w:caps w:val="false"/>
          <w:smallCaps w:val="false"/>
          <w:sz w:val="20"/>
        </w:rPr>
        <w:t>” is defined in ‎Section 4.1(h)(ii).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Existing Patent Rights</w:t>
      </w:r>
      <w:r>
        <w:rPr>
          <w:rFonts w:ascii="Times New Roman" w:hAnsi="Times New Roman"/>
          <w:caps w:val="false"/>
          <w:smallCaps w:val="false"/>
          <w:sz w:val="20"/>
        </w:rPr>
        <w:t>” is defined in ‎Section 4.1(k)(i).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FCPA</w:t>
      </w:r>
      <w:r>
        <w:rPr>
          <w:rFonts w:ascii="Times New Roman" w:hAnsi="Times New Roman"/>
          <w:caps w:val="false"/>
          <w:smallCaps w:val="false"/>
          <w:sz w:val="20"/>
        </w:rPr>
        <w:t>” is defined in Section 4.1(m).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FD&amp;C Act</w:t>
      </w:r>
      <w:r>
        <w:rPr>
          <w:rFonts w:ascii="Times New Roman" w:hAnsi="Times New Roman"/>
          <w:caps w:val="false"/>
          <w:smallCaps w:val="false"/>
          <w:sz w:val="20"/>
        </w:rPr>
        <w:t>” means the United States Federal Food, Drug, and Cosmetic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FDA</w:t>
      </w:r>
      <w:r>
        <w:rPr>
          <w:rFonts w:ascii="Times New Roman" w:hAnsi="Times New Roman"/>
          <w:caps w:val="false"/>
          <w:smallCaps w:val="false"/>
          <w:sz w:val="20"/>
        </w:rPr>
        <w:t>” means the U.S. Food and Drug Administration, or any successor agency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FDA Application Integrity Policy</w:t>
      </w:r>
      <w:r>
        <w:rPr>
          <w:rFonts w:ascii="Times New Roman" w:hAnsi="Times New Roman"/>
          <w:caps w:val="false"/>
          <w:smallCaps w:val="false"/>
          <w:sz w:val="20"/>
        </w:rPr>
        <w:t>” is defined in Section 4.1(g)(ii).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First Commercial Sale</w:t>
      </w:r>
      <w:r>
        <w:rPr>
          <w:rFonts w:ascii="Times New Roman" w:hAnsi="Times New Roman"/>
          <w:caps w:val="false"/>
          <w:smallCaps w:val="false"/>
          <w:sz w:val="20"/>
        </w:rPr>
        <w:t>” means, with respect to a Product, the first sale for use or consumption by an end-user of such Product in any country of the world after Marketing Approval of such Product has been granted in such country, or such marketing and sale is otherwise permitted, by the Regulatory Authority of such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GAAP</w:t>
      </w:r>
      <w:r>
        <w:rPr>
          <w:rFonts w:ascii="Times New Roman" w:hAnsi="Times New Roman"/>
          <w:caps w:val="false"/>
          <w:smallCaps w:val="false"/>
          <w:sz w:val="20"/>
        </w:rPr>
        <w:t>” means generally accepted accounting principles in the United States in effect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Governmental Entity</w:t>
      </w:r>
      <w:r>
        <w:rPr>
          <w:rFonts w:ascii="Times New Roman" w:hAnsi="Times New Roman"/>
          <w:caps w:val="false"/>
          <w:smallCaps w:val="false"/>
          <w:sz w:val="20"/>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Gross Sales</w:t>
      </w:r>
      <w:r>
        <w:rPr>
          <w:rFonts w:ascii="Times New Roman" w:hAnsi="Times New Roman"/>
          <w:caps w:val="false"/>
          <w:smallCaps w:val="false"/>
          <w:sz w:val="20"/>
        </w:rPr>
        <w:t>” is defined in the definition of “Net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Guarantee</w:t>
      </w:r>
      <w:r>
        <w:rPr>
          <w:rFonts w:ascii="Times New Roman" w:hAnsi="Times New Roman"/>
          <w:caps w:val="false"/>
          <w:smallCaps w:val="false"/>
          <w:sz w:val="20"/>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or (c) any direct or indirect liability, contingent or not, of that Person for (i) any obligations for undrawn letters of credit for the account of that Person or (ii) all obligations from any interest rate, currency or commodity swap agreement, interest rate cap or collar agreement, or other agreement or arrangement designated to protect a Person against fluctuation in interest rates, currency exchange rates or commodity prices.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Guarantor</w:t>
      </w:r>
      <w:r>
        <w:rPr>
          <w:rFonts w:ascii="Times New Roman" w:hAnsi="Times New Roman"/>
          <w:caps w:val="false"/>
          <w:smallCaps w:val="false"/>
          <w:sz w:val="20"/>
        </w:rPr>
        <w:t>” is defined in the definition of “Athyrium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Bank</w:t>
      </w:r>
      <w:r>
        <w:rPr>
          <w:rFonts w:ascii="Times New Roman" w:hAnsi="Times New Roman"/>
          <w:caps w:val="false"/>
          <w:smallCaps w:val="false"/>
          <w:sz w:val="20"/>
        </w:rPr>
        <w:t>” means HSBC Bank USA, National Association.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Cash Collateral Accounts</w:t>
      </w:r>
      <w:r>
        <w:rPr>
          <w:rFonts w:ascii="Times New Roman" w:hAnsi="Times New Roman"/>
          <w:caps w:val="false"/>
          <w:smallCaps w:val="false"/>
          <w:sz w:val="20"/>
        </w:rPr>
        <w:t>” means, collectively, Deposit Account #[***] and Deposit Account #[***] of the Seller established and maintained at HSBC Bank for the sole purpose of securing the Seller’s obligations under the HSBC Letter of Credit; provided that (a) no such Deposit Account shall hold an aggregate of cash and cash equivalents in excess of [***] percent ([***]%) of the aggregate face amount of the letters of credit it is securing and (b) with respect to all such Deposit Accounts, the aggregate amount deposited there in at any time does not exceed [***] Dollars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Letter of Credit</w:t>
      </w:r>
      <w:r>
        <w:rPr>
          <w:rFonts w:ascii="Times New Roman" w:hAnsi="Times New Roman"/>
          <w:caps w:val="false"/>
          <w:smallCaps w:val="false"/>
          <w:sz w:val="20"/>
        </w:rPr>
        <w:t>” means the letter of credit issued by HSBC Bank in favor of the landlord with respect to the Seller’s leased real property located at 2100 Riverchase Center, Ste. 200 / Building 200, Birmingham, AL 35244, in an aggregate face amount equal to One Million Four Hundred Thousand Dollars ($1,400,000).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Liens</w:t>
      </w:r>
      <w:r>
        <w:rPr>
          <w:rFonts w:ascii="Times New Roman" w:hAnsi="Times New Roman"/>
          <w:caps w:val="false"/>
          <w:smallCaps w:val="false"/>
          <w:sz w:val="20"/>
        </w:rPr>
        <w:t>” means Liens in favor of HSBC Bank on the HSBC Cash Collateral Accounts to the extent securing obligations of the Seller permitted pursuant to clause (g) of the definition of Permitted Contingent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Improvements</w:t>
      </w:r>
      <w:r>
        <w:rPr>
          <w:rFonts w:ascii="Times New Roman" w:hAnsi="Times New Roman"/>
          <w:caps w:val="false"/>
          <w:smallCaps w:val="false"/>
          <w:sz w:val="20"/>
        </w:rPr>
        <w:t>” means any improvement, invention or discovery relating to a Product (other than with respect to a new composition of matter), including the formulation, or the method of manufacture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In-License</w:t>
      </w:r>
      <w:r>
        <w:rPr>
          <w:rFonts w:ascii="Times New Roman" w:hAnsi="Times New Roman"/>
          <w:caps w:val="false"/>
          <w:smallCaps w:val="false"/>
          <w:sz w:val="20"/>
        </w:rPr>
        <w:t>” means any license, settlement agreement or other agreement or arrangement between the Seller or any of its Affiliates and any Third Party pursuant to which the Seller or any of its Affiliates obtains a license or a covenant not to sue or similar grant of rights to any Patents or other intellectual property rights of such Third Party that is necessary for the research, development, manufacture, use or Commercialization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Indebtedness</w:t>
      </w:r>
      <w:r>
        <w:rPr>
          <w:rFonts w:ascii="Times New Roman" w:hAnsi="Times New Roman"/>
          <w:caps w:val="false"/>
          <w:smallCaps w:val="false"/>
          <w:sz w:val="20"/>
        </w:rPr>
        <w:t>” of any Person means any indebtedness for borrowed money, any obligation evidenced by a note, bond, debenture or similar instrument, or any guarantee of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Indemnified Party</w:t>
      </w:r>
      <w:r>
        <w:rPr>
          <w:rFonts w:ascii="Times New Roman" w:hAnsi="Times New Roman"/>
          <w:caps w:val="false"/>
          <w:smallCaps w:val="false"/>
          <w:sz w:val="20"/>
        </w:rPr>
        <w:t>” is defined in ‎Section 7.2.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Indemnifying Party</w:t>
      </w:r>
      <w:r>
        <w:rPr>
          <w:rFonts w:ascii="Times New Roman" w:hAnsi="Times New Roman"/>
          <w:caps w:val="false"/>
          <w:smallCaps w:val="false"/>
          <w:sz w:val="20"/>
        </w:rPr>
        <w:t>” is defined in ‎Section 7.2.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Indirect Sales Territories</w:t>
      </w:r>
      <w:r>
        <w:rPr>
          <w:rFonts w:ascii="Times New Roman" w:hAnsi="Times New Roman"/>
          <w:caps w:val="false"/>
          <w:smallCaps w:val="false"/>
          <w:sz w:val="20"/>
        </w:rPr>
        <w:t>” means all countries except for the Direct Sales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Intellectual Property Product Rights</w:t>
      </w:r>
      <w:r>
        <w:rPr>
          <w:rFonts w:ascii="Times New Roman" w:hAnsi="Times New Roman"/>
          <w:caps w:val="false"/>
          <w:smallCaps w:val="false"/>
          <w:sz w:val="20"/>
        </w:rPr>
        <w:t>” means any and all of the following as they exist throughout the world at any time: (a) the Patent Rights; (b) rights in registered and unregistered trademarks, service marks, trade names, trade dress, logos, packaging design, slogans and Internet domain names, and registrations and applications for registration of any of the foregoing, in each case, with respect to any Product; (c) rights in all Know-How necessary for the development, manufacture or Commercialization of any Product; and (d) any and all other intellectual property rights and/or proprietary rights, whether or not patentable, specifically relating to any of the foregoing, as necessary for the development, manufacture or Commercialization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Intellectual Property Rights</w:t>
      </w:r>
      <w:r>
        <w:rPr>
          <w:rFonts w:ascii="Times New Roman" w:hAnsi="Times New Roman"/>
          <w:caps w:val="false"/>
          <w:smallCaps w:val="false"/>
          <w:sz w:val="20"/>
        </w:rPr>
        <w:t>” means any and all of the following as they exist throughout the world at any time: (a) the Patent Rights and (b) the Know-How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Intellectual Property Updates</w:t>
      </w:r>
      <w:r>
        <w:rPr>
          <w:rFonts w:ascii="Times New Roman" w:hAnsi="Times New Roman"/>
          <w:caps w:val="false"/>
          <w:smallCaps w:val="false"/>
          <w:sz w:val="20"/>
        </w:rPr>
        <w:t>” means an updated list of the Patent Rights, including any new Patents issued or filed, amended or supplemented, relating to a Product in any country or any abandonments or other termination of prosecution with respect to any of the Patent Rights, and any other material information or developments with respect to the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Intercreditor Agreement</w:t>
      </w:r>
      <w:r>
        <w:rPr>
          <w:rFonts w:ascii="Times New Roman" w:hAnsi="Times New Roman"/>
          <w:caps w:val="false"/>
          <w:smallCaps w:val="false"/>
          <w:sz w:val="20"/>
        </w:rPr>
        <w:t>” means that certain Amended and Restated Intercreditor Agreement dated as of the date hereof by and among Athyrium, OCM IP Healthcare Holdings Limited, and the Buyer, and acknowledged and agreed to by the Seller, BioCryst Ireland Limited, BioCryst US Sales Co., LLC, BioCryst UK Limited, and any future Guarantor, in substantially the form attached hereto as Exhibit C, as amended, amended and restated, supplemented and otherwise modified from time to time in accordance with the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Judgment</w:t>
      </w:r>
      <w:r>
        <w:rPr>
          <w:rFonts w:ascii="Times New Roman" w:hAnsi="Times New Roman"/>
          <w:caps w:val="false"/>
          <w:smallCaps w:val="false"/>
          <w:sz w:val="20"/>
        </w:rPr>
        <w:t>” means any judgment, order, writ, injunction, citation, award or decree of any 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JPR Royalty Sub</w:t>
      </w:r>
      <w:r>
        <w:rPr>
          <w:rFonts w:ascii="Times New Roman" w:hAnsi="Times New Roman"/>
          <w:caps w:val="false"/>
          <w:smallCaps w:val="false"/>
          <w:sz w:val="20"/>
        </w:rPr>
        <w:t>” means JPR Royalty Sub LLC, 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JPR Indenture</w:t>
      </w:r>
      <w:r>
        <w:rPr>
          <w:rFonts w:ascii="Times New Roman" w:hAnsi="Times New Roman"/>
          <w:caps w:val="false"/>
          <w:smallCaps w:val="false"/>
          <w:sz w:val="20"/>
        </w:rPr>
        <w:t>” means that certain Indenture, dated as of March 9, 2011, by and between JPR Royalty Sub and U.S. Bank, National Association, as in effect on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Know-How</w:t>
      </w:r>
      <w:r>
        <w:rPr>
          <w:rFonts w:ascii="Times New Roman" w:hAnsi="Times New Roman"/>
          <w:caps w:val="false"/>
          <w:smallCaps w:val="false"/>
          <w:sz w:val="20"/>
        </w:rPr>
        <w:t>” means any and all proprietary or confidential information, know-how and trade secrets, including processes, formulae, models and techniques (but excluding rights in research in progress, algorithms, data, databases, data collections, chemical and biological materials and the results of experimentation and testing).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Know-How Rights</w:t>
      </w:r>
      <w:r>
        <w:rPr>
          <w:rFonts w:ascii="Times New Roman" w:hAnsi="Times New Roman"/>
          <w:caps w:val="false"/>
          <w:smallCaps w:val="false"/>
          <w:sz w:val="20"/>
        </w:rPr>
        <w:t>” means any and all Know-How owned or in-licensed by the Seller or any of its Affiliates or under which the Seller or any of its Affiliates is or may become empowered to grant licenses necessary for the development, manufacture, or Commercialization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Knowledge of the Seller</w:t>
      </w:r>
      <w:r>
        <w:rPr>
          <w:rFonts w:ascii="Times New Roman" w:hAnsi="Times New Roman"/>
          <w:caps w:val="false"/>
          <w:smallCaps w:val="false"/>
          <w:sz w:val="20"/>
        </w:rPr>
        <w:t xml:space="preserve">” means the actual knowledge of the individuals listed on </w:t>
      </w:r>
      <w:r>
        <w:rPr>
          <w:rFonts w:ascii="Times New Roman" w:hAnsi="Times New Roman"/>
          <w:caps w:val="false"/>
          <w:smallCaps w:val="false"/>
          <w:sz w:val="20"/>
          <w:u w:val="single"/>
        </w:rPr>
        <w:t>Schedule 1.1</w:t>
      </w:r>
      <w:r>
        <w:rPr>
          <w:rFonts w:ascii="Times New Roman" w:hAnsi="Times New Roman"/>
          <w:caps w:val="false"/>
          <w:smallCaps w:val="false"/>
          <w:sz w:val="20"/>
        </w:rPr>
        <w:t xml:space="preserve"> of the Disclosure Schedule, after reasonable due inquiry.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License Revenue</w:t>
      </w:r>
      <w:r>
        <w:rPr>
          <w:rFonts w:ascii="Times New Roman" w:hAnsi="Times New Roman"/>
          <w:caps w:val="false"/>
          <w:smallCaps w:val="false"/>
          <w:sz w:val="20"/>
        </w:rPr>
        <w:t>” means any payments or other consideration in any form received by Seller or any of its Affiliates from a Licensee or any of its Affiliates or sublicensees under or pursuant to an Out-License of any rights relating to Orladeyo or any sublicense under or other agreement ancillary to such Out-License, or payments received by Seller or any of its Affiliates from a Third Party in lieu of any of the foregoing payments, in each case, except for: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payments or grants received from a commercial or non-commercial Third Party, specifically to cover future reasonable, documented fully-burdened costs incurred by or on behalf of Seller or any Affiliate after the execution of such Out-License directly attributable to the performance of research and development of Orladeyo, which costs are expressly covered by the Licensee under such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(b) equity investments in Seller or any Affiliate to the extent priced at or below fair market value, provided that in the case of common stock or its equivalent, fair market value shall be the greater of: (i) the last reported closing price of Seller’s common stock on Nasdaq, or (ii) the thirty (30)-day volume-weighted average price of Seller’s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 loans received as part of a debt financing for so long as an obligation of repayment exists, provided that if at the time any such debt becomes due, the amount of such debt that is forgiven, and, for accounting or Tax purposes (in accordance with GAAP), is booked as income to Seller or its Affiliates, then such amount shall be deemed License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 loans received where Orladeyo forms part of the security package provided for the loan for so long as an obligation of repayment exists; provided that at the time any such debt becomes due, the amount of such debt that is forgiven, and, for accounting or Tax purposes (in accordance with GAAP), is booked as income to Seller or its Affiliates, shall be deemed License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 Tax credits or Tax receipts;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(f) sales or supply of Orladeyo inventory at or below Seller’s actual cost of goods sold, provided, however, that any mark-up from, or other amounts in excess of, the Seller’s cost of goods sold for such inventory shall be License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Notwithstanding anything to the contrary in this Agreement, “</w:t>
      </w:r>
      <w:r>
        <w:rPr>
          <w:rFonts w:ascii="Times New Roman" w:hAnsi="Times New Roman"/>
          <w:caps w:val="false"/>
          <w:smallCaps w:val="false"/>
          <w:sz w:val="20"/>
          <w:u w:val="single"/>
        </w:rPr>
        <w:t>License Revenue</w:t>
      </w:r>
      <w:r>
        <w:rPr>
          <w:rFonts w:ascii="Times New Roman" w:hAnsi="Times New Roman"/>
          <w:caps w:val="false"/>
          <w:smallCaps w:val="false"/>
          <w:sz w:val="20"/>
        </w:rPr>
        <w:t>” shall include, without limitation, any and all royalties, upfront payment, license signing fee, license maintenance fee, minimum royalty payment in excess of earned royalties, option fee, lump sum payment, distribution fee, joint marketing fee, profit share, milestone payment, and other payments, in each case received. In the event Seller or its Affiliate(s) receives non-monetary consideration, License Revenue shall be calculated based on the fair market value of such consideration at the time of the transaction (where fair market value shall be determined by agreement of the Parties or by an independent appraiser mutually agreeable to the Parties), assuming an arm’s length transaction made in the ordinary course of business. To the extent that Seller makes any offsetting payments to a Licensee (such as a true-up payment) that are specifically permitted pursuant to the Out-License (not entered into in violation of this Agreement) with such Licensee, then the License Revenue under such Out-License shall be calculated net of such payments. Without limiting clauses (a) through (f) above, to the extent that Seller permits any Licensee to set off any payments payable pursuant to the Out-License with such Licensee against any amounts payable by Seller to such Licensee, then the License Revenue under such Out-License shall include all such payments payable to Seller under such Out-License without giving effect to any such setoff.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Licensee</w:t>
      </w:r>
      <w:r>
        <w:rPr>
          <w:rFonts w:ascii="Times New Roman" w:hAnsi="Times New Roman"/>
          <w:caps w:val="false"/>
          <w:smallCaps w:val="false"/>
          <w:sz w:val="20"/>
        </w:rPr>
        <w:t>” means, with respect to any Product, a Third Party to whom the Seller or any Affiliate of the Seller has granted a license or sublicense to Commercialize such Product. For clarity, a Distributor shall not be deemed to be a “</w:t>
      </w:r>
      <w:r>
        <w:rPr>
          <w:rFonts w:ascii="Times New Roman" w:hAnsi="Times New Roman"/>
          <w:caps w:val="false"/>
          <w:smallCaps w:val="false"/>
          <w:sz w:val="20"/>
          <w:u w:val="single"/>
        </w:rPr>
        <w:t>Licensee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mortgage, lien, pledge, participation interest, charge, adverse claim, security interest, encumbrance or restriction of any kind, including any restriction on use, transfer or exercise of any other attribute of ownership of any kind.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Loss</w:t>
      </w:r>
      <w:r>
        <w:rPr>
          <w:rFonts w:ascii="Times New Roman" w:hAnsi="Times New Roman"/>
          <w:caps w:val="false"/>
          <w:smallCaps w:val="false"/>
          <w:sz w:val="20"/>
        </w:rPr>
        <w:t>” means any and all Judgments, damages, losses, claims, costs, liabilities and expenses, including reasonable fees and out-of-pocket expenses of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Loss of Market Exclusivity</w:t>
      </w:r>
      <w:r>
        <w:rPr>
          <w:rFonts w:ascii="Times New Roman" w:hAnsi="Times New Roman"/>
          <w:caps w:val="false"/>
          <w:smallCaps w:val="false"/>
          <w:sz w:val="20"/>
        </w:rPr>
        <w:t>” shall mean, on a Product-by-Product and country-by-country basis, the later to occur of: (a) the expiration of the last-to-expire Valid Claim of a Patent Right covering such Product in such country; and (b) the expiry of all Regulatory Exclusivity Periods for such Product in such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Marketing Approval</w:t>
      </w:r>
      <w:r>
        <w:rPr>
          <w:rFonts w:ascii="Times New Roman" w:hAnsi="Times New Roman"/>
          <w:caps w:val="false"/>
          <w:smallCaps w:val="false"/>
          <w:sz w:val="20"/>
        </w:rPr>
        <w:t>” means, an NDA approved by the FDA, a Marketing Authorization Application approved by the EMA under the centralized European procedure, or any corresponding non-U.S. or non-EMA application, registration or certification in a Direct Sales Territory, necessary or reasonably useful to market a Product approved by the corresponding Regulatory Authority, including pricing and reimbursement approvals where required. For clarity, notwithstanding the foregoing, solely with respect to ‎Section 6.2, “</w:t>
      </w:r>
      <w:r>
        <w:rPr>
          <w:rFonts w:ascii="Times New Roman" w:hAnsi="Times New Roman"/>
          <w:caps w:val="false"/>
          <w:smallCaps w:val="false"/>
          <w:sz w:val="20"/>
          <w:u w:val="single"/>
        </w:rPr>
        <w:t>Marketing Approval</w:t>
      </w:r>
      <w:r>
        <w:rPr>
          <w:rFonts w:ascii="Times New Roman" w:hAnsi="Times New Roman"/>
          <w:caps w:val="false"/>
          <w:smallCaps w:val="false"/>
          <w:sz w:val="20"/>
        </w:rPr>
        <w:t>” shall not include pricing and reimbursement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means (a) an adverse effect in any material respect on the timing, duration or amount of the Royalty Payments, (b) a material adverse effect on (i) a Product, (ii) any of the Intellectual Property Rights, including the Seller’s rights in or to any Intellectual Property Rights, (iii) any Marketing Approval of a Product or the timing thereof, (iv) the legality, validity or enforceability of any provision of this Agreement, (v) the ability of the Seller to perform any of its obligations under this Agreement, (vi) the rights or remedies of the Buyer under this Agreement, or (vii) the business of the Seller or its Affiliates or (c) an adverse effect in any material respect on the Revenue Participation Rights, the Product Collateral, or the Back-Up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 w:hAnsi="Times New Roman"/>
          <w:caps w:val="false"/>
          <w:smallCaps w:val="false"/>
          <w:sz w:val="20"/>
          <w:u w:val="single"/>
        </w:rPr>
        <w:t>Minimum Return Date</w:t>
      </w:r>
      <w:r>
        <w:rPr>
          <w:rFonts w:ascii="Times New Roman" w:hAnsi="Times New Roman"/>
          <w:caps w:val="false"/>
          <w:smallCaps w:val="false"/>
          <w:sz w:val="20"/>
        </w:rPr>
        <w:t>” means the earliest of the following dates: (a) the date on which the trailing [***] months of net revenue of the Company, in accordance with GAAP, equals at least $[***] million and all Royalty Payments for any Net Sales of Products that make up such revenue have been paid to Buyer; (b) the date on which Seller’s market capitalization is at least $[***] billion for [***] consecutive trading days; (c) the date that is on or after [***] and on which Seller’s market capitalization is at least $[***] billion for [***] consecutive trading days; and (d) the date of expiration of the last-to-expire Valid Claim of the Patent Rights covering Orladeyo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NDA</w:t>
      </w:r>
      <w:r>
        <w:rPr>
          <w:rFonts w:ascii="Times New Roman" w:hAnsi="Times New Roman"/>
          <w:caps w:val="false"/>
          <w:smallCaps w:val="false"/>
          <w:sz w:val="20"/>
        </w:rPr>
        <w:t>” means a New Drug Application submitted to the FDA in the United States in accordance with the FD&amp;C Act with respect to a pharmaceutical product or any analogous application or submission with any Regulatory Authority outside of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Net Sales</w:t>
      </w:r>
      <w:r>
        <w:rPr>
          <w:rFonts w:ascii="Times New Roman" w:hAnsi="Times New Roman"/>
          <w:caps w:val="false"/>
          <w:smallCaps w:val="false"/>
          <w:sz w:val="20"/>
        </w:rPr>
        <w:t>” means, with respect to each Product, the gross amount invoiced, billed or otherwise recorded for sales of such Product anywhere in the world by or on behalf of the Seller, its Affiliates, any Distributor, or any Licensee of the Seller or any of the Seller’s Affiliates (each of the foregoing Persons, for purposes of this definition, shall be considered a “</w:t>
      </w:r>
      <w:r>
        <w:rPr>
          <w:rFonts w:ascii="Times New Roman" w:hAnsi="Times New Roman"/>
          <w:caps w:val="false"/>
          <w:smallCaps w:val="false"/>
          <w:sz w:val="20"/>
          <w:u w:val="single"/>
        </w:rPr>
        <w:t>Related Party</w:t>
      </w:r>
      <w:r>
        <w:rPr>
          <w:rFonts w:ascii="Times New Roman" w:hAnsi="Times New Roman"/>
          <w:caps w:val="false"/>
          <w:smallCaps w:val="false"/>
          <w:sz w:val="20"/>
        </w:rPr>
        <w:t>”) to a Third Party (“</w:t>
      </w:r>
      <w:r>
        <w:rPr>
          <w:rFonts w:ascii="Times New Roman" w:hAnsi="Times New Roman"/>
          <w:caps w:val="false"/>
          <w:smallCaps w:val="false"/>
          <w:sz w:val="20"/>
          <w:u w:val="single"/>
        </w:rPr>
        <w:t>Gross Sales</w:t>
      </w:r>
      <w:r>
        <w:rPr>
          <w:rFonts w:ascii="Times New Roman" w:hAnsi="Times New Roman"/>
          <w:caps w:val="false"/>
          <w:smallCaps w:val="false"/>
          <w:sz w:val="20"/>
        </w:rPr>
        <w:t>”) less the following amounts, to the extent actually incurred or accrued in accordance with generally accepted accounting principles consistently applied, and not reimbursed by such Third Party, provided, that any given amount may be taken as a permitted deduction only once: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(a)    reasonable and customary rebates, chargebacks, quantity, trade and similar discounts, credits and allowances and other price reductions reasonably granted, allowed, incurred or paid in so far as they are applied to sales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(b)    discounts (including cash, quantity, trade, governmental, and similar discounts), coupons, retroactive price reductions, charge back payments and rebates granted to managed care organizations or to federal, state and local governments, or to their agencies (including payments made under the new “Medicare Part D Coverage Gap Discount Program” and the “Annual Fee for Branded Pharmaceutical Manufacturers” specific to the Product), in each case, as applied to sales of the Product and actually given to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(c)    reasonable and customary credits, adjustments, and allowances, including those granted on account of price adjustments, billing errors, and damage, Product otherwise not in saleable condition, and rejection, return or recall of a Product, in each case in so far as they are applied to sales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(d)    reasonable and customary freight and insurance costs incurred with respect to the shipment of a Product to customers, in each case if charged separately and invoiced to the customer;</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(e)    customs duties, surcharges and other similar governmental charges incurred in connection with the exportation or importation of a Product to the extent included in the gross amount invoiced;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(f)    sales, use, value-added, excise, turnover, inventory and other similar Taxes (excluding income Taxes), and that portion of annual fees due under Section 9008 of the United States Patient Protection and Affordable Care Act of 2010 (Pub. L. No. 111-48) and any other fee imposed by any equivalent applicable law, in each of the foregoing cases, that Seller allocates to sales of a Product in accordance with Seller’s standard policies and procedures consistently applied across its products, as adjusted for rebates and refunds, imposed in connection with the sales of the Product to any Third Party, to the extent such Taxes are not paid by the Third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(g)    actual copayment waiver amounts uncollected or uncollectible debt amounts with respect to sales of a Product, provided that if the debt is thereafter paid, the corresponding amount shall be added to the Net Sales of the period during which it is paid;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(h)    reasonable, customary and documented out of pocket amounts directly relating to co-pay programs, bridging programs or other similar patient assistance programs which may be implemented from time to time by the Seller in so far as they are applied to sales of the Product; and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(i)    other similar or customary deductions taken in the ordinary course of business as permitted in calculating net sales or net revenue (as applicable) under generally accepted accounting principles consistently applied in so far as they are applied to sales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For clarity, “</w:t>
      </w:r>
      <w:r>
        <w:rPr>
          <w:rFonts w:ascii="Times New Roman" w:hAnsi="Times New Roman"/>
          <w:caps w:val="false"/>
          <w:smallCaps w:val="false"/>
          <w:sz w:val="20"/>
          <w:u w:val="single"/>
        </w:rPr>
        <w:t>Net Sales</w:t>
      </w:r>
      <w:r>
        <w:rPr>
          <w:rFonts w:ascii="Times New Roman" w:hAnsi="Times New Roman"/>
          <w:caps w:val="false"/>
          <w:smallCaps w:val="false"/>
          <w:sz w:val="20"/>
        </w:rPr>
        <w:t>” will not include (i) sales or dispositions for charitable, promotional, pre-clinical, clinical, regulatory, compassionate use, named patient use or indigent or other similar programs, reasonable quantities of Products used as samples, and Products used in the development of Products, (ii) sales or dispositions between any of the Related Parties (unless a Related Party is the final end-user of such Product), but will include subsequent sales or dispositions of Products to a non-Related Party, (iii) License Revenue, (iv) solely with respect to BCX9930 or Complement Inhibitor, any amounts or other consideration received by a Related Party from a Licensee, Distributor, or a non-Related Party in consideration of the grant of a (sub)license or co-promotion or distribution right to such non-Related Party, or (v) sales or dispositions by or on behalf of a Permitted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With respect to sales of a Product invoiced in U.S. dollars, Net Sales shall be determined in U.S. dollars. With respect to sales of a Product invoiced in a currency other than U.S. dollars, Net Sales shall be determined by converting the currencies at which the sales are made into U.S. dollars, at rates of exchange determined in a manner consistent with the Seller’s or a Licensee’s, as applicable, method for calculating rates of exchange in the preparation of the Seller’s or such Licensee’s annual financial statements in accordance with generally accepted accounting principles consistently applied.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Net Sales for any Combination Product shall be calculated on a country-by-country basis by multiplying actual Net Sales of such Combination Product by the fraction A/(A+B) where “A” is the weighted average invoice price of the Product contained in such Combination Product when sold separately in such country during the applicable accounting period in which the sales of the Combination Product were made, and “B” is the combined weighted average invoice prices of all of the Other Components contained in such Combination Product sold separately in such country during such same accounting period. If a Product contained in such Combination Product is not sold separately in finished form in such country, the Seller and the Buyer shall determine Net Sales for such Product by mutual agreement based on the relative contribution of such Product and each such other active ingredient in such Combination Product in accordance with the above formula, and shall take into account in good faith any applicable allocations and calculations that may have been made for the same period in other countries.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Obligations</w:t>
      </w:r>
      <w:r>
        <w:rPr>
          <w:rFonts w:ascii="Times New Roman" w:hAnsi="Times New Roman"/>
          <w:caps w:val="false"/>
          <w:smallCaps w:val="false"/>
          <w:sz w:val="20"/>
        </w:rPr>
        <w:t>” means “Obligations” or such similar term as defined in the Athyrium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OMERS Transaction Agreement</w:t>
      </w:r>
      <w:r>
        <w:rPr>
          <w:rFonts w:ascii="Times New Roman" w:hAnsi="Times New Roman"/>
          <w:caps w:val="false"/>
          <w:smallCaps w:val="false"/>
          <w:sz w:val="20"/>
        </w:rPr>
        <w:t>” means the Purchase and Sale Agreement, dated as of the date hereof, between the Seller and OCM IP Healthcare Holdings Limited, an Ontario corporation, as may be amended, supplemented or otherwise modified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Orladeyo</w:t>
      </w:r>
      <w:r>
        <w:rPr>
          <w:rFonts w:ascii="Times New Roman" w:hAnsi="Times New Roman"/>
          <w:caps w:val="false"/>
          <w:smallCaps w:val="false"/>
          <w:sz w:val="20"/>
        </w:rPr>
        <w:t>” means (a) the product known as ORLADEYO® (berotralstat) that is the subject of NDA No. 214094,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Orladeyo Direct Sales</w:t>
      </w:r>
      <w:r>
        <w:rPr>
          <w:rFonts w:ascii="Times New Roman" w:hAnsi="Times New Roman"/>
          <w:caps w:val="false"/>
          <w:smallCaps w:val="false"/>
          <w:sz w:val="20"/>
        </w:rPr>
        <w:t>” means (a) Net Sales of Orladeyo by or on behalf of the Seller, any of the Seller’s Affiliates or its or their respective Distributors anywhere in the world, in each case other than (i) Net Sales of Orladeyo by or on behalf of any Licensee, and (ii) Product Partnering Revenue attributable to Orladeyo; (b) Net Sales of Orladeyo by or on behalf of any Licensee in or for the Direct Sales Territories; and (c) recovery of monetary damages from a Third Party in an action brought for such Third Party’s infringement of any Patent Rights relating to Orladeyo, where such damages, whether in the form of judgment or settlement, are awarded for such infringement of such Patent Rights but solely to the extent that such monetary damages are treated as Orladeyo Direct Sales in accordance with Section 6.5(d) and after application of clauses (i) and (ii)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Orladeyo Flat Rate Indirect Revenue</w:t>
      </w:r>
      <w:r>
        <w:rPr>
          <w:rFonts w:ascii="Times New Roman" w:hAnsi="Times New Roman"/>
          <w:caps w:val="false"/>
          <w:smallCaps w:val="false"/>
          <w:sz w:val="20"/>
        </w:rPr>
        <w:t>” is defined in Row A of the chart included in the definition of “2020 Orladeyo Indirect Revenue Sharing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Orladeyo Indirect Revenue</w:t>
      </w:r>
      <w:r>
        <w:rPr>
          <w:rFonts w:ascii="Times New Roman" w:hAnsi="Times New Roman"/>
          <w:caps w:val="false"/>
          <w:smallCaps w:val="false"/>
          <w:sz w:val="20"/>
        </w:rPr>
        <w:t>” means all License Revenue received by the Seller or any of the Seller’s Affiliates from any Licensee of Orladeyo, other than (a) the regulatory approval milestone payable under Section 8.2.1 of the Torii License, (b) in respect of Orladeyo Direct Sales, and (c) Product Partnering Revenue attributable to Orladeyo. Orladeyo Indirect Revenue shall also include the recovery of monetary damages from a Third Party in an action brought for such Third Party’s infringement of any Patent Rights relating to Orladeyo, where such damages, whether in the form of judgment or settlement, are awarded for such infringement of such Patent Rights but solely to the extent that such monetary damages are treated as Orladeyo Indirect Revenue in accordance with Section 6.5(d) and after application of clauses (i) and (ii)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Orladeyo Indirect Sales</w:t>
      </w:r>
      <w:r>
        <w:rPr>
          <w:rFonts w:ascii="Times New Roman" w:hAnsi="Times New Roman"/>
          <w:caps w:val="false"/>
          <w:smallCaps w:val="false"/>
          <w:sz w:val="20"/>
        </w:rPr>
        <w:t>” means Net Sales of Orladeyo by or on behalf of any Licensee in or for the Indirect Sales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Orladeyo Indirect Royalties</w:t>
      </w:r>
      <w:r>
        <w:rPr>
          <w:rFonts w:ascii="Times New Roman" w:hAnsi="Times New Roman"/>
          <w:caps w:val="false"/>
          <w:smallCaps w:val="false"/>
          <w:sz w:val="20"/>
        </w:rPr>
        <w:t>” means Orladeyo Indirect Revenue that constitutes (a) royalties payable on Orladeyo Indirect Sales, (b) any payments made in lieu of the foregoing, (c) recovery of monetary damages from a Third Party in an action brought for such Third Party’s infringement of any Patent Rights, where such damages, whether in the form of judgment or settlement, are awarded for such infringement of such Patent Rights, and (d) any interest on all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Other Component</w:t>
      </w:r>
      <w:r>
        <w:rPr>
          <w:rFonts w:ascii="Times New Roman" w:hAnsi="Times New Roman"/>
          <w:caps w:val="false"/>
          <w:smallCaps w:val="false"/>
          <w:sz w:val="20"/>
        </w:rPr>
        <w:t>” is defined in the definition of “Combination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Other Intercreditor Agreement</w:t>
      </w:r>
      <w:r>
        <w:rPr>
          <w:rFonts w:ascii="Times New Roman" w:hAnsi="Times New Roman"/>
          <w:caps w:val="false"/>
          <w:smallCaps w:val="false"/>
          <w:sz w:val="20"/>
        </w:rPr>
        <w:t>” means an intercreditor agreement, among, the Buyer, the Seller, the “Buyer” under and as defined in the OMERS Royalty Financing Agreement, and the administrative agent, trustee or representative under the Athyrium Credit Agreement and/or the holders of any Indebtedness incurred pursuant to clause (b)(ii) of the definition of Restricted Indebtedness or any agent, representative or trustee acting on behalf of such holders, on substantially the same terms as the Intercreditor Agreement, as amended, amended and restated, supplemented and otherwise modified from time to time in accordance with the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Out-License</w:t>
      </w:r>
      <w:r>
        <w:rPr>
          <w:rFonts w:ascii="Times New Roman" w:hAnsi="Times New Roman"/>
          <w:caps w:val="false"/>
          <w:smallCaps w:val="false"/>
          <w:sz w:val="20"/>
        </w:rPr>
        <w:t>” means each license or other agreement between the Seller or any of its Affiliates and any Third Party (other than Distributors) pursuant to which the Seller or any of its Affiliates grants a license or sublicense of any Intellectual Property Right to market, detail, promote, sell or secure reimbursement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Patents</w:t>
      </w:r>
      <w:r>
        <w:rPr>
          <w:rFonts w:ascii="Times New Roman" w:hAnsi="Times New Roman"/>
          <w:caps w:val="false"/>
          <w:smallCaps w:val="false"/>
          <w:sz w:val="20"/>
        </w:rPr>
        <w:t>” means any and all patents and patent applications existing as of the 2020 Closing Date and all patent applications filed thereafter,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Patent Rights</w:t>
      </w:r>
      <w:r>
        <w:rPr>
          <w:rFonts w:ascii="Times New Roman" w:hAnsi="Times New Roman"/>
          <w:caps w:val="false"/>
          <w:smallCaps w:val="false"/>
          <w:sz w:val="20"/>
        </w:rPr>
        <w:t>” means any and all Patents owned or in-licensed by the Seller or any of its Affiliates or under which the Seller or any of its Affiliates is or may become empowered to grant licenses necessary or reasonably useful in the development, manufacture, use, marketing, promotion, sale or distribution of a Product, as well as existing or future Patents covering any Improvements.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w:t>
      </w:r>
      <w:r>
        <w:rPr>
          <w:rFonts w:ascii="Times New Roman" w:hAnsi="Times New Roman"/>
          <w:caps w:val="false"/>
          <w:smallCaps w:val="false"/>
          <w:sz w:val="20"/>
        </w:rPr>
        <w:t>” is defined in Section 4.1(g)(vi).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Assignment Provisions</w:t>
      </w:r>
      <w:r>
        <w:rPr>
          <w:rFonts w:ascii="Times New Roman" w:hAnsi="Times New Roman"/>
          <w:caps w:val="false"/>
          <w:smallCaps w:val="false"/>
          <w:sz w:val="20"/>
        </w:rPr>
        <w:t>” is defined in Section 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Contingent Obligations</w:t>
      </w:r>
      <w:r>
        <w:rPr>
          <w:rFonts w:ascii="Times New Roman" w:hAnsi="Times New Roman"/>
          <w:caps w:val="false"/>
          <w:smallCaps w:val="false"/>
          <w:sz w:val="20"/>
        </w:rPr>
        <w:t>” means (a) Guarantees resulting from endorsements for collection or deposit in the ordinary course of business; (b) Guarantees incurred in the ordinary course of business with respect to surety and appeal bonds, performance bonds and other similar obligations not to exceed [***] Dollars ($[***]) in the aggregate at any time outstanding; (c) Guarantees arising under indemnity agreements with title insurers; (d) Guarantees arising with respect to customary indemnification obligations in favor of purchasers in connection with sales, transfers, licenses, leases or other dispositions of personal property assets permitted under the Athyrium Loan Documents; (e) Guarantees arising under the Athyrium Loan Documents; (f) Guarantees existing or arising in connection with any security deposit or letter of credit obtained for the sole purpose of securing a lease of real property, or in connection with ancillary bank services such as a corporate credit card facility, provided that the aggregate face amount of all such security deposits, letters of credit and ancillary bank services does not at any time exceed [***] Dollars ($[***]) in the aggregate at any time outstanding; and (g) the HSBC Letter of Credit secured solely by HSBC Liens.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Indebtedness</w:t>
      </w:r>
      <w:r>
        <w:rPr>
          <w:rFonts w:ascii="Times New Roman" w:hAnsi="Times New Roman"/>
          <w:caps w:val="false"/>
          <w:smallCaps w:val="false"/>
          <w:sz w:val="20"/>
        </w:rPr>
        <w:t>” is defined in the definition of “Restricted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License</w:t>
      </w:r>
      <w:r>
        <w:rPr>
          <w:rFonts w:ascii="Times New Roman" w:hAnsi="Times New Roman"/>
          <w:caps w:val="false"/>
          <w:smallCaps w:val="false"/>
          <w:sz w:val="20"/>
        </w:rPr>
        <w:t>” is defined in ‎Section 6.7(a).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Liens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statutory Liens of landlords and Liens of carriers, warehousemen, mechanics, materialmen and suppliers and other Liens imposed by law or pursuant to customary reservations or retentions of title arising in the ordinary course of business, provided, that,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Liens on property existing at the time of acquisition of such property provided that such liens were in existence prior to such acquisition and not incurred in contemplation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Permitted Licenses, including any interest or title of a licensee under a Permitted 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Liens under the Athyrium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pledges or deposits in the ordinary course of business in connection with workers’ compensation, unemployment insurance and other social security legislation, other than any Lien imposed by ERISA;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deposits to secure the performance of bids, trade contracts and leases (other than Indebtedness), statutory obligations, surety and appeal bonds, indemnity and performance bonds and other obligations of a like nature incurred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easements, rights-of-way, restrictions and other similar encumbrances affecting real property which, in the aggregate, are not substantial in amount, and which do not materially interfere with the ordinary conduct of the business of the applicable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licenses, sublicenses, leases or subleases granted to others in the ordinary course of business or otherwise and not interfering in any material respect with the Revenue Participation Rights, the Product Rights, the Product Collateral, or the Back-Up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(j)    any interest of title of a lessor under, and Liens arising from UCC financing statements (or equivalent filings, registrations or agreements in foreign jurisdictions) relating to, leases permitted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(k)    normal and customary banker’s liens and rights of setoff upon deposits of cash in favor of banks or other depository institutions;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(l)    Liens of a collection bank arising under Section 4-210 of the UCC on items in the course of collection;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(m)    Liens of sellers of goods to the Seller and any of its Subsidiaries arising under Article 2 of the UCC or similar provisions of applicable law in the ordinary course of business, covering only the goods sold and securing only the unpaid purchase price for such goods and related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(n)    HSBC Liens;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(o)    Liens under the OMERS Transaction Agreement;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(p)    cash collateral securing letters of credit permitted under clause (f) of the definition of Permitted Contingent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Purchaser</w:t>
      </w:r>
      <w:r>
        <w:rPr>
          <w:rFonts w:ascii="Times New Roman" w:hAnsi="Times New Roman"/>
          <w:caps w:val="false"/>
          <w:smallCaps w:val="false"/>
          <w:sz w:val="20"/>
        </w:rPr>
        <w:t>” means any Third Party who acquires rights to Orladeyo, BCX9930 and/or Complement Inhibitor as applicable, in a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Sale</w:t>
      </w:r>
      <w:r>
        <w:rPr>
          <w:rFonts w:ascii="Times New Roman" w:hAnsi="Times New Roman"/>
          <w:caps w:val="false"/>
          <w:smallCaps w:val="false"/>
          <w:sz w:val="20"/>
        </w:rPr>
        <w:t>” means any sale, transfer, assignment or other disposition, not constituting an Out-License, of any rights relating to Orladeyo, BCX9930 and/or Complement Inhibitor, as applicable, solely to the extent such rights pertain to [***] (collectively, the “</w:t>
      </w:r>
      <w:r>
        <w:rPr>
          <w:rFonts w:ascii="Times New Roman" w:hAnsi="Times New Roman"/>
          <w:caps w:val="false"/>
          <w:smallCaps w:val="false"/>
          <w:sz w:val="20"/>
          <w:u w:val="single"/>
        </w:rPr>
        <w:t>Permitted Sale Territory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Sale Territory</w:t>
      </w:r>
      <w:r>
        <w:rPr>
          <w:rFonts w:ascii="Times New Roman" w:hAnsi="Times New Roman"/>
          <w:caps w:val="false"/>
          <w:smallCaps w:val="false"/>
          <w:sz w:val="20"/>
        </w:rPr>
        <w:t>” is defined in the definition of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individual, firm, corporation, company, partnership, limited liability company, trust, joint venture, association, estate, trust, Governmental Entity or other entity, enterprise, association or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Prime Rate</w:t>
      </w:r>
      <w:r>
        <w:rPr>
          <w:rFonts w:ascii="Times New Roman" w:hAnsi="Times New Roman"/>
          <w:caps w:val="false"/>
          <w:smallCaps w:val="false"/>
          <w:sz w:val="20"/>
        </w:rPr>
        <w:t>” means the prime rate published by The Wall Street Journal, from time to time, as the prime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w:t>
      </w:r>
      <w:r>
        <w:rPr>
          <w:rFonts w:ascii="Times New Roman" w:hAnsi="Times New Roman"/>
          <w:caps w:val="false"/>
          <w:smallCaps w:val="false"/>
          <w:sz w:val="20"/>
        </w:rPr>
        <w:t>” and “</w:t>
      </w:r>
      <w:r>
        <w:rPr>
          <w:rFonts w:ascii="Times New Roman" w:hAnsi="Times New Roman"/>
          <w:caps w:val="false"/>
          <w:smallCaps w:val="false"/>
          <w:sz w:val="20"/>
          <w:u w:val="single"/>
        </w:rPr>
        <w:t>Products</w:t>
      </w:r>
      <w:r>
        <w:rPr>
          <w:rFonts w:ascii="Times New Roman" w:hAnsi="Times New Roman"/>
          <w:caps w:val="false"/>
          <w:smallCaps w:val="false"/>
          <w:sz w:val="20"/>
        </w:rPr>
        <w:t>” means, individually and collectively, Orladeyo, BCX9930 and Complement Inhibitor.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 Collateral</w:t>
      </w:r>
      <w:r>
        <w:rPr>
          <w:rFonts w:ascii="Times New Roman" w:hAnsi="Times New Roman"/>
          <w:caps w:val="false"/>
          <w:smallCaps w:val="false"/>
          <w:sz w:val="20"/>
        </w:rPr>
        <w:t>” means the Seller’s rights, title and interests in (a) the Products (including all inventory of the Products), (b) the Product Rights owned, licensed or otherwise held by the Seller, and (c) any proceeds from either (a) or (b) above, including all accounts receivable and general intangibles resulting from the sale, license or other disposition of Products by the Seller or its Licensees.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 Partnering Revenue</w:t>
      </w:r>
      <w:r>
        <w:rPr>
          <w:rFonts w:ascii="Times New Roman" w:hAnsi="Times New Roman"/>
          <w:caps w:val="false"/>
          <w:smallCaps w:val="false"/>
          <w:sz w:val="20"/>
        </w:rPr>
        <w:t>” means the pre-tax profit realized by Seller or its Affiliates arising from any Permitted Sale, with the profit being calculated as: (i) (x) aggregate payments or other consideration in any form received by Seller or any of its Affiliates from a Permitted Sale, or payments received by Seller or any of its Affiliates from a Third Party in lieu of any of the foregoing payments arising from a Permitted Sale, and (y) recovery of monetary damages from a Third Party in an action brought for such Third Party’s infringement of any Patent Rights relating to a Product, where such damages, whether in the form of judgment or settlement, are awarded for such infringement of such Patent Rights but solely to the extent that such monetary damages are treated as Product Partner Revenue in accordance with Section 6.5(d) and after application of clauses (i) and (ii) therein, in each case, except for the Excluded Payments (defined below), minus (ii) aggregate out-of-pocket expenses incurred by Seller or its Affiliates after the Closing Date solely for the development or commercialization of Orladeyo, BCX9930 and/or Complement Inhibitor as applicable, in the Permitted Sale Territory. For purposes of Product Partnering Revenue, “</w:t>
      </w:r>
      <w:r>
        <w:rPr>
          <w:rFonts w:ascii="Times New Roman" w:hAnsi="Times New Roman"/>
          <w:caps w:val="false"/>
          <w:smallCaps w:val="false"/>
          <w:sz w:val="20"/>
          <w:u w:val="single"/>
        </w:rPr>
        <w:t>Excluded Payments</w:t>
      </w:r>
      <w:r>
        <w:rPr>
          <w:rFonts w:ascii="Times New Roman" w:hAnsi="Times New Roman"/>
          <w:caps w:val="false"/>
          <w:smallCaps w:val="false"/>
          <w:sz w:val="20"/>
        </w:rPr>
        <w:t>” means: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payments or grants received from a commercial or non-commercial Third Party, specifically to cover future reasonable, documented fully-burdened costs incurred by or on behalf of Seller or any Affiliate after the execution of such Permitted Sale directly attributable to the performance of research and development of Orladeyo, BCX9930 and/or Complement Inhibitor, as applicable, within the Permitted Sale Territory, which costs are expressly covered by the purchaser under such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(b) equity investments in Seller or any Affiliate to the extent priced at or below fair market value, provided that in the case of common stock or its equivalent, fair market value shall be the greater of: (i) the last reported closing price of Seller’s common stock on Nasdaq, or (ii) the 30-day volume-weighted average price of Seller’s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 loans received as part of a debt financing for so long as an obligation of repayment exists, provided that if at the time any such debt becomes due, the amount of such debt that is forgiven, and, for accounting or Tax purposes (in accordance with GAAP), is booked as income to Seller or its Affiliates, then such amount shall be deemed Product Partnering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 loans received where Orladeyo, BCX9930 and/or Complement Inhibitor, as applicable, forms part of the security package provided for the loan for so long as an obligation of repayment exists, provided that if at the time any such debt becomes due, the amount of such debt that is forgiven, and, for accounting or Tax purposes (in accordance with GAAP), is booked as income to Seller or its Affiliates, then such amount shall be deemed Product Partnering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 Tax credits or Tax receipts;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(f) sales or supply of Orladeyo, BCX9930 and/or Complement Inhibitor, as applicable, inventory at or below Seller’s actual cost of goods sold, provided, however that any mark-up from, or other amounts in excess of, the Seller’s cost of goods sold for such inventory shall be Product Partnering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Notwithstanding anything to the contrary in this Agreement, “</w:t>
      </w:r>
      <w:r>
        <w:rPr>
          <w:rFonts w:ascii="Times New Roman" w:hAnsi="Times New Roman"/>
          <w:caps w:val="false"/>
          <w:smallCaps w:val="false"/>
          <w:sz w:val="20"/>
          <w:u w:val="single"/>
        </w:rPr>
        <w:t>Product Partnering Revenue</w:t>
      </w:r>
      <w:r>
        <w:rPr>
          <w:rFonts w:ascii="Times New Roman" w:hAnsi="Times New Roman"/>
          <w:caps w:val="false"/>
          <w:smallCaps w:val="false"/>
          <w:sz w:val="20"/>
        </w:rPr>
        <w:t>” shall include, without limitation, any and all contingent payments, upfront payments, option fees, lump-sum payments, distribution fees, joint-marketing fees, profit share, milestone payments, and other payments, in each case received. In the event Seller or its Affiliate(s) receives non-monetary consideration pursuant to a Permitted Sale, Product Partnering Revenue shall be calculated based on the fair market value of such consideration at the time of the transaction (where fair market value shall be determined by agreement of the Parties or by an independent appraiser mutually agreeable to the Parties), assuming an arm’s length transaction made in the ordinary course of business. To the extent that Seller makes any offsetting payments to a Permitted Purchaser (such as a true-up payment) that are specifically permitted pursuant to the Permitted Sale (not entered into in violation of this Agreement) with such Permitted Purchaser, then the Product Partnering Revenue under such Permitted Sale shall be calculated net of such payments. To the extent that Seller permits any Permitted Purchaser to set off any payments payable pursuant to the Permitted Sale with such Permitted Purchaser against any amounts payable by Seller to such Permitted Purchaser, then the Product Partnering Revenue under such Permitted Sale shall include all such payments payable to Seller under such Permitted Sale without giving effect to any such setoff.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 Rights</w:t>
      </w:r>
      <w:r>
        <w:rPr>
          <w:rFonts w:ascii="Times New Roman" w:hAnsi="Times New Roman"/>
          <w:caps w:val="false"/>
          <w:smallCaps w:val="false"/>
          <w:sz w:val="20"/>
        </w:rPr>
        <w:t>” means any and all of the following, as they exist throughout the world: (a) Intellectual Property Product Rights, (b) regulatory filings, submissions and approvals, including Marketing Approvals, with or from any Regulatory Authorities with respect to any of the Products, (c) In-Licenses and (d) Out-Licenses.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Purchase Price</w:t>
      </w:r>
      <w:r>
        <w:rPr>
          <w:rFonts w:ascii="Times New Roman" w:hAnsi="Times New Roman"/>
          <w:caps w:val="false"/>
          <w:smallCaps w:val="false"/>
          <w:sz w:val="20"/>
        </w:rPr>
        <w:t>” is defined in ‎Section 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Receiving Party</w:t>
      </w:r>
      <w:r>
        <w:rPr>
          <w:rFonts w:ascii="Times New Roman" w:hAnsi="Times New Roman"/>
          <w:caps w:val="false"/>
          <w:smallCaps w:val="false"/>
          <w:sz w:val="20"/>
        </w:rPr>
        <w:t>” is defined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and IP Semi-Annual Report</w:t>
      </w:r>
      <w:r>
        <w:rPr>
          <w:rFonts w:ascii="Times New Roman" w:hAnsi="Times New Roman"/>
          <w:caps w:val="false"/>
          <w:smallCaps w:val="false"/>
          <w:sz w:val="20"/>
        </w:rPr>
        <w:t>” is defined in Section 6.1(b).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Authority</w:t>
      </w:r>
      <w:r>
        <w:rPr>
          <w:rFonts w:ascii="Times New Roman" w:hAnsi="Times New Roman"/>
          <w:caps w:val="false"/>
          <w:smallCaps w:val="false"/>
          <w:sz w:val="20"/>
        </w:rPr>
        <w:t>” means any national or supranational governmental authority, including the FDA, the EMA or such equivalent regulatory authority, or any successor agency thereto, that has responsibility in granting a Marketing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Exclusivity Period</w:t>
      </w:r>
      <w:r>
        <w:rPr>
          <w:rFonts w:ascii="Times New Roman" w:hAnsi="Times New Roman"/>
          <w:caps w:val="false"/>
          <w:smallCaps w:val="false"/>
          <w:sz w:val="20"/>
        </w:rPr>
        <w:t>” shall mean, with respect to each Product in any country, any period of data, market or other regulatory exclusivity (other than Patent exclusivity) granted or afforded by law or by a Regulatory Authority in such country that confers exclusive marketing rights with respect to such Product in such country or prevents another party from using or otherwise relying on any data supporting the Marketing Approval for such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Updates</w:t>
      </w:r>
      <w:r>
        <w:rPr>
          <w:rFonts w:ascii="Times New Roman" w:hAnsi="Times New Roman"/>
          <w:caps w:val="false"/>
          <w:smallCaps w:val="false"/>
          <w:sz w:val="20"/>
        </w:rPr>
        <w:t>” means a summary of any and all material information and developments that materially impact a Product with respect to any regulatory filings or submissions made to</w:t>
      </w:r>
      <w:r>
        <w:rPr>
          <w:rFonts w:ascii="Times New Roman" w:hAnsi="Times New Roman"/>
          <w:caps w:val="false"/>
          <w:smallCaps w:val="false"/>
          <w:strike/>
          <w:sz w:val="20"/>
        </w:rPr>
        <w:t xml:space="preserve"> </w:t>
      </w:r>
      <w:r>
        <w:rPr>
          <w:rFonts w:ascii="Times New Roman" w:hAnsi="Times New Roman"/>
          <w:caps w:val="false"/>
          <w:smallCaps w:val="false"/>
          <w:sz w:val="20"/>
        </w:rPr>
        <w:t>any Regulatory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Related Party</w:t>
      </w:r>
      <w:r>
        <w:rPr>
          <w:rFonts w:ascii="Times New Roman" w:hAnsi="Times New Roman"/>
          <w:caps w:val="false"/>
          <w:smallCaps w:val="false"/>
          <w:sz w:val="20"/>
        </w:rPr>
        <w:t>” is defined in the definition of “Net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Report</w:t>
      </w:r>
      <w:r>
        <w:rPr>
          <w:rFonts w:ascii="Times New Roman" w:hAnsi="Times New Roman"/>
          <w:caps w:val="false"/>
          <w:smallCaps w:val="false"/>
          <w:sz w:val="20"/>
        </w:rPr>
        <w:t>” is defined in Section 6.1(b).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Representative</w:t>
      </w:r>
      <w:r>
        <w:rPr>
          <w:rFonts w:ascii="Times New Roman" w:hAnsi="Times New Roman"/>
          <w:caps w:val="false"/>
          <w:smallCaps w:val="false"/>
          <w:sz w:val="20"/>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Restricted Indebtedness</w:t>
      </w:r>
      <w:r>
        <w:rPr>
          <w:rFonts w:ascii="Times New Roman" w:hAnsi="Times New Roman"/>
          <w:caps w:val="false"/>
          <w:smallCaps w:val="false"/>
          <w:sz w:val="20"/>
        </w:rPr>
        <w:t>” means any financing, sale, or loan of royalties on the Products, or any Indebtedness, in each case other than the following (individually and collectively, “</w:t>
      </w:r>
      <w:r>
        <w:rPr>
          <w:rFonts w:ascii="Times New Roman" w:hAnsi="Times New Roman"/>
          <w:caps w:val="false"/>
          <w:smallCaps w:val="false"/>
          <w:sz w:val="20"/>
          <w:u w:val="single"/>
        </w:rPr>
        <w:t>Permitted Indebtedness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(a)    true sales of royalties that contain no financial covenants or other provisions typically found in loan agreements, and in connection with such true sale Seller or its Affiliates do not grant any Lien on any assets of Seller or its Affiliates, other than a back-up security interest to perfect the true sale;</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(b)    (i) additional Indebtedness incurred pursuant to the Athyrium Loan Documents, (ii) other secured Indebtedness, so long as in the case of any Indebtedness incurred pursuant to this clause (ii), the holders of such Indebtedness or any agent, representative or trustee acting on behalf of such holders have become party to the Intercreditor Agreement or entered into an Other Intercreditor Agreement, and (iii) unsecured Indebtedness, so long as (x) the principal amount of any Indebtedness incurred pursuant to this clause (b) (together with the aggregate outstanding principal amount of all Indebtedness previously incurred pursuant to this clause (b)) does not at the time of incurring such additional Indebtedness exceed [***]% of the aggregate principal amount of Indebtedness and commitments to extend credit under the Athyrium Loan Documents outstanding at such time and (y) except as otherwise agreed by the parties, such unsecured Indebtedness contemplated by clause (iii) shall be subordinated in right of payment to the Royalty Payments that are owed or may be owed in the future to the Buyer pursuant to the terms of a subordination, intercreditor, or other similar agreement (or terms of subordination incorporated into the indenture under which such unsecured indebtedness is issued), in each case in form and substance, and on terms, approved by the Buyer, the Seller, and the applicable Third Party lender of such unsecured indebtedness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(c)    certain customary de minimis exceptions incurred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(d)    Indebtedness under the Athyrium Loan Documents, and renewals, refinancings and extensions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(e)    intercompany Indebtedness permitted under the Athyrium Loan Documents (and at any time when the Athyrium Loan Documents are not outstanding, any bona fide intercompany Indebtedness entered into in the good faith business judgment of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(f)    obligations (contingent or otherwise) of the Seller or any Subsidiary existing or arising under any Swap Contract, provided, that,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(g)    purchase money Indebtedness (including obligations in respect of capital leases or synthetic leases) incurred by the Seller from and after the 2020 Closing Date or any of its Subsidiaries to finance the purchase of fixed assets, and renewals, refinancings, and extensions thereof, provided, that, (i) no default or “Event of Default” has occurred under the Athyrium Loan Documents and is continuing both immediately prior to and after giving effect thereto, (ii) the total of all such Indebtedness for all such Persons taken together shall not exceed an aggregate principal amount of $[***] at any one time outstanding, (iii) such Indebtedness when incurred shall not exceed the purchase price of the asset(s) financed, and (iv) no such Indebtedness shall be refinanced for a principal amount in excess of the principal balance outstanding thereon at the time of such refinancing except by an amount equal to unpaid accrued interest and premium thereon plus other amounts owing or paid related to such Indebtedness, and fees, commissions and expenses (including upfront fees and original issue discount) reasonably incurred, in connection with such refinancing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(h)    other unsecured Indebtedness incurred by the Seller or any of its Subsidiaries on or after the 2020 Closing Date in an aggregate amount not to exceed $[***] at any one time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(i)    Permitted Contingent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(j)    Indebtedness incurred in the ordinary course of business not to exceed $[***] in the aggregate at any time outstanding owed to any Person providing property, casualty, liability, or other insurance to the loan parties, including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(k)    Convertible Bond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(l)    Attributable Indebtedness in respect of Capital Leases incurred pursuant to automobile leases entered into in the ordinary course of business as part of employee compensation for employees based in Europe; provided that the aggregate amount of such Attributable Indebtedness incurred pursuant to this clause (l) shall not exceed $[***] at any one time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(m)    Indebtedness under the OMERS Transaction Agreement; and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(n)    other Indebtedness permitted by the Athyrium Credit Agreement after the Closing Date requested by the Seller in its good faith business judgment, not with the purpose or effect of adversely impacting the Buyer, the Revenue Participation Rights, the Product Rights, the Product Collateral, or the Back-up Security Interest and permitted by the holders of the Indebtedness under the Athyrium Credit Agreement and the Intercreditor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Revenue Participation Rights</w:t>
      </w:r>
      <w:r>
        <w:rPr>
          <w:rFonts w:ascii="Times New Roman" w:hAnsi="Times New Roman"/>
          <w:caps w:val="false"/>
          <w:smallCaps w:val="false"/>
          <w:sz w:val="20"/>
        </w:rPr>
        <w:t>” means, collectively, the 2020 Revenue Participation Right and the 2021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Royalty Payments</w:t>
      </w:r>
      <w:r>
        <w:rPr>
          <w:rFonts w:ascii="Times New Roman" w:hAnsi="Times New Roman"/>
          <w:caps w:val="false"/>
          <w:smallCaps w:val="false"/>
          <w:sz w:val="20"/>
        </w:rPr>
        <w:t>” means, collectively, the 2020 Royalty Payments and the 2021 Royalty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Safety Notices</w:t>
      </w:r>
      <w:r>
        <w:rPr>
          <w:rFonts w:ascii="Times New Roman" w:hAnsi="Times New Roman"/>
          <w:caps w:val="false"/>
          <w:smallCaps w:val="false"/>
          <w:sz w:val="20"/>
        </w:rPr>
        <w:t>” means any recalls, field notifications, market withdrawals, warnings, “dear doctor” letters, investigator notices, safety alerts or other notices of action issued or instigated by the Seller, any of its Affiliates or any Regulatory Authority relating to an alleged lack of safety or regulatory compliance of any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SEC</w:t>
      </w:r>
      <w:r>
        <w:rPr>
          <w:rFonts w:ascii="Times New Roman" w:hAnsi="Times New Roman"/>
          <w:caps w:val="false"/>
          <w:smallCaps w:val="false"/>
          <w:sz w:val="20"/>
        </w:rPr>
        <w:t>” means the Securities and Exchange Commission.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Seller</w:t>
      </w:r>
      <w:r>
        <w:rPr>
          <w:rFonts w:ascii="Times New Roman" w:hAnsi="Times New Roman"/>
          <w:caps w:val="false"/>
          <w:smallCaps w:val="false"/>
          <w:sz w:val="20"/>
        </w:rPr>
        <w:t>” is defined in the preamble. References to the Seller herein (i) shall be deemed to include any assignee of the Seller pursuant to ‎Section 10.4, but (ii) shall not include any Permitted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Seller Certificate</w:t>
      </w:r>
      <w:r>
        <w:rPr>
          <w:rFonts w:ascii="Times New Roman" w:hAnsi="Times New Roman"/>
          <w:caps w:val="false"/>
          <w:smallCaps w:val="false"/>
          <w:sz w:val="20"/>
        </w:rPr>
        <w:t>” is defined in ‎Section 5.1(j).</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Seller Indemnified Parties</w:t>
      </w:r>
      <w:r>
        <w:rPr>
          <w:rFonts w:ascii="Times New Roman" w:hAnsi="Times New Roman"/>
          <w:caps w:val="false"/>
          <w:smallCaps w:val="false"/>
          <w:sz w:val="20"/>
        </w:rPr>
        <w:t xml:space="preserve">” is defined in ‎Section 7.1(b).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Stock Purchase Agreement</w:t>
      </w:r>
      <w:r>
        <w:rPr>
          <w:rFonts w:ascii="Times New Roman" w:hAnsi="Times New Roman"/>
          <w:caps w:val="false"/>
          <w:smallCaps w:val="false"/>
          <w:sz w:val="20"/>
        </w:rPr>
        <w:t>” means that certain Stock Purchase Agreement by and among the Buyer and the Seller, in substantially the form attached hereto as Exhibit D, as amended, amended and restated, supplemented and otherwise modified from time to time in accordance with the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any and all corporations, partnerships, limited liability companies, joint ventures, associations and other entities controlled (by contract or otherwise) by the Seller directly or indirectly through one or more intermediaries. For purposes hereof, the Seller shall be deemed to control a partnership, limited liability company, association or other business entity if the Seller,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 Notwithstanding the foregoing, until discharge of the JPR Indenture pursuant to and in accordance with Section 11.1 thereof, unless expressly provided herein, Subsidiaries of the Seller shall not include JPR Royalty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Swap Contract</w:t>
      </w:r>
      <w:r>
        <w:rPr>
          <w:rFonts w:ascii="Times New Roman" w:hAnsi="Times New Roman"/>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aps w:val="false"/>
          <w:smallCaps w:val="false"/>
          <w:sz w:val="20"/>
          <w:u w:val="single"/>
        </w:rPr>
        <w:t>Master Agreement</w:t>
      </w:r>
      <w:r>
        <w:rPr>
          <w:rFonts w:ascii="Times New Roman" w:hAnsi="Times New Roman"/>
          <w:caps w:val="false"/>
          <w:smallCaps w:val="false"/>
          <w:sz w:val="20"/>
        </w:rPr>
        <w:t>”), including any such obligations or liabilities under any Master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Tax</w:t>
      </w:r>
      <w:r>
        <w:rPr>
          <w:rFonts w:ascii="Times New Roman" w:hAnsi="Times New Roman"/>
          <w:caps w:val="false"/>
          <w:smallCaps w:val="false"/>
          <w:sz w:val="20"/>
        </w:rPr>
        <w:t>” or “</w:t>
      </w:r>
      <w:r>
        <w:rPr>
          <w:rFonts w:ascii="Times New Roman" w:hAnsi="Times New Roman"/>
          <w:caps w:val="false"/>
          <w:smallCaps w:val="false"/>
          <w:sz w:val="20"/>
          <w:u w:val="single"/>
        </w:rPr>
        <w:t>Taxes</w:t>
      </w:r>
      <w:r>
        <w:rPr>
          <w:rFonts w:ascii="Times New Roman" w:hAnsi="Times New Roman"/>
          <w:caps w:val="false"/>
          <w:smallCaps w:val="false"/>
          <w:sz w:val="20"/>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Third Party</w:t>
      </w:r>
      <w:r>
        <w:rPr>
          <w:rFonts w:ascii="Times New Roman" w:hAnsi="Times New Roman"/>
          <w:caps w:val="false"/>
          <w:smallCaps w:val="false"/>
          <w:sz w:val="20"/>
        </w:rPr>
        <w:t>” means any Person that is not the Seller or the Seller’s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Torii License</w:t>
      </w:r>
      <w:r>
        <w:rPr>
          <w:rFonts w:ascii="Times New Roman" w:hAnsi="Times New Roman"/>
          <w:caps w:val="false"/>
          <w:smallCaps w:val="false"/>
          <w:sz w:val="20"/>
        </w:rPr>
        <w:t>” means that certain Commercialization and License Agreement between Torii Pharmaceutical Co., Ltd. and Biocryst Pharmaceuticals, Inc. dated November 5,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UCC</w:t>
      </w:r>
      <w:r>
        <w:rPr>
          <w:rFonts w:ascii="Times New Roman" w:hAnsi="Times New Roman"/>
          <w:caps w:val="false"/>
          <w:smallCaps w:val="false"/>
          <w:sz w:val="20"/>
        </w:rPr>
        <w:t>” means the Uniform Commercial Code as in effect from time to time in the State of New York; provided, that, if, with respect to any financing statement or by reason of any provisions of applicable law, the perfection or the effect of perfection or non-perfection of the back-up security interest or any portion thereof granted pursuant to ‎Section 2.1(c)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Valid Claim</w:t>
      </w:r>
      <w:r>
        <w:rPr>
          <w:rFonts w:ascii="Times New Roman" w:hAnsi="Times New Roman"/>
          <w:caps w:val="false"/>
          <w:smallCaps w:val="false"/>
          <w:sz w:val="20"/>
        </w:rPr>
        <w:t>” means: (a) any claim of an issued and unexpired Patent included within the Patent Rights, that shall not have been withdrawn, lapsed, abandoned, revoked, canceled or disclaimed, or held invalid or unenforceable by a court, Governmental Entity, national or regional patent office or other appropriate body that has competent jurisdiction in a decision being final and unappealable or unappealed within the time allowed for appeal; and (b) a claim of a pending Patent application included within the Patent Rights that is filed and being prosecuted in good faith and that has not been finally abandoned or finally rejected and which has been pending for no more than [***] years from the date of filing of the earliest Patent application to which such pending Patent application claims priority.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Certain Interpretations</w:t>
      </w:r>
      <w:r>
        <w:rPr>
          <w:rFonts w:ascii="Times New Roman" w:hAnsi="Times New Roman"/>
          <w:caps w:val="false"/>
          <w:smallCaps w:val="false"/>
          <w:sz w:val="20"/>
        </w:rPr>
        <w:t>. Except where expressly stated otherwise in this Agreement, the following rules of interpretation apply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“either” and “or” are not exclusive and “include,” “includes” and “including” are not limiting and shall be deemed to be followed by the words “without limitation”;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“extent” in the phrase “to the extent” means the degree to which a subject or other thing extends, and such phrase does not mean simply “if”;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“hereof,” “hereto,” “herein” and “hereunder” and words of similar import when used in this Agreement refer to this Agreement as a whole and not to any particular provision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references to a Person are also to its permitted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except as expressly provided otherwise, definitions are applicable to the singular as well as the plural forms of such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except as expressly provided otherwise, references to an “Article”, “Section” or “Exhibit” refer to an Article or Section of, or an Exhibit to, this Agreement, and references to a “Schedule” refer to the corresponding part of the Disclosure Schedule;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references to “$” or otherwise to dollar amounts refer to the lawful currency of the United States;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references to a law include any amendment or modification to such law and any rules and regulations issued thereunder, whether such amendment or modification is made, or issuance of such rules and regulations occurs, before or after the date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2</w:t>
        <w:br/>
        <w:t>PURCHASE, SALE AND ASSIGNMENT OF THE</w:t>
        <w:br/>
        <w:t>2021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Purchase, Sale and Assignment</w:t>
      </w:r>
      <w:r>
        <w:rPr>
          <w:rFonts w:ascii="Times New Roman" w:hAnsi="Times New Roman"/>
          <w:caps w:val="false"/>
          <w:smallCaps w:val="false"/>
          <w:sz w:val="20"/>
        </w:rPr>
        <w:t>.</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At the Closing and upon the terms and subject to the conditions of this Agreement, the Seller shall sell, transfer, assign and convey to the Buyer, without recourse (except as expressly provided herein), and the Buyer shall purchase, acquire and accept from the Seller, the 2021 Revenue Participation Right, free and clear of all Liens, except for any Lien contemplated under subparts (a), (b), (f), (g), and (k) of the definition of “Permitted Liens”. Immediately upon the sale to the Buyer by the Seller of the 2021 Revenue Participation Right pursuant to this Section 2.1, all of the Seller’s right, title and interest in and to the 2021 Revenue Participation Right shall terminate, and all such right, title and interest shall vest in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It is the intention of the parties hereto that the sale, transfer, assignment and conveyance of the 2021 Revenue Participation Right contemplated by this Agreement be, and is, a true, complete, absolute and irrevocable sale, transfer, assignment and conveyance by the Seller to the Buyer of all of the Seller’s right, title and interest in and to the 2021 Revenue Participation Right. Neither the Seller nor the Buyer intends the transactions contemplated by this Agreement to be, or for any purpose characterized as, a loan from the Buyer to the Seller or a pledge, a security interest, financing transaction or a borrowing. It is the intention of the parties hereto that the beneficial interest in and title to the 2021 Revenue Participation Right and any “proceeds” (as such term is defined in the UCC) thereof shall not be part of the Seller’s estate in the event of the filing of a petition by or against the Seller under any Bankruptcy Laws. The Seller hereby waives, to the maximum extent permitted by applicable law, any right to contest or otherwise assert that this Agreement does not constitute a true, complete, absolute and irrevocable sale, transfer, assignment and conveyance by the Seller to the Buyer of all of the Seller’s right, title and interest in and to the 2021 Revenue Participation Right under applicable Law, which waiver shall, to the maximum extent permitted by applicable Law, be enforceable against the Seller in any bankruptcy or insolvency proceeding relating to the Seller. Accordingly, the Seller shall treat the sale, transfer, assignment and conveyance of the 2021 Revenue Participation Right as a sale of “accounts” or “payment intangibles” (as appropriate) in accordance with the UCC, and the Seller hereby authorizes the Buyer to file financing statements or any amendments to financing statements previously filed by the Buyer pursuant to the 2020 Agreement (and continuation statements with respect to such financing statements when applicable) naming the Seller as the debtor and the Buyer as the secured party in respect to the Revenue Participation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Not in derogation of the foregoing statement of the intent of the parties hereto, and for the purposes of providing additional assurance to the Buyer in the event that, despite the intent of the parties hereto, the sale, transfer, assignment and conveyance of the 2020 Revenue Participation Right or the 2021 Revenue Participation Right is hereafter held not to be a sale, the Seller does hereby: (x) grant to the Buyer, as security for the payment of amounts to the Buyer equal to (a) with respect to the 2020 Revenue Participation Right, the Purchase Price (as defined in the 2020 Agreement) (plus a market rate of return thereon) less all 2020 Royalty Payments received by the Buyer pursuant to any of the 2020 Agreement and this Agreement plus (b) with respect to the 2021 Revenue Participation Right, the Purchase Price (as defined herein) (plus a market rate of return thereon) less all 2021 Royalty Payments received by the Buyer pursuant to this Agreement, a security interest in and to all right, title and interest in, to and under the Revenue Participation Rights, the Royalty Payments, and the Product Collateral (clause (x), the “</w:t>
      </w:r>
      <w:r>
        <w:rPr>
          <w:rFonts w:ascii="Times New Roman" w:hAnsi="Times New Roman"/>
          <w:caps w:val="false"/>
          <w:smallCaps w:val="false"/>
          <w:sz w:val="20"/>
          <w:u w:val="single"/>
        </w:rPr>
        <w:t>Back-Up Security Interest</w:t>
      </w:r>
      <w:r>
        <w:rPr>
          <w:rFonts w:ascii="Times New Roman" w:hAnsi="Times New Roman"/>
          <w:caps w:val="false"/>
          <w:smallCaps w:val="false"/>
          <w:sz w:val="20"/>
        </w:rPr>
        <w:t>”); (y) authorize the Buyer, from and after the Closing, to file such financing statements, or any amendments to financing statements previously filed by the Buyer pursuant to the 2020 Agreement, and continuation statements with respect to such financing statements when applicable, in such manner and such jurisdictions as are necessary or appropriate to perfect the Back-Up Security Interest and (z) ratify the filing by the Buyer of any financing statements and amendments thereto that have previously been made, and reaffirms, ratifies and confirms all grants of security interests and Liens (and acknowledges that such are continuing) in favor of the Buyer under the 2020 Agreement, as modified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Purchase Price</w:t>
      </w:r>
      <w:r>
        <w:rPr>
          <w:rFonts w:ascii="Times New Roman" w:hAnsi="Times New Roman"/>
          <w:caps w:val="false"/>
          <w:smallCaps w:val="false"/>
          <w:sz w:val="20"/>
        </w:rPr>
        <w:t>. At the Closing and upon the terms and subject to the conditions of this Agreement, the purchase price to be paid as consideration to the Seller for the sale, transfer, assignment and conveyance of the 2021 Revenue Participation Right to the Buyer is One Hundred Fifty Million Dollars ($150,000,000) in cash (the “</w:t>
      </w:r>
      <w:r>
        <w:rPr>
          <w:rFonts w:ascii="Times New Roman" w:hAnsi="Times New Roman"/>
          <w:caps w:val="false"/>
          <w:smallCaps w:val="false"/>
          <w:sz w:val="20"/>
          <w:u w:val="single"/>
        </w:rPr>
        <w:t>Purchase Price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2.3    </w:t>
      </w:r>
      <w:r>
        <w:rPr>
          <w:rFonts w:ascii="Times New Roman" w:hAnsi="Times New Roman"/>
          <w:caps w:val="false"/>
          <w:smallCaps w:val="false"/>
          <w:sz w:val="20"/>
          <w:u w:val="single"/>
        </w:rPr>
        <w:t>No Assumed Obligations, Etc.</w:t>
      </w:r>
      <w:r>
        <w:rPr>
          <w:rFonts w:ascii="Times New Roman" w:hAnsi="Times New Roman"/>
          <w:caps w:val="false"/>
          <w:smallCaps w:val="false"/>
          <w:sz w:val="20"/>
        </w:rPr>
        <w:t> Notwithstanding any provision in this Agreement to the contrary, the Buyer is only agreeing, on the terms and conditions set forth in this Agreement, to purchase, acquire and accept the 2021 Revenue Participation Right and is not assuming any liability or obligation of the Seller of whatever nature, whether presently in existence or arising or asserted 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CLOSING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3.1    </w:t>
      </w:r>
      <w:r>
        <w:rPr>
          <w:rFonts w:ascii="Times New Roman" w:hAnsi="Times New Roman"/>
          <w:caps w:val="false"/>
          <w:smallCaps w:val="false"/>
          <w:sz w:val="20"/>
          <w:u w:val="single"/>
        </w:rPr>
        <w:t>Closing</w:t>
      </w:r>
      <w:r>
        <w:rPr>
          <w:rFonts w:ascii="Times New Roman" w:hAnsi="Times New Roman"/>
          <w:caps w:val="false"/>
          <w:smallCaps w:val="false"/>
          <w:sz w:val="20"/>
        </w:rPr>
        <w:t>. Subject to the satisfaction of the conditions set forth in ‎ARTICLE 5, the Closing shall take place remotely via the exchange of documents and signatures on the date hereof, subject to the satisfaction or waiver of the conditions set forth in ‎ARTICLE 5 (other than those conditions that by their nature are to be satisfied at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3.2    </w:t>
      </w:r>
      <w:r>
        <w:rPr>
          <w:rFonts w:ascii="Times New Roman" w:hAnsi="Times New Roman"/>
          <w:caps w:val="false"/>
          <w:smallCaps w:val="false"/>
          <w:sz w:val="20"/>
          <w:u w:val="single"/>
        </w:rPr>
        <w:t>Payment of Purchase Price</w:t>
      </w:r>
      <w:r>
        <w:rPr>
          <w:rFonts w:ascii="Times New Roman" w:hAnsi="Times New Roman"/>
          <w:caps w:val="false"/>
          <w:smallCaps w:val="false"/>
          <w:sz w:val="20"/>
        </w:rPr>
        <w:t>. At the Closing, the Buyer shall deliver (or cause to be delivered) payment of the Purchase Price to the Seller by electronic funds transfer or wire transfer of immediately available funds to one or more accounts specified by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3.3    </w:t>
      </w:r>
      <w:r>
        <w:rPr>
          <w:rFonts w:ascii="Times New Roman" w:hAnsi="Times New Roman"/>
          <w:caps w:val="false"/>
          <w:smallCaps w:val="false"/>
          <w:sz w:val="20"/>
          <w:u w:val="single"/>
        </w:rPr>
        <w:t>Bill of Sale</w:t>
      </w:r>
      <w:r>
        <w:rPr>
          <w:rFonts w:ascii="Times New Roman" w:hAnsi="Times New Roman"/>
          <w:caps w:val="false"/>
          <w:smallCaps w:val="false"/>
          <w:sz w:val="20"/>
        </w:rPr>
        <w:t>. At the Closing, upon confirmation of the receipt of the Purchase Price, the Seller shall deliver to the Buyer a duly executed bill of sale evidencing the sale, transfer, assignment and conveyance of the 2021 Revenue Participation Right in form attached hereto as Exhibit 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REPRESENTATIONS AND WARRANTIES</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4.1    </w:t>
      </w:r>
      <w:r>
        <w:rPr>
          <w:rFonts w:ascii="Times New Roman" w:hAnsi="Times New Roman"/>
          <w:caps w:val="false"/>
          <w:smallCaps w:val="false"/>
          <w:sz w:val="20"/>
          <w:u w:val="single"/>
        </w:rPr>
        <w:t>Seller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r>
        <w:rPr>
          <w:rFonts w:ascii="Times New Roman" w:hAnsi="Times New Roman"/>
          <w:caps w:val="false"/>
          <w:smallCaps w:val="false"/>
          <w:sz w:val="20"/>
        </w:rPr>
        <w:t>. Except as set forth on the Disclosure Schedule attached hereto, the Seller represents and warrants to the Buyer that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Existence; Good Standing</w:t>
      </w:r>
      <w:r>
        <w:rPr>
          <w:rFonts w:ascii="Times New Roman" w:hAnsi="Times New Roman"/>
          <w:caps w:val="false"/>
          <w:smallCaps w:val="false"/>
          <w:sz w:val="20"/>
        </w:rPr>
        <w:t>. The Seller is a corporation duly incorporated, validly existing and in good standing under the laws of the State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Authorization</w:t>
      </w:r>
      <w:r>
        <w:rPr>
          <w:rFonts w:ascii="Times New Roman" w:hAnsi="Times New Roman"/>
          <w:caps w:val="false"/>
          <w:smallCaps w:val="false"/>
          <w:sz w:val="20"/>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Enforceability</w:t>
      </w:r>
      <w:r>
        <w:rPr>
          <w:rFonts w:ascii="Times New Roman" w:hAnsi="Times New Roman"/>
          <w:caps w:val="false"/>
          <w:smallCaps w:val="false"/>
          <w:sz w:val="20"/>
        </w:rPr>
        <w:t>. This Agreement has been duly executed and delivered by an authorized officer of the Seller and constitutes the valid and binding obligation of the Seller, enforceable against the Seller in accordance with its terms, except as may be limited by applicable Bankruptcy Laws or by general principles of equity (whether considered in a proceeding in equity or at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by the Seller of this Agreement and the consummation of the transactions contemplated hereby and thereby do not and will not (i) contravene or conflict with the certificate of incorporation or bylaws of the Seller, (ii) contravene or conflict with or constitute a material default under any law binding upon or applicable to the Seller or the 2021 Revenue Participation Right or (iii) contravene or conflict with or constitute a material default under any material agreement or Judgment binding upon or applicable to the Seller or the 2021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Consents</w:t>
      </w:r>
      <w:r>
        <w:rPr>
          <w:rFonts w:ascii="Times New Roman" w:hAnsi="Times New Roman"/>
          <w:caps w:val="false"/>
          <w:smallCaps w:val="false"/>
          <w:sz w:val="20"/>
        </w:rPr>
        <w:t>. Except for the consents that have been obtained on or prior to the Closing, the UCC financing statements contemplated by Section 2.1, or any filings required by the federal securities laws or stock exchange rules, no consent, approval, license, order, authorization, registration, declaration or filing with or of any Governmental Entity or other Person is required to be done or obtained by the Seller in connection with (i) the execution and delivery by the Seller of this Agreement, (ii) the performance by the Seller of its obligations under this Agreement or (iii) the consummation by the Seller of any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 Litigation</w:t>
      </w:r>
      <w:r>
        <w:rPr>
          <w:rFonts w:ascii="Times New Roman" w:hAnsi="Times New Roman"/>
          <w:caps w:val="false"/>
          <w:smallCaps w:val="false"/>
          <w:sz w:val="20"/>
        </w:rPr>
        <w:t>. Neither the Seller nor any of its Subsidiaries is a party to, and has not received any written notice of, any action, suit, investigation or proceeding pending before any Governmental Entity and, to the Knowledge of the Seller, no such action, suit, investigation or proceeding has been threatened against the Seller, that, individually or in the aggregate, has had or would, if determined adversely,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Compliance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    All applications, submissions, information and data related to a Product submitted or utilized as the basis for any request to any Regulatory Authority by or on behalf of the Seller were true and correct in all material respects as of the date of such submission or request, and, to the Knowledge of the Seller any material updates, changes, corrections or modification to such applications, submissions, information or data required under applicable laws or regulations have been submitted to the necessary Regulatory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    Neither the Seller nor any of its Subsidiaries has committed any act, made any statement or failed to make any statement that would reasonably be expected to provide a basis for the FDA or EMA to invoke its policy with respect to “Fraud, Untrue Statements of Material Facts, Bribery, and Illegal Gratuities”, 56 Fed. Reg. 46191 (September 10, 1991) (the “</w:t>
      </w:r>
      <w:r>
        <w:rPr>
          <w:rFonts w:ascii="Times New Roman" w:hAnsi="Times New Roman"/>
          <w:caps w:val="false"/>
          <w:smallCaps w:val="false"/>
          <w:sz w:val="20"/>
          <w:u w:val="single"/>
        </w:rPr>
        <w:t>FDA Application Integrity Policy</w:t>
      </w:r>
      <w:r>
        <w:rPr>
          <w:rFonts w:ascii="Times New Roman" w:hAnsi="Times New Roman"/>
          <w:caps w:val="false"/>
          <w:smallCaps w:val="false"/>
          <w:sz w:val="20"/>
        </w:rPr>
        <w:t>”) and any amendments thereto, or any similar policies by FDA or any other Regulatory Authority, set forth in any applicable laws or regulations. Neither the Seller, nor to the Knowledge of the Seller, any of its officers, employees, contractors or agents is the subject of any pending or, to the Knowledge of the Seller, threatened investigation by FDA or any other Regulatory Authority that could reasonably result in the invocation of the FDA Application Integrity Policy or any similar policy by any Regulatory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(iii)    The Seller has provided to the Buyer prior to the date hereof in a data room available to the Buyer true and correct copies or summaries of all material written communications sent or received by the Seller and any of its Affiliates to or from any Regulatory Authorities that relate to each Product since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(iv)    None of the Seller, any of its Subsidiaries and, to the Seller’s Knowledge, any Third Party manufacturer of any Product, has received from the FDA a “Warning Letter”, Form FDA-483, “Untitled Letter,” or similar material written correspondence or notice alleging violations of applicable laws and regulations enforced by the FDA, or any comparable material written correspondence from any other Regulatory Authority with regard to either Product or the manufacture, processing, packaging or holding thereof, the subject of which communication is unresolved and if determined adversely to the Seller or such Subsidiary would, individually or in the aggregate, reasonably be expected to result 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    Since [***], (A) there have been no Safety Notices, (B) to the Seller’s Knowledge, there are no unresolved material product complaints with respect to any Product, which would result in a Material Adverse Effect, and (C) to the Seller’s knowledge, there are no facts currently in existence that would, individually or in the aggregate, reasonably be expected to result in (1) a material Safety Notice with respect to any Product, or (2) a material change in the labeling of any Product. Since [***], neither the Seller nor any of its Subsidiaries has experienced any significant failures in the manufacturing of any Product for clinical use or commercial sale that have not been resolved, or that would, individually or in the aggregate, have had or would reasonably be expected to result in, if such failure occurred again,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    The Seller possesses all Marketing Approvals and material permits, licenses, registrations, certificates, authorizations, orders and approvals from the appropriate federal, state or foreign regulatory authorities necessary to conduct its business, including all such material permits, licenses, registrations, certificates, authorizations, orders and approvals required by the FDA or any other Regulatory Authority (collectively, “</w:t>
      </w:r>
      <w:r>
        <w:rPr>
          <w:rFonts w:ascii="Times New Roman" w:hAnsi="Times New Roman"/>
          <w:caps w:val="false"/>
          <w:smallCaps w:val="false"/>
          <w:sz w:val="20"/>
          <w:u w:val="single"/>
        </w:rPr>
        <w:t>Permits</w:t>
      </w:r>
      <w:r>
        <w:rPr>
          <w:rFonts w:ascii="Times New Roman" w:hAnsi="Times New Roman"/>
          <w:caps w:val="false"/>
          <w:smallCaps w:val="false"/>
          <w:sz w:val="20"/>
        </w:rPr>
        <w:t>”). The Seller has not received any written notice of proceedings relating to the suspension, modification, revocation or cancellation of any Permit. Neither the Seller nor, to the Knowledge of the Seller, any officer, employee or agent of the Seller has been convicted of any crime or engaged in any conduct that has previously caused or would reasonably be expected to result in (A) disqualification or debarment by the FDA under 21 U.S.C. Sections 335(a) or (b), or any similar law, rule or regulation of any other governmental entities, (B) debarment, suspension, or exclusion under any federal healthcare programs or by the General Services Administration, or (C) exclusion under 42 U.S.C. Section 1320a-7 or any similar law, rule or regulation administered by any Regulatory Authority. To the Knowledge of the Seller, neither the Seller nor any of its officers, employees,any of its contractors or agents has made an untrue statement of material fact on, or material omissions from, any notifications, applications, approvals, reports and other submissions to FDA or any similar Regulatory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(vii)    The Seller is and has been in compliance with all applicable laws administered or issued by the FDA or any similar Regulatory Authority, including the Federal Food, Drug, and Cosmetic Act, applicable requirements in FDA regulations, and any orders issued by FDA or similar Regulatory Authorities, and all other laws regarding ownership, developing, testing, manufacturing, packaging, storage, import, export, disposal, marketing, distributing, promoting, and complaint handling or adverse event reporting for the products of the Seller, except to the extent that such failure to comply with such applicable laws would not reasonably be expected to result 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Licenses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In-Licenses</w:t>
      </w:r>
      <w:r>
        <w:rPr>
          <w:rFonts w:ascii="Times New Roman" w:hAnsi="Times New Roman"/>
          <w:caps w:val="false"/>
          <w:smallCaps w:val="false"/>
          <w:sz w:val="20"/>
        </w:rPr>
        <w:t>. There are no In-Licenses.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Out-Licenses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w:t>
      </w:r>
      <w:r>
        <w:rPr>
          <w:rFonts w:ascii="Times New Roman" w:hAnsi="Times New Roman"/>
          <w:caps w:val="false"/>
          <w:smallCaps w:val="false"/>
          <w:sz w:val="20"/>
        </w:rPr>
        <w:t> </w:t>
      </w:r>
      <w:r>
        <w:rPr>
          <w:rFonts w:ascii="Times New Roman" w:hAnsi="Times New Roman"/>
          <w:caps w:val="false"/>
          <w:smallCaps w:val="false"/>
          <w:sz w:val="20"/>
          <w:u w:val="single"/>
        </w:rPr>
        <w:t>4.1(h)(ii)</w:t>
      </w:r>
      <w:r>
        <w:rPr>
          <w:rFonts w:ascii="Times New Roman" w:hAnsi="Times New Roman"/>
          <w:caps w:val="false"/>
          <w:smallCaps w:val="false"/>
          <w:sz w:val="20"/>
        </w:rPr>
        <w:t xml:space="preserve"> of the Disclosure Schedule, there are no Out-Licenses (any Out-License set forth on </w:t>
      </w:r>
      <w:r>
        <w:rPr>
          <w:rFonts w:ascii="Times New Roman" w:hAnsi="Times New Roman"/>
          <w:caps w:val="false"/>
          <w:smallCaps w:val="false"/>
          <w:sz w:val="20"/>
          <w:u w:val="single"/>
        </w:rPr>
        <w:t>Schedule</w:t>
      </w:r>
      <w:r>
        <w:rPr>
          <w:rFonts w:ascii="Times New Roman" w:hAnsi="Times New Roman"/>
          <w:caps w:val="false"/>
          <w:smallCaps w:val="false"/>
          <w:sz w:val="20"/>
        </w:rPr>
        <w:t> </w:t>
      </w:r>
      <w:r>
        <w:rPr>
          <w:rFonts w:ascii="Times New Roman" w:hAnsi="Times New Roman"/>
          <w:caps w:val="false"/>
          <w:smallCaps w:val="false"/>
          <w:sz w:val="20"/>
          <w:u w:val="single"/>
        </w:rPr>
        <w:t>4.1(h)(ii)</w:t>
      </w:r>
      <w:r>
        <w:rPr>
          <w:rFonts w:ascii="Times New Roman" w:hAnsi="Times New Roman"/>
          <w:caps w:val="false"/>
          <w:smallCaps w:val="false"/>
          <w:sz w:val="20"/>
        </w:rPr>
        <w:t xml:space="preserve"> of the Disclosure Schedule, an “</w:t>
      </w:r>
      <w:r>
        <w:rPr>
          <w:rFonts w:ascii="Times New Roman" w:hAnsi="Times New Roman"/>
          <w:caps w:val="false"/>
          <w:smallCaps w:val="false"/>
          <w:sz w:val="20"/>
          <w:u w:val="single"/>
        </w:rPr>
        <w:t>Existing Out-License</w:t>
      </w:r>
      <w:r>
        <w:rPr>
          <w:rFonts w:ascii="Times New Roman" w:hAnsi="Times New Roman"/>
          <w:caps w:val="false"/>
          <w:smallCaps w:val="false"/>
          <w:sz w:val="20"/>
        </w:rPr>
        <w:t>”). A true, correct and complete copy of each Existing Out</w:t>
        <w:noBreakHyphen/>
        <w:t>License has been provided to the Buyer by the Seller in a data room available to the Buyer. Neither the Seller nor the respective counterparty thereto has made or entered into any amendment, supplement or modification to, or granted any waiver under any provision of any Existing Out</w:t>
        <w:noBreakHyphen/>
        <w: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Validity and Enforceability of Out-Licenses</w:t>
      </w:r>
      <w:r>
        <w:rPr>
          <w:rFonts w:ascii="Times New Roman" w:hAnsi="Times New Roman"/>
          <w:caps w:val="false"/>
          <w:smallCaps w:val="false"/>
          <w:sz w:val="20"/>
        </w:rPr>
        <w:t>. Each Existing Out-License is a valid and binding obligation of the Seller and the counterparty thereto. To the Knowledge of the Seller, each Existing Out-License is enforceable against each counterparty thereto in accordance with its terms except as may be limited by applicable Bankruptcy Laws or by general principles of equity (whether considered in a proceeding in equity or at law). The Seller has not received any written notice in connection with any Existing Out-License challenging the validity, enforceability or interpretation of any provision of such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No Termination</w:t>
      </w:r>
      <w:r>
        <w:rPr>
          <w:rFonts w:ascii="Times New Roman" w:hAnsi="Times New Roman"/>
          <w:caps w:val="false"/>
          <w:smallCaps w:val="false"/>
          <w:sz w:val="20"/>
        </w:rPr>
        <w:t>. The Seller has not (A) given notice to a counterparty of the termination of any Existing Out-License (whether in whole or in part) or any notice to a counterparty expressing any intention or desire to terminate any Existing Out-License or (B) received from a counterparty thereto any written notice of termination of any Existing Out-License (whether in whole or in part) or any written notice from a counterparty expressing any intention or desire to terminate any Existing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No Breaches or Defaults</w:t>
      </w:r>
      <w:r>
        <w:rPr>
          <w:rFonts w:ascii="Times New Roman" w:hAnsi="Times New Roman"/>
          <w:caps w:val="false"/>
          <w:smallCaps w:val="false"/>
          <w:sz w:val="20"/>
        </w:rPr>
        <w:t>. There is and has been no material breach or default under any provision of any Existing Out-License either by the Seller or, to the Knowledge of the Seller, by the respective counterparty (or any predecessor thereof) thereto, and there is no event that upon notice or the passage of time, or both, would reasonably be expected to give rise to any breach or default either by the Seller or, to the Knowledge of the Seller, by the respective counterparty to such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Payments Made</w:t>
      </w:r>
      <w:r>
        <w:rPr>
          <w:rFonts w:ascii="Times New Roman" w:hAnsi="Times New Roman"/>
          <w:caps w:val="false"/>
          <w:smallCaps w:val="false"/>
          <w:sz w:val="20"/>
        </w:rPr>
        <w:t>. The respective counterparty of each Existing Out-License has made all payments to the Seller required under each Existing Out</w:t>
        <w:noBreakHyphen/>
        <w:t>License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z w:val="20"/>
          <w:u w:val="single"/>
        </w:rPr>
        <w:t>No Assignments</w:t>
      </w:r>
      <w:r>
        <w:rPr>
          <w:rFonts w:ascii="Times New Roman" w:hAnsi="Times New Roman"/>
          <w:caps w:val="false"/>
          <w:smallCaps w:val="false"/>
          <w:sz w:val="20"/>
        </w:rPr>
        <w:t>. The Seller has not consented to any assignment by the counterparty to any Existing Out-License of any of its rights or obligations under any such Existing Out-License and, to the Knowledge of the Seller, the counterparty has not assigned any of its rights or obligations under any such Existing Out-License to any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(viii)    </w:t>
      </w:r>
      <w:r>
        <w:rPr>
          <w:rFonts w:ascii="Times New Roman" w:hAnsi="Times New Roman"/>
          <w:caps w:val="false"/>
          <w:smallCaps w:val="false"/>
          <w:sz w:val="20"/>
          <w:u w:val="single"/>
        </w:rPr>
        <w:t>No Indemnification Claims</w:t>
      </w:r>
      <w:r>
        <w:rPr>
          <w:rFonts w:ascii="Times New Roman" w:hAnsi="Times New Roman"/>
          <w:caps w:val="false"/>
          <w:smallCaps w:val="false"/>
          <w:sz w:val="20"/>
        </w:rPr>
        <w:t>. The Seller has not notified any Person of any claims for indemnification under any Existing Out-License nor has the Seller received any claims for indemnification under any Existing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(ix)    </w:t>
      </w:r>
      <w:r>
        <w:rPr>
          <w:rFonts w:ascii="Times New Roman" w:hAnsi="Times New Roman"/>
          <w:caps w:val="false"/>
          <w:smallCaps w:val="false"/>
          <w:sz w:val="20"/>
          <w:u w:val="single"/>
        </w:rPr>
        <w:t>No Infringement</w:t>
      </w:r>
      <w:r>
        <w:rPr>
          <w:rFonts w:ascii="Times New Roman" w:hAnsi="Times New Roman"/>
          <w:caps w:val="false"/>
          <w:smallCaps w:val="false"/>
          <w:sz w:val="20"/>
        </w:rPr>
        <w:t>. Neither the Seller nor any of its Subsidiaries has received any written notice from, or given any written notice to, any counterparty to any Existing Out-License regarding any infringement of any of the Existing Patent Rights licensed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No Liens; Title to 2021 Revenue Participation Right</w:t>
      </w:r>
      <w:r>
        <w:rPr>
          <w:rFonts w:ascii="Times New Roman" w:hAnsi="Times New Roman"/>
          <w:caps w:val="false"/>
          <w:smallCaps w:val="false"/>
          <w:sz w:val="20"/>
        </w:rPr>
        <w:t>. None of the property or assets, in each case, that specifically relate to the Products, including Intellectual Property Rights, of the Seller or any of its Subsidiaries is subject to any Lien, except for a Permitted Lien. Upon the Closing, the Buyer will have acquired, subject to the terms and conditions set forth in this Agreement, good and marketable title to the 2021 Revenue Participation Right, free and clear of all Liens, except for a Lien contemplated by subparts (a), (b), (e), (f), (g), (k), and (o) of the definition of “Permitted Liens”.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Manufacturing; Supply</w:t>
      </w:r>
      <w:r>
        <w:rPr>
          <w:rFonts w:ascii="Times New Roman" w:hAnsi="Times New Roman"/>
          <w:caps w:val="false"/>
          <w:smallCaps w:val="false"/>
          <w:sz w:val="20"/>
        </w:rPr>
        <w:t>. All Products have, since [***], been manufactured, transported, stored and handled in all material respects in accordance with applicable law and with good manufacturing practices. Since [***], neither the Seller nor any Affiliate of the Seller has experienced any significant failures in the manufacturing or supply of any Product that, individually or in the aggregate, have had or would reasonably be expected to result in, if such failure occurred again, a Material Adverse Effect. The Seller has on hand or has made adequate provisions to secure sufficient clinical quantities of Products to complete all clinical trials and all activities required for Marketing Approvals, in each case, that are ongoing or planned as of the date hereof. The Seller has on hand or has made adequate provisions to secure sufficient quantities of Orladeyo to support the commercial launch, and commercialization, of Orladeyo in the Direct Sales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Intellectual Property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Schedule 4.1(k)(i)(A)</w:t>
      </w:r>
      <w:r>
        <w:rPr>
          <w:rFonts w:ascii="Times New Roman" w:hAnsi="Times New Roman"/>
          <w:caps w:val="false"/>
          <w:smallCaps w:val="false"/>
          <w:sz w:val="20"/>
        </w:rPr>
        <w:t xml:space="preserve"> of the Disclosure Schedule lists all of the currently existing Patents included within the Patent Rights (the “</w:t>
      </w:r>
      <w:r>
        <w:rPr>
          <w:rFonts w:ascii="Times New Roman" w:hAnsi="Times New Roman"/>
          <w:caps w:val="false"/>
          <w:smallCaps w:val="false"/>
          <w:sz w:val="20"/>
          <w:u w:val="single"/>
        </w:rPr>
        <w:t>Existing Patent Rights</w:t>
      </w:r>
      <w:r>
        <w:rPr>
          <w:rFonts w:ascii="Times New Roman" w:hAnsi="Times New Roman"/>
          <w:caps w:val="false"/>
          <w:smallCaps w:val="false"/>
          <w:sz w:val="20"/>
        </w:rPr>
        <w:t xml:space="preserve">”). The Seller is the sole and exclusive owner of all of the Existing Patent Rights. </w:t>
      </w:r>
      <w:r>
        <w:rPr>
          <w:rFonts w:ascii="Times New Roman" w:hAnsi="Times New Roman"/>
          <w:caps w:val="false"/>
          <w:smallCaps w:val="false"/>
          <w:sz w:val="20"/>
          <w:u w:val="single"/>
        </w:rPr>
        <w:t>Schedule 4.1(k)(i)(A)</w:t>
      </w:r>
      <w:r>
        <w:rPr>
          <w:rFonts w:ascii="Times New Roman" w:hAnsi="Times New Roman"/>
          <w:caps w:val="false"/>
          <w:smallCaps w:val="false"/>
          <w:sz w:val="20"/>
        </w:rPr>
        <w:t xml:space="preserve"> of the Disclosure Schedule specifies as to each listed patent or patent application the jurisdictions by or in which each such patent has issued as a patent or such patent application has been filed, including the respective patent or application numbers.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Neither Seller nor any of its Subsidiaries is a party to any pending and, to the Knowledge of the Seller, there is no threatened, litigation, interference, reexamination, opposition or like procedure involving any of the Existing Patent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    All of the issued patents within the Existing Patent Rights are (A) to the Knowledge of the Seller, valid and enforceable, and (B) in full force and effect. None of the issued patents within the Existing Patent Rights have lapsed, expired or otherwise terminated. Neither Seller nor any of its Subsidiaries has received any written notice relating to the lapse, expiration or other termination of any of the issued patents within the Existing Patent Rights, and neither Seller nor its Subsidiaries has received any written legal opinion that alleges that, an issued patent within any of the Existing Patent Rights is invalid or unenforceable.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(iv)    Neither Seller nor any of its Subsidiaries has received any written notice that there is any, and, to the Knowledge of the Seller, there is no, Person who is or claims to be an inventor under any of the Existing Patent Rights who is not a named inventor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    Neither Seller nor its Affiliates has received any written notice of any claim by any Person challenging the inventorship or ownership of, the rights of the Seller in and to, or the patentability, validity or enforceability of, any of the Existing Patent Rights, or asserting that the development, manufacture, importation, sale, offer for sale or use of the Product infringes, misappropriates or otherwise violates or will infringe, misappropriate or otherwise violate such Person’s Patents or other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    To the Knowledge of the Seller, the discovery, development manufacture, importation, sale, offer for sale or use of each Product, in each case in the form such Product exists as of the date hereof and as such activity is currently contemplated by the Seller, has not and will not, infringe, misappropriate or otherwise violate any Patents or other intellectual property rights owned by any Third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    To the Knowledge of the Seller, no Person has infringed, misappropriated or otherwise violated, or is infringing, misappropriating or otherwise violating, any of the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(viii)    The Seller has paid all maintenance fees, annuities and like payments required as of the date hereof with respect to each of the Existing Patent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Indebtedness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4.1(l)</w:t>
      </w:r>
      <w:r>
        <w:rPr>
          <w:rFonts w:ascii="Times New Roman" w:hAnsi="Times New Roman"/>
          <w:caps w:val="false"/>
          <w:smallCaps w:val="false"/>
          <w:sz w:val="20"/>
        </w:rPr>
        <w:t xml:space="preserve"> sets forth a complete list of the outstanding Indebtedness of the Seller and its Subsidiaries in excess of $[***] in the aggregate. Since the 2020 Closing Date, the Seller and its Subsidiaries have not incurred any Indebtedness other than Permitted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Foreign Corrupt Practices Act</w:t>
      </w:r>
      <w:r>
        <w:rPr>
          <w:rFonts w:ascii="Times New Roman" w:hAnsi="Times New Roman"/>
          <w:caps w:val="false"/>
          <w:smallCaps w:val="false"/>
          <w:sz w:val="20"/>
        </w:rPr>
        <w:t>. Neither the Seller nor, to the Knowledge of Seller, any of its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hAnsi="Times New Roman"/>
          <w:caps w:val="false"/>
          <w:smallCaps w:val="false"/>
          <w:sz w:val="20"/>
          <w:u w:val="single"/>
        </w:rPr>
        <w:t>FCPA</w:t>
      </w:r>
      <w:r>
        <w:rPr>
          <w:rFonts w:ascii="Times New Roman" w:hAnsi="Times New Roman"/>
          <w:caps w:val="false"/>
          <w:smallCaps w:val="false"/>
          <w:sz w:val="20"/>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Seller or any of its Affiliates in obtaining or retaining business for or with, or directing business to, any person. Neither the Seller nor, to the Knowledge of Seller, any of its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Subsidiaries to maintain, systems of internal controls (including, but not limited to, accounting systems, purchasing systems and billing systems) and written policies designed to ensure compliance with the FCPA or any other applicable anti-bribery or anti-corruption law, and designed to ensure that all books and records of the Seller accurately and fairly reflect, in reasonable detail, all transactions and dispositions of funds and assets. To the Knowledge of the Seller, neither the Seller nor any of its officers, directors or employees are the subject of any allegation, voluntary disclosure, investigation, prosecution or other enforcement action related to the FCPA or any other anti-corruption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Lien Related Representation and Warranties</w:t>
      </w:r>
      <w:r>
        <w:rPr>
          <w:rFonts w:ascii="Times New Roman" w:hAnsi="Times New Roman"/>
          <w:caps w:val="false"/>
          <w:smallCaps w:val="false"/>
          <w:sz w:val="20"/>
        </w:rPr>
        <w:t>. The Seller’s exact legal name is, and for the immediately preceding five (5) years has been, “BioCryst Pharmaceuticals, Inc.” The Seller is, and for the prior five (5) years has been, incorporated in the State of Delaware.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Brokers</w:t>
      </w:r>
      <w:r>
        <w:rPr>
          <w:rFonts w:ascii="Times New Roman" w:hAnsi="Times New Roman"/>
          <w:caps w:val="false"/>
          <w:smallCaps w:val="false"/>
          <w:sz w:val="20"/>
        </w:rPr>
        <w:t>’</w:t>
      </w:r>
      <w:r>
        <w:rPr>
          <w:rFonts w:ascii="Times New Roman" w:hAnsi="Times New Roman"/>
          <w:caps w:val="false"/>
          <w:smallCaps w:val="false"/>
          <w:sz w:val="20"/>
          <w:u w:val="single"/>
        </w:rPr>
        <w:t xml:space="preserve"> Fees</w:t>
      </w:r>
      <w:r>
        <w:rPr>
          <w:rFonts w:ascii="Times New Roman" w:hAnsi="Times New Roman"/>
          <w:caps w:val="false"/>
          <w:smallCaps w:val="false"/>
          <w:sz w:val="20"/>
        </w:rPr>
        <w:t>. Except for Cowen Inc., there is no investment banker, broker, finder, financial advisor or other intermediary who has been retained by or is authorized to act on behalf of the Seller who might be entitled to any fee or commission in connection with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4.2    </w:t>
      </w:r>
      <w:r>
        <w:rPr>
          <w:rFonts w:ascii="Times New Roman" w:hAnsi="Times New Roman"/>
          <w:caps w:val="false"/>
          <w:smallCaps w:val="false"/>
          <w:sz w:val="20"/>
          <w:u w:val="single"/>
        </w:rPr>
        <w:t>Buyer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r>
        <w:rPr>
          <w:rFonts w:ascii="Times New Roman" w:hAnsi="Times New Roman"/>
          <w:caps w:val="false"/>
          <w:smallCaps w:val="false"/>
          <w:sz w:val="20"/>
        </w:rPr>
        <w:t>. The Buyer hereby represents and warrants to the Seller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Existence; Good Standing</w:t>
      </w:r>
      <w:r>
        <w:rPr>
          <w:rFonts w:ascii="Times New Roman" w:hAnsi="Times New Roman"/>
          <w:caps w:val="false"/>
          <w:smallCaps w:val="false"/>
          <w:sz w:val="20"/>
        </w:rPr>
        <w:t>. The Buyer is a statutory trust duly organized, validly existing and in good standing under the laws of the State of Delaware.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Authorization</w:t>
      </w:r>
      <w:r>
        <w:rPr>
          <w:rFonts w:ascii="Times New Roman" w:hAnsi="Times New Roman"/>
          <w:caps w:val="false"/>
          <w:smallCaps w:val="false"/>
          <w:sz w:val="20"/>
        </w:rPr>
        <w:t>. The Buyer has the requisite trust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Enforceability</w:t>
      </w:r>
      <w:r>
        <w:rPr>
          <w:rFonts w:ascii="Times New Roman" w:hAnsi="Times New Roman"/>
          <w:caps w:val="false"/>
          <w:smallCaps w:val="false"/>
          <w:sz w:val="20"/>
        </w:rPr>
        <w:t>. This Agreement has been duly executed and delivered by an authorized person of the owner trustee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by the Buyer of this Agreement do not and will not (i) contravene or conflict with the organizational documents of the Buyer, (ii) contravene or conflict with or constitute a default under any material provision of any law binding upon or applicable to the Buyer or (iii) contravene or conflict with or constitute a default under any material contract or other material agreement or Judgment binding upon or applicable to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Consents</w:t>
      </w:r>
      <w:r>
        <w:rPr>
          <w:rFonts w:ascii="Times New Roman" w:hAnsi="Times New Roman"/>
          <w:caps w:val="false"/>
          <w:smallCaps w:val="false"/>
          <w:sz w:val="20"/>
        </w:rPr>
        <w:t>. Except for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 Litigation</w:t>
      </w:r>
      <w:r>
        <w:rPr>
          <w:rFonts w:ascii="Times New Roman" w:hAnsi="Times New Roman"/>
          <w:caps w:val="false"/>
          <w:smallCaps w:val="false"/>
          <w:sz w:val="20"/>
        </w:rPr>
        <w:t>. There is no action, suit, investigation or proceeding pending or, to the knowledge of the Buyer, threatened before any Governmental Entity to which the Buyer is a party that would, if determined adversely, reasonably be expected to prevent or materially and adversely affect the ability of the Buyer to perform its obligations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Financing</w:t>
      </w:r>
      <w:r>
        <w:rPr>
          <w:rFonts w:ascii="Times New Roman" w:hAnsi="Times New Roman"/>
          <w:caps w:val="false"/>
          <w:smallCaps w:val="false"/>
          <w:sz w:val="20"/>
        </w:rPr>
        <w:t>. The Buyer has sufficient cash to pay the Purchase Price at the Closing. The Buyer acknowledges that its obligations under this Agreement are not contingent on obtaining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Tax Status</w:t>
      </w:r>
      <w:r>
        <w:rPr>
          <w:rFonts w:ascii="Times New Roman" w:hAnsi="Times New Roman"/>
          <w:caps w:val="false"/>
          <w:smallCaps w:val="false"/>
          <w:sz w:val="20"/>
        </w:rPr>
        <w:t>. Under current law, the Buyer is exempt from U.S. federal withholding tax on all payments with respect to the 2021 Revenue Participation Right by reason of the Buyer’s status as eligible for zero percent treaty rates with respect to such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Brokers</w:t>
      </w:r>
      <w:r>
        <w:rPr>
          <w:rFonts w:ascii="Times New Roman" w:hAnsi="Times New Roman"/>
          <w:caps w:val="false"/>
          <w:smallCaps w:val="false"/>
          <w:sz w:val="20"/>
        </w:rPr>
        <w:t>’</w:t>
      </w:r>
      <w:r>
        <w:rPr>
          <w:rFonts w:ascii="Times New Roman" w:hAnsi="Times New Roman"/>
          <w:caps w:val="false"/>
          <w:smallCaps w:val="false"/>
          <w:sz w:val="20"/>
          <w:u w:val="single"/>
        </w:rPr>
        <w:t xml:space="preserve"> Fees</w:t>
      </w:r>
      <w:r>
        <w:rPr>
          <w:rFonts w:ascii="Times New Roman" w:hAnsi="Times New Roman"/>
          <w:caps w:val="false"/>
          <w:smallCaps w:val="false"/>
          <w:sz w:val="20"/>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4.3    </w:t>
      </w:r>
      <w:r>
        <w:rPr>
          <w:rFonts w:ascii="Times New Roman" w:hAnsi="Times New Roman"/>
          <w:caps w:val="false"/>
          <w:smallCaps w:val="false"/>
          <w:sz w:val="20"/>
          <w:u w:val="single"/>
        </w:rPr>
        <w:t>No Implied Representations and Warranties</w:t>
      </w:r>
      <w:r>
        <w:rPr>
          <w:rFonts w:ascii="Times New Roman" w:hAnsi="Times New Roman"/>
          <w:caps w:val="false"/>
          <w:smallCaps w:val="false"/>
          <w:sz w:val="20"/>
        </w:rPr>
        <w:t>. The Buyer acknowledges and agrees that, other than the express representations and warranties of the Seller specifically contained in this ‎ARTICLE 4 and in ARTICLE 4 of the 2020 Agreement, (a) there are no representations or warranties of the Seller either expressed or implied with respect to the Patent Rights or Royalty Payment and that the Buyer does not rely on, and shall have no remedies in respect of, any representation or warranty not specifically set forth in this ‎ARTICLE 4 or in ARTICLE 4 of the 2020 Agreement, and all other representations and warranties are hereby expressly disclaimed, and (b) nothing contained herein guarantees that sales of the Products or the aggregate Royalty Payments due to the Buyer will achieve any specific amounts (it being understood and agreed that nothing in this ‎Section 4.3 shall limit in any way the Seller’s obligations under ‎ARTICLE 8). Notwithstanding the foregoing, claims for fraud, gross negligence, or willful misconduct shall not be waived or limited in any way by this ‎Section 4.3. Except for the Revenue Participation Rights, Back-Up Security Interest and the Buyer’s rights under ‎Section 6.5(d), the Buyer further acknowledges and agrees that no licenses or assignments under any assets (including the Patent Rights or any other intellectual property) of the Seller and its Affiliates are granted pursuant to this Agreement, including by implication, estoppel, exhaustion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CONDITIONS TO CLOSING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5.1    </w:t>
      </w:r>
      <w:r>
        <w:rPr>
          <w:rFonts w:ascii="Times New Roman" w:hAnsi="Times New Roman"/>
          <w:caps w:val="false"/>
          <w:smallCaps w:val="false"/>
          <w:sz w:val="20"/>
          <w:u w:val="single"/>
        </w:rPr>
        <w:t>Conditions to the Buyer</w:t>
      </w:r>
      <w:r>
        <w:rPr>
          <w:rFonts w:ascii="Times New Roman" w:hAnsi="Times New Roman"/>
          <w:caps w:val="false"/>
          <w:smallCaps w:val="false"/>
          <w:sz w:val="20"/>
        </w:rPr>
        <w:t>’</w:t>
      </w:r>
      <w:r>
        <w:rPr>
          <w:rFonts w:ascii="Times New Roman" w:hAnsi="Times New Roman"/>
          <w:caps w:val="false"/>
          <w:smallCaps w:val="false"/>
          <w:sz w:val="20"/>
          <w:u w:val="single"/>
        </w:rPr>
        <w:t>s Obligations</w:t>
      </w:r>
      <w:r>
        <w:rPr>
          <w:rFonts w:ascii="Times New Roman" w:hAnsi="Times New Roman"/>
          <w:caps w:val="false"/>
          <w:smallCaps w:val="false"/>
          <w:sz w:val="20"/>
        </w:rPr>
        <w:t>. The obligations of the Buyer to consummate the transactions contemplated hereunder on the Closing Date are subject to the satisfaction or waiver, at or prior to the Closing Date, of each of the following conditions precedent: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have performed and complied in all material respects with all agreements, covenants, obligations and conditions required to be performed and complied with by it under this Agreement at or prior to the Closing Date, and the Buyer shall have received a certificate executed by a duly authorized officer of the Seller on the Closing Date certifying on behalf of the Seller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representations and warranties of the Seller contained in ‎Section 4.1 shall have been true and correct in all material respects as of the date hereof and shall be true and correct in all material respects as of the Closing Date as though made at and as of the date hereof and as of the Closing Date, respectively, except to the extent any such representation or warranty expressly speaks as of a particular date, in which case it shall be true and correct in all material respects as of such date; provided,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Buyer shall have received a certificate executed by an authorized officer of the Seller on the Closing Date certifying on behalf of the Seller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No event or events shall have occurred, or be reasonably likely to occur, that, individually or in the aggregate, have had or would reasonably be expected to result in (or, with the giving of notice, the passage of time or otherwise, would result in) a Material Adverse Effect. The Buyer shall have received a certificate executed by a duly authorized officer of the Seller on the Closing Date certifying on behalf of the Seller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There shall not have been issued and be in effect any Judgment of any Governmental Entity enjoining, preventing or restricting the consummation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2021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The Buyer shall have received the Intercreditor Agreement, duly executed and delivered by the Seller, the “Buyer” under and as defined in the OMERS Transaction Agreement and Athyrium.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The Buyer shall have received the Stock Purchase Agreement, duly executed and delivered by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The Buyer shall have received a valid, properly executed Internal Revenue Service Form W-9 certifying that the Seller is exempt from U.S. federal “backup” withholding Tax.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The Seller shall have delivered to the Buyer the legal opinions of Gibson, Dunn &amp; Crutcher, LLP, as counsel to the Seller, in substantially the forms attached hereto as Exhibit 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(j)    The Buyer shall have received a certificate of the Secretary or an Assistant Secretary of the Seller, dated the Closing Date, certifying as to (i) the incumbency of each officer of the Seller executing this Agreement and (ii) the attached thereto copies of (A) the Seller’s certificate of incorporation, (B) bylaws, and (C) resolutions adopted by the Seller’s Board of Directors authorizing the execution and delivery by the Seller of this Agreement and the consummation by the Seller of the transactions contemplated hereby (the “</w:t>
      </w:r>
      <w:r>
        <w:rPr>
          <w:rFonts w:ascii="Times New Roman" w:hAnsi="Times New Roman"/>
          <w:caps w:val="false"/>
          <w:smallCaps w:val="false"/>
          <w:sz w:val="20"/>
          <w:u w:val="single"/>
        </w:rPr>
        <w:t>Seller Certificate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(k)    The Seller shall have confirmed it has scheduled delivery to Buyer of a CD or USB containing copies of all documents uploaded to the data room related to the transactions contemplated by this Agreement, as of the date hereof, maintained by the Seller and made available to the Buyer, including all documents referred to in ‎Section 4.1(g)(iii) and ‎Section 4.1(h)(ii).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5.2    </w:t>
      </w:r>
      <w:r>
        <w:rPr>
          <w:rFonts w:ascii="Times New Roman" w:hAnsi="Times New Roman"/>
          <w:caps w:val="false"/>
          <w:smallCaps w:val="false"/>
          <w:sz w:val="20"/>
          <w:u w:val="single"/>
        </w:rPr>
        <w:t>Conditions to the Seller</w:t>
      </w:r>
      <w:r>
        <w:rPr>
          <w:rFonts w:ascii="Times New Roman" w:hAnsi="Times New Roman"/>
          <w:caps w:val="false"/>
          <w:smallCaps w:val="false"/>
          <w:sz w:val="20"/>
        </w:rPr>
        <w:t>’</w:t>
      </w:r>
      <w:r>
        <w:rPr>
          <w:rFonts w:ascii="Times New Roman" w:hAnsi="Times New Roman"/>
          <w:caps w:val="false"/>
          <w:smallCaps w:val="false"/>
          <w:sz w:val="20"/>
          <w:u w:val="single"/>
        </w:rPr>
        <w:t>s Obligations</w:t>
      </w:r>
      <w:r>
        <w:rPr>
          <w:rFonts w:ascii="Times New Roman" w:hAnsi="Times New Roman"/>
          <w:caps w:val="false"/>
          <w:smallCaps w:val="false"/>
          <w:sz w:val="20"/>
        </w:rPr>
        <w:t>. The obligations of the Seller to consummate the transactions contemplated hereunder on the Closing Date are subject to the satisfaction or waiver, at or prior to the Closing Date, of each of the following conditions precedent: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Buyer shall have performed and complied in all material respects with all agreements, covenants, obligations and conditions required to be performed and complied with by it under this Agreement at or prior to the Closing Date, and the Seller shall have received a certificate executed by a duly authorized person of RP Management, LLC, as Administrator of the Buyer, on the Closing Date certifying on behalf of the Buyer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representations and warranties of the Buyer contained in ‎Section 4.2 shall have been true and correct in all material respects as of the date hereof and shall be true and correct in all material respects as of the Closing Date as though made at and as of the date hereof and Closing Date, respectively, except to the extent any such representation or warranty expressly speaks as of a particular date, in which case it shall be true and correct in all material respects as of such date; provided,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Seller shall have received a certificate executed by a duly authorized person of RP Management, LLC, as Administrator of the Buyer, on the Closing Date certifying on behalf of the Buyer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There shall not have been issued and be in effect any Judgment of any Governmental Entity enjoining, preventing or restricting the consummation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2021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The Seller shall have received a valid, properly executed Internal Revenue Service Form W-8BEN-E certifying that the Buyer is exempt from U.S. federal withholding Tax in respect of all payments with respect to the 2021 Revenue Participation Rights under an applicable United States income Tax treaty.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The Buyer shall have delivered to the Seller standard existence and authority opinions in respect of the Buyer, enforceability opinions on this Agreement, and an opinion that this Agreement does not conflict with the organizational documents of the Buyer or applicable law, each such opinion in a form previously agreed upon by the Seller and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The Seller shall have received a certificate of an authorized person of the owner trustee of the Buyer, dated the Closing Date, certifying as to the incumbency of the officers executing this Agreement on behalf of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6</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COVENANTS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    </w:t>
      </w:r>
      <w:r>
        <w:rPr>
          <w:rFonts w:ascii="Times New Roman" w:hAnsi="Times New Roman"/>
          <w:caps w:val="false"/>
          <w:smallCaps w:val="false"/>
          <w:sz w:val="20"/>
          <w:u w:val="single"/>
        </w:rPr>
        <w:t>Reporting</w:t>
      </w:r>
      <w:r>
        <w:rPr>
          <w:rFonts w:ascii="Times New Roman" w:hAnsi="Times New Roman"/>
          <w:caps w:val="false"/>
          <w:smallCaps w:val="false"/>
          <w:sz w:val="20"/>
        </w:rPr>
        <w:t>. From and after the date hereof, the Seller shall provide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promptly following the end of each calendar quarter, but in any event, in each case, no later than [***] calendar days after the end of such calendar quarter, as applicable, a reasonably detailed quarterly report setting forth, with respect to such same period, (i) the Clinical Updates and (ii) the Commercial Updates (the “</w:t>
      </w:r>
      <w:r>
        <w:rPr>
          <w:rFonts w:ascii="Times New Roman" w:hAnsi="Times New Roman"/>
          <w:caps w:val="false"/>
          <w:smallCaps w:val="false"/>
          <w:sz w:val="20"/>
          <w:u w:val="single"/>
        </w:rPr>
        <w:t>Clinical and Commercial Quarterly Report</w:t>
      </w:r>
      <w:r>
        <w:rPr>
          <w:rFonts w:ascii="Times New Roman" w:hAnsi="Times New Roman"/>
          <w:caps w:val="false"/>
          <w:smallCaps w:val="false"/>
          <w:sz w:val="20"/>
        </w:rPr>
        <w:t>”); provided that beginning with (A) the [***] calendar quarter following Regulatory Approval (in the case of Clinical Updates) or (B) the [***] calendar quarter following the First Commercial Sale in the United States (in the case of Commercial Updates) of a given Product (on a Product-by-Product basis), the Seller shall no longer be required to deliver Clinical and Commercial Quarterly Reports for such Product and shall thereafter promptly following the end of each [***]-month period in a calendar year ([***]), but in any event, in each case, no later than [***] calendar days after the end of such [***]-month period, as applicable, a reasonably detailed semi-annual report setting forth, with respect to such same period, (1) any Clinical Updates and (2) the Commercial Updates (the “</w:t>
      </w:r>
      <w:r>
        <w:rPr>
          <w:rFonts w:ascii="Times New Roman" w:hAnsi="Times New Roman"/>
          <w:caps w:val="false"/>
          <w:smallCaps w:val="false"/>
          <w:sz w:val="20"/>
          <w:u w:val="single"/>
        </w:rPr>
        <w:t>Clinical and Commercial Semi-Annual Report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promptly following the end of each [***]-month period in a calendar year ([***]), but in any event, in each case, no later than [***] calendar days after the end of such [***]-month period, as applicable, a reasonably detailed semi-annual report setting forth, with respect to such same period, (i) the Regulatory Updates, and (ii) the Intellectual Property Updates (the “</w:t>
      </w:r>
      <w:r>
        <w:rPr>
          <w:rFonts w:ascii="Times New Roman" w:hAnsi="Times New Roman"/>
          <w:caps w:val="false"/>
          <w:smallCaps w:val="false"/>
          <w:sz w:val="20"/>
          <w:u w:val="single"/>
        </w:rPr>
        <w:t>Regulatory and IP Semi-Annual Report</w:t>
      </w:r>
      <w:r>
        <w:rPr>
          <w:rFonts w:ascii="Times New Roman" w:hAnsi="Times New Roman"/>
          <w:caps w:val="false"/>
          <w:smallCaps w:val="false"/>
          <w:sz w:val="20"/>
        </w:rPr>
        <w:t>”, and, collectively with the Clinical and Commercial Quarterly Report and the Clinical and Commercial Semi-Annual Reports, the “</w:t>
      </w:r>
      <w:r>
        <w:rPr>
          <w:rFonts w:ascii="Times New Roman" w:hAnsi="Times New Roman"/>
          <w:caps w:val="false"/>
          <w:smallCaps w:val="false"/>
          <w:sz w:val="20"/>
          <w:u w:val="single"/>
        </w:rPr>
        <w:t>Reports</w:t>
      </w:r>
      <w:r>
        <w:rPr>
          <w:rFonts w:ascii="Times New Roman" w:hAnsi="Times New Roman"/>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The Seller shall include in each Report as applicable any (i) material CMC updates and (ii) details as to the achievement of any development, sales, regulatory or other milestone event set forth in each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 Seller shall also provide the Buyer with such additional information regarding the updates included in each Report as the Buyer may reasonably request from time to time. The Seller shall prepare and maintain and shall cause its Affiliates and Licensees to prepare and maintain reasonably complete and accurate records of the information to be disclosed in each Report. All Reports, and the Confidential Information contained therein, shall be the Confidential Information of Seller and subject to the obligations of confidentiality set forth in ‎ARTICLE 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6.2    </w:t>
      </w:r>
      <w:r>
        <w:rPr>
          <w:rFonts w:ascii="Times New Roman" w:hAnsi="Times New Roman"/>
          <w:caps w:val="false"/>
          <w:smallCaps w:val="false"/>
          <w:sz w:val="20"/>
          <w:u w:val="single"/>
        </w:rPr>
        <w:t>Royalty Payments; Revenue Participation and Royalty Payment Details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From and after the First Commercial Sale of a Product in any country, the Seller shall pay to the Buyer, without any setoff or offset (subject, in each case, to ‎Section 6.13), the Royalty Payment for each calendar quarter promptly, but in any event no later than [***] calendar days after the end of each of the first three (3) calendar quarters and [***] calendar days after the end of the last calendar quarter in each calendar year (or [***] Business Days after the filing of the Seller’s annual report on Form 10-K, if earlier), provided that for any payments received by the Seller after the date that is [***] calendar days after the end of each calendar quarter, such payment will be paid with the following calendar quarter’s Royalty Payment. A late fee of [***]% over the Prime Rate (calculated on a per annum basis) will accrue on all unpaid amounts with respect to any Royalty Payment from the date such obligation was due. The imposition and payment of a late fee shall not constitute a waiver of the Buyer’s rights with respect to such payment default.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For the convenience of the parties, Exhibit G sets forth the aggregate royalty rates and revenue sharing rates for Orladeyo for purposes of calculating the Royalty Payments in respect of Orladeyo that are payable to the Buyer following the Closing as a result of the 2020 Transaction and the transactions contemplated hereby. For the avoidance of doubt, nothing in this Section 6.2 shall be deemed to provide for the duplication of any Royalty Payment under the 2020 Agreement and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From and after the First Commercial Sale of a Product in any country, for each calendar quarter promptly, but in any event no later than [***] calendar days after the end of each of the first three (3) calendar quarters and [***] calendar days after the end of the last calendar quarter in each calendar year (or [***] Business Days after the filing of the Company’s annual report on Form 10-K, if earlier), the Seller shall provide to Buyer a report setting forth in reasonable detail:</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with respect to BCX9930, Gross Sales and Net Sales for the applicable calendar quarter and calendar year to date, on a country-by-country basis (including a detailed break-down of all permitted deductions from Gross Sales used to determine Net Sales and any Net Sales described in ‎Section 6.5(d));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with respect to Complement Inhibitor, Gross Sales and Net Sales for the applicable calendar quarter and calendar year to date, on a country-by-country basis (including a detailed break-down of all permitted deductions from Gross Sales used to determine Net Sales and any Net Sales described in ‎Section 6.5(d));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    with respect to Orladeyo, (A) the calculation of Orladeyo Direct Sales, including Gross Sales and Net Sales for the applicable calendar quarter and calendar year to date, on a country-by-country basis (including a detailed break-down of all permitted deductions from Gross Sales used to determine Net Sales and any Net Sales described in ‎Section 6.5(d)), and (B) the calculation of Orladeyo Indirect Revenues on a country-by-country and Licensee-by-Licensee basis (including a detailed breakdown of Orladeyo Indirect Revenue consisting of royalties, upfront payments, milestones and other fixed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(iv)    for the applicable calendar quarter, and calendar year to date, on a Product-by-Product and country-by-country basis, the number of units of each Product sold by the Seller, its Affiliates and each Licensee;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    for the applicable calendar quarter and calendar year to date, on a Product-by-Product, country-by-country and Permitted Purchaser-by-Permitted Purchaser basis, the calculation of the Product Partnering Revenue, including a detailed break-down of the consideration received by the Seller or its Affiliates from the applicable Permitted Sale and any expenses and Excluded Payments used to determine Product Partnering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    for the applicable calendar quarter and calendar year to date, the calculation of the Royalty Payment payable to the Buyer; and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    for the applicable calendar quarter and on a Product-by-Product and country-by-country basis, the foreign currency exchange rate used to calculate the Royalty Payment (which shall be the rate of exchange determined in a manner consistent with the Seller’s method for calculating rates of exchange in the preparation of the Seller’s annual financial statements in accordance with accounting principles generally accepted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xml:space="preserve"> that for any reports received by the Seller after the date that is [***] calendar days after the end of each calendar quarter, the Seller shall provide to the Buyer the relevant information from such reports in the following calendar quarter’s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Any payments required to be made by either party under this Agreement or the 2020 Agreement shall be made in United States Dollars via electronic funds transfer or wire transfer of immediately available funds to such bank account as the other party shall designate in writing prior to the date of such 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6.3    </w:t>
      </w:r>
      <w:r>
        <w:rPr>
          <w:rFonts w:ascii="Times New Roman" w:hAnsi="Times New Roman"/>
          <w:caps w:val="false"/>
          <w:smallCaps w:val="false"/>
          <w:sz w:val="20"/>
          <w:u w:val="single"/>
        </w:rPr>
        <w:t>Disclosures</w:t>
      </w:r>
      <w:r>
        <w:rPr>
          <w:rFonts w:ascii="Times New Roman" w:hAnsi="Times New Roman"/>
          <w:caps w:val="false"/>
          <w:smallCaps w:val="false"/>
          <w:sz w:val="20"/>
        </w:rPr>
        <w:t>. Except for a press release previously approved in form and substance by the Seller and the Buyer or any other public announcement using substantially the same text as such press release,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2020 Agreement, or the subject matter hereof or thereof, without the prior written consent of the other party hereto (which consent shall not be unreasonably withheld or delayed), except as may be required by applicable law or stock exchange rule (in which case the party hereto required to make the press release or other public announcement or disclosure shall allow the other party hereto reasonable time to comment on, and, if applicable, reasonably direct the disclosing party to seek confidential treatment in respect of portions of, such press release or other public announcement or disclosure in advance of such issuance).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6.4    </w:t>
      </w:r>
      <w:r>
        <w:rPr>
          <w:rFonts w:ascii="Times New Roman" w:hAnsi="Times New Roman"/>
          <w:caps w:val="false"/>
          <w:smallCaps w:val="false"/>
          <w:sz w:val="20"/>
          <w:u w:val="single"/>
        </w:rPr>
        <w:t>Inspections and Audits of the Seller</w:t>
      </w:r>
      <w:r>
        <w:rPr>
          <w:rFonts w:ascii="Times New Roman" w:hAnsi="Times New Roman"/>
          <w:caps w:val="false"/>
          <w:smallCaps w:val="false"/>
          <w:sz w:val="20"/>
        </w:rPr>
        <w:t>. Following the Closing, upon at least fourteen (14) Business Days written notice and during normal business hours, no more frequently than once per calendar year, the Buyer may cause an inspection and/or audit by an independent public accounting firm reasonably acceptable to the Seller to be made of the Seller’s books of account for the three (3) calendar years prior to the audit for the purpose of determining the correctness of the calculation of the Royalty Payments under this Agreement or the 2020 Agreement. Upon the Buyer’s reasonable request, no more frequently than once per calendar year while any Out-License remains in effect, the Seller shall use Commercially Reasonable Efforts to exercise any rights it may have under any Out-License relating to a Product to cause an inspection and/or audit by an independent public accounting firm to be made of the books of account of any counterparty thereto for the purpose of determining the correctness of the calculation of the Royalty Payments under this Agreement or the 2020 Agreement. Seller shall notify Buyer in writing if it initiates an inspection and/or audit of the books of accounts of any counterparty to an Out-License to the extent such inspection and/or audit is related to the Royalty Payments, and shall provide to Buyer a redacted copy of any report relating thereto within ten (10) Business Days of receipt thereof; provided, that any redactions to such report shall not include any information necessary to determine the correctness of the calculation of the Royalty Payments made under this Agreement or the 2020 Agreement. All of the out-of-pocket expenses of any inspection or audit requested by the Buyer hereunder (including the fees and expenses of such independent public accounting firm designated for such purpose) shall be borne solely by the Buyer, unless the independent public accounting firm determines that Royalty Payments previously paid to Buyer during the period of the audit were underpaid by an amount greater than [***]% of the Royalty Payments actually paid during such period, in which case such expenses shall be borne by the Seller. Any such accounting firm or Seller shall not disclose the confidential information of the Seller or any such Licensee relating to a Product to the Buyer, except to the extent such disclosure is necessary to determine the correctness of Royalty Payments or otherwise would be included in a Report. All information obtained by the Buyer as a result of any such inspection or audit shall be Confidential Information subject to ‎ARTICLE 8. If any audit discloses any underpayments by the Seller to the Buyer, then such underpayment shall be paid by the Seller to the Buyer within thirty (30) calendar days of it being so disclosed. If any audit discloses any overpayments by the Seller to the Buyer, then the Seller shall have the right to credit the amount of the overpayment against each subsequent quarterly Royalty Payment due to the Buyer until the overpayment has been fully applied. If the overpayment is not fully applied prior to the final quarterly Royalty Payment due hereunder, the Buyer shall promptly refund an amount equal to any such remaining overpayment.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6.5    </w:t>
      </w:r>
      <w:r>
        <w:rPr>
          <w:rFonts w:ascii="Times New Roman" w:hAnsi="Times New Roman"/>
          <w:caps w:val="false"/>
          <w:smallCaps w:val="false"/>
          <w:sz w:val="20"/>
          <w:u w:val="single"/>
        </w:rPr>
        <w:t>Intellectual Property Matters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provide to the Buyer a copy of any written notice received by the Seller from a Third Party alleging or claiming that the making, having made, using, importing, offering for sale or selling of a Product infringes or misappropriates any Patents or other intellectual property rights of such Third Party, together with copies of material correspondence sent or received by the Seller related thereto, as soon as practicable and in any event not more than [***] Business Days following such delivery or receipt.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Seller shall promptly inform the Buyer of any infringement by a Third Party of any Patent Right of which any of the individuals named in the definition of “Knowledge of the Seller” (or the successors of such Person at the Seller) becomes aware. Without limiting the foregoing, the Seller shall provide to the Buyer a copy of any written notice of any suspected infringement of any Patent Rights delivered or received by the Seller, as well as copies of material correspondence related thereto, as soon as practicable and in any event not more than [***] Business Days following such delivery or receipt.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Within [***] Business Days of initiating, or permitting a Licensee to initiate, an enforcement action regarding any suspected infringement by a Third Party of any Patent Right, the Seller shall provide the Buyer with written notice of such enforcement 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If the Seller recovers monetary damages from a Third Party in an action brought for such Third Party’s infringement of any Patent Rights relating to a Product, where such damages, whether in the form of judgment or settlement, are awarded for such infringement of such Patent Rights, (i) such recovery will be allocated first to the reimbursement of any expenses incurred by the Seller (or any party to an In-License or Permitted Licensees of such Patent Rights entitled to such reimbursement under any such In-License or Out-License ) in bringing such action (including all reasonable attorney’s fees), (ii) any remaining amounts will be reduced, if applicable, to comply with allocation of recovered damages with licensors of such Patent Rights required under any In-Licenses or Permitted Licensees of such Patent Rights under any Out-Licenses, if any, and (iii) any residual amount of such damages after application of (i) and (ii) will be treated as Orladeyo Direct Sales with respect to the Direct Sales Territories, Orladeyo Indirect Revenue with respect to the Indirect Sales Territories, Product Partnering Revenue with respect to the Permitted Sale Territory, BCX9930 Net Sales or Complement Inhibitor Net Sales,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6.6    </w:t>
      </w:r>
      <w:r>
        <w:rPr>
          <w:rFonts w:ascii="Times New Roman" w:hAnsi="Times New Roman"/>
          <w:caps w:val="false"/>
          <w:smallCaps w:val="false"/>
          <w:sz w:val="20"/>
          <w:u w:val="single"/>
        </w:rPr>
        <w:t>In-Licenses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promptly (and in any event within [***] Business Days) provide the Buyer with (i) executed copies of any In-License entered into by the Seller or its Affiliates, and (ii) executed copies of each amendment, supplement, modification or written waiver of any provision of any In-License.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Seller shall use Commercially Reasonable Efforts to comply in all material respects with its obligations under any In-Licenses it enters into and shall not take any action or forego any action that would reasonably be expected to result in a material breach thereof. Promptly, and in any event within [***] Business Days, after receipt of any (written or oral) notice from a counterparty to any In-License or its Affiliates of an alleged material breach under any In-License, the Seller shall provide the Buyer a copy thereof. The Seller shall use its Commercially Reasonable Efforts to cure any material breaches by it under any In-License and shall give written notice to the Buyer upon curing any such breach. The Seller shall provide the Buyer with written notice following becoming aware of a counterparty’s material breach of its obligations under any In-License. The Seller shall not terminate any In-License without providing the Buyer prior written notice. Promptly, and in any event within [***] Business Days following the Seller’s notice to a counterparty to any In-License of an alleged breach by such counterparty under any such In-License, the Seller shall provide the Buyer a copy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6.7    </w:t>
      </w:r>
      <w:r>
        <w:rPr>
          <w:rFonts w:ascii="Times New Roman" w:hAnsi="Times New Roman"/>
          <w:caps w:val="false"/>
          <w:smallCaps w:val="false"/>
          <w:sz w:val="20"/>
          <w:u w:val="single"/>
        </w:rPr>
        <w:t>Out-Licenses and Permitted Sales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Subject to compliance with this ‎Section 6.7, the Seller may enter into either (i) an Out-License with a Third Party or enter into an agreement to research, develop or manufacture any Product in all or any portion of the world without the Buyer’s prior written consent; provided, that such license shall not assign or otherwise convey title to or impose any Lien, other than the grant of the license or sublicense, in favor of any Third Party (any such license, a “</w:t>
      </w:r>
      <w:r>
        <w:rPr>
          <w:rFonts w:ascii="Times New Roman" w:hAnsi="Times New Roman"/>
          <w:caps w:val="false"/>
          <w:smallCaps w:val="false"/>
          <w:sz w:val="20"/>
          <w:u w:val="single"/>
        </w:rPr>
        <w:t>Permitted License</w:t>
      </w:r>
      <w:r>
        <w:rPr>
          <w:rFonts w:ascii="Times New Roman" w:hAnsi="Times New Roman"/>
          <w:caps w:val="false"/>
          <w:smallCaps w:val="false"/>
          <w:sz w:val="20"/>
        </w:rPr>
        <w:t>”), or (ii) a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Seller shall promptly (and in any event within [***] Business Days) provide the Buyer with (i) executed copies of each Out-License and Permitted Sale, and (ii) executed copies of each amendment, supplement, modification or written waiver of any material provision of an Out-License or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The Seller shall include in all Out-Licenses (other than Existing Out-Licenses) and all definitive agreement(s) for Permitted Sales provisions permitting the Seller to audit such Licensee or Permitted Purchaser (as applicable) and shall use commercially reasonable efforts to include terms and conditions consistent in all material respects with the Buyer’s rights to audit the Seller set forth in ‎Section 6.4.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 Seller shall provide the Buyer prompt (and in any event within [***] Business Days) written notice of a Licensee’s material breach of its obligations under any Out-License or a Permitted Purchaser’s material breach of its obligations under any Permitted Sale of which any of the individuals named in the definition of “Knowledge of the Seller” (or the successors of such Person at the Seller) becomes 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The Seller shall provide the Buyer with written notice promptly (and in any event within [***] Business Days) following the termination of any Out-License or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6.8    </w:t>
      </w:r>
      <w:r>
        <w:rPr>
          <w:rFonts w:ascii="Times New Roman" w:hAnsi="Times New Roman"/>
          <w:caps w:val="false"/>
          <w:smallCaps w:val="false"/>
          <w:sz w:val="20"/>
          <w:u w:val="single"/>
        </w:rPr>
        <w:t>Restricted Indebtedness</w:t>
      </w:r>
      <w:r>
        <w:rPr>
          <w:rFonts w:ascii="Times New Roman" w:hAnsi="Times New Roman"/>
          <w:caps w:val="false"/>
          <w:smallCaps w:val="false"/>
          <w:sz w:val="20"/>
        </w:rPr>
        <w:t>. Prior to the Minimum Return Date, the Seller shall not, and shall not permit any of its Subsidiaries to, create, incur, assume or suffer to exist any Restricted Indebtedness. As a condition to the incurrence of any secured Permitted Indebtedness for borrowed money with one or more lenders other than the holders of Indebtedness under the Athyrium Credit Agreement, either (i) the Seller shall cause such lender or lenders or any agent, representative or trustee acting on behalf of such lender or lenders to become a party to the Intercreditor Agreement in accordance with the terms thereof or (ii) the Buyer shall enter, and the Seller shall enter and cause such lender or lenders or any agent, representative or trustee acting on behalf of such lender or lenders to enter into an Other Intercreditor Agreement. Notwithstanding the foregoing and except as otherwise agreed by the parties, following the Minimum Return Date, the Seller shall not, and shall not permit any of its Subsidiaries to incur any Convertible Bond Indebtedness unless such Convertible Bond Indebtedness shall be subordinated in right of payment to the Royalty Payments that are owed or may be owed in the future to the Buyer pursuant to the terms of a subordination, intercreditor, or other similar agreement (or terms of subordination incorporated into the indenture under which such Convertible Bond Indebtedness is issued), in each case in form and substance, and on terms, approved by the Buyer, the Seller, and the applicable Third Party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6.9    </w:t>
      </w:r>
      <w:r>
        <w:rPr>
          <w:rFonts w:ascii="Times New Roman" w:hAnsi="Times New Roman"/>
          <w:caps w:val="false"/>
          <w:smallCaps w:val="false"/>
          <w:sz w:val="20"/>
          <w:u w:val="single"/>
        </w:rPr>
        <w:t>Diligence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use Commercially Reasonable Efforts to complete clinical development and Commercialize (either directly or through Licensees) (a) Orladeyo in the Direct Sales Territories for hereditary angioedema, (b) BCX9930 in the Direct Sales Territories for paroxysmal nocturnal hemoglobinuria, and (c) either BCX9930 or Complement Inhibitor in the Direct Sales Territories for at least three indications other than paroxysmal nocturnal hemoglobinuria that the Seller reasonably determines have the greatest prospects for receiving Marketing Approvals and for successful Commercialization in the Direct Sales Territories. In furtherance of the foregoing, the Seller shall use Commercially Reasonable Efforts to prepare, execute, deliver and file any and all agreements, documents or instruments that are necessary or desirable to secure and maintain all Marketing Approvals required to Commercialize Orladeyo, BCX9930 and Complement Inhibitor in the Direct Sales Territories and the Seller shall use Commercially Reasonable Efforts to not withdraw or abandon, or fail to take any action necessary to prevent the withdrawal or abandonment of, any such Marketing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On a country-by-country and Product-by-Product basis, if a Loss of Market Exclusivity has occurred in such country for such Product, the Seller’s obligations under ‎Section 6.9(a) shall no longer apply in such country for such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6.10    </w:t>
      </w:r>
      <w:r>
        <w:rPr>
          <w:rFonts w:ascii="Times New Roman" w:hAnsi="Times New Roman"/>
          <w:caps w:val="false"/>
          <w:smallCaps w:val="false"/>
          <w:sz w:val="20"/>
          <w:u w:val="single"/>
        </w:rPr>
        <w:t>Efforts to Consummate Transactions</w:t>
      </w:r>
      <w:r>
        <w:rPr>
          <w:rFonts w:ascii="Times New Roman" w:hAnsi="Times New Roman"/>
          <w:caps w:val="false"/>
          <w:smallCaps w:val="false"/>
          <w:sz w:val="20"/>
        </w:rPr>
        <w:t>. Subject to the terms and conditions of this Agreement, each of the Seller and the Buyer will use its commercially reasonable efforts prior to the Closing to take, or cause to be taken, all actions and to do, or cause to be done, all things reasonably necessary under applicable law to consummate the transactions contemplated by this Agreement. Each of the Buyer and the Seller agrees to execute and deliver such other documents, certificates, agreements and other writings and to take such other actions as may be reasonably necessary in order to consummate or implement expeditiously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6.11    </w:t>
      </w:r>
      <w:r>
        <w:rPr>
          <w:rFonts w:ascii="Times New Roman" w:hAnsi="Times New Roman"/>
          <w:caps w:val="false"/>
          <w:smallCaps w:val="false"/>
          <w:sz w:val="20"/>
          <w:u w:val="single"/>
        </w:rPr>
        <w:t>Further Assurances</w:t>
      </w:r>
      <w:r>
        <w:rPr>
          <w:rFonts w:ascii="Times New Roman" w:hAnsi="Times New Roman"/>
          <w:caps w:val="false"/>
          <w:smallCaps w:val="false"/>
          <w:sz w:val="20"/>
        </w:rPr>
        <w:t>. After the Closing, the Seller and the Buyer agree to execute and deliver such other documents, certificates, agreements and other writings and to take such other actions as may be reasonably necessary in order to give effect to the transactions contemplated by this Agreement and the 2020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6.12    </w:t>
      </w:r>
      <w:r>
        <w:rPr>
          <w:rFonts w:ascii="Times New Roman" w:hAnsi="Times New Roman"/>
          <w:caps w:val="false"/>
          <w:smallCaps w:val="false"/>
          <w:sz w:val="20"/>
          <w:u w:val="single"/>
        </w:rPr>
        <w:t>No Impairment of Revenue Participation Right or Back-Up Security Interest</w:t>
      </w:r>
      <w:r>
        <w:rPr>
          <w:rFonts w:ascii="Times New Roman" w:hAnsi="Times New Roman"/>
          <w:caps w:val="false"/>
          <w:smallCaps w:val="false"/>
          <w:sz w:val="20"/>
        </w:rPr>
        <w:t>. Notwithstanding anything herein or in the 2020 Agreement to the contrary, the Seller shall not enter into any contracts or arrangements or otherwise knowingly take any action or knowingly fail to act in a manner that would, individually or in the aggregate, reasonably be expected to materially and adversely affect the Buyer’s interest in the Revenue Participation Rights or the Back-Up Security Interest. The parties agree that the entry into (i) the Athyrium Loan Documents, (ii) any agreement evidencing any secured Indebtedness permitted by clause (b)(ii) of the definition of Restricted Indebtedness, (iii) the OMERS Transaction Agreement or (iv) the 2020 Agreement, which shall, in each case, be subject to and in compliance with the Intercreditor Agreement or any Other Intercreditor Agreement, shall be deemed to not materially and adversely affect the Buyer’s interest in the Revenue Participation Rights or the Back-Up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6.13    </w:t>
      </w:r>
      <w:r>
        <w:rPr>
          <w:rFonts w:ascii="Times New Roman" w:hAnsi="Times New Roman"/>
          <w:caps w:val="false"/>
          <w:smallCaps w:val="false"/>
          <w:sz w:val="20"/>
          <w:u w:val="single"/>
        </w:rPr>
        <w:t>Certain Tax Matters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and the Buyer agree that for Tax purposes, (a) the Seller and the Buyer shall treat the transactions contemplated by this Agreement and the 2020 Agreement as sales of the Revenue Participation Rights and (b) any and all amounts remitted by the Seller to the Buyer after the 2020 Closing Date pursuant to this Agreement or the 2020 Agreement shall be treated as received by the Seller as agent for the Buyer. The parties hereto agree not to take any position that is inconsistent with the provisions of this ‎Section 6.13(a) on any tax return or in any audit or other tax-related administrative or judicial proceeding unless the other party hereto has consented in writing (such consent not to be unreasonably withheld, conditioned or delayed) to such actions. If there is an inquiry by any Governmental Entity of the Buyer or the Seller related to the treatment described in this ‎Section 6.13(a), the parties hereto shall cooperate with each other in responding to such inquiry in a reasonable manner which is consistent with this ‎Section 6.13(a).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Notwithstanding anything to the contrary in this Agreement, each of the Buyer and the Seller shall be entitled to withhold and deduct (or cause to be withheld and deducted) from any amount payable under this Agreement or the 2020 Agreement to the other party any Tax that the Buyer or the Seller, as applicable, determines that it is required to withhold and deduct under applicable law, and any such amount withheld and deducted shall be treated for all purposes of this Agreement as being paid to the other party; provided that each of the Buyer and the Seller shall give the other party reasonable prior notice and the opportunity, in good faith, to contest and prevent such withholding and deduction. The parties hereto shall use commercially reasonable efforts to give or cause to be given to the other party hereto such assistance and such information concerning the reasons for withholding or deduction (including, in reasonable detail, the method of calculation for the deduction or withholding thereof) as may be reasonably necessary to enable the Buyer or the Seller, as applicable, to claim exemption therefrom, or credit therefor, or relief (whether at source or by reclaim) therefrom, and, in each case, shall furnish the Buyer or the Seller, as applicable, with proper evidence of the taxes withheld and deducted and remitted to the relevant taxing authority. The Buyer agrees (i) to notify the Seller in writing if (A) Buyer becomes ineligible to use or deliver the Form W-8BEN-E delivered to the Seller under ‎Section 5.2(e), or (B) the Form W-8BEN-E delivered to the Seller under ‎Section 5.2(e) ceases to be accurate or complete, and (ii) to provide (to the extent it is legally eligible to do so) any additional Tax forms that the Seller may reasonably request.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7</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INDEMNIFICATION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7.1    </w:t>
      </w:r>
      <w:r>
        <w:rPr>
          <w:rFonts w:ascii="Times New Roman" w:hAnsi="Times New Roman"/>
          <w:caps w:val="false"/>
          <w:smallCaps w:val="false"/>
          <w:sz w:val="20"/>
          <w:u w:val="single"/>
        </w:rPr>
        <w:t>General Indemnity</w:t>
      </w:r>
      <w:r>
        <w:rPr>
          <w:rFonts w:ascii="Times New Roman" w:hAnsi="Times New Roman"/>
          <w:caps w:val="false"/>
          <w:smallCaps w:val="false"/>
          <w:sz w:val="20"/>
        </w:rPr>
        <w:t>. From and after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hereby agrees to indemnify, defend and hold harmless the Buyer and its Affiliates and its and their directors, managers, trustees, officers, agents and employees (the “</w:t>
      </w:r>
      <w:r>
        <w:rPr>
          <w:rFonts w:ascii="Times New Roman" w:hAnsi="Times New Roman"/>
          <w:caps w:val="false"/>
          <w:smallCaps w:val="false"/>
          <w:sz w:val="20"/>
          <w:u w:val="single"/>
        </w:rPr>
        <w:t>Buyer Indemnified Parties</w:t>
      </w:r>
      <w:r>
        <w:rPr>
          <w:rFonts w:ascii="Times New Roman" w:hAnsi="Times New Roman"/>
          <w:caps w:val="false"/>
          <w:smallCaps w:val="false"/>
          <w:sz w:val="20"/>
        </w:rPr>
        <w:t>”) from, against and in respect of all Losses suffered or incurred by the Buyer Indemnified Parties to the extent arising out of or resulting from (i) any breach of any of the representations or warranties of the Seller in this Agreement, and (ii) any breach of any of the covenants or agreements of the Seller in this Agreement;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Buyer hereby agrees to indemnify, defend and hold harmless the Seller and its Affiliates and its and their directors, officers, agents and employees (the “</w:t>
      </w:r>
      <w:r>
        <w:rPr>
          <w:rFonts w:ascii="Times New Roman" w:hAnsi="Times New Roman"/>
          <w:caps w:val="false"/>
          <w:smallCaps w:val="false"/>
          <w:sz w:val="20"/>
          <w:u w:val="single"/>
        </w:rPr>
        <w:t>Seller Indemnified Parties</w:t>
      </w:r>
      <w:r>
        <w:rPr>
          <w:rFonts w:ascii="Times New Roman" w:hAnsi="Times New Roman"/>
          <w:caps w:val="false"/>
          <w:smallCaps w:val="false"/>
          <w:sz w:val="20"/>
        </w:rPr>
        <w:t>”) from, against and in respect of all Losses suffered or incurred by the Seller Indemnified Parties to the extent arising out of or resulting from (i) any breach of any of the representations or warranties of the Buyer in this Agreement, and (ii) any breach of any of the covenants or agreements of the Buyer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7.2    </w:t>
      </w:r>
      <w:r>
        <w:rPr>
          <w:rFonts w:ascii="Times New Roman" w:hAnsi="Times New Roman"/>
          <w:caps w:val="false"/>
          <w:smallCaps w:val="false"/>
          <w:sz w:val="20"/>
          <w:u w:val="single"/>
        </w:rPr>
        <w:t>Notice of Claims</w:t>
      </w:r>
      <w:r>
        <w:rPr>
          <w:rFonts w:ascii="Times New Roman" w:hAnsi="Times New Roman"/>
          <w:caps w:val="false"/>
          <w:smallCaps w:val="false"/>
          <w:sz w:val="20"/>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hAnsi="Times New Roman"/>
          <w:caps w:val="false"/>
          <w:smallCaps w:val="false"/>
          <w:sz w:val="20"/>
          <w:u w:val="single"/>
        </w:rPr>
        <w:t>Indemnified Party</w:t>
      </w:r>
      <w:r>
        <w:rPr>
          <w:rFonts w:ascii="Times New Roman" w:hAnsi="Times New Roman"/>
          <w:caps w:val="false"/>
          <w:smallCaps w:val="false"/>
          <w:sz w:val="20"/>
        </w:rPr>
        <w:t>”), has suffered or incurred any Losses for which indemnification may be sought under this ‎ARTICLE 7, the Indemnified Party shall so notify the other party from whom indemnification is sought under this ‎ARTICLE 7 (the “</w:t>
      </w:r>
      <w:r>
        <w:rPr>
          <w:rFonts w:ascii="Times New Roman" w:hAnsi="Times New Roman"/>
          <w:caps w:val="false"/>
          <w:smallCaps w:val="false"/>
          <w:sz w:val="20"/>
          <w:u w:val="single"/>
        </w:rPr>
        <w:t>Indemnifying Party</w:t>
      </w:r>
      <w:r>
        <w:rPr>
          <w:rFonts w:ascii="Times New Roman" w:hAnsi="Times New Roman"/>
          <w:caps w:val="false"/>
          <w:smallCaps w:val="false"/>
          <w:sz w:val="20"/>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7,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7.2 shall not limit the obligation of the Indemnifying Party under this ‎ARTICLE 7, except to the extent such Indemnifying Party is actually prejudiced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7.3    </w:t>
      </w:r>
      <w:r>
        <w:rPr>
          <w:rFonts w:ascii="Times New Roman" w:hAnsi="Times New Roman"/>
          <w:caps w:val="false"/>
          <w:smallCaps w:val="false"/>
          <w:sz w:val="20"/>
          <w:u w:val="single"/>
        </w:rPr>
        <w:t>Limitations on Liability</w:t>
      </w:r>
      <w:r>
        <w:rPr>
          <w:rFonts w:ascii="Times New Roman" w:hAnsi="Times New Roman"/>
          <w:caps w:val="false"/>
          <w:smallCaps w:val="false"/>
          <w:sz w:val="20"/>
        </w:rPr>
        <w:t>. Except for claims arising from a breach of confidentiality obligations under ‎ARTICLE 8 or in cases of fraud, gross negligence, or willful misconduct, no party hereto shall be liable for any consequential, punitive, special or incidental damages under this ‎ARTICLE 7 (and no claim for indemnification hereunder shall be asserted) as a result of any breach or violation of any covenant or agreement of such party (including under this ‎ARTICLE 7) in or pursuant to this Agreement. In connection with the foregoing, the parties hereto acknowledge and agree that (i) the Buyer’s damages, if any, for any such action or claim will typically include Losses for Royalty Payments that the Buyer was entitled to receive in respect of its ownership of the Royalty Payments but did not receive timely or at all due to such indemnifiable event and (ii) the Buyer shall be entitled to make claims for all such missing or delayed Royalty Payments as Losses hereunder, and such missing or delayed Royalty Payments shall not be deemed consequential, punitive, special, indirect or incidental damages.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7.4    </w:t>
      </w:r>
      <w:r>
        <w:rPr>
          <w:rFonts w:ascii="Times New Roman" w:hAnsi="Times New Roman"/>
          <w:caps w:val="false"/>
          <w:smallCaps w:val="false"/>
          <w:sz w:val="20"/>
          <w:u w:val="single"/>
        </w:rPr>
        <w:t>Exclusive Remedy; No Duplication of Recovery under 2020 Agreement</w:t>
      </w:r>
      <w:r>
        <w:rPr>
          <w:rFonts w:ascii="Times New Roman" w:hAnsi="Times New Roman"/>
          <w:caps w:val="false"/>
          <w:smallCaps w:val="false"/>
          <w:sz w:val="20"/>
        </w:rPr>
        <w:t>. Except as set forth in ‎Section 10.11, from and after Closing, the rights of the parties hereto pursuant to (and subject to the conditions of) this ‎ARTICLE 7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the rights of Buyer under the Intercreditor Agreement and claims for fraud, gross negligence, or willful misconduct shall not be waived or limited in any way by this ‎ARTICLE 7. No party hereto shall be entitled to recover duplicative Losses for Losses resulting from or relating to any breach of any representations, warranties, covenants or agreements made under this Agreement that also constitute Losses resulting from or relating to any breach of any representations, warranties, covenants or agreements made under the 2020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7.5    </w:t>
      </w:r>
      <w:r>
        <w:rPr>
          <w:rFonts w:ascii="Times New Roman" w:hAnsi="Times New Roman"/>
          <w:caps w:val="false"/>
          <w:smallCaps w:val="false"/>
          <w:sz w:val="20"/>
          <w:u w:val="single"/>
        </w:rPr>
        <w:t>Tax Treatment of Indemnification Payments</w:t>
      </w:r>
      <w:r>
        <w:rPr>
          <w:rFonts w:ascii="Times New Roman" w:hAnsi="Times New Roman"/>
          <w:caps w:val="false"/>
          <w:smallCaps w:val="false"/>
          <w:sz w:val="20"/>
        </w:rPr>
        <w:t>. For all purposes hereunder, any indemnification payments made pursuant to this ‎ARTICLE 7 will be treated as an adjustment to the Purchase Price for U.S. federal income tax to the fullest extent permitted by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CONFIDENTIALITY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8.1    </w:t>
      </w:r>
      <w:r>
        <w:rPr>
          <w:rFonts w:ascii="Times New Roman" w:hAnsi="Times New Roman"/>
          <w:caps w:val="false"/>
          <w:smallCaps w:val="false"/>
          <w:sz w:val="20"/>
          <w:u w:val="single"/>
        </w:rPr>
        <w:t>Confidentiality</w:t>
      </w:r>
      <w:r>
        <w:rPr>
          <w:rFonts w:ascii="Times New Roman" w:hAnsi="Times New Roman"/>
          <w:caps w:val="false"/>
          <w:smallCaps w:val="false"/>
          <w:sz w:val="20"/>
        </w:rPr>
        <w:t>. Except as provided in this ‎ARTICLE 8, ‎Section 10.4 or otherwise agreed in writing by the parties, the parties hereto agree that, during the term of this Agreement and for [***] years thereafter, each party (the “</w:t>
      </w:r>
      <w:r>
        <w:rPr>
          <w:rFonts w:ascii="Times New Roman" w:hAnsi="Times New Roman"/>
          <w:caps w:val="false"/>
          <w:smallCaps w:val="false"/>
          <w:sz w:val="20"/>
          <w:u w:val="single"/>
        </w:rPr>
        <w:t>Receiving Party</w:t>
      </w:r>
      <w:r>
        <w:rPr>
          <w:rFonts w:ascii="Times New Roman" w:hAnsi="Times New Roman"/>
          <w:caps w:val="false"/>
          <w:smallCaps w:val="false"/>
          <w:sz w:val="20"/>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Times New Roman" w:hAnsi="Times New Roman"/>
          <w:caps w:val="false"/>
          <w:smallCaps w:val="false"/>
          <w:sz w:val="20"/>
          <w:u w:val="single"/>
        </w:rPr>
        <w:t>Disclosing Party</w:t>
      </w:r>
      <w:r>
        <w:rPr>
          <w:rFonts w:ascii="Times New Roman" w:hAnsi="Times New Roman"/>
          <w:caps w:val="false"/>
          <w:smallCaps w:val="false"/>
          <w:sz w:val="20"/>
        </w:rPr>
        <w:t>”) pursuant to this Agreement (such information, “</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of the Disclosing Party), except for that portion of such information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was already known to the Receiving Party, other than under an obligation of confidentiality, at the time of disclosure by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was generally available to the public or otherwise part of the public domain at the time of its disclosure to the Receiving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became generally available to the public or otherwise part of the public domain after its disclosure and other than through any act or omission of the Receiving Party in breach of this Agreement or any other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is independently developed by the Receiving Party or any of its Affiliates, as evidenced by written records, without the use of or reference of the Confidential Information;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is subsequently disclosed to the Receiving Party on a non-confidential basis by a Third Party without obligations of confidentiality with respect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8.2    </w:t>
      </w:r>
      <w:r>
        <w:rPr>
          <w:rFonts w:ascii="Times New Roman" w:hAnsi="Times New Roman"/>
          <w:caps w:val="false"/>
          <w:smallCaps w:val="false"/>
          <w:sz w:val="20"/>
          <w:u w:val="single"/>
        </w:rPr>
        <w:t>Authorized Disclosure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Either party may disclose Confidential Information to the extent such disclosure is reasonably necessary in the following situations: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prosecuting or defending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complying with applicable laws and regulations, including regulations promulgated by securities exchanges;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    complying with a valid order of a court of competent jurisdiction or other Governmental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(iv)    for regulatory, Tax or customs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    for audit purposes, provided that each recipient of Confidential Information must be bound by customary and reasonable obligations of confidentiality and non-use prior to any such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    disclosure to its Affiliates and Representatives on a need-to-know basis, provided that each such recipient of Confidential Information must be bound by contractual or professional obligations of confidentiality and non-use at least as stringent as those imposed upon the parties hereunder prior to any such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    upon the prior written consent of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(viii)    disclosure to its potential 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(ix)    as is necessary in connection with a permitted assignment pursuant to ‎Section 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Notwithstanding the foregoing, in the event the Receiving Party is required to make a disclosure of the Disclosing Party’s Confidential Information pursuant to ‎Section 8.2(a)(i), ‎(ii), ‎(iii) or ‎(iv), it will, except where impracticable, give reasonable advance notice to the Disclosing Party of such disclosure and use reasonable efforts to secure confidential treatment of such information. In any event, the Buyer shall not file any patent application based upon or using the Confidential Information of Seller provided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Notwithstanding anything set forth in this Agreement, materials and documentation relating to the Seller’s Intellectual Property Rights may be only disclosed to or accessed by the Buyer and its attorneys and auditors, without further disclosure to any other Representative of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TERMINATION; SURVIVAL; SURVIVAL OF 2020 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9.1    </w:t>
      </w:r>
      <w:r>
        <w:rPr>
          <w:rFonts w:ascii="Times New Roman" w:hAnsi="Times New Roman"/>
          <w:caps w:val="false"/>
          <w:smallCaps w:val="false"/>
          <w:sz w:val="20"/>
          <w:u w:val="single"/>
        </w:rPr>
        <w:t>Mutual Termination</w:t>
      </w:r>
      <w:r>
        <w:rPr>
          <w:rFonts w:ascii="Times New Roman" w:hAnsi="Times New Roman"/>
          <w:caps w:val="false"/>
          <w:smallCaps w:val="false"/>
          <w:sz w:val="20"/>
        </w:rPr>
        <w:t>. This Agreement may be terminated by mutual written agreement of the Buyer and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9.2    </w:t>
      </w:r>
      <w:r>
        <w:rPr>
          <w:rFonts w:ascii="Times New Roman" w:hAnsi="Times New Roman"/>
          <w:caps w:val="false"/>
          <w:smallCaps w:val="false"/>
          <w:sz w:val="20"/>
          <w:u w:val="single"/>
        </w:rPr>
        <w:t>Automatic Termination</w:t>
      </w:r>
      <w:r>
        <w:rPr>
          <w:rFonts w:ascii="Times New Roman" w:hAnsi="Times New Roman"/>
          <w:caps w:val="false"/>
          <w:smallCaps w:val="false"/>
          <w:sz w:val="20"/>
        </w:rPr>
        <w:t>. Unless earlier terminated as provided in ‎Section 9.1, following the Closing, this Agreement shall continue in full force and effect until sixty (60) days after such time as the Seller is no longer obligated to make any Royalty Payments under this Agreement, at which point this Agreement shall automatically terminate, except with respect to any rights that shall have accrued prior to such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9.3    </w:t>
      </w:r>
      <w:r>
        <w:rPr>
          <w:rFonts w:ascii="Times New Roman" w:hAnsi="Times New Roman"/>
          <w:caps w:val="false"/>
          <w:smallCaps w:val="false"/>
          <w:sz w:val="20"/>
          <w:u w:val="single"/>
        </w:rPr>
        <w:t>Survival</w:t>
      </w:r>
      <w:r>
        <w:rPr>
          <w:rFonts w:ascii="Times New Roman" w:hAnsi="Times New Roman"/>
          <w:caps w:val="false"/>
          <w:smallCaps w:val="false"/>
          <w:sz w:val="20"/>
        </w:rPr>
        <w:t>. Notwithstanding anything to the contrary in this ‎ARTICLE 9, the following provisions shall survive termination of this Agreement: ‎Section 6.3 (Disclosures), Section 6.4 (Inspections and Audits of the Seller) ‎ARTICLE 7 (Indemnification), ‎ARTICLE 8 (Confidentiality), this ‎Section 9.3 (Survival), Section 9.4 (Survival of 2020 Agreement) and ‎ARTICLE 10 (Miscellaneous). Termination of the Agreement shall not relieve any party of liability in respect of breaches under this Agreement by any party on or prior to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9.4    </w:t>
      </w:r>
      <w:r>
        <w:rPr>
          <w:rFonts w:ascii="Times New Roman" w:hAnsi="Times New Roman"/>
          <w:caps w:val="false"/>
          <w:smallCaps w:val="false"/>
          <w:sz w:val="20"/>
          <w:u w:val="single"/>
        </w:rPr>
        <w:t>Survival of 2020 Agreement</w:t>
      </w:r>
      <w:r>
        <w:rPr>
          <w:rFonts w:ascii="Times New Roman" w:hAnsi="Times New Roman"/>
          <w:caps w:val="false"/>
          <w:smallCaps w:val="false"/>
          <w:sz w:val="20"/>
        </w:rPr>
        <w:t>. This Agreement shall not be deemed to amend, modify, restate or supersede the 2020 Agreement, which shall continue in full force and effect, except that, notwithstanding the foregoing, (a) ARTICLE 6 (Covenants) of the 2020 Agreement and the defined terms used therein, including without, limitation, the Seller’s obligation to pay the Royalty Payments (as defined in the 2020 Agreement) to the Buyer under Section 6.2 of the 2020 Agreement, shall be amended, replaced and superseded by ‎ARTICLE 6 (Covenants) hereof and the defined terms used herein, including the Additional Components, (b) the Back-Up Security Interest provided for in the 2020 Agreement shall be as modified by ‎Section 2.1(c) of this Agreement and (c) Sections 10.2 and 10.4 of the 2020 Agreement shall be amended, replaced and superseded by Sections 10.2 and 10.4 of this Agreement. Entry into this Agreement shall not (i) relieve either party of liability in respect of breaches or in respect of any payment or other obligations, in each case whether known or unknown, incurred or accrued, under the 2020 Agreement by either party thereto (including under ARTICLE 6 (Covenants) thereof on or prior to the date hereof) or (ii) limit, terminate, restrict or otherwise modify any rights or remedies accruing to either party under the 2020 Agreement (including under ARTICLE 6 (Covenants) thereof on or prior to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MISCELLANEOUS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    </w:t>
      </w:r>
      <w:r>
        <w:rPr>
          <w:rFonts w:ascii="Times New Roman" w:hAnsi="Times New Roman"/>
          <w:caps w:val="false"/>
          <w:smallCaps w:val="false"/>
          <w:sz w:val="20"/>
          <w:u w:val="single"/>
        </w:rPr>
        <w:t>Headings</w:t>
      </w:r>
      <w:r>
        <w:rPr>
          <w:rFonts w:ascii="Times New Roman" w:hAnsi="Times New Roman"/>
          <w:caps w:val="false"/>
          <w:smallCaps w:val="false"/>
          <w:sz w:val="20"/>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10.2    </w:t>
      </w:r>
      <w:r>
        <w:rPr>
          <w:rFonts w:ascii="Times New Roman" w:hAnsi="Times New Roman"/>
          <w:caps w:val="false"/>
          <w:smallCaps w:val="false"/>
          <w:sz w:val="20"/>
          <w:u w:val="single"/>
        </w:rPr>
        <w:t>Notices</w:t>
      </w:r>
      <w:r>
        <w:rPr>
          <w:rFonts w:ascii="Times New Roman" w:hAnsi="Times New Roman"/>
          <w:caps w:val="false"/>
          <w:smallCaps w:val="false"/>
          <w:sz w:val="20"/>
        </w:rPr>
        <w:t>. All notices and other communications under this Agreement shall be in writing and shall be by email with PDF attachment, facsimile, courier service or personal delivery to the following addresses, or to such other addresses as shall be designated from time to time by a party hereto in accordance with this ‎Section 10.2:</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If to the Seller, to it at:</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BioCryst Pharmaceuticals, Inc.</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4505 Emperor Blvd., Suite 200</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Durham, North Carolina 27703</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Alane Barnes</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w:t>
      </w:r>
    </w:p>
    <w:p>
      <w:pPr>
        <w:pStyle w:val="TextBody"/>
        <w:spacing w:before="0" w:after="0"/>
        <w:ind w:left="1440" w:right="0" w:firstLine="360"/>
        <w:rPr>
          <w:caps w:val="false"/>
          <w:smallCaps w:val="false"/>
        </w:rPr>
      </w:pPr>
      <w:r>
        <w:rPr>
          <w:caps w:val="false"/>
          <w:smallCaps w:val="false"/>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Gibson, Dunn &amp; Crutcher LLP</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555 Mission Street, Suite 3000</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San Francisco, CA 94105</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Ryan Murr; Todd Trattner</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rmurr@gibsondunn.com; ttrattner@gibsondunn.com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If to the Buyer, to it at:</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RPI 2019 Intermediate Finance Trust</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110 E. 59th Street, Suite 3300</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New York, New York 10022</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 xml:space="preserve">Attention: George Lloyd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Goodwin Procter LLP</w:t>
        <w:br/>
        <w:t>100 Northern Avenue</w:t>
        <w:br/>
        <w:t>Boston, Massachusetts 02210</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Arthur R. McGivern, Jacqueline Mercier &amp;</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Robert M. Crawford, Jr.</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amcgivern@goodwinlaw.com, jmercier@goodwinlaw.com &amp; rcrawford@goodwinlaw.com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 notices and communications under this Agreement shall be deemed to have been duly given (i) when delivered by hand, if personally delivered, (ii) when sent, if sent by facsimile, with an acknowledgement of sending being produced by the sending facsimile machine, (iii) when sent, if by email with PDF attachment, with an acknowledgment of receipt being produced by the recipient’s email account, or (iv) one (1) Business Day following sending within the United States by overnight delivery via commercial one-day overnight courier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10.3    </w:t>
      </w:r>
      <w:r>
        <w:rPr>
          <w:rFonts w:ascii="Times New Roman" w:hAnsi="Times New Roman"/>
          <w:caps w:val="false"/>
          <w:smallCaps w:val="false"/>
          <w:sz w:val="20"/>
          <w:u w:val="single"/>
        </w:rPr>
        <w:t>Expenses</w:t>
      </w:r>
      <w:r>
        <w:rPr>
          <w:rFonts w:ascii="Times New Roman" w:hAnsi="Times New Roman"/>
          <w:caps w:val="false"/>
          <w:smallCaps w:val="false"/>
          <w:sz w:val="20"/>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10.4    </w:t>
      </w:r>
      <w:r>
        <w:rPr>
          <w:rFonts w:ascii="Times New Roman" w:hAnsi="Times New Roman"/>
          <w:caps w:val="false"/>
          <w:smallCaps w:val="false"/>
          <w:sz w:val="20"/>
          <w:u w:val="single"/>
        </w:rPr>
        <w:t>Assignment</w:t>
      </w:r>
      <w:r>
        <w:rPr>
          <w:rFonts w:ascii="Times New Roman" w:hAnsi="Times New Roman"/>
          <w:caps w:val="false"/>
          <w:smallCaps w:val="false"/>
          <w:sz w:val="20"/>
        </w:rPr>
        <w:t>. The Seller may not assign in whole or in part this Agreement or any of its rights or obligations hereunder except (a) for a Permitted Sale or (b) to a Third Party in connection with the sale or transfer of all or substantially all of the Seller’s business or assets related to a Product, whether by merger, sale of assets, reorganization, or other conveyance of title and only if upon closing any such transaction, the Seller causes such Affiliate or Third Party, as applicable, to deliver a writing to the Buyer in which it assumes all of the obligations of the Seller to the Buyer under this Agreement, and such Affiliate or Third Party shall be deemed an assignee of Seller under this Agreement (clauses (a) and (b) the “</w:t>
      </w:r>
      <w:r>
        <w:rPr>
          <w:rFonts w:ascii="Times New Roman" w:hAnsi="Times New Roman"/>
          <w:caps w:val="false"/>
          <w:smallCaps w:val="false"/>
          <w:sz w:val="20"/>
          <w:u w:val="single"/>
        </w:rPr>
        <w:t>Permitted Assignment Provisions</w:t>
      </w:r>
      <w:r>
        <w:rPr>
          <w:rFonts w:ascii="Times New Roman" w:hAnsi="Times New Roman"/>
          <w:caps w:val="false"/>
          <w:smallCaps w:val="false"/>
          <w:sz w:val="20"/>
        </w:rPr>
        <w:t>”). The Seller may not assign in whole or in part any of its rights in a Product, including any Product Rights, without the Buyer’s prior written consent, except (i) pursuant to the Permitted Assignment Provisions, (ii) pursuant to the OMERS Transaction Agreement, (iii) pursuant to the 2020 Agreement, (iv) pursuant to the Athyrium Loan Documents, or (v) pursuant to any agreement evidencing any secured Indebtedness permitted by clause (b)(ii) of the definition of Restricted Indebtedness. For the avoidance of doubt, nothing in this ‎Section 10.4 shall restrict the Seller from engaging in a Permitted Sale, from licensing any Product Rights pursuant to a Permitted License, from transferring the Marketing Approvals for any jurisdiction to a Licensee or a Permitted Purchaser in connection with a Permitted License or Permitted Sale covering such jurisdiction, or incurring any Permitted Indebtedness. Following the Closing, the Buyer may assign this Agreement in whole or in part to any Person, including to any Third Party, to one or more of its Affiliates, to the “Buyer” under the OMERS Transaction Agreement or the “Buyer” under the 2020 Agreement; provided that the Buyer shall cause such Person to become a party to the Intercreditor Agreement in accordance with the terms thereof or enter into an intercreditor agreement with the administrative agent, trustee or representative under the Athyrium Credit Agreement, the “Buyer” under the OMERS Transaction Agreement and the “Buyer” under the 2020 Agreement in form and substance substantially the same as the Intercreditor Agreement. This Agreement shall be binding upon, inure to the benefit of and be enforceable by, the parties hereto and their respective permitted successors and assigns. Any purported assignment in violation of this ‎Section 10.4 shall be null and void. Notwithstanding the foregoing, nothing in this Agreement shall prohibit Athyrium or the administrative agent, trustee or representative under the Athyrium Credit Agreement at such time from taking any action permitted by the Intercreditor Agreement or an Other Intercreditor Agreement, including but not limited to commencing or maintaining any Enforcement Action (as defined in the Intercreditor Agreement) or such similar term (as defined in an Other Intercreditor Agreement) or exercising any rights with respect to its collateral under the Bankruptcy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10.5    </w:t>
      </w:r>
      <w:r>
        <w:rPr>
          <w:rFonts w:ascii="Times New Roman" w:hAnsi="Times New Roman"/>
          <w:caps w:val="false"/>
          <w:smallCaps w:val="false"/>
          <w:sz w:val="20"/>
          <w:u w:val="single"/>
        </w:rPr>
        <w:t>Amendment and Waiver</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This Agreement may be amended, modified or supplemented only in a writing signed by each of the parties hereto. Any provision of this Agreement may be waived only in a writing signed by the party hereto granting such waiver.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10.6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the Exhibits annexed hereto and the Disclosure Schedule constitute the entire understanding between the parties hereto with respect to the subject matter hereof and, except for the 2020 Agreement (subject to Section 9.4 of this Agreement), supersede all other understandings and negotiations with respect thereto. For the sake of clarity, as of the date of the 2020 Agreement, the Non-Disclosure Agreement between RP Management, LLC and the Seller, dated as of [***] was terminated and shall continue to be superseded by ‎ARTICLE 8 of this Agreement and all obligations between the parties relating to confidentiality shall be governed by ‎ARTICLE 8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10.7    </w:t>
      </w:r>
      <w:r>
        <w:rPr>
          <w:rFonts w:ascii="Times New Roman" w:hAnsi="Times New Roman"/>
          <w:caps w:val="false"/>
          <w:smallCaps w:val="false"/>
          <w:sz w:val="20"/>
          <w:u w:val="single"/>
        </w:rPr>
        <w:t>No Third Party Beneficiaries</w:t>
      </w:r>
      <w:r>
        <w:rPr>
          <w:rFonts w:ascii="Times New Roman" w:hAnsi="Times New Roman"/>
          <w:caps w:val="false"/>
          <w:smallCaps w:val="false"/>
          <w:sz w:val="20"/>
        </w:rPr>
        <w:t>.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‎Section 7.1.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10.8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governed by, and construed in accordance with, the laws of the State of New York without giving effect to any choice or conflict of law provision or rule that would cause the application of the laws of any other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10.9    </w:t>
      </w:r>
      <w:r>
        <w:rPr>
          <w:rFonts w:ascii="Times New Roman" w:hAnsi="Times New Roman"/>
          <w:caps w:val="false"/>
          <w:smallCaps w:val="false"/>
          <w:sz w:val="20"/>
          <w:u w:val="single"/>
        </w:rPr>
        <w:t>Jurisdiction; Venue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‎10.2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10.10    </w:t>
      </w:r>
      <w:r>
        <w:rPr>
          <w:rFonts w:ascii="Times New Roman" w:hAnsi="Times New Roman"/>
          <w:caps w:val="false"/>
          <w:smallCaps w:val="false"/>
          <w:sz w:val="20"/>
          <w:u w:val="single"/>
        </w:rPr>
        <w:t>Severability</w:t>
      </w:r>
      <w:r>
        <w:rPr>
          <w:rFonts w:ascii="Times New Roman" w:hAnsi="Times New Roman"/>
          <w:caps w:val="false"/>
          <w:smallCaps w:val="false"/>
          <w:sz w:val="20"/>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10.11    </w:t>
      </w:r>
      <w:r>
        <w:rPr>
          <w:rFonts w:ascii="Times New Roman" w:hAnsi="Times New Roman"/>
          <w:caps w:val="false"/>
          <w:smallCaps w:val="false"/>
          <w:sz w:val="20"/>
          <w:u w:val="single"/>
        </w:rPr>
        <w:t>Specific Performance</w:t>
      </w:r>
      <w:r>
        <w:rPr>
          <w:rFonts w:ascii="Times New Roman" w:hAnsi="Times New Roman"/>
          <w:caps w:val="false"/>
          <w:smallCaps w:val="false"/>
          <w:sz w:val="20"/>
        </w:rPr>
        <w:t>. Each of the parties acknowledges and agrees that the other party would be damaged irreparably in the event any of the provisions of this Agreement are not performed in accordance with their specific terms or otherwise are breached or violated. Accordingly, each of the parties agrees that, without posting bond or other undertaking, the other party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further agrees that, in the event of any action for specific performance in respect of such breach of violation, it will not assert the defense that a remedy at law would be adequate.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10.12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10.13    </w:t>
      </w:r>
      <w:r>
        <w:rPr>
          <w:rFonts w:ascii="Times New Roman" w:hAnsi="Times New Roman"/>
          <w:caps w:val="false"/>
          <w:smallCaps w:val="false"/>
          <w:sz w:val="20"/>
          <w:u w:val="single"/>
        </w:rPr>
        <w:t>Relationship of the Parties</w:t>
      </w:r>
      <w:r>
        <w:rPr>
          <w:rFonts w:ascii="Times New Roman" w:hAnsi="Times New Roman"/>
          <w:caps w:val="false"/>
          <w:smallCaps w:val="false"/>
          <w:sz w:val="20"/>
        </w:rPr>
        <w:t>. The relationship between the Buyer and the Seller is solely that of purchaser 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10.14    </w:t>
      </w:r>
      <w:r>
        <w:rPr>
          <w:rFonts w:ascii="Times New Roman" w:hAnsi="Times New Roman"/>
          <w:caps w:val="false"/>
          <w:smallCaps w:val="false"/>
          <w:sz w:val="20"/>
          <w:u w:val="single"/>
        </w:rPr>
        <w:t>Intercreditor Agreement</w:t>
      </w:r>
      <w:r>
        <w:rPr>
          <w:rFonts w:ascii="Times New Roman" w:hAnsi="Times New Roman"/>
          <w:caps w:val="false"/>
          <w:smallCaps w:val="false"/>
          <w:sz w:val="20"/>
        </w:rPr>
        <w:t>. Notwithstanding anything to the contrary herein, the Liens and Back-Up Security Interest granted to the Buyer and its successors and assigns pursuant to this Agreement and the exercise of any right or remedy by the Buyer and its successors and assigns hereunder are subject to the provisions of the Intercreditor Agreement and the provisions of any Other Intercreditor Agreement. If there is conflict between the terms of the Intercreditor Agreement or an Other Intercreditor Agreement (each a “</w:t>
      </w:r>
      <w:r>
        <w:rPr>
          <w:rFonts w:ascii="Times New Roman" w:hAnsi="Times New Roman"/>
          <w:caps w:val="false"/>
          <w:smallCaps w:val="false"/>
          <w:sz w:val="20"/>
          <w:u w:val="single"/>
        </w:rPr>
        <w:t>Controlling Agreement</w:t>
      </w:r>
      <w:r>
        <w:rPr>
          <w:rFonts w:ascii="Times New Roman" w:hAnsi="Times New Roman"/>
          <w:caps w:val="false"/>
          <w:smallCaps w:val="false"/>
          <w:sz w:val="20"/>
        </w:rPr>
        <w:t>”), on the one hand, and the terms of this Agreement, on the other hand, with respect to the Liens, security interests or the exercise of any right or remedy of the Buyer, the “Buyer” under and as defined in the OMERS Transaction Agreement for so long as such Person is a party to a Controlling Agreement, the “Buyer” under and as defined in the 2020 Agreement or any holder of any Indebtedness that is a party to a Controlling Agreement, then the terms of such Controlling Agreement will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10.15    </w:t>
      </w:r>
      <w:r>
        <w:rPr>
          <w:rFonts w:ascii="Times New Roman" w:hAnsi="Times New Roman"/>
          <w:caps w:val="false"/>
          <w:smallCaps w:val="false"/>
          <w:sz w:val="20"/>
          <w:u w:val="single"/>
        </w:rPr>
        <w:t>Trustee Capacity of Wilmington Trust, National Association</w:t>
      </w:r>
      <w:r>
        <w:rPr>
          <w:rFonts w:ascii="Times New Roman" w:hAnsi="Times New Roman"/>
          <w:caps w:val="false"/>
          <w:smallCaps w:val="false"/>
          <w:sz w:val="20"/>
        </w:rPr>
        <w:t>. Notwithstanding anything contained herein to the contrary, it is expressly understood and agreed by the parties hereto that (i) this Agreement is executed and delivered by Wilmington Trust, National Association, not individually or personally but solely in its trustee capacity, in the exercise of the powers and authority conferred and vested in it under the trust agreement of the Buyer, (ii) each of the representations, undertakings and agreements herein made on the part 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Buyer is made and intended not as a personal representation, undertaking and agreement by Wilmington Trust, National Association, but is made and intended for the purpose of binding only the Buyer and, (iii) nothing herein contained shall be construed as creating any liability on Wilmington Trust, National Association, individually or personally, to perform any covenant either expressed or implied contained herein, all such liability, if any, being expressly waived by the parties hereto and by any Person claiming by, through or under the parties hereto, (iv) Wilmington Trust, National Association has made no investigation as to the accuracy or completeness of any representations and warranties made by the Buyer in this Agreement, and (v) under no circumstances shall Wilmington Trust, National Association be personally liable for the payment of any indebtedness or expenses of the Buyer or be liable for the breach or failure of any obligation, representation, warranty or covenant made or undertaken by the Buyer under this Agreement or any related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firstLine="720"/>
        <w:rPr>
          <w:rFonts w:ascii="Times New Roman" w:hAnsi="Times New Roman"/>
          <w:sz w:val="20"/>
        </w:rPr>
      </w:pPr>
      <w:r>
        <w:rPr>
          <w:rFonts w:ascii="Times New Roman" w:hAnsi="Times New Roman"/>
          <w:sz w:val="20"/>
        </w:rPr>
        <w:t>IN WITNESS WHEREOF, the parties hereto have caused this Agreement to be executed and delivered by their respective representatives thereunto duly authorized as of the date first above written.</w:t>
      </w:r>
    </w:p>
    <w:p>
      <w:pPr>
        <w:pStyle w:val="TextBody"/>
        <w:spacing w:before="0" w:after="0"/>
        <w:ind w:left="0" w:right="0" w:hanging="0"/>
        <w:rPr/>
      </w:pPr>
      <w:r>
        <w:rPr/>
        <w:t> </w:t>
      </w:r>
    </w:p>
    <w:tbl>
      <w:tblPr>
        <w:tblW w:w="9475" w:type="dxa"/>
        <w:jc w:val="left"/>
        <w:tblInd w:w="0" w:type="dxa"/>
        <w:tblCellMar>
          <w:top w:w="0" w:type="dxa"/>
          <w:left w:w="0" w:type="dxa"/>
          <w:bottom w:w="0" w:type="dxa"/>
          <w:right w:w="0" w:type="dxa"/>
        </w:tblCellMar>
      </w:tblPr>
      <w:tblGrid>
        <w:gridCol w:w="60"/>
        <w:gridCol w:w="320"/>
        <w:gridCol w:w="9095"/>
      </w:tblGrid>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0"/>
              <w:ind w:left="140" w:right="0" w:hanging="140"/>
              <w:rPr>
                <w:rFonts w:ascii="Times New Roman" w:hAnsi="Times New Roman"/>
                <w:caps w:val="false"/>
                <w:smallCaps w:val="false"/>
                <w:sz w:val="20"/>
              </w:rPr>
            </w:pPr>
            <w:r>
              <w:rPr>
                <w:rFonts w:ascii="Times New Roman" w:hAnsi="Times New Roman"/>
                <w:caps w:val="false"/>
                <w:smallCaps w:val="false"/>
                <w:sz w:val="20"/>
              </w:rPr>
              <w:t>SELLER</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PHARMACEUTICALS, INC.</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90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Doyle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Anthony Doyle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 Chief Financial Officer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0"/>
              <w:ind w:left="140" w:right="0" w:hanging="140"/>
              <w:rPr>
                <w:rFonts w:ascii="Times New Roman" w:hAnsi="Times New Roman"/>
                <w:caps w:val="false"/>
                <w:smallCaps w:val="false"/>
                <w:sz w:val="20"/>
              </w:rPr>
            </w:pPr>
            <w:r>
              <w:rPr>
                <w:rFonts w:ascii="Times New Roman" w:hAnsi="Times New Roman"/>
                <w:caps w:val="false"/>
                <w:smallCaps w:val="false"/>
                <w:sz w:val="20"/>
              </w:rPr>
              <w:t>BUYER</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RPI 2019 INTERMEDIATE FINANCE TRUST</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Wilmington Trust, National Association, not in its individual capacity but solely in its capacity as owner trustee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90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Cynthia L. Major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Cynthia L. Major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 Banking Officer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Purchase and Sale Agreement]</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jc w:val="right"/>
        <w:rPr>
          <w:rFonts w:ascii="Times New Roman;Times;serif" w:hAnsi="Times New Roman;Times;serif"/>
          <w:b/>
          <w:sz w:val="20"/>
        </w:rPr>
      </w:pPr>
      <w:bookmarkStart w:id="44" w:name="ex_340699.htm"/>
      <w:bookmarkStart w:id="45" w:name="ksex_340699"/>
      <w:bookmarkEnd w:id="44"/>
      <w:bookmarkEnd w:id="45"/>
      <w:r>
        <w:rPr>
          <w:rFonts w:ascii="Times New Roman;Times;serif" w:hAnsi="Times New Roman;Times;serif"/>
          <w:b/>
          <w:sz w:val="20"/>
        </w:rPr>
        <w:t>Exhibit 10.103</w:t>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information has been omitted from this exhibit in places marked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because it is both not material and would likely cause competitive harm to the registrant if publicly disclosed.</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In addition, certain personally identifiable information contained in this document, marked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has been omitted from this exhibit pursuant to Item 601(a)(6) under Regulation S-K.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Purchase And Sale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By and Between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BioCryst Pharmaceuticals,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center"/>
        <w:rPr>
          <w:rFonts w:ascii="Times New Roman" w:hAnsi="Times New Roman"/>
          <w:smallCaps/>
          <w:sz w:val="20"/>
        </w:rPr>
      </w:pPr>
      <w:r>
        <w:rPr>
          <w:rFonts w:ascii="Times New Roman" w:hAnsi="Times New Roman"/>
          <w:smallCaps/>
          <w:sz w:val="20"/>
        </w:rPr>
        <w:t>OCM IP Healthcare Holdings Limited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mallCaps/>
          <w:sz w:val="20"/>
        </w:rPr>
      </w:pPr>
      <w:r>
        <w:rPr>
          <w:rFonts w:ascii="Times New Roman" w:hAnsi="Times New Roman"/>
          <w:smallCaps/>
          <w:sz w:val="20"/>
        </w:rPr>
        <w:t>Dated as of November 19,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tbl>
      <w:tblPr>
        <w:tblW w:w="8514" w:type="dxa"/>
        <w:jc w:val="left"/>
        <w:tblInd w:w="0" w:type="dxa"/>
        <w:tblCellMar>
          <w:top w:w="0" w:type="dxa"/>
          <w:left w:w="0" w:type="dxa"/>
          <w:bottom w:w="0" w:type="dxa"/>
          <w:right w:w="0" w:type="dxa"/>
        </w:tblCellMar>
      </w:tblPr>
      <w:tblGrid>
        <w:gridCol w:w="1171"/>
        <w:gridCol w:w="6933"/>
        <w:gridCol w:w="410"/>
      </w:tblGrid>
      <w:tr>
        <w:trPr/>
        <w:tc>
          <w:tcPr>
            <w:tcW w:w="1171" w:type="dxa"/>
            <w:tcBorders/>
            <w:shd w:fill="auto" w:val="clear"/>
            <w:vAlign w:val="center"/>
          </w:tcPr>
          <w:p>
            <w:pPr>
              <w:pStyle w:val="TableContents"/>
              <w:spacing w:before="0" w:after="283"/>
              <w:rPr/>
            </w:pPr>
            <w:r>
              <w:rPr/>
              <w:t> </w:t>
            </w:r>
          </w:p>
        </w:tc>
        <w:tc>
          <w:tcPr>
            <w:tcW w:w="6933"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1 DEFINITIONS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Definitions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Certain Interpretations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2 PURCHASE, SALE AND ASSIGNMENT OF THE REVENUE PARTICIPATION RIGHT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2.1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Purchase, Sale and Assignment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2.2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Purchase Price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2.3</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Assumed Obligations, Etc.</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3 CLOSING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3.1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Closing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3.2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Payment of Purchase Price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3.3</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Bill of Sale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4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4.1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Seller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4.2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Buyer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4.3</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Implied Representations and Warranties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5 CONDITIONS TO CLOSING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5.1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Conditions to the Buyer</w:t>
            </w:r>
            <w:r>
              <w:rPr>
                <w:rFonts w:ascii="Times New Roman" w:hAnsi="Times New Roman"/>
                <w:caps w:val="false"/>
                <w:smallCaps w:val="false"/>
                <w:sz w:val="20"/>
              </w:rPr>
              <w:t>’</w:t>
            </w:r>
            <w:r>
              <w:rPr>
                <w:rFonts w:ascii="Times New Roman" w:hAnsi="Times New Roman"/>
                <w:caps w:val="false"/>
                <w:smallCaps w:val="false"/>
                <w:sz w:val="20"/>
                <w:u w:val="single"/>
              </w:rPr>
              <w:t>s Obligations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5.2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Conditions to the Seller</w:t>
            </w:r>
            <w:r>
              <w:rPr>
                <w:rFonts w:ascii="Times New Roman" w:hAnsi="Times New Roman"/>
                <w:caps w:val="false"/>
                <w:smallCaps w:val="false"/>
                <w:sz w:val="20"/>
              </w:rPr>
              <w:t>’</w:t>
            </w:r>
            <w:r>
              <w:rPr>
                <w:rFonts w:ascii="Times New Roman" w:hAnsi="Times New Roman"/>
                <w:caps w:val="false"/>
                <w:smallCaps w:val="false"/>
                <w:sz w:val="20"/>
                <w:u w:val="single"/>
              </w:rPr>
              <w:t>s Obligations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6 COVENANTS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Reporting</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Royalty Payments; Revenue Participation and Royalty Payment Details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6.3</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Disclosures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6.4</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Inspections and Audits of the Seller</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6.5</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Intellectual Property Matters.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6.6</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In-Licenses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6.7</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Out-Licenses and Permitted Sales.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6.8</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Restricted Indebtedness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6.9</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Diligence.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6.10</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Efforts to Consummate Transactions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Further Assurances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Impairment of Revenue Participation Right or Back-Up Security Interest</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6.13</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Certain Tax Matters.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7 INDEMNIFICATION</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General Indemnity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Notice of Claims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7.3</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Limitations on Liability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7.4</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Exclusive Remedy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7.5</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Tax Treatment of Indemnification Payments</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8 CONFIDENTIALITY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8.1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Confidentiality</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8.2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Authorized Disclosure</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8104"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9 TERMINATION</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9.1</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Mutual Termination</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9.2</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Automatic Termination</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171"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9.3</w:t>
            </w:r>
          </w:p>
        </w:tc>
        <w:tc>
          <w:tcPr>
            <w:tcW w:w="6933"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Survival</w:t>
            </w:r>
          </w:p>
        </w:tc>
        <w:tc>
          <w:tcPr>
            <w:tcW w:w="41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bl>
    <w:p>
      <w:pPr>
        <w:pStyle w:val="TextBody"/>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3705" w:type="dxa"/>
        <w:jc w:val="left"/>
        <w:tblInd w:w="0" w:type="dxa"/>
        <w:tblCellMar>
          <w:top w:w="0" w:type="dxa"/>
          <w:left w:w="0" w:type="dxa"/>
          <w:bottom w:w="0" w:type="dxa"/>
          <w:right w:w="0" w:type="dxa"/>
        </w:tblCellMar>
      </w:tblPr>
      <w:tblGrid>
        <w:gridCol w:w="1145"/>
        <w:gridCol w:w="2330"/>
        <w:gridCol w:w="230"/>
      </w:tblGrid>
      <w:tr>
        <w:trPr/>
        <w:tc>
          <w:tcPr>
            <w:tcW w:w="3475"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ARTICLE 10 MISCELLANEOUS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Headings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10.2</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Notices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10.3</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Expenses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10.4</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Assignment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10.5</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Amendment and Waiver.</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10.6</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Entire Agreement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10.7</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No Third Party Beneficiaries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10.8</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Governing Law</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10.9</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Jurisdiction; Venue.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10.10</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Severability</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10.11</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Specific Performance</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10.12</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Counterparts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10.13</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Relationship of the Parties</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145" w:type="dxa"/>
            <w:tcBorders/>
            <w:shd w:fill="auto"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Section 10.14</w:t>
            </w:r>
          </w:p>
        </w:tc>
        <w:tc>
          <w:tcPr>
            <w:tcW w:w="2330" w:type="dxa"/>
            <w:tcBorders/>
            <w:shd w:fill="auto" w:val="clear"/>
            <w:vAlign w:val="center"/>
          </w:tcPr>
          <w:p>
            <w:pPr>
              <w:pStyle w:val="TableContents"/>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Intercreditor Agreement</w:t>
            </w:r>
          </w:p>
        </w:tc>
        <w:tc>
          <w:tcPr>
            <w:tcW w:w="230" w:type="dxa"/>
            <w:tcBorders/>
            <w:shd w:fill="auto"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(ii)</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3550" w:type="dxa"/>
        <w:jc w:val="left"/>
        <w:tblInd w:w="0" w:type="dxa"/>
        <w:tblCellMar>
          <w:top w:w="0" w:type="dxa"/>
          <w:left w:w="0" w:type="dxa"/>
          <w:bottom w:w="0" w:type="dxa"/>
          <w:right w:w="0" w:type="dxa"/>
        </w:tblCellMar>
      </w:tblPr>
      <w:tblGrid>
        <w:gridCol w:w="920"/>
        <w:gridCol w:w="2630"/>
      </w:tblGrid>
      <w:tr>
        <w:trPr/>
        <w:tc>
          <w:tcPr>
            <w:tcW w:w="3550" w:type="dxa"/>
            <w:gridSpan w:val="2"/>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Index of Exhibits, Schedules and Annexes</w:t>
            </w:r>
          </w:p>
        </w:tc>
      </w:tr>
      <w:tr>
        <w:trPr/>
        <w:tc>
          <w:tcPr>
            <w:tcW w:w="9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 </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A:</w:t>
            </w:r>
          </w:p>
        </w:tc>
        <w:tc>
          <w:tcPr>
            <w:tcW w:w="26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Form of Intercreditor Agreement</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B: </w:t>
            </w:r>
          </w:p>
        </w:tc>
        <w:tc>
          <w:tcPr>
            <w:tcW w:w="26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Bill of Sale</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C:</w:t>
            </w:r>
          </w:p>
        </w:tc>
        <w:tc>
          <w:tcPr>
            <w:tcW w:w="26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Forms of Seller Opinion</w:t>
            </w:r>
          </w:p>
        </w:tc>
      </w:tr>
      <w:tr>
        <w:trPr/>
        <w:tc>
          <w:tcPr>
            <w:tcW w:w="9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Exhibit D:</w:t>
            </w:r>
          </w:p>
        </w:tc>
        <w:tc>
          <w:tcPr>
            <w:tcW w:w="26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Form of Royalty Report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(iii)</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 AND SALE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This PURCHASE AND SALE AGREEMENT, dated as of November 19, 2021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and entered into by and between OCM IP Healthcare Holdings Limited, an Ontario corporation (the “</w:t>
      </w:r>
      <w:r>
        <w:rPr>
          <w:rFonts w:ascii="Times New Roman" w:hAnsi="Times New Roman"/>
          <w:caps w:val="false"/>
          <w:smallCaps w:val="false"/>
          <w:sz w:val="20"/>
          <w:u w:val="single"/>
        </w:rPr>
        <w:t>Buyer</w:t>
      </w:r>
      <w:r>
        <w:rPr>
          <w:rFonts w:ascii="Times New Roman" w:hAnsi="Times New Roman"/>
          <w:caps w:val="false"/>
          <w:smallCaps w:val="false"/>
          <w:sz w:val="20"/>
        </w:rPr>
        <w:t>”), and BioCryst Pharmaceuticals, Inc., a Delaware corporation (the “</w:t>
      </w:r>
      <w:r>
        <w:rPr>
          <w:rFonts w:ascii="Times New Roman" w:hAnsi="Times New Roman"/>
          <w:caps w:val="false"/>
          <w:smallCaps w:val="false"/>
          <w:sz w:val="20"/>
          <w:u w:val="single"/>
        </w:rPr>
        <w:t>Seller</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W I T N E S S E T H</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the Seller is in the business of, among other things, developing and commercializing the Product;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WHEREAS, the Buyer desires to purchase the Revenue Participation Right from the Seller in exchange for payment of the Purchase Price, and the Seller desires to sell the Revenue Participation Right to the Buyer in exchange for the Buyer’s payment of the Purchase Price, in each case on the terms and conditions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NOW THEREFORE, in consideration of the representations, warranties, covenants and agreements set forth herein and for good and valuable consideration, the receipt and adequacy of which are hereby acknowledged, the Seller and the Buyer hereby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DEFINITIONS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Definitions</w:t>
      </w:r>
      <w:r>
        <w:rPr>
          <w:rFonts w:ascii="Times New Roman" w:hAnsi="Times New Roman"/>
          <w:caps w:val="false"/>
          <w:smallCaps w:val="false"/>
          <w:sz w:val="20"/>
        </w:rPr>
        <w:t>. The following terms, as used herein, shall have the following meanings: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RP Royalty Financing Agreement</w:t>
      </w:r>
      <w:r>
        <w:rPr>
          <w:rFonts w:ascii="Times New Roman" w:hAnsi="Times New Roman"/>
          <w:caps w:val="false"/>
          <w:smallCaps w:val="false"/>
          <w:sz w:val="20"/>
        </w:rPr>
        <w:t>” means the Purchase and Sale Agreement, dated as of December 7, 2020, between the Seller and RPI 2019 Intermediate Finance Trust, a Delaware statutory trust, as may be amended, supplemented or otherwise modified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2020 RP Royalty Financing Documents</w:t>
      </w:r>
      <w:r>
        <w:rPr>
          <w:rFonts w:ascii="Times New Roman" w:hAnsi="Times New Roman"/>
          <w:caps w:val="false"/>
          <w:smallCaps w:val="false"/>
          <w:sz w:val="20"/>
        </w:rPr>
        <w:t>” means the 2020 RP Royalty Financing Agreement and any other agreement, instrument or document entered into from time to time in connection therewith, in each case, as amended, supplemented or otherwise modified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RP Royalty Financing Agreement</w:t>
      </w:r>
      <w:r>
        <w:rPr>
          <w:rFonts w:ascii="Times New Roman" w:hAnsi="Times New Roman"/>
          <w:caps w:val="false"/>
          <w:smallCaps w:val="false"/>
          <w:sz w:val="20"/>
        </w:rPr>
        <w:t>” means the 2021 Purchase and Sale Agreement, dated as of the date hereof, between the Seller and RPI 2019 Intermediate Finance Trust, a Delaware statutory trust, as may be amended, supplemented or otherwise modified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2021 RP Royalty Financing Documents</w:t>
      </w:r>
      <w:r>
        <w:rPr>
          <w:rFonts w:ascii="Times New Roman" w:hAnsi="Times New Roman"/>
          <w:caps w:val="false"/>
          <w:smallCaps w:val="false"/>
          <w:sz w:val="20"/>
        </w:rPr>
        <w:t>” means the 2021 RP Royalty Financing Agreement and any other agreement, instrument or document entered into from time to time in connection therewith, in each case, as amended, supplemented or otherwise modified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(a) with respect to any particular Person, any other Person directly or indirectly through one or more intermediary Controlling, Controlled by or under common Control with such particular Person. For purposes of the foregoing sentence, the term “Control” means direct or indirect ownership of (x) fifty percent (50%) or more, including ownership by trusts with substantially the same beneficial interests, of the voting and equity rights of such Person, firm, trust, corporation, partnership or other entity or combination thereof, or (y) the power to direct the management of such person, firm, trust, corporation, partnership or other entity or combination thereof, by contract or otherwise and (b) with respect to Buyer, any Person in respect of which OMERS Administration Corporation holds, directly or indirectly, more than seventy five percent (75%) of the equity interests (economic) of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Agreement</w:t>
      </w:r>
      <w:r>
        <w:rPr>
          <w:rFonts w:ascii="Times New Roman" w:hAnsi="Times New Roman"/>
          <w:caps w:val="false"/>
          <w:smallCaps w:val="false"/>
          <w:sz w:val="20"/>
        </w:rPr>
        <w:t>” is defined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Athyrium</w:t>
      </w:r>
      <w:r>
        <w:rPr>
          <w:rFonts w:ascii="Times New Roman" w:hAnsi="Times New Roman"/>
          <w:caps w:val="false"/>
          <w:smallCaps w:val="false"/>
          <w:sz w:val="20"/>
        </w:rPr>
        <w:t>” means Athyrium Opportunities III Co-Invest 1 LP, together with its successors in such capacity.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Athyrium Credit Agreement</w:t>
      </w:r>
      <w:r>
        <w:rPr>
          <w:rFonts w:ascii="Times New Roman" w:hAnsi="Times New Roman"/>
          <w:caps w:val="false"/>
          <w:smallCaps w:val="false"/>
          <w:sz w:val="20"/>
        </w:rPr>
        <w:t>” means that certain Credit Agreement dated as of December 7, 2020 among the Seller, each Person identified as a “Guarantor” on the signature pages thereto and each other Person that joins as a Guarantor (together with their successors and permitted assigns) (each, a “</w:t>
      </w:r>
      <w:r>
        <w:rPr>
          <w:rFonts w:ascii="Times New Roman" w:hAnsi="Times New Roman"/>
          <w:caps w:val="false"/>
          <w:smallCaps w:val="false"/>
          <w:sz w:val="20"/>
          <w:u w:val="single"/>
        </w:rPr>
        <w:t>Guarantor</w:t>
      </w:r>
      <w:r>
        <w:rPr>
          <w:rFonts w:ascii="Times New Roman" w:hAnsi="Times New Roman"/>
          <w:caps w:val="false"/>
          <w:smallCaps w:val="false"/>
          <w:sz w:val="20"/>
        </w:rPr>
        <w:t>”), each of the Persons identified as a “Lender” on the signature pages thereto and their successors and assigns, and Athyrium, as administrative agent, and its successors and assigns, as amended by that certain Amendment No. 1 to Credit Agreement dated as of the date hereof and as further amended, restated, amended and restated, supplemented, waived, replaced (whether or not upon termination, and whether with the original lenders or otherwise), increased, restructured, repaid, refunded, refinanced or otherwise modified from time to time, including any indentures, credit facilities, term loan facility or other agreement extending the maturity thereof, refinancing, replacing or otherwise restructuring all or a portion of the Indebtedness under such indentures, credit facilities, term loan facility or other agreement or any successor or replacement indentures, credit facilities, term loan facility or other agreement and whether with the original obligors, agent, lenders, institutional investors or otherwise, and whether provided under the original Athyrium Credit Agreement or one or more other credit or other agreements or indentures, and any agreement (and related document) governing Indebtedness incurred to refinance, in whole or in part, the borrowings, other extensions of credit and commitments then outstanding or permitted to be outstanding under such debt facilities or successor debt facilities, whether by the same or any other obligor, issuer, agent, lender or group of lenders (or institutional investors).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Athyrium Loan Documents</w:t>
      </w:r>
      <w:r>
        <w:rPr>
          <w:rFonts w:ascii="Times New Roman" w:hAnsi="Times New Roman"/>
          <w:caps w:val="false"/>
          <w:smallCaps w:val="false"/>
          <w:sz w:val="20"/>
        </w:rPr>
        <w:t>” means (a) the Athyrium Credit Agreement, and (b) each other “Loan Document” or such similar term as defined in the Athyrium Credit Agreement, in each case as amended, restated, amended and restated, modified or otherwise supplemented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Attributable Indebtedness</w:t>
      </w:r>
      <w:r>
        <w:rPr>
          <w:rFonts w:ascii="Times New Roman" w:hAnsi="Times New Roman"/>
          <w:caps w:val="false"/>
          <w:smallCaps w:val="false"/>
          <w:sz w:val="20"/>
        </w:rPr>
        <w:t>” means “Attributable Indebtedness” or such similar term as defined in the Athyrium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Back-Up Security Interest</w:t>
      </w:r>
      <w:r>
        <w:rPr>
          <w:rFonts w:ascii="Times New Roman" w:hAnsi="Times New Roman"/>
          <w:caps w:val="false"/>
          <w:smallCaps w:val="false"/>
          <w:sz w:val="20"/>
        </w:rPr>
        <w:t>” is defined in ‎Section 2.1(b).</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Bankruptcy Laws</w:t>
      </w:r>
      <w:r>
        <w:rPr>
          <w:rFonts w:ascii="Times New Roman" w:hAnsi="Times New Roman"/>
          <w:caps w:val="false"/>
          <w:smallCaps w:val="false"/>
          <w:sz w:val="20"/>
        </w:rPr>
        <w:t>” means, collectively, bankruptcy, insolvency, reorganization, moratorium, fraudulent conveyance, fraudulent transfer or other similar laws affecting the enforcement of creditors’ rights generally.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other than (a) a Saturday or Sunday or (b) a day on which banking institutions located in New York are permitted or required by applicable law or regulation to remain 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Buyer</w:t>
      </w:r>
      <w:r>
        <w:rPr>
          <w:rFonts w:ascii="Times New Roman" w:hAnsi="Times New Roman"/>
          <w:caps w:val="false"/>
          <w:smallCaps w:val="false"/>
          <w:sz w:val="20"/>
        </w:rPr>
        <w:t>” is defined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Buyer Indemnified Parties</w:t>
      </w:r>
      <w:r>
        <w:rPr>
          <w:rFonts w:ascii="Times New Roman" w:hAnsi="Times New Roman"/>
          <w:caps w:val="false"/>
          <w:smallCaps w:val="false"/>
          <w:sz w:val="20"/>
        </w:rPr>
        <w:t>” is defined in ‎Section 7.1(a).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Capital Lease</w:t>
      </w:r>
      <w:r>
        <w:rPr>
          <w:rFonts w:ascii="Times New Roman" w:hAnsi="Times New Roman"/>
          <w:caps w:val="false"/>
          <w:smallCaps w:val="false"/>
          <w:sz w:val="20"/>
        </w:rPr>
        <w:t>” means, as applied to any Person, any lease of any property by that Person as lessee which, in accordance with GAAP, is required to be accounted for as a capital lease on the balance sheet of that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Clinical and Commercial Semi-Annual Report</w:t>
      </w:r>
      <w:r>
        <w:rPr>
          <w:rFonts w:ascii="Times New Roman" w:hAnsi="Times New Roman"/>
          <w:caps w:val="false"/>
          <w:smallCaps w:val="false"/>
          <w:sz w:val="20"/>
        </w:rPr>
        <w:t>” is defined in ‎Section 6.1(a).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Clinical Trial</w:t>
      </w:r>
      <w:r>
        <w:rPr>
          <w:rFonts w:ascii="Times New Roman" w:hAnsi="Times New Roman"/>
          <w:caps w:val="false"/>
          <w:smallCaps w:val="false"/>
          <w:sz w:val="20"/>
        </w:rPr>
        <w:t>” means a clinical trial intended to support the Marketing Approval or Commercialization of a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Clinical Updates</w:t>
      </w:r>
      <w:r>
        <w:rPr>
          <w:rFonts w:ascii="Times New Roman" w:hAnsi="Times New Roman"/>
          <w:caps w:val="false"/>
          <w:smallCaps w:val="false"/>
          <w:sz w:val="20"/>
        </w:rPr>
        <w:t>” means (a) a summary of any material updates with respect to the Clinical Trials, including the number of patients currently enrolled in each such Clinical Trial, the number of sites conducting each such Clinical Trial, the material progress of each such Clinical Trial, any material modifications to each such Clinical Trial, any adverse events in the Clinical Trials, (b) written plans to start new Clinical Trials, and (c) investigator brochures for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Closing</w:t>
      </w:r>
      <w:r>
        <w:rPr>
          <w:rFonts w:ascii="Times New Roman" w:hAnsi="Times New Roman"/>
          <w:caps w:val="false"/>
          <w:smallCaps w:val="false"/>
          <w:sz w:val="20"/>
        </w:rPr>
        <w:t>” means the closing of the sale, transfer, assignment and conveyance of the Revenue Participation Right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Closing Date</w:t>
      </w:r>
      <w:r>
        <w:rPr>
          <w:rFonts w:ascii="Times New Roman" w:hAnsi="Times New Roman"/>
          <w:caps w:val="false"/>
          <w:smallCaps w:val="false"/>
          <w:sz w:val="20"/>
        </w:rPr>
        <w:t>” means the date on which the Closing occurs pursuant to ‎Section 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CMC</w:t>
      </w:r>
      <w:r>
        <w:rPr>
          <w:rFonts w:ascii="Times New Roman" w:hAnsi="Times New Roman"/>
          <w:caps w:val="false"/>
          <w:smallCaps w:val="false"/>
          <w:sz w:val="20"/>
        </w:rPr>
        <w:t>” means chemistry, manufacturing and controls with respect to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caps w:val="false"/>
          <w:smallCaps w:val="false"/>
        </w:rPr>
      </w:pPr>
      <w:r>
        <w:rPr>
          <w:caps w:val="false"/>
          <w:smallCaps w:val="false"/>
          <w:u w:val="singl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caps w:val="false"/>
          <w:smallCaps w:val="false"/>
        </w:rPr>
      </w:pPr>
      <w:r>
        <w:rPr>
          <w:caps w:val="false"/>
          <w:smallCaps w:val="false"/>
          <w:u w:val="single"/>
        </w:rPr>
        <w:t>“</w:t>
      </w:r>
      <w:r>
        <w:rPr>
          <w:rFonts w:ascii="Times New Roman" w:hAnsi="Times New Roman"/>
          <w:caps w:val="false"/>
          <w:smallCaps w:val="false"/>
          <w:sz w:val="20"/>
          <w:u w:val="single"/>
        </w:rPr>
        <w:t>Combination Product</w:t>
      </w:r>
      <w:r>
        <w:rPr>
          <w:rFonts w:ascii="Times New Roman" w:hAnsi="Times New Roman"/>
          <w:caps w:val="false"/>
          <w:smallCaps w:val="false"/>
          <w:sz w:val="20"/>
        </w:rPr>
        <w:t>” means: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(a)    a single pharmaceutical formulation (whether co-formulated or administered together via the same administration route) containing as its active ingredients both the Product and one or more other therapeutically or prophylactically active pharmaceutical or biologic ingredients (each an “</w:t>
      </w:r>
      <w:r>
        <w:rPr>
          <w:rFonts w:ascii="Times New Roman" w:hAnsi="Times New Roman"/>
          <w:caps w:val="false"/>
          <w:smallCaps w:val="false"/>
          <w:sz w:val="20"/>
          <w:u w:val="single"/>
        </w:rPr>
        <w:t>Other Component</w:t>
      </w:r>
      <w:r>
        <w:rPr>
          <w:rFonts w:ascii="Times New Roman" w:hAnsi="Times New Roman"/>
          <w:caps w:val="false"/>
          <w:smallCaps w:val="false"/>
          <w:sz w:val="20"/>
        </w:rPr>
        <w:t>”),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(b)    a combination therapy comprised of the Product and one or more Other Component(s), whether priced and sold in a single package containing such multiple products, packaged separately but sold together for a single price, or sold under separate price points but labeled for use together,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in this Agreement shall be deemed to include Combination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Commercial Updates</w:t>
      </w:r>
      <w:r>
        <w:rPr>
          <w:rFonts w:ascii="Times New Roman" w:hAnsi="Times New Roman"/>
          <w:caps w:val="false"/>
          <w:smallCaps w:val="false"/>
          <w:sz w:val="20"/>
        </w:rPr>
        <w:t>” means a summary of material updates with respect to the Seller’s and its Affiliates’ and any Licensee’s sales and marketing activities and, if material, commercial manufacturing matters with respect to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Commercialization</w:t>
      </w:r>
      <w:r>
        <w:rPr>
          <w:rFonts w:ascii="Times New Roman" w:hAnsi="Times New Roman"/>
          <w:caps w:val="false"/>
          <w:smallCaps w:val="false"/>
          <w:sz w:val="20"/>
        </w:rPr>
        <w:t>” means any and all activities directed to the distribution, marketing, detailing, promotion, selling and securing of reimbursement of the Product (including the using, importing, selling and offering for sale of the Product), and shall include post-Marketing Approval studies to the extent required by a Regulatory Authority, post-launch marketing, promoting, detailing, distributing, selling the Product, importing, exporting or transporting the Product for sale, and regulatory compliance with respect to the foregoing. When used as a verb, “Commercialize” shall mean to engage in Commercialization. Except with respect to post-Marketing Approval studies required by a Regulatory Authority, Commercialization shall not include any activities directed to the research or development (including pre-clinical and clinical development) or manufacture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Commercially Reasonable Efforts</w:t>
      </w:r>
      <w:r>
        <w:rPr>
          <w:rFonts w:ascii="Times New Roman" w:hAnsi="Times New Roman"/>
          <w:caps w:val="false"/>
          <w:smallCaps w:val="false"/>
          <w:sz w:val="20"/>
        </w:rPr>
        <w:t>” means the level of efforts and resources (measured as of the time that such efforts and resources are required to be used under this Agreement) that are commonly used by a commercial-stage public biotechnology company of similar size and resources to Seller (provided that such size and resources shall not decrease below the size and resources of the Seller as of the Closing Date), to develop, manufacture or commercialize, as the case may be, a comparable product for a comparable clinical indication (with respect to market size and commercial opportunity) at a similar stage in its development or product life and of a similar market and potential to the Product, but without regard to the Seller’s financial obligations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is defined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Controlling Agreement</w:t>
      </w:r>
      <w:r>
        <w:rPr>
          <w:rFonts w:ascii="Times New Roman" w:hAnsi="Times New Roman"/>
          <w:caps w:val="false"/>
          <w:smallCaps w:val="false"/>
          <w:sz w:val="20"/>
        </w:rPr>
        <w:t>” is defined in ‎Section 10.14.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Convertible Bond Indebtedness</w:t>
      </w:r>
      <w:r>
        <w:rPr>
          <w:rFonts w:ascii="Times New Roman" w:hAnsi="Times New Roman"/>
          <w:caps w:val="false"/>
          <w:smallCaps w:val="false"/>
          <w:sz w:val="20"/>
        </w:rPr>
        <w:t>” means any Indebtedness having a feature which entitles the holder thereof to convert or exchange all or a portion of such Indebtedness into shares of common capital stock of the Seller; provided, that, (a) the principal amount (or accreted value, if applicable) of such Convertible Bond Indebtedness does not exceed $[***], (b) such Convertible Bond Indebtedness shall be unsecured, (c) no Subsidiary shall Guarantee such Convertible Bond Indebtedness, (d) such Convertible Bond Indebtedness shall not mature, and no scheduled or mandatory principal payments, repayments, prepayments, cash settlements, repurchases, redemptions or sinking fund or like payments (but excluding, for the avoidance of doubt, regularly scheduled cash interest payments and conversion of such Convertible Bond Indebtedness into shares of common capital stock of the Seller in accordance with the terms thereof) of such Convertible Bond Indebtedness shall be required at any time on or prior to the date that is one (1) year after the “Maturity Date” or such similar term under the Athyrium Loan Documents (which in the case of the maturity of such Convertible Bond Indebtedness shall be tested at the time of incurrence thereof), other than upon a “Change of Control”, “fundamental change”, “make-whole fundamental change” or similar event, (e) such Convertible Bond Indebtedness shall (i) not include (A) any financial maintenance covenants or (B) other covenants and defaults that are, taken as a whole, more restrictive on the Seller and its Subsidiaries than the covenants and defaults set forth in the Athyrium Loan Documents and (ii) have a cash interest rate of less than the greater of (x) [***] percent ([***]%) per annum and (y) such cash interest rate as the administrative agent under the Athyrium Credit Agreement, in its sole discretion, shall approve in writing after the Closing Date, upon the request of the Seller in light of changes to market interest rates for similar convertible notes, (f) such Convertible Bond Indebtedness shall include conversion, redemption and fundamental change provisions that are customary for public market convertible indebtedness (pursuant to a public offering or an offering under Rule 144A or Regulation S of the Securities Act), (g) such Convertible Bond Indebtedness shall be subordinated in right of payment to the Royalty Payments that are owed or may be owed in the future to the Buyer pursuant to the terms of a subordination, intercreditor, or other similar agreement (or terms of subordination incorporated into the indenture under which such Convertible Bond Indebtedness is issued), in each case in form and substance, and on terms, approved by the Buyer, the Seller, and the applicable Third Party in writing, (h) no Default or Event of Default or such similar terms (in each case as defined in the Athyrium Credit Agreement) shall have occurred and be continuing at the time of incurrence of such Convertible Bond Indebtedness or could result therefrom, and (i) the Seller shall have delivered to the administrative agent under the Athyrium Credit Agreement a certificate of an officer of the Seller certifying as to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Direct Sales</w:t>
      </w:r>
      <w:r>
        <w:rPr>
          <w:rFonts w:ascii="Times New Roman" w:hAnsi="Times New Roman"/>
          <w:caps w:val="false"/>
          <w:smallCaps w:val="false"/>
          <w:sz w:val="20"/>
        </w:rPr>
        <w:t>” means (a) Net Sales of the Product by or on behalf of the Seller, any of the Seller’s Affiliates or its or their respective Distributors anywhere in the world, in each case other than (i) Net Sales of the Product by or on behalf of any Licensee, and (ii) Product Partnering Revenue attributable to the Product; (b) Net Sales of the Product by or on behalf of any Licensee in or for the Direct Sales Territories; and (c) recovery of monetary damages from a Third Party in an action brought for such Third Party’s infringement of any Patent Rights relating to the Product, where such damages, whether in the form of judgment or settlement, are awarded for such infringement of such Patent Rights, but solely to the extent that such monetary damages are treated as Direct Sales in accordance with ‎Section 6.5(d) and after application of clauses (i) and (ii)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Direct Sales Royalty Rate</w:t>
      </w:r>
      <w:r>
        <w:rPr>
          <w:rFonts w:ascii="Times New Roman" w:hAnsi="Times New Roman"/>
          <w:caps w:val="false"/>
          <w:smallCaps w:val="false"/>
          <w:sz w:val="20"/>
        </w:rPr>
        <w:t>” means, (a) for the calendar quarter beginning on October 1, 2023, the percentage based on the applicable level of Direct Sales in a calendar year as set forth in the chart below under the column, entitled “Regime A” (the “</w:t>
      </w:r>
      <w:r>
        <w:rPr>
          <w:rFonts w:ascii="Times New Roman" w:hAnsi="Times New Roman"/>
          <w:caps w:val="false"/>
          <w:smallCaps w:val="false"/>
          <w:sz w:val="20"/>
          <w:u w:val="single"/>
        </w:rPr>
        <w:t>Regime A Royalty Rate</w:t>
      </w:r>
      <w:r>
        <w:rPr>
          <w:rFonts w:ascii="Times New Roman" w:hAnsi="Times New Roman"/>
          <w:caps w:val="false"/>
          <w:smallCaps w:val="false"/>
          <w:sz w:val="20"/>
        </w:rPr>
        <w:t>”) and (b) for each calendar quarter beginning on or after January 1, 2024, (i) if annual Net Sales for calendar year 2023 are greater than or equal to $[***], the Regime A Royalty Rate or (ii) if annual Net Sales for calendar year 2023 are less than $[***], the percentage based on the applicable level of Direct Sales in a calendar year as set forth in the chart below under the column, entitled “Regime B” (the “</w:t>
      </w:r>
      <w:r>
        <w:rPr>
          <w:rFonts w:ascii="Times New Roman" w:hAnsi="Times New Roman"/>
          <w:caps w:val="false"/>
          <w:smallCaps w:val="false"/>
          <w:sz w:val="20"/>
          <w:u w:val="single"/>
        </w:rPr>
        <w:t>Regime B Royalty Rate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9624" w:type="dxa"/>
        <w:jc w:val="left"/>
        <w:tblInd w:w="0" w:type="dxa"/>
        <w:tblCellMar>
          <w:top w:w="28" w:type="dxa"/>
          <w:left w:w="28" w:type="dxa"/>
          <w:bottom w:w="28" w:type="dxa"/>
          <w:right w:w="0" w:type="dxa"/>
        </w:tblCellMar>
      </w:tblPr>
      <w:tblGrid>
        <w:gridCol w:w="7280"/>
        <w:gridCol w:w="1163"/>
        <w:gridCol w:w="1181"/>
      </w:tblGrid>
      <w:tr>
        <w:trPr/>
        <w:tc>
          <w:tcPr>
            <w:tcW w:w="7280"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 Tiers based on Annual Direct Sales</w:t>
            </w:r>
          </w:p>
        </w:tc>
        <w:tc>
          <w:tcPr>
            <w:tcW w:w="2344" w:type="dxa"/>
            <w:gridSpan w:val="2"/>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Direct Sales Royalty Rate</w:t>
            </w:r>
          </w:p>
        </w:tc>
      </w:tr>
      <w:tr>
        <w:trPr/>
        <w:tc>
          <w:tcPr>
            <w:tcW w:w="7280" w:type="dxa"/>
            <w:tcBorders>
              <w:left w:val="single" w:sz="2" w:space="0" w:color="000000"/>
              <w:bottom w:val="single" w:sz="2" w:space="0" w:color="000000"/>
            </w:tcBorders>
            <w:shd w:fill="auto" w:val="clear"/>
            <w:tcMar>
              <w:top w:w="0" w:type="dxa"/>
            </w:tcMar>
            <w:vAlign w:val="center"/>
          </w:tcPr>
          <w:p>
            <w:pPr>
              <w:pStyle w:val="TableContents"/>
              <w:spacing w:before="0" w:after="283"/>
              <w:rPr/>
            </w:pPr>
            <w:r>
              <w:rPr/>
              <w:t> </w:t>
            </w:r>
          </w:p>
        </w:tc>
        <w:tc>
          <w:tcPr>
            <w:tcW w:w="116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Regime A</w:t>
            </w:r>
          </w:p>
        </w:tc>
        <w:tc>
          <w:tcPr>
            <w:tcW w:w="1181"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Regime B</w:t>
            </w:r>
          </w:p>
        </w:tc>
      </w:tr>
      <w:tr>
        <w:trPr/>
        <w:tc>
          <w:tcPr>
            <w:tcW w:w="7280"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Annual Direct Sales of up to $350,000,000</w:t>
            </w:r>
          </w:p>
        </w:tc>
        <w:tc>
          <w:tcPr>
            <w:tcW w:w="116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c>
          <w:tcPr>
            <w:tcW w:w="1181"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r>
      <w:tr>
        <w:trPr/>
        <w:tc>
          <w:tcPr>
            <w:tcW w:w="7280"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Annual Direct Sales exceeding $350,000,000 and less than or equal to $550,000,000</w:t>
            </w:r>
          </w:p>
        </w:tc>
        <w:tc>
          <w:tcPr>
            <w:tcW w:w="116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w:t>
            </w:r>
          </w:p>
        </w:tc>
        <w:tc>
          <w:tcPr>
            <w:tcW w:w="1181"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7280"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Annual Direct Sales in excess of $550,000,000</w:t>
            </w:r>
          </w:p>
        </w:tc>
        <w:tc>
          <w:tcPr>
            <w:tcW w:w="1163"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w:t>
            </w:r>
          </w:p>
        </w:tc>
        <w:tc>
          <w:tcPr>
            <w:tcW w:w="1181"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Direct Sales Territories</w:t>
      </w:r>
      <w:r>
        <w:rPr>
          <w:rFonts w:ascii="Times New Roman" w:hAnsi="Times New Roman"/>
          <w:caps w:val="false"/>
          <w:smallCaps w:val="false"/>
          <w:sz w:val="20"/>
        </w:rPr>
        <w:t>” means the United States, the United Kingdom, Germany, France, [***] and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Disclosing Party</w:t>
      </w:r>
      <w:r>
        <w:rPr>
          <w:rFonts w:ascii="Times New Roman" w:hAnsi="Times New Roman"/>
          <w:caps w:val="false"/>
          <w:smallCaps w:val="false"/>
          <w:sz w:val="20"/>
        </w:rPr>
        <w:t>” is defined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Disclosure Schedule</w:t>
      </w:r>
      <w:r>
        <w:rPr>
          <w:rFonts w:ascii="Times New Roman" w:hAnsi="Times New Roman"/>
          <w:caps w:val="false"/>
          <w:smallCaps w:val="false"/>
          <w:sz w:val="20"/>
        </w:rPr>
        <w:t>” means the Disclosure Schedule, dated as of the date hereof, delivered to the Buyer by the Seller concurrently with the execution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Distributor</w:t>
      </w:r>
      <w:r>
        <w:rPr>
          <w:rFonts w:ascii="Times New Roman" w:hAnsi="Times New Roman"/>
          <w:caps w:val="false"/>
          <w:smallCaps w:val="false"/>
          <w:sz w:val="20"/>
        </w:rPr>
        <w:t>” means a Third Party that (a) purchases or has the option to purchase the Product in finished form from or at the direction of the Seller or any of its Affiliates, (b) has the right, option or obligation to distribute, market and sell the Product (with or without packaging rights) in one or more regions, and (c) does not otherwise make any royalty, milestone, profit share or other similar payment to the Seller or its Affiliate based on such Third Party’s sale of the Product. The term “packaging rights” in this definition will mean the right for the Distributor to package or have packaged Product supplied in unpackaged bulk form into individual ready-for-sale packs.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EMA</w:t>
      </w:r>
      <w:r>
        <w:rPr>
          <w:rFonts w:ascii="Times New Roman" w:hAnsi="Times New Roman"/>
          <w:caps w:val="false"/>
          <w:smallCaps w:val="false"/>
          <w:sz w:val="20"/>
        </w:rPr>
        <w:t>” means the European Medicines Agency, or any successor agency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Existing Out</w:t>
      </w:r>
      <w:r>
        <w:rPr>
          <w:rFonts w:ascii="Times New Roman" w:hAnsi="Times New Roman"/>
          <w:caps w:val="false"/>
          <w:smallCaps w:val="false"/>
          <w:sz w:val="20"/>
        </w:rPr>
        <w:noBreakHyphen/>
      </w:r>
      <w:r>
        <w:rPr>
          <w:rFonts w:ascii="Times New Roman" w:hAnsi="Times New Roman"/>
          <w:caps w:val="false"/>
          <w:smallCaps w:val="false"/>
          <w:sz w:val="20"/>
          <w:u w:val="single"/>
        </w:rPr>
        <w:t>License</w:t>
      </w:r>
      <w:r>
        <w:rPr>
          <w:rFonts w:ascii="Times New Roman" w:hAnsi="Times New Roman"/>
          <w:caps w:val="false"/>
          <w:smallCaps w:val="false"/>
          <w:sz w:val="20"/>
        </w:rPr>
        <w:t>” is defined in ‎Section 4.1(h)(ii).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Existing Patent Rights</w:t>
      </w:r>
      <w:r>
        <w:rPr>
          <w:rFonts w:ascii="Times New Roman" w:hAnsi="Times New Roman"/>
          <w:caps w:val="false"/>
          <w:smallCaps w:val="false"/>
          <w:sz w:val="20"/>
        </w:rPr>
        <w:t>” is defined in ‎Section 4.1(k)(i).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FD&amp;C Act</w:t>
      </w:r>
      <w:r>
        <w:rPr>
          <w:rFonts w:ascii="Times New Roman" w:hAnsi="Times New Roman"/>
          <w:caps w:val="false"/>
          <w:smallCaps w:val="false"/>
          <w:sz w:val="20"/>
        </w:rPr>
        <w:t>” means the United States Federal Food, Drug, and Cosmetic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FDA</w:t>
      </w:r>
      <w:r>
        <w:rPr>
          <w:rFonts w:ascii="Times New Roman" w:hAnsi="Times New Roman"/>
          <w:caps w:val="false"/>
          <w:smallCaps w:val="false"/>
          <w:sz w:val="20"/>
        </w:rPr>
        <w:t>” means the U.S. Food and Drug Administration, or any successor agency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FDA Application Integrity Policy</w:t>
      </w:r>
      <w:r>
        <w:rPr>
          <w:rFonts w:ascii="Times New Roman" w:hAnsi="Times New Roman"/>
          <w:caps w:val="false"/>
          <w:smallCaps w:val="false"/>
          <w:sz w:val="20"/>
        </w:rPr>
        <w:t>” is defined in ‎Section 4.1(g)(ii).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Flat Rate Indirect Revenue</w:t>
      </w:r>
      <w:r>
        <w:rPr>
          <w:rFonts w:ascii="Times New Roman" w:hAnsi="Times New Roman"/>
          <w:caps w:val="false"/>
          <w:smallCaps w:val="false"/>
          <w:sz w:val="20"/>
        </w:rPr>
        <w:t>” is defined in the definition of “Indirect Revenue Sharing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GAAP</w:t>
      </w:r>
      <w:r>
        <w:rPr>
          <w:rFonts w:ascii="Times New Roman" w:hAnsi="Times New Roman"/>
          <w:caps w:val="false"/>
          <w:smallCaps w:val="false"/>
          <w:sz w:val="20"/>
        </w:rPr>
        <w:t>” means generally accepted accounting principles in the United States in effect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Governmental Entity</w:t>
      </w:r>
      <w:r>
        <w:rPr>
          <w:rFonts w:ascii="Times New Roman" w:hAnsi="Times New Roman"/>
          <w:caps w:val="false"/>
          <w:smallCaps w:val="false"/>
          <w:sz w:val="20"/>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Gross Sales</w:t>
      </w:r>
      <w:r>
        <w:rPr>
          <w:rFonts w:ascii="Times New Roman" w:hAnsi="Times New Roman"/>
          <w:caps w:val="false"/>
          <w:smallCaps w:val="false"/>
          <w:sz w:val="20"/>
        </w:rPr>
        <w:t>” is defined in the definition of “Net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Guarantee</w:t>
      </w:r>
      <w:r>
        <w:rPr>
          <w:rFonts w:ascii="Times New Roman" w:hAnsi="Times New Roman"/>
          <w:caps w:val="false"/>
          <w:smallCaps w:val="false"/>
          <w:sz w:val="20"/>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or (c) any direct or indirect liability, contingent or not, of that Person for (i) any obligations for undrawn letters of credit for the account of that Person or (ii) all obligations from any interest rate, currency or commodity swap agreement, interest rate cap or collar agreement, or other agreement or arrangement designated to protect a Person against fluctuation in interest rates, currency exchange rates or commodity prices.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Guarantor</w:t>
      </w:r>
      <w:r>
        <w:rPr>
          <w:rFonts w:ascii="Times New Roman" w:hAnsi="Times New Roman"/>
          <w:caps w:val="false"/>
          <w:smallCaps w:val="false"/>
          <w:sz w:val="20"/>
        </w:rPr>
        <w:t>” is defined in the definition of “Athyrium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Bank</w:t>
      </w:r>
      <w:r>
        <w:rPr>
          <w:rFonts w:ascii="Times New Roman" w:hAnsi="Times New Roman"/>
          <w:caps w:val="false"/>
          <w:smallCaps w:val="false"/>
          <w:sz w:val="20"/>
        </w:rPr>
        <w:t>” means HSBC Bank USA, National Association.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Cash Collateral Accounts</w:t>
      </w:r>
      <w:r>
        <w:rPr>
          <w:rFonts w:ascii="Times New Roman" w:hAnsi="Times New Roman"/>
          <w:caps w:val="false"/>
          <w:smallCaps w:val="false"/>
          <w:sz w:val="20"/>
        </w:rPr>
        <w:t>” means, collectively, Deposit Account #[***] and Deposit Account #[***] of the Seller established and maintained at HSBC Bank for the sole purpose of securing the Seller’s obligations under the HSBC Letter of Credit; provided that (a) no such Deposit Account shall hold an aggregate of cash and cash equivalents in excess of [***] percent ([***]%) of the aggregate face amount of the letters of credit it is securing and (b) with respect to all such Deposit Accounts, the aggregate amount deposited there in at any time does not exceed [***] Dollars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Letter of Credit</w:t>
      </w:r>
      <w:r>
        <w:rPr>
          <w:rFonts w:ascii="Times New Roman" w:hAnsi="Times New Roman"/>
          <w:caps w:val="false"/>
          <w:smallCaps w:val="false"/>
          <w:sz w:val="20"/>
        </w:rPr>
        <w:t>” means the letter of credit issued by HSBC Bank in favor of the landlord with respect to the Seller’s leased real property located at 2100 Riverchase Center, Ste. 200 / Building 200, Birmingham, AL 35244, in an aggregate face amount equal to One Million Four Hundred Thousand Dollars ($1,400,000).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HSBC Liens</w:t>
      </w:r>
      <w:r>
        <w:rPr>
          <w:rFonts w:ascii="Times New Roman" w:hAnsi="Times New Roman"/>
          <w:caps w:val="false"/>
          <w:smallCaps w:val="false"/>
          <w:sz w:val="20"/>
        </w:rPr>
        <w:t>” means Liens in favor of HSBC Bank on the HSBC Cash Collateral Accounts to the extent securing obligations of the Seller permitted pursuant to clause (g) of the definition of Permitted Contingent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Improvements</w:t>
      </w:r>
      <w:r>
        <w:rPr>
          <w:rFonts w:ascii="Times New Roman" w:hAnsi="Times New Roman"/>
          <w:caps w:val="false"/>
          <w:smallCaps w:val="false"/>
          <w:sz w:val="20"/>
        </w:rPr>
        <w:t>” means any improvement, invention or discovery relating to the Product (other than with respect to a new composition of matter), including the formulation, or the method of manufacture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In-License</w:t>
      </w:r>
      <w:r>
        <w:rPr>
          <w:rFonts w:ascii="Times New Roman" w:hAnsi="Times New Roman"/>
          <w:caps w:val="false"/>
          <w:smallCaps w:val="false"/>
          <w:sz w:val="20"/>
        </w:rPr>
        <w:t>” means any license, settlement agreement or other agreement or arrangement between the Seller or any of its Affiliates and any Third Party pursuant to which the Seller or any of its Affiliates obtains a license or a covenant not to sue or similar grant of rights to any Patents or other intellectual property rights of such Third Party that is necessary for the research, development, manufacture, use or Commercialization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Indebtedness</w:t>
      </w:r>
      <w:r>
        <w:rPr>
          <w:rFonts w:ascii="Times New Roman" w:hAnsi="Times New Roman"/>
          <w:caps w:val="false"/>
          <w:smallCaps w:val="false"/>
          <w:sz w:val="20"/>
        </w:rPr>
        <w:t>” of any Person means any indebtedness for borrowed money, any obligation evidenced by a note, bond, debenture or similar instrument, or any guarantee of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Indemnified Party</w:t>
      </w:r>
      <w:r>
        <w:rPr>
          <w:rFonts w:ascii="Times New Roman" w:hAnsi="Times New Roman"/>
          <w:caps w:val="false"/>
          <w:smallCaps w:val="false"/>
          <w:sz w:val="20"/>
        </w:rPr>
        <w:t>” is defined in ‎Section 7.2.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Indemnifying Party</w:t>
      </w:r>
      <w:r>
        <w:rPr>
          <w:rFonts w:ascii="Times New Roman" w:hAnsi="Times New Roman"/>
          <w:caps w:val="false"/>
          <w:smallCaps w:val="false"/>
          <w:sz w:val="20"/>
        </w:rPr>
        <w:t>” is defined in ‎Section 7.2.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Indirect Revenue</w:t>
      </w:r>
      <w:r>
        <w:rPr>
          <w:rFonts w:ascii="Times New Roman" w:hAnsi="Times New Roman"/>
          <w:caps w:val="false"/>
          <w:smallCaps w:val="false"/>
          <w:sz w:val="20"/>
        </w:rPr>
        <w:t>” means all License Revenue received by the Seller or any of the Seller’s Affiliates from any Licensee of the Product, other than (a) the regulatory approval milestone payable under Section 8.2.1 of the Torii License, (b) in respect of Direct Sales, and (c) Product Partnering Revenue attributable to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Indirect Revenue Sharing Rate</w:t>
      </w:r>
      <w:r>
        <w:rPr>
          <w:rFonts w:ascii="Times New Roman" w:hAnsi="Times New Roman"/>
          <w:caps w:val="false"/>
          <w:smallCaps w:val="false"/>
          <w:sz w:val="20"/>
        </w:rPr>
        <w:t>” means the percentage based on the applicable level of Indirect Revenue in a calendar year as set forth in the chart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28" w:type="dxa"/>
          <w:bottom w:w="28" w:type="dxa"/>
          <w:right w:w="0" w:type="dxa"/>
        </w:tblCellMar>
      </w:tblPr>
      <w:tblGrid>
        <w:gridCol w:w="5938"/>
        <w:gridCol w:w="1295"/>
        <w:gridCol w:w="2972"/>
      </w:tblGrid>
      <w:tr>
        <w:trPr/>
        <w:tc>
          <w:tcPr>
            <w:tcW w:w="5938"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Applicable Indirect Revenue</w:t>
            </w:r>
          </w:p>
        </w:tc>
        <w:tc>
          <w:tcPr>
            <w:tcW w:w="1295" w:type="dxa"/>
            <w:tcBorders>
              <w:top w:val="single" w:sz="2" w:space="0" w:color="000000"/>
              <w:left w:val="single" w:sz="2" w:space="0" w:color="000000"/>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Indirect Revenue Sharing Rate</w:t>
            </w:r>
          </w:p>
        </w:tc>
        <w:tc>
          <w:tcPr>
            <w:tcW w:w="2972" w:type="dxa"/>
            <w:tcBorders>
              <w:top w:val="single" w:sz="6" w:space="0" w:color="000000"/>
              <w:left w:val="single" w:sz="6" w:space="0" w:color="000000"/>
              <w:bottom w:val="single" w:sz="6" w:space="0" w:color="000000"/>
              <w:right w:val="single" w:sz="6" w:space="0" w:color="000000"/>
            </w:tcBorders>
            <w:shd w:fill="auto" w:val="clear"/>
            <w:tcMar>
              <w:right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Indirect Revenue Threshold</w:t>
            </w:r>
          </w:p>
        </w:tc>
      </w:tr>
      <w:tr>
        <w:trPr/>
        <w:tc>
          <w:tcPr>
            <w:tcW w:w="5938"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 Indirect Revenue that does not constitute (a) Indirect Royalties, or (b) a milestone payment attributable to a threshold of commercial sales achieved or similar sales-based measurement (collectively, such Indirect Revenue set forth in this Row A, the “</w:t>
            </w:r>
            <w:r>
              <w:rPr>
                <w:rFonts w:ascii="Times New Roman;Times;serif" w:hAnsi="Times New Roman;Times;serif"/>
                <w:caps w:val="false"/>
                <w:smallCaps w:val="false"/>
                <w:sz w:val="20"/>
                <w:u w:val="single"/>
              </w:rPr>
              <w:t>Flat Rate Indirect Revenue</w:t>
            </w:r>
            <w:r>
              <w:rPr>
                <w:rFonts w:ascii="Times New Roman;Times;serif" w:hAnsi="Times New Roman;Times;serif"/>
                <w:caps w:val="false"/>
                <w:smallCaps w:val="false"/>
                <w:sz w:val="20"/>
              </w:rPr>
              <w:t>”).</w:t>
            </w:r>
          </w:p>
        </w:tc>
        <w:tc>
          <w:tcPr>
            <w:tcW w:w="129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297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w:t>
            </w:r>
          </w:p>
        </w:tc>
      </w:tr>
      <w:tr>
        <w:trPr/>
        <w:tc>
          <w:tcPr>
            <w:tcW w:w="5938"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 All Indirect Revenue including (without duplication) Indirect Royalties but excluding Flat Rate Indirect Revenue</w:t>
            </w:r>
          </w:p>
        </w:tc>
        <w:tc>
          <w:tcPr>
            <w:tcW w:w="129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297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Indirect Sales up to $150,000,000 in such calendar year</w:t>
            </w:r>
          </w:p>
        </w:tc>
      </w:tr>
      <w:tr>
        <w:trPr/>
        <w:tc>
          <w:tcPr>
            <w:tcW w:w="5938"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 All Indirect Revenue including (without duplication) Indirect Royalties but excluding Flat Rate Indirect Revenue</w:t>
            </w:r>
          </w:p>
        </w:tc>
        <w:tc>
          <w:tcPr>
            <w:tcW w:w="129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297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Indirect Sales exceeding $150,000,000 and less than or equal to $230,000,000 in such calendar year</w:t>
            </w:r>
          </w:p>
        </w:tc>
      </w:tr>
      <w:tr>
        <w:trPr/>
        <w:tc>
          <w:tcPr>
            <w:tcW w:w="5938"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 All Indirect Revenue including (without duplication) Indirect Royalties but excluding Flat Rate Indirect Revenue</w:t>
            </w:r>
          </w:p>
        </w:tc>
        <w:tc>
          <w:tcPr>
            <w:tcW w:w="1295" w:type="dxa"/>
            <w:tcBorders>
              <w:left w:val="single" w:sz="2" w:space="0" w:color="000000"/>
              <w:bottom w:val="single" w:sz="2" w:space="0" w:color="000000"/>
            </w:tcBorders>
            <w:shd w:fill="auto" w:val="clear"/>
            <w:tcMar>
              <w:top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2972" w:type="dxa"/>
            <w:tcBorders>
              <w:left w:val="single" w:sz="2" w:space="0" w:color="000000"/>
              <w:bottom w:val="single" w:sz="2" w:space="0" w:color="000000"/>
              <w:right w:val="single" w:sz="2" w:space="0" w:color="000000"/>
            </w:tcBorders>
            <w:shd w:fill="auto" w:val="clear"/>
            <w:tcMar>
              <w:top w:w="0" w:type="dxa"/>
              <w:right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Indirect Sales exceeding $230,000,000 in such calendar year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Indirect Royalties</w:t>
      </w:r>
      <w:r>
        <w:rPr>
          <w:rFonts w:ascii="Times New Roman" w:hAnsi="Times New Roman"/>
          <w:caps w:val="false"/>
          <w:smallCaps w:val="false"/>
          <w:sz w:val="20"/>
        </w:rPr>
        <w:t>” means Indirect Revenue that constitutes (a) royalties payable on Indirect Sales, (b) any payments made in lieu of the foregoing, (c) recovery of monetary damages from a Third Party in an action brought for such Third Party’s infringement of any Patent Rights relating to the Product, where such damages, whether in the form of judgment or settlement, are awarded for such infringement of such Patent Rights but solely to the extent that such monetary damages are treated as Indirect Sales in accordance with ‎Section 6.5(d) and after application of clauses (i) and (ii) therein, and (d) any interest on all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Indirect Sales</w:t>
      </w:r>
      <w:r>
        <w:rPr>
          <w:rFonts w:ascii="Times New Roman" w:hAnsi="Times New Roman"/>
          <w:caps w:val="false"/>
          <w:smallCaps w:val="false"/>
          <w:sz w:val="20"/>
        </w:rPr>
        <w:t>” means Net Sales of the Product by or on behalf of any Licensee in or for the Indirect Sales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Indirect Sales Territories</w:t>
      </w:r>
      <w:r>
        <w:rPr>
          <w:rFonts w:ascii="Times New Roman" w:hAnsi="Times New Roman"/>
          <w:caps w:val="false"/>
          <w:smallCaps w:val="false"/>
          <w:sz w:val="20"/>
        </w:rPr>
        <w:t>” means all countries except for the Direct Sales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Intellectual Property Product Rights</w:t>
      </w:r>
      <w:r>
        <w:rPr>
          <w:rFonts w:ascii="Times New Roman" w:hAnsi="Times New Roman"/>
          <w:caps w:val="false"/>
          <w:smallCaps w:val="false"/>
          <w:sz w:val="20"/>
        </w:rPr>
        <w:t>” means any and all of the following as they exist throughout the world at any time: (a) the Patent Rights; (b) rights in registered and unregistered trademarks, service marks, trade names, trade dress, logos, packaging design, slogans and Internet domain names, and registrations and applications for registration of any of the foregoing, in each case, with respect to the Product; (c) rights in all Know-How necessary for the development, manufacture or Commercialization of the Product; and (d) any and all other intellectual property rights and/or proprietary rights, whether or not patentable, specifically relating to any of the foregoing, as necessary for the development, manufacture or Commercialization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Intellectual Property Rights</w:t>
      </w:r>
      <w:r>
        <w:rPr>
          <w:rFonts w:ascii="Times New Roman" w:hAnsi="Times New Roman"/>
          <w:caps w:val="false"/>
          <w:smallCaps w:val="false"/>
          <w:sz w:val="20"/>
        </w:rPr>
        <w:t>” means any and all of the following as they exist throughout the world at any time: (a) the Patent Rights and (b) the Know-How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Intellectual Property Updates</w:t>
      </w:r>
      <w:r>
        <w:rPr>
          <w:rFonts w:ascii="Times New Roman" w:hAnsi="Times New Roman"/>
          <w:caps w:val="false"/>
          <w:smallCaps w:val="false"/>
          <w:sz w:val="20"/>
        </w:rPr>
        <w:t>” means an updated list of the Patent Rights, including any new Patents issued or filed, amended or supplemented, relating to the Product in any country or any abandonments or other termination of prosecution with respect to any of the Patent Rights, and any other material information or developments with respect to the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Intercreditor Agreement</w:t>
      </w:r>
      <w:r>
        <w:rPr>
          <w:rFonts w:ascii="Times New Roman" w:hAnsi="Times New Roman"/>
          <w:caps w:val="false"/>
          <w:smallCaps w:val="false"/>
          <w:sz w:val="20"/>
        </w:rPr>
        <w:t>” means that certain Amended and Restated Intercreditor Agreement dated as of the date hereof by and among Athyrium, RPI 2019 Intermediate Finance Trust, and the Buyer, and acknowledged and agreed to by the Seller, BioCryst Ireland Limited, BioCryst US Sales Co., LLC, BioCryst UK Limited, and any future Guarantor, in substantially the form attached hereto as Exhibit A, as amended, amended and restated, supplemented and otherwise modified from time to time in accordance with the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Judgment</w:t>
      </w:r>
      <w:r>
        <w:rPr>
          <w:rFonts w:ascii="Times New Roman" w:hAnsi="Times New Roman"/>
          <w:caps w:val="false"/>
          <w:smallCaps w:val="false"/>
          <w:sz w:val="20"/>
        </w:rPr>
        <w:t>” means any judgment, order, writ, injunction, citation, award or decree of any 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JPR Indenture</w:t>
      </w:r>
      <w:r>
        <w:rPr>
          <w:rFonts w:ascii="Times New Roman" w:hAnsi="Times New Roman"/>
          <w:caps w:val="false"/>
          <w:smallCaps w:val="false"/>
          <w:sz w:val="20"/>
        </w:rPr>
        <w:t>” means that certain Indenture, dated as of March 9, 2011, by and between JPR Royalty Sub and U.S. Bank, National Association, as in effect on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JPR Royalty Sub</w:t>
      </w:r>
      <w:r>
        <w:rPr>
          <w:rFonts w:ascii="Times New Roman" w:hAnsi="Times New Roman"/>
          <w:caps w:val="false"/>
          <w:smallCaps w:val="false"/>
          <w:sz w:val="20"/>
        </w:rPr>
        <w:t>” means JPR Royalty Sub LLC, 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Know-How</w:t>
      </w:r>
      <w:r>
        <w:rPr>
          <w:rFonts w:ascii="Times New Roman" w:hAnsi="Times New Roman"/>
          <w:caps w:val="false"/>
          <w:smallCaps w:val="false"/>
          <w:sz w:val="20"/>
        </w:rPr>
        <w:t>” means any and all proprietary or confidential information, know-how and trade secrets, including processes, formulae, models and techniques (but excluding rights in research in progress, algorithms, data, databases, data collections, chemical and biological materials and the results of experimentation and testing).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Know-How Rights</w:t>
      </w:r>
      <w:r>
        <w:rPr>
          <w:rFonts w:ascii="Times New Roman" w:hAnsi="Times New Roman"/>
          <w:caps w:val="false"/>
          <w:smallCaps w:val="false"/>
          <w:sz w:val="20"/>
        </w:rPr>
        <w:t>” means any and all Know-How owned or in-licensed by the Seller or any of its Affiliates or under which the Seller or any of its Affiliates is or may become empowered to grant licenses necessary for the development, manufacture, or Commercialization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Knowledge of the Seller</w:t>
      </w:r>
      <w:r>
        <w:rPr>
          <w:rFonts w:ascii="Times New Roman" w:hAnsi="Times New Roman"/>
          <w:caps w:val="false"/>
          <w:smallCaps w:val="false"/>
          <w:sz w:val="20"/>
        </w:rPr>
        <w:t xml:space="preserve">” means the actual knowledge of the individuals listed on </w:t>
      </w:r>
      <w:r>
        <w:rPr>
          <w:rFonts w:ascii="Times New Roman" w:hAnsi="Times New Roman"/>
          <w:caps w:val="false"/>
          <w:smallCaps w:val="false"/>
          <w:sz w:val="20"/>
          <w:u w:val="single"/>
        </w:rPr>
        <w:t>Schedule 1.1</w:t>
      </w:r>
      <w:r>
        <w:rPr>
          <w:rFonts w:ascii="Times New Roman" w:hAnsi="Times New Roman"/>
          <w:caps w:val="false"/>
          <w:smallCaps w:val="false"/>
          <w:sz w:val="20"/>
        </w:rPr>
        <w:t xml:space="preserve"> of the Disclosure Schedule, after reasonable due inquiry.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License Revenue</w:t>
      </w:r>
      <w:r>
        <w:rPr>
          <w:rFonts w:ascii="Times New Roman" w:hAnsi="Times New Roman"/>
          <w:caps w:val="false"/>
          <w:smallCaps w:val="false"/>
          <w:sz w:val="20"/>
        </w:rPr>
        <w:t>” means any payments or other consideration in any form received by Seller or any of its Affiliates from a Licensee or any of its Affiliates or sublicensees under or pursuant to an Out-License of any rights relating to the Product or any sublicense under or other agreement ancillary to such Out-License, or payments received by Seller or any of its Affiliates from a Third Party in lieu of any of the foregoing payments, in each case, except for: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payments or grants received from a commercial or non-commercial Third Party, specifically to cover future reasonable, documented fully-burdened costs incurred by or on behalf of Seller or any Affiliate after the execution of such Out-License directly attributable to the performance of research and development of the Product, which costs are expressly covered by the Licensee under such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(b) equity investments in Seller or any Affiliate to the extent priced at or below fair market value, provided that in the case of common stock or its equivalent, fair market value shall be the greater of: (i) the last reported closing price of Seller’s common stock on Nasdaq, or (ii) the 30-day volume-weighted average price of Seller’s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 loans received as part of a debt financing for so long as an obligation of repayment exists, provided that if at the time any such debt becomes due, the amount of such debt that is forgiven, and, for accounting or Tax purposes (in accordance with GAAP), is booked as income to Seller or its Affiliates, then such amount shall be deemed License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 loans received where the Product forms part of the security package provided for the loan for so long as an obligation of repayment exists; provided that at the time any such debt becomes due, the amount of such debt that is forgiven, and, for accounting or Tax purposes (in accordance with GAAP), is booked as income to Seller or its Affiliates, shall be deemed License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 Tax credits or Tax receipts;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(f) sales or supply of Product inventory at or below Seller’s actual cost of goods sold, provided, however, that any mark-up from, or other amounts in excess of, the Seller’s cost of goods sold for such inventory shall be License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Notwithstanding anything to the contrary in this Agreement, “License Revenue” shall include, without limitation, any and all royalties, upfront payment, license signing fee, license maintenance fee, minimum royalty payment in excess of earned royalties, option fee, lump sum payment, distribution fee, joint marketing fee, profit share, milestone payment, and other payments, in each case received. In the event Seller or its Affiliate(s) receives non-monetary consideration, License Revenue shall be calculated based on the fair market value of such consideration at the time of the transaction (where fair market value shall be determined by agreement of the parties or by an independent appraiser mutually agreeable to the parties), assuming an arm’s length transaction made in the ordinary course of business. To the extent that Seller makes any offsetting payments to a Licensee (such as a true-up payment) that are specifically permitted pursuant to the Out-License (not entered into in violation of this Agreement) with such Licensee, then the License Revenue under such Out-License shall be calculated net of such payments. Without limiting clauses (a) through (f) above, to the extent that Seller permits any Licensee to set off any payments payable pursuant to the Out-License with such Licensee against any amounts payable by Seller to such Licensee, then the License Revenue under such Out-License shall include all such payments payable to Seller under such Out-License without giving effect to any such setoff.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Licensee</w:t>
      </w:r>
      <w:r>
        <w:rPr>
          <w:rFonts w:ascii="Times New Roman" w:hAnsi="Times New Roman"/>
          <w:caps w:val="false"/>
          <w:smallCaps w:val="false"/>
          <w:sz w:val="20"/>
        </w:rPr>
        <w:t>” means, with respect to the Product, a Third Party to whom the Seller or any Affiliate of the Seller has granted a license or sublicense to Commercialize the Product. For clarity, a Distributor shall not be deemed to be a “Licensee.”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mortgage, lien, pledge, participation interest, charge, adverse claim, security interest, encumbrance or restriction of any kind, including any restriction on use, transfer or exercise of any other attribute of ownership of any kind.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Loss</w:t>
      </w:r>
      <w:r>
        <w:rPr>
          <w:rFonts w:ascii="Times New Roman" w:hAnsi="Times New Roman"/>
          <w:caps w:val="false"/>
          <w:smallCaps w:val="false"/>
          <w:sz w:val="20"/>
        </w:rPr>
        <w:t>” means any and all Judgments, damages, losses, claims, costs, liabilities and expenses, including reasonable fees and out-of-pocket expenses of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Loss of Market Exclusivity</w:t>
      </w:r>
      <w:r>
        <w:rPr>
          <w:rFonts w:ascii="Times New Roman" w:hAnsi="Times New Roman"/>
          <w:caps w:val="false"/>
          <w:smallCaps w:val="false"/>
          <w:sz w:val="20"/>
        </w:rPr>
        <w:t>” shall mean, on a country-by-country basis, the later to occur of: (a) the expiration of the last-to-expire Valid Claim of a Patent Right covering the Product in such country; and (b) the expiry of all Regulatory Exclusivity Periods for the Product in such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Marketing Approval</w:t>
      </w:r>
      <w:r>
        <w:rPr>
          <w:rFonts w:ascii="Times New Roman" w:hAnsi="Times New Roman"/>
          <w:caps w:val="false"/>
          <w:smallCaps w:val="false"/>
          <w:sz w:val="20"/>
        </w:rPr>
        <w:t>” means, an NDA approved by the FDA, a Marketing Authorization Application approved by the EMA under the centralized European procedure, or any corresponding non-U.S. or non-EMA application, registration or certification in a Direct Sales Territory, necessary or reasonably useful to market the Product approved by the corresponding Regulatory Authority, including pricing and reimbursement approvals where required. For clarity, notwithstanding the foregoing, solely with respect to ‎Section 6.2, “Marketing Approval” shall not include pricing and reimbursement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means (a) an adverse effect in any material respect on the timing, duration or amount of the Royalty Payments, (b) a material adverse effect on (i) the Product, (ii) any of the Intellectual Property Rights, including the Seller’s rights in or to any Intellectual Property Rights, (iii) any Marketing Approval of the Product or the timing thereof, (iv) the legality, validity or enforceability of any provision of this Agreement, (v) the ability of the Seller to perform any of its obligations under this Agreement, (vi) the rights or remedies of the Buyer under this Agreement, or (vii) the business of the Seller or its Affiliates or (c) an adverse effect in any material respect on the Revenue Participation Right, the Product Collateral, or the Back-Up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Minimum Return Date</w:t>
      </w:r>
      <w:r>
        <w:rPr>
          <w:rFonts w:ascii="Times New Roman" w:hAnsi="Times New Roman"/>
          <w:caps w:val="false"/>
          <w:smallCaps w:val="false"/>
          <w:sz w:val="20"/>
        </w:rPr>
        <w:t>” means the earliest of the following dates: (a) the date on which the trailing [***] months of net revenue of the Seller, in accordance with GAAP, equals at least $[***] million and all Royalty Payments for any Net Sales of Product that make up such revenue have been paid to Buyer; (b) the date on which Seller’s market capitalization is at least $[***] billion for [***] consecutive trading days; (c) the date that is on or after [***] and on which Seller’s market capitalization is at least $[***] billion for [***] consecutive trading days; and (d) the date of expiration of the last-to-expire Valid Claim of the Patent Rights covering the Product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NDA</w:t>
      </w:r>
      <w:r>
        <w:rPr>
          <w:rFonts w:ascii="Times New Roman" w:hAnsi="Times New Roman"/>
          <w:caps w:val="false"/>
          <w:smallCaps w:val="false"/>
          <w:sz w:val="20"/>
        </w:rPr>
        <w:t>” means a New Drug Application submitted to the FDA in the United States in accordance with the FD&amp;C Act with respect to a pharmaceutical product or any analogous application or submission with any Regulatory Authority outside of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Net Sales</w:t>
      </w:r>
      <w:r>
        <w:rPr>
          <w:rFonts w:ascii="Times New Roman" w:hAnsi="Times New Roman"/>
          <w:caps w:val="false"/>
          <w:smallCaps w:val="false"/>
          <w:sz w:val="20"/>
        </w:rPr>
        <w:t>” means, with respect to the Product, the gross amount invoiced, billed or otherwise recorded for sales of the Product anywhere in the world by or on behalf of the Seller, its Affiliates, any Distributor, or any Licensee of the Seller or any of the Seller’s Affiliates (each of the foregoing Persons, for purposes of this definition, shall be considered a “</w:t>
      </w:r>
      <w:r>
        <w:rPr>
          <w:rFonts w:ascii="Times New Roman" w:hAnsi="Times New Roman"/>
          <w:caps w:val="false"/>
          <w:smallCaps w:val="false"/>
          <w:sz w:val="20"/>
          <w:u w:val="single"/>
        </w:rPr>
        <w:t>Related Party</w:t>
      </w:r>
      <w:r>
        <w:rPr>
          <w:rFonts w:ascii="Times New Roman" w:hAnsi="Times New Roman"/>
          <w:caps w:val="false"/>
          <w:smallCaps w:val="false"/>
          <w:sz w:val="20"/>
        </w:rPr>
        <w:t>”) to a Third Party (“</w:t>
      </w:r>
      <w:r>
        <w:rPr>
          <w:rFonts w:ascii="Times New Roman" w:hAnsi="Times New Roman"/>
          <w:caps w:val="false"/>
          <w:smallCaps w:val="false"/>
          <w:sz w:val="20"/>
          <w:u w:val="single"/>
        </w:rPr>
        <w:t>Gross Sales</w:t>
      </w:r>
      <w:r>
        <w:rPr>
          <w:rFonts w:ascii="Times New Roman" w:hAnsi="Times New Roman"/>
          <w:caps w:val="false"/>
          <w:smallCaps w:val="false"/>
          <w:sz w:val="20"/>
        </w:rPr>
        <w:t>”) less the following amounts, to the extent actually incurred or accrued in accordance with generally accepted accounting principles consistently applied, and not reimbursed by such Third Party, provided, that any given amount may be taken as a permitted deduction only once: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(a)    reasonable and customary rebates, chargebacks, quantity, trade and similar discounts, credits and allowances and other price reductions reasonably granted, allowed, incurred or paid in so far as they are applied to sales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(b)    discounts (including cash, quantity, trade, governmental, and similar discounts), coupons, retroactive price reductions, charge back payments and rebates granted to managed care organizations or to federal, state and local governments, or to their agencies (including payments made under the new “Medicare Part D Coverage Gap Discount Program” and the “Annual Fee for Branded Pharmaceutical Manufacturers” specific to the Product), in each case, as applied to sales of the Product and actually given to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(c)    reasonable and customary credits, adjustments, and allowances, including those granted on account of price adjustments, billing errors, and damage, Product otherwise not in saleable condition, and rejection, return or recall of the Product, in each case in so far as they are applied to sales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(d)    reasonable and customary freight and insurance costs incurred with respect to the shipment of the Product to customers, in each case if charged separately and invoiced to the customer;</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(e)    customs duties, surcharges and other similar governmental charges incurred in connection with the exportation or importation of the Product to the extent included in the gross amount invoiced;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(f)    sales, use, value-added, excise, turnover, inventory and other similar Taxes (excluding income Taxes), and that portion of annual fees due under Section 9008 of the United States Patient Protection and Affordable Care Act of 2010 (Pub. L. No. 111-48) and any other fee imposed by any equivalent applicable law, in each of the foregoing cases, that Seller allocates to sales of the Product in accordance with Seller’s standard policies and procedures consistently applied across its products, as adjusted for rebates and refunds, imposed in connection with the sales of the Product to any Third Party, to the extent such Taxes are not paid by the Third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(g)    actual copayment waiver amounts uncollected or uncollectible debt amounts with respect to sales of the Product, provided that if the debt is thereafter paid, the corresponding amount shall be added to the Net Sales of the period during which it is paid;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(h)    reasonable, customary and documented out of pocket amounts directly relating to co-pay programs, bridging programs or other similar patient assistance programs which may be implemented from time to time by the Seller in so far as they are applied to sales of the Product; and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(i)    other similar or customary deductions taken in the ordinary course of business as permitted in calculating net sales or net revenue (as applicable) under generally accepted accounting principles consistently applied in so far as they are applied to sales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For clarity, “Net Sales” will not include (i) sales or dispositions for charitable, promotional, pre-clinical, clinical, regulatory, compassionate use, named patient use or indigent or other similar programs, reasonable quantities of Product used as samples, and Product used in the development of the Product, (ii) sales or dispositions between any of the Related Parties (unless a Related Party is the final end-user of the Product), but will include subsequent sales or dispositions of Product to a non-Related Party, (iii) License Revenue, or (iv) sales or dispositions by or on behalf of a Permitted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With respect to sales of the Product invoiced in U.S. dollars, Net Sales shall be determined in U.S. dollars. With respect to sales of the Product invoiced in a currency other than U.S. dollars, Net Sales shall be determined by converting the currencies at which the sales are made into U.S. dollars, at rates of exchange determined in a manner consistent with the Seller’s or a Licensee’s, as applicable, method for calculating rates of exchange in the preparation of the Seller’s or such Licensee’s annual financial statements in accordance with generally accepted accounting principles consistently applied.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Net Sales for any Combination Product shall be calculated on a country-by-country basis by multiplying actual Net Sales of such Combination Product by the fraction A/(A+B) where “A” is the weighted average invoice price of the Product contained in such Combination Product when sold separately in such country during the applicable accounting period in which the sales of the Combination Product were made, and “B” is the combined weighted average invoice prices of all of the Other Components contained in such Combination Product sold separately in such country during such same accounting period. If the Product contained in such Combination Product is not sold separately in finished form in such country, the Seller and the Buyer shall determine Net Sales for the Product by mutual agreement based on the relative contribution of the Product and each such other active ingredient in such Combination Product in accordance with the above formula, and shall take into account in good faith any applicable allocations and calculations that may have been made for the same period in other countries.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Obligations</w:t>
      </w:r>
      <w:r>
        <w:rPr>
          <w:rFonts w:ascii="Times New Roman" w:hAnsi="Times New Roman"/>
          <w:caps w:val="false"/>
          <w:smallCaps w:val="false"/>
          <w:sz w:val="20"/>
        </w:rPr>
        <w:t>” means “Obligations” or such similar term as defined in the Athyrium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Other Component</w:t>
      </w:r>
      <w:r>
        <w:rPr>
          <w:rFonts w:ascii="Times New Roman" w:hAnsi="Times New Roman"/>
          <w:caps w:val="false"/>
          <w:smallCaps w:val="false"/>
          <w:sz w:val="20"/>
        </w:rPr>
        <w:t>” is defined in the definition of “Combination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Other Intercreditor Agreement</w:t>
      </w:r>
      <w:r>
        <w:rPr>
          <w:rFonts w:ascii="Times New Roman" w:hAnsi="Times New Roman"/>
          <w:caps w:val="false"/>
          <w:smallCaps w:val="false"/>
          <w:sz w:val="20"/>
        </w:rPr>
        <w:t>” means an intercreditor agreement, among, the Buyer, RPI 2019 Intermediate Finance Trust, the Seller and the administrative agent, trustee or representative under the Athyrium Credit Agreement and/or the holders of any Indebtedness incurred pursuant to clause (b)(ii) of the definition of Restricted Indebtedness or any agent, representative or trustee acting on behalf of such holders, on substantially the same terms as the Intercreditor Agreement, as amended, amended and restated, supplemented and otherwise modified from time to time in accordance with the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Out-License</w:t>
      </w:r>
      <w:r>
        <w:rPr>
          <w:rFonts w:ascii="Times New Roman" w:hAnsi="Times New Roman"/>
          <w:caps w:val="false"/>
          <w:smallCaps w:val="false"/>
          <w:sz w:val="20"/>
        </w:rPr>
        <w:t>” means each license or other agreement between the Seller or any of its Affiliates and any Third Party (other than Distributors) pursuant to which the Seller or any of its Affiliates grants a license or sublicense of any Intellectual Property Right to market, detail, promote, sell or secure reimbursement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Patent Rights</w:t>
      </w:r>
      <w:r>
        <w:rPr>
          <w:rFonts w:ascii="Times New Roman" w:hAnsi="Times New Roman"/>
          <w:caps w:val="false"/>
          <w:smallCaps w:val="false"/>
          <w:sz w:val="20"/>
        </w:rPr>
        <w:t>” means any and all Patents owned or in-licensed by the Seller or any of its Affiliates or under which the Seller or any of its Affiliates is or may become empowered to grant licenses necessary or reasonably useful in the development, manufacture, use, marketing, promotion, sale or distribution of the Product, as well as existing or future Patents covering any Improvements.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Patents</w:t>
      </w:r>
      <w:r>
        <w:rPr>
          <w:rFonts w:ascii="Times New Roman" w:hAnsi="Times New Roman"/>
          <w:caps w:val="false"/>
          <w:smallCaps w:val="false"/>
          <w:sz w:val="20"/>
        </w:rPr>
        <w:t>” means any and all patents and patent applications existing as of the date of this Agreement and all patent applications filed hereafter,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w:t>
      </w:r>
      <w:r>
        <w:rPr>
          <w:rFonts w:ascii="Times New Roman" w:hAnsi="Times New Roman"/>
          <w:caps w:val="false"/>
          <w:smallCaps w:val="false"/>
          <w:sz w:val="20"/>
        </w:rPr>
        <w:t>” is defined in ‎Section 4.1(g)(vi).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Assignment Provisions</w:t>
      </w:r>
      <w:r>
        <w:rPr>
          <w:rFonts w:ascii="Times New Roman" w:hAnsi="Times New Roman"/>
          <w:caps w:val="false"/>
          <w:smallCaps w:val="false"/>
          <w:sz w:val="20"/>
        </w:rPr>
        <w:t>” is defined in ‎Section 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Contingent Obligations</w:t>
      </w:r>
      <w:r>
        <w:rPr>
          <w:rFonts w:ascii="Times New Roman" w:hAnsi="Times New Roman"/>
          <w:caps w:val="false"/>
          <w:smallCaps w:val="false"/>
          <w:sz w:val="20"/>
        </w:rPr>
        <w:t>” means (a) Guarantees resulting from endorsements for collection or deposit in the ordinary course of business; (b) Guarantees incurred in the ordinary course of business with respect to surety and appeal bonds, performance bonds and other similar obligations not to exceed [***] Dollars ($[***]) in the aggregate at any time outstanding; (c) Guarantees arising under indemnity agreements with title insurers; (d) Guarantees arising with respect to customary indemnification obligations in favor of purchasers in connection with sales, transfers, licenses, leases or other dispositions of personal property assets permitted under the Athyrium Loan Documents; (e) Guarantees arising under the Athyrium Loan Documents; (f) Guarantees existing or arising in connection with any security deposit or letter of credit obtained for the sole purpose of securing a lease of real property, or in connection with ancillary bank services such as a corporate credit card facility, provided that the aggregate face amount of all such security deposits, letters of credit and ancillary bank services does not at any time exceed [***] Dollars ($[***]) in the aggregate at any time outstanding; and (g) the HSBC Letter of Credit secured solely by HSBC Liens.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Indebtedness</w:t>
      </w:r>
      <w:r>
        <w:rPr>
          <w:rFonts w:ascii="Times New Roman" w:hAnsi="Times New Roman"/>
          <w:caps w:val="false"/>
          <w:smallCaps w:val="false"/>
          <w:sz w:val="20"/>
        </w:rPr>
        <w:t>” is defined in the definition of “Restricted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License</w:t>
      </w:r>
      <w:r>
        <w:rPr>
          <w:rFonts w:ascii="Times New Roman" w:hAnsi="Times New Roman"/>
          <w:caps w:val="false"/>
          <w:smallCaps w:val="false"/>
          <w:sz w:val="20"/>
        </w:rPr>
        <w:t>” is defined in ‎Section 6.7(a).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Liens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 xml:space="preserve">(b)    statutory Liens of landlords and Liens of carriers, warehousemen, mechanics, materialmen and suppliers and other Liens imposed by law or pursuant to customary reservations or retentions of title arising in the ordinary course of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Liens on property existing at the time of acquisition of such property provided that such liens were in existence prior to such acquisition and not incurred in contemplation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Permitted Licenses, including any interest or title of a licensee under a Permitted 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Liens under the Athyrium Loan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pledges or deposits in the ordinary course of business in connection with workers’ compensation, unemployment insurance and other social security legislation, other than any Lien imposed by ERISA;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deposits to secure the performance of bids, trade contracts and leases (other than Indebtedness), statutory obligations, surety and appeal bonds, indemnity and performance bonds and other obligations of a like nature incurred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easements, rights-of-way, restrictions and other similar encumbrances affecting real property which, in the aggregate, are not substantial in amount, and which do not materially interfere with the ordinary conduct of the business of the applicable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licenses, sublicenses, leases or subleases granted to others in the ordinary course of business or otherwise and not interfering in any material respect with the Revenue Participation Right, the Product Rights, the Product Collateral, or the Back-Up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(j)    any interest of title of a lessor under, and Liens arising from UCC financing statements (or equivalent filings, registrations or agreements in foreign jurisdictions) relating to, leases permitted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(k)    normal and customary banker’s liens and rights of setoff upon deposits of cash in favor of banks or other depository institutions;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(l)    Liens of a collection bank arising under Section 4-210 of the UCC on items in the course of collection;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(m)    Liens of sellers of goods to the Seller and any of its Subsidiaries arising under Article 2 of the UCC or similar provisions of applicable law in the ordinary course of business, covering only the goods sold and securing only the unpaid purchase price for such goods and related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(n)    HSBC Liens;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(o)    Liens under the RP Royalty Financing Documents;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(p)    cash collateral securing letters of credit permitted under clause (f) of the definition of Permitted Contingent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Purchaser</w:t>
      </w:r>
      <w:r>
        <w:rPr>
          <w:rFonts w:ascii="Times New Roman" w:hAnsi="Times New Roman"/>
          <w:caps w:val="false"/>
          <w:smallCaps w:val="false"/>
          <w:sz w:val="20"/>
        </w:rPr>
        <w:t>” means any Third Party who acquires rights to the Product in a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Sale</w:t>
      </w:r>
      <w:r>
        <w:rPr>
          <w:rFonts w:ascii="Times New Roman" w:hAnsi="Times New Roman"/>
          <w:caps w:val="false"/>
          <w:smallCaps w:val="false"/>
          <w:sz w:val="20"/>
        </w:rPr>
        <w:t>” means any sale, transfer, assignment or other disposition, not constituting an Out-License, of any rights relating to the Product, solely to the extent such rights pertain to [***] (collectively, the “</w:t>
      </w:r>
      <w:r>
        <w:rPr>
          <w:rFonts w:ascii="Times New Roman" w:hAnsi="Times New Roman"/>
          <w:caps w:val="false"/>
          <w:smallCaps w:val="false"/>
          <w:sz w:val="20"/>
          <w:u w:val="single"/>
        </w:rPr>
        <w:t>Permitted Sale Territory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Permitted Sale Territory</w:t>
      </w:r>
      <w:r>
        <w:rPr>
          <w:rFonts w:ascii="Times New Roman" w:hAnsi="Times New Roman"/>
          <w:caps w:val="false"/>
          <w:smallCaps w:val="false"/>
          <w:sz w:val="20"/>
        </w:rPr>
        <w:t>” is defined in the definition of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individual, firm, corporation, company, partnership, limited liability company, trust, joint venture, association, estate, trust, Governmental Entity or other entity, enterprise, association or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Prime Rate</w:t>
      </w:r>
      <w:r>
        <w:rPr>
          <w:rFonts w:ascii="Times New Roman" w:hAnsi="Times New Roman"/>
          <w:caps w:val="false"/>
          <w:smallCaps w:val="false"/>
          <w:sz w:val="20"/>
        </w:rPr>
        <w:t>” means the prime rate published by The Wall Street Journal, from time to time, as the prime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w:t>
      </w:r>
      <w:r>
        <w:rPr>
          <w:rFonts w:ascii="Times New Roman" w:hAnsi="Times New Roman"/>
          <w:caps w:val="false"/>
          <w:smallCaps w:val="false"/>
          <w:sz w:val="20"/>
        </w:rPr>
        <w:t>” means (a) the product known as ORLADEYO®™ (berotralstat) that is the subject of NDA No. 214094,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 Collateral</w:t>
      </w:r>
      <w:r>
        <w:rPr>
          <w:rFonts w:ascii="Times New Roman" w:hAnsi="Times New Roman"/>
          <w:caps w:val="false"/>
          <w:smallCaps w:val="false"/>
          <w:sz w:val="20"/>
        </w:rPr>
        <w:t>” means the Seller’s rights, title and interests in (a) the Product (including all inventory of the Product), (b) the Product Rights owned, licensed or otherwise held by the Seller, and (c) any proceeds from either (a) or (b) above, including all accounts receivable and general intangibles resulting from the sale, license or other disposition of Product by the Seller or its Licensees.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 Partnering Revenue</w:t>
      </w:r>
      <w:r>
        <w:rPr>
          <w:rFonts w:ascii="Times New Roman" w:hAnsi="Times New Roman"/>
          <w:caps w:val="false"/>
          <w:smallCaps w:val="false"/>
          <w:sz w:val="20"/>
        </w:rPr>
        <w:t>” means the pre-tax profit realized by Seller or its Affiliates arising from any Permitted Sale, with the profit being calculated as: (i) (x) aggregate payments or other consideration in any form received by Seller or any of its Affiliates from a Permitted Sale, or payments received by Seller or any of its Affiliates from a Third Party in lieu of any of the foregoing payments arising from a Permitted Sale, and (y) recovery of monetary damages from a Third Party in an action brought for such Third Party’s infringement of any Patent Rights relating to the Product, where such damages, whether in the form of judgment or settlement, are awarded for such infringement of such Patent Rights but solely to the extent that such monetary damages are treated as Product Partnering Revenue in accordance with ‎Section 6.5(d) and after application of clauses (i) and (ii) therein, in each case, except for the Excluded Payments (defined below), minus (ii) aggregate out-of-pocket expenses incurred by Seller or its Affiliates after the Closing Date solely for the development or commercialization of the Product in the Permitted Sale Territory. For purposes of Product Partnering Revenue, “Excluded Payments” means: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 payments or grants received from a commercial or non-commercial Third Party, specifically to cover future reasonable, documented fully-burdened costs incurred by or on behalf of Seller or any Affiliate after the execution of such Permitted Sale directly attributable to the performance of research and development of the Product within the Permitted Sale Territory, which costs are expressly covered by the purchaser under such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(b) equity investments in Seller or any Affiliate to the extent priced at or below fair market value, provided that in the case of common stock or its equivalent, fair market value shall be the greater of: (i) the last reported closing price of Seller’s common stock on Nasdaq, or (ii) the 30-day volume-weighted average price of Seller’s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(c) loans received as part of a debt financing for so long as an obligation of repayment exists, provided that if at the time any such debt becomes due, the amount of such debt that is forgiven, and, for accounting or Tax purposes (in accordance with GAAP), is booked as income to Seller or its Affiliates, then such amount shall be deemed Product Partnering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(d) loans received where the Product forms part of the security package provided for the loan for so long as an obligation of repayment exists, provided that if at the time any such debt becomes due, the amount of such debt that is forgiven, and, for accounting or Tax purposes (in accordance with GAAP), is booked as income to Seller or its Affiliates, then such amount shall be deemed Product Partnering Revenue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 Tax credits or Tax receipts;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(f) sales or supply of Product inventory at or below Seller’s actual cost of goods sold, provided, however that any mark-up from, or other amounts in excess of, the Seller’s cost of goods sold for such inventory shall be Product Partnering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Notwithstanding anything to the contrary in this Agreement, “Product Partnering Revenue” shall include, without limitation, any and all contingent payments, upfront payments, option fees, lump-sum payments, distribution fees, joint-marketing fees, profit share, milestone payments, and other payments, in each case received. In the event Seller or its Affiliate(s) receives non-monetary consideration pursuant to a Permitted Sale, Product Partnering Revenue shall be calculated based on the fair market value of such consideration at the time of the transaction (where fair market value shall be determined by agreement of the parties or by an independent appraiser mutually agreeable to the parties), assuming an arm’s length transaction made in the ordinary course of business. To the extent that Seller makes any offsetting payments to a Permitted Purchaser (such as a true-up payment) that are specifically permitted pursuant to the Permitted Sale (not entered into in violation of this Agreement) with such Permitted Purchaser, then the Product Partnering Revenue under such Permitted Sale shall be calculated net of such payments. To the extent that Seller permits any Permitted Purchaser to set off any payments payable pursuant to the Permitted Sale with such Permitted Purchaser against any amounts payable by Seller to such Permitted Purchaser, then the Product Partnering Revenue under such Permitted Sale shall include all such payments payable to Seller under such Permitted Sale without giving effect to any such setoff.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Product Rights</w:t>
      </w:r>
      <w:r>
        <w:rPr>
          <w:rFonts w:ascii="Times New Roman" w:hAnsi="Times New Roman"/>
          <w:caps w:val="false"/>
          <w:smallCaps w:val="false"/>
          <w:sz w:val="20"/>
        </w:rPr>
        <w:t>” means any and all of the following, as they exist throughout the world: (a) Intellectual Property Product Rights, (b) regulatory filings, submissions and approvals, including Marketing Approvals, with or from any Regulatory Authorities with respect to the Product, (c) In-Licenses and (d) Out-Licenses.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Purchase Price</w:t>
      </w:r>
      <w:r>
        <w:rPr>
          <w:rFonts w:ascii="Times New Roman" w:hAnsi="Times New Roman"/>
          <w:caps w:val="false"/>
          <w:smallCaps w:val="false"/>
          <w:sz w:val="20"/>
        </w:rPr>
        <w:t>” is defined in ‎Section 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Receiving Party</w:t>
      </w:r>
      <w:r>
        <w:rPr>
          <w:rFonts w:ascii="Times New Roman" w:hAnsi="Times New Roman"/>
          <w:caps w:val="false"/>
          <w:smallCaps w:val="false"/>
          <w:sz w:val="20"/>
        </w:rPr>
        <w:t>” is defined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Regime A Royalty Rate</w:t>
      </w:r>
      <w:r>
        <w:rPr>
          <w:rFonts w:ascii="Times New Roman" w:hAnsi="Times New Roman"/>
          <w:caps w:val="false"/>
          <w:smallCaps w:val="false"/>
          <w:sz w:val="20"/>
        </w:rPr>
        <w:t>” is defined in the definition of “Direct Sales Royalty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Regime B Royalty Rate</w:t>
      </w:r>
      <w:r>
        <w:rPr>
          <w:rFonts w:ascii="Times New Roman" w:hAnsi="Times New Roman"/>
          <w:caps w:val="false"/>
          <w:smallCaps w:val="false"/>
          <w:sz w:val="20"/>
        </w:rPr>
        <w:t>” is defined in the definition of “Direct Sales Royalty 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and IP Semi-Annual Report</w:t>
      </w:r>
      <w:r>
        <w:rPr>
          <w:rFonts w:ascii="Times New Roman" w:hAnsi="Times New Roman"/>
          <w:caps w:val="false"/>
          <w:smallCaps w:val="false"/>
          <w:sz w:val="20"/>
        </w:rPr>
        <w:t>” is defined in ‎Section 6.1(b).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Authority</w:t>
      </w:r>
      <w:r>
        <w:rPr>
          <w:rFonts w:ascii="Times New Roman" w:hAnsi="Times New Roman"/>
          <w:caps w:val="false"/>
          <w:smallCaps w:val="false"/>
          <w:sz w:val="20"/>
        </w:rPr>
        <w:t>” means any national or supranational governmental authority, including the FDA, the EMA or such equivalent regulatory authority, or any successor agency thereto, that has responsibility in granting a Marketing Approval.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Exclusivity Period</w:t>
      </w:r>
      <w:r>
        <w:rPr>
          <w:rFonts w:ascii="Times New Roman" w:hAnsi="Times New Roman"/>
          <w:caps w:val="false"/>
          <w:smallCaps w:val="false"/>
          <w:sz w:val="20"/>
        </w:rPr>
        <w:t>” shall mean, with respect to the Product in any country, any period of data, market or other regulatory exclusivity (other than Patent exclusivity) granted or afforded by law or by a Regulatory Authority in such country that confers exclusive marketing rights with respect to the Product in such country or prevents another party from using or otherwise relying on any data supporting the Marketing Approval for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Regulatory Updates</w:t>
      </w:r>
      <w:r>
        <w:rPr>
          <w:rFonts w:ascii="Times New Roman" w:hAnsi="Times New Roman"/>
          <w:caps w:val="false"/>
          <w:smallCaps w:val="false"/>
          <w:sz w:val="20"/>
        </w:rPr>
        <w:t>” means a summary of any and all material information and developments that materially impact the Product with respect to any regulatory filings or submissions made to</w:t>
      </w:r>
      <w:r>
        <w:rPr>
          <w:rFonts w:ascii="Times New Roman" w:hAnsi="Times New Roman"/>
          <w:caps w:val="false"/>
          <w:smallCaps w:val="false"/>
          <w:strike/>
          <w:sz w:val="20"/>
        </w:rPr>
        <w:t xml:space="preserve"> </w:t>
      </w:r>
      <w:r>
        <w:rPr>
          <w:rFonts w:ascii="Times New Roman" w:hAnsi="Times New Roman"/>
          <w:caps w:val="false"/>
          <w:smallCaps w:val="false"/>
          <w:sz w:val="20"/>
        </w:rPr>
        <w:t>any Regulatory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Related Party</w:t>
      </w:r>
      <w:r>
        <w:rPr>
          <w:rFonts w:ascii="Times New Roman" w:hAnsi="Times New Roman"/>
          <w:caps w:val="false"/>
          <w:smallCaps w:val="false"/>
          <w:sz w:val="20"/>
        </w:rPr>
        <w:t>” is defined in the definition of “Net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Report</w:t>
      </w:r>
      <w:r>
        <w:rPr>
          <w:rFonts w:ascii="Times New Roman" w:hAnsi="Times New Roman"/>
          <w:caps w:val="false"/>
          <w:smallCaps w:val="false"/>
          <w:sz w:val="20"/>
        </w:rPr>
        <w:t>” is defined in ‎Section 6.1(b).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Representative</w:t>
      </w:r>
      <w:r>
        <w:rPr>
          <w:rFonts w:ascii="Times New Roman" w:hAnsi="Times New Roman"/>
          <w:caps w:val="false"/>
          <w:smallCaps w:val="false"/>
          <w:sz w:val="20"/>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Restricted Indebtedness</w:t>
      </w:r>
      <w:r>
        <w:rPr>
          <w:rFonts w:ascii="Times New Roman" w:hAnsi="Times New Roman"/>
          <w:caps w:val="false"/>
          <w:smallCaps w:val="false"/>
          <w:sz w:val="20"/>
        </w:rPr>
        <w:t>” means any financing, sale, or loan of royalties on the Product, or any Indebtedness, in each case other than the following (individually and collectively, “</w:t>
      </w:r>
      <w:r>
        <w:rPr>
          <w:rFonts w:ascii="Times New Roman" w:hAnsi="Times New Roman"/>
          <w:caps w:val="false"/>
          <w:smallCaps w:val="false"/>
          <w:sz w:val="20"/>
          <w:u w:val="single"/>
        </w:rPr>
        <w:t>Permitted Indebtedness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(a)    true sales of royalties that contain no financial covenants or other provisions typically found in loan agreements, and in connection with such true sale Seller or its Affiliates do not grant any Lien on any assets of Seller or its Affiliates, other than a back-up security interest to perfect the true sale;</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(b)    (i) additional Indebtedness incurred pursuant to the Athyrium Loan Documents, (ii) other secured Indebtedness, so long as in the case of any Indebtedness incurred pursuant to this clause (ii), the holders of such Indebtedness or any agent, representative or trustee acting on behalf of such holders have become party to the Intercreditor Agreement or entered into an Other Intercreditor Agreement, and (iii) unsecured Indebtedness, so long as (x) the principal amount of any Indebtedness incurred pursuant to this clause (b) (together with the aggregate outstanding principal amount of all Indebtedness previously incurred pursuant to this clause (b)) does not at the time of incurring such additional Indebtedness exceed [***]% of the aggregate principal amount of Indebtedness and commitments to extend credit under the Athyrium Loan Documents outstanding at such time and (y) except as otherwise agreed by the parties, such unsecured Indebtedness contemplated by clause (iii) shall be subordinated in right of payment to the Royalty Payments that are owed or may be owed in the future to the Buyer pursuant to the terms of a subordination, intercreditor, or other similar agreement (or terms of subordination incorporated into the indenture under which such unsecured indebtedness is issued), in each case in form and substance, and on terms, approved by the Buyer, the Seller, and the applicable Third Party lender of such unsecured indebtedness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(c)    certain customary de minimis exceptions incurred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(d)    Indebtedness under the Athyrium Loan Documents, and renewals, refinancings and extensions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(e)    intercompany Indebtedness permitted under the Athyrium Loan Documents (and at any time when the Athyrium Loan Documents are not outstanding, any bona fide intercompany Indebtedness entered into in the good faith business judgment of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(f)    obligations (contingent or otherwise) of the Seller or any Subsidiary existing or arising under any Swap Contract, provided, that,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(g)    purchase money Indebtedness (including obligations in respect of capital leases or synthetic leases) hereafter incurred by the Seller or any of its Subsidiaries to finance the purchase of fixed assets, and renewals, refinancings, and extensions thereof, provided, that, (i) no default or “Event of Default” has occurred under the Athyrium Loan Documents and is continuing both immediately prior to and after giving effect thereto, (ii) the total of all such Indebtedness for all such Persons taken together shall not exceed an aggregate principal amount of $[***] at any one time outstanding, (iii) such Indebtedness when incurred shall not exceed the purchase price of the asset(s) financed, and (iv) no such Indebtedness shall be refinanced for a principal amount in excess of the principal balance outstanding thereon at the time of such refinancing except by an amount equal to unpaid accrued interest and premium thereon plus other amounts owing or paid related to such Indebtedness, and fees, commissions and expenses (including upfront fees and original issue discount) reasonably incurred, in connection with such refinancing;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(h)    other unsecured Indebtedness hereafter incurred by the Seller or any of its Subsidiaries in an aggregate amount not to exceed $[***] at any one time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(i)    Permitted Contingent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(j)    Indebtedness incurred in the ordinary course of business not to exceed $[***] in the aggregate at any time outstanding owed to any Person providing property, casualty, liability, or other insurance to the loan parties, including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(k)    Convertible Bond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(l)    Attributable Indebtedness in respect of Capital Leases incurred pursuant to automobile leases entered into in the ordinary course of business as part of employee compensation for employees based in Europe; provided that the aggregate amount of such Attributable Indebtedness incurred pursuant to this clause (l) shall not exceed $[***] at any one time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(m)    Indebtedness / liability under the RP Royalty Financing Documents; and</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0" w:firstLine="720"/>
        <w:rPr>
          <w:rFonts w:ascii="Times New Roman" w:hAnsi="Times New Roman"/>
          <w:caps w:val="false"/>
          <w:smallCaps w:val="false"/>
          <w:sz w:val="20"/>
        </w:rPr>
      </w:pPr>
      <w:r>
        <w:rPr>
          <w:rFonts w:ascii="Times New Roman" w:hAnsi="Times New Roman"/>
          <w:caps w:val="false"/>
          <w:smallCaps w:val="false"/>
          <w:sz w:val="20"/>
        </w:rPr>
        <w:t>(n)    other Indebtedness permitted by the Athyrium Credit Agreement after the Closing Date requested by the Seller in its good faith business judgment, not with the purpose or effect of adversely impacting the Buyer, the Revenue Participation Right, the Product Rights, the Product Collateral, or the Back-up Security Interest and permitted by the holders of the Indebtedness under the Athyrium Credit Agreement and the Intercreditor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Revenue Participation Right</w:t>
      </w:r>
      <w:r>
        <w:rPr>
          <w:rFonts w:ascii="Times New Roman" w:hAnsi="Times New Roman"/>
          <w:caps w:val="false"/>
          <w:smallCaps w:val="false"/>
          <w:sz w:val="20"/>
        </w:rPr>
        <w:t>” means the right to receive the Royalty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Royalty Cap</w:t>
      </w:r>
      <w:r>
        <w:rPr>
          <w:rFonts w:ascii="Times New Roman" w:hAnsi="Times New Roman"/>
          <w:caps w:val="false"/>
          <w:smallCaps w:val="false"/>
          <w:sz w:val="20"/>
        </w:rPr>
        <w:t>” means either (a) $213,750,000 if the Direct Sales Royalty Rate is calculated under the Regime A Royalty Rate for each calendar quarter beginning on or after January 1, 2024 or (b) $232,500,000 if the Direct Sales Royalty Rate is calculated under the Regime B Royalty Rate for each calendar quarter beginning on or after January 1, 2024.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Royalty Payments</w:t>
      </w:r>
      <w:r>
        <w:rPr>
          <w:rFonts w:ascii="Times New Roman" w:hAnsi="Times New Roman"/>
          <w:caps w:val="false"/>
          <w:smallCaps w:val="false"/>
          <w:sz w:val="20"/>
        </w:rPr>
        <w:t>” means, for each calendar quarter beginning on October 1, 2023 until the Royalty Termination Date, an amount payable to the Buyer equal to (i) the amount of all aggregate Direct Sales during such calendar quarter multiplied by the Direct Sales Royalty Rate, (ii) the amount of all Indirect Revenue during such calendar quarter multiplied by the applicable Indirect Revenue Sharing Rate, and (iii) the amount of all Product Partnering Revenue attributable to the Product during such calendar quarter multiplied by (A) 7.5%, if the Direct Sales Royalty Rate is calculated under the Regime A Royalty Rate for such calendar quarter or (B) 10.0% if the Direct Sales Royalty Rate is calculated under the Regime B Royalty Rate for such calendar quarter.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Royalty Termination Date</w:t>
      </w:r>
      <w:r>
        <w:rPr>
          <w:rFonts w:ascii="Times New Roman" w:hAnsi="Times New Roman"/>
          <w:caps w:val="false"/>
          <w:smallCaps w:val="false"/>
          <w:sz w:val="20"/>
        </w:rPr>
        <w:t>” means the date on which aggregate payments of the Royalty Payments actually received by the Buyer equal the Royalty Cap.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RP Royalty Financing Documents</w:t>
      </w:r>
      <w:r>
        <w:rPr>
          <w:rFonts w:ascii="Times New Roman" w:hAnsi="Times New Roman"/>
          <w:caps w:val="false"/>
          <w:smallCaps w:val="false"/>
          <w:sz w:val="20"/>
        </w:rPr>
        <w:t>” means the 2020 RP Royalty Financing Documents and the 2021 RP Royalty Financing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Safety Notices</w:t>
      </w:r>
      <w:r>
        <w:rPr>
          <w:rFonts w:ascii="Times New Roman" w:hAnsi="Times New Roman"/>
          <w:caps w:val="false"/>
          <w:smallCaps w:val="false"/>
          <w:sz w:val="20"/>
        </w:rPr>
        <w:t>” means any recalls, field notifications, market withdrawals, warnings, “dear doctor” letters, investigator notices, safety alerts or other notices of action issued or instigated by the Seller, any of its Affiliates or any Regulatory Authority relating to an alleged lack of safety or regulatory compliance of the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Seller</w:t>
      </w:r>
      <w:r>
        <w:rPr>
          <w:rFonts w:ascii="Times New Roman" w:hAnsi="Times New Roman"/>
          <w:caps w:val="false"/>
          <w:smallCaps w:val="false"/>
          <w:sz w:val="20"/>
        </w:rPr>
        <w:t>” is defined in the preamble. References to the Seller herein (i) shall be deemed to include any assignee of the Seller pursuant to ‎Section 10.4, but (ii) shall not include any Permitted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Seller Certificate</w:t>
      </w:r>
      <w:r>
        <w:rPr>
          <w:rFonts w:ascii="Times New Roman" w:hAnsi="Times New Roman"/>
          <w:caps w:val="false"/>
          <w:smallCaps w:val="false"/>
          <w:sz w:val="20"/>
        </w:rPr>
        <w:t>” is defined in ‎Section 5.1(i).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Seller Indemnified Parties</w:t>
      </w:r>
      <w:r>
        <w:rPr>
          <w:rFonts w:ascii="Times New Roman" w:hAnsi="Times New Roman"/>
          <w:caps w:val="false"/>
          <w:smallCaps w:val="false"/>
          <w:sz w:val="20"/>
        </w:rPr>
        <w:t xml:space="preserve">” is defined in ‎Section 7.1(b).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any and all corporations, partnerships, limited liability companies, joint ventures, associations and other entities controlled (by contract or otherwise) by the Seller directly or indirectly through one or more intermediaries. For purposes hereof, the Seller shall be deemed to control a partnership, limited liability company, association or other business entity if the Seller,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 Notwithstanding the foregoing, until discharge of the JPR Indenture pursuant to and in accordance with Section 11.1 thereof, unless expressly provided herein, Subsidiaries of the Seller shall not include JPR Royalty Sub.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Swap Contract</w:t>
      </w:r>
      <w:r>
        <w:rPr>
          <w:rFonts w:ascii="Times New Roman" w:hAnsi="Times New Roman"/>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aps w:val="false"/>
          <w:smallCaps w:val="false"/>
          <w:sz w:val="20"/>
          <w:u w:val="single"/>
        </w:rPr>
        <w:t>Master Agreement</w:t>
      </w:r>
      <w:r>
        <w:rPr>
          <w:rFonts w:ascii="Times New Roman" w:hAnsi="Times New Roman"/>
          <w:caps w:val="false"/>
          <w:smallCaps w:val="false"/>
          <w:sz w:val="20"/>
        </w:rPr>
        <w:t>”), including any such obligations or liabilities under any Master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caps w:val="false"/>
          <w:smallCaps w:val="false"/>
        </w:rPr>
      </w:pPr>
      <w:r>
        <w:rPr>
          <w:caps w:val="false"/>
          <w:smallCaps w:val="false"/>
          <w:u w:val="single"/>
        </w:rPr>
        <w:t>“</w:t>
      </w:r>
      <w:r>
        <w:rPr>
          <w:rFonts w:ascii="Times New Roman" w:hAnsi="Times New Roman"/>
          <w:caps w:val="false"/>
          <w:smallCaps w:val="false"/>
          <w:sz w:val="20"/>
          <w:u w:val="single"/>
        </w:rPr>
        <w:t>Tax</w:t>
      </w:r>
      <w:r>
        <w:rPr>
          <w:rFonts w:ascii="Times New Roman" w:hAnsi="Times New Roman"/>
          <w:caps w:val="false"/>
          <w:smallCaps w:val="false"/>
          <w:sz w:val="20"/>
        </w:rPr>
        <w:t>” or “</w:t>
      </w:r>
      <w:r>
        <w:rPr>
          <w:rFonts w:ascii="Times New Roman" w:hAnsi="Times New Roman"/>
          <w:caps w:val="false"/>
          <w:smallCaps w:val="false"/>
          <w:sz w:val="20"/>
          <w:u w:val="single"/>
        </w:rPr>
        <w:t>Taxes</w:t>
      </w:r>
      <w:r>
        <w:rPr>
          <w:rFonts w:ascii="Times New Roman" w:hAnsi="Times New Roman"/>
          <w:caps w:val="false"/>
          <w:smallCaps w:val="false"/>
          <w:sz w:val="20"/>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Third Party</w:t>
      </w:r>
      <w:r>
        <w:rPr>
          <w:rFonts w:ascii="Times New Roman" w:hAnsi="Times New Roman"/>
          <w:caps w:val="false"/>
          <w:smallCaps w:val="false"/>
          <w:sz w:val="20"/>
        </w:rPr>
        <w:t>” means any Person that is not the Seller or the Seller’s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Torii License</w:t>
      </w:r>
      <w:r>
        <w:rPr>
          <w:rFonts w:ascii="Times New Roman" w:hAnsi="Times New Roman"/>
          <w:caps w:val="false"/>
          <w:smallCaps w:val="false"/>
          <w:sz w:val="20"/>
        </w:rPr>
        <w:t>” means that certain Commercialization and License Agreement between Torii Pharmaceutical Co., Ltd. and BioCryst Pharmaceuticals, Inc. dated November 5,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Transaction Documents</w:t>
      </w:r>
      <w:r>
        <w:rPr>
          <w:rFonts w:ascii="Times New Roman" w:hAnsi="Times New Roman"/>
          <w:caps w:val="false"/>
          <w:smallCaps w:val="false"/>
          <w:sz w:val="20"/>
        </w:rPr>
        <w:t>” means this Agreement and any other agreement, instrument or document entered into from time to time in connection therewith, in each case, as amended, supplemented or otherwise modified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UCC</w:t>
      </w:r>
      <w:r>
        <w:rPr>
          <w:rFonts w:ascii="Times New Roman" w:hAnsi="Times New Roman"/>
          <w:caps w:val="false"/>
          <w:smallCaps w:val="false"/>
          <w:sz w:val="20"/>
        </w:rPr>
        <w:t>” means the Uniform Commercial Code as in effect from time to time in the State of New York; provided, that, if, with respect to any financing statement or by reason of any provisions of applicable law, the perfection or the effect of perfection or non-perfection of the back-up security interest or any portion thereof granted pursuant to ‎Section 2.1(b) is governed by the Uniform Commercial Code as in effect in a jurisdiction of the United States other than the State of New York, then “UCC” means the Uniform Commercial Code as in effect from time to time in such other jurisdiction for purposes of the provisions of this Agreement and any financing statement relating to such perfection or effect of perfection or non-perfection.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Valid Claim</w:t>
      </w:r>
      <w:r>
        <w:rPr>
          <w:rFonts w:ascii="Times New Roman" w:hAnsi="Times New Roman"/>
          <w:caps w:val="false"/>
          <w:smallCaps w:val="false"/>
          <w:sz w:val="20"/>
        </w:rPr>
        <w:t>” means: (a) any claim of an issued and unexpired Patent included within the Patent Rights, that shall not have been withdrawn, lapsed, abandoned, revoked, canceled or disclaimed, or held invalid or unenforceable by a court, Governmental Entity, national or regional patent office or other appropriate body that has competent jurisdiction in a decision being final and unappealable or unappealed within the time allowed for appeal; and (b) a claim of a pending Patent application included within the Patent Rights that is filed and being prosecuted in good faith and that has not been finally abandoned or finally rejected and which has been pending for no more than [***] years from the date of filing of the earliest Patent application to which such pending Patent application claims priority.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Certain Interpretations</w:t>
      </w:r>
      <w:r>
        <w:rPr>
          <w:rFonts w:ascii="Times New Roman" w:hAnsi="Times New Roman"/>
          <w:caps w:val="false"/>
          <w:smallCaps w:val="false"/>
          <w:sz w:val="20"/>
        </w:rPr>
        <w:t>. Except where expressly stated otherwise in this Agreement, the following rules of interpretation apply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“either” and “or” are not exclusive and “include,” “includes” and “including” are not limiting and shall be deemed to be followed by the words “without limitation”;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“extent” in the phrase “to the extent” means the degree to which a subject or other thing extends, and such phrase does not mean simply “if”;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“hereof,” “hereto,” “herein” and “hereunder” and words of similar import when used in this Agreement refer to this Agreement as a whole and not to any particular provision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references to a Person are also to its permitted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except as expressly provided otherwise, definitions are applicable to the singular as well as the plural forms of such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except as expressly provided otherwise, references to an “Article”, “Section” or “Exhibit” refer to an Article or Section of, or an Exhibit to, this Agreement, and references to a “Schedule” refer to the corresponding part of the Disclosure Schedule;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references to “$” or otherwise to dollar amounts refer to the lawful currency of the United States;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references to a law include any amendment or modification to such law and any rules and regulations issued thereunder, whether such amendment or modification is made, or issuance of such rules and regulations occurs, before or after the date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 SALE AND ASSIGNMENT OF THE REVENUE PARTICIPATION RIGHT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Purchase, Sale and Assignment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 xml:space="preserve">(a)    At the Closing and upon the terms and subject to the conditions of this Agreement, the Seller shall sell, transfer, assign and convey to the Buyer, without recourse (except as expressly provided herein), and the Buyer shall purchase, acquire and accept from the Seller, the Revenue Participation Right, free and clear of all Liens, except for any Lien contemplated under subparts (a), (b), (f), (g), and (k) of the definition of “Permitted Liens”. Immediately upon the sale to the Buyer by the Seller of the Revenue Participation Right pursuant to this </w:t>
      </w:r>
      <w:r>
        <w:rPr>
          <w:rFonts w:ascii="Times New Roman" w:hAnsi="Times New Roman"/>
          <w:caps w:val="false"/>
          <w:smallCaps w:val="false"/>
          <w:sz w:val="20"/>
          <w:u w:val="single"/>
        </w:rPr>
        <w:t>Section 2.1</w:t>
      </w:r>
      <w:r>
        <w:rPr>
          <w:rFonts w:ascii="Times New Roman" w:hAnsi="Times New Roman"/>
          <w:caps w:val="false"/>
          <w:smallCaps w:val="false"/>
          <w:sz w:val="20"/>
        </w:rPr>
        <w:t>, all of the Seller’s right, title and interest in and to the Revenue Participation Right shall terminate, and all such right, title and interest shall vest in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It is the intention of the parties hereto that the sale, transfer, assignment and conveyance contemplated by this Agreement be, and is, a true, complete, absolute and irrevocable sale, transfer, assignment and conveyance by the Seller to the Buyer of all of the Seller’s right, title and interest in and to the Revenue Participation Right. Neither the Seller nor the Buyer intends the transactions contemplated by this Agreement to be, or for any purpose characterized as, a loan from the Buyer to the Seller or a pledge, a security interest, a financing transaction or a borrowing.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under any Bankruptcy Laws. The Seller hereby waives, to the maximum extent permitted by applicable law, any right to contest or otherwise assert that this Agreement does not constitute a true, complete, absolute and irrevocable sale, transfer, assignment and conveyance by the Seller to the Buyer of all of the Seller’s right, title and interest in and to the Revenue Participation Right under applicable law, which waiver shall, to the maximum extent permitted by applicable law, be enforceable against the Seller in any bankruptcy or insolvency proceeding relating to the Seller. Accordingly, the Seller shall treat the sale, transfer, assignment and conveyance of the Revenue Participation Right as a sale of “accounts” or “payment intangibles” (as appropriate) in accordance with the UCC, and the Seller hereby authorizes the Buyer to file financing statements (and continuation statements with respect to such financing statements when applicable) naming the Seller as the debtor and the Buyer as the secured party in respect to the Revenue Participation Right. Not in derogation of the foregoing statement of the intent of the parties hereto in this regard, and for the purposes of providing additional assurance to the Buyer in the event that, despite the intent of the parties hereto, the sale, transfer, assignment and conveyance contemplated hereby is hereafter held not to be a sale, the Seller does hereby grant to the Buyer, as security for the payment of amounts to the Buyer equal to the Royalty Cap less all Royalty Payments received by the Buyer pursuant to this Agreement, a security interest in and to all right, title and interest in, to and under the Revenue Participation Right, the Royalty Payments, and the Product Collateral (collectively, the “</w:t>
      </w:r>
      <w:r>
        <w:rPr>
          <w:rFonts w:ascii="Times New Roman" w:hAnsi="Times New Roman"/>
          <w:caps w:val="false"/>
          <w:smallCaps w:val="false"/>
          <w:sz w:val="20"/>
          <w:u w:val="single"/>
        </w:rPr>
        <w:t>Back-Up Security Interest</w:t>
      </w:r>
      <w:r>
        <w:rPr>
          <w:rFonts w:ascii="Times New Roman" w:hAnsi="Times New Roman"/>
          <w:caps w:val="false"/>
          <w:smallCaps w:val="false"/>
          <w:sz w:val="20"/>
        </w:rPr>
        <w:t>”), and the Seller does hereby authorize the Buyer, from and after the Closing, to file such financing statements (and continuation statements with respect to such financing statements when applicable) in such manner and such jurisdictions as are necessary or appropriate to perfect such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Purchase Price</w:t>
      </w:r>
      <w:r>
        <w:rPr>
          <w:rFonts w:ascii="Times New Roman" w:hAnsi="Times New Roman"/>
          <w:caps w:val="false"/>
          <w:smallCaps w:val="false"/>
          <w:sz w:val="20"/>
        </w:rPr>
        <w:t>. At the Closing and upon the terms and subject to the conditions of this Agreement, the purchase price to be paid as consideration to the Seller for the sale, transfer, assignment and conveyance of the Revenue Participation Right to the Buyer is One Hundred Fifty Million Dollars ($150,000,000) in cash (the “</w:t>
      </w:r>
      <w:r>
        <w:rPr>
          <w:rFonts w:ascii="Times New Roman" w:hAnsi="Times New Roman"/>
          <w:caps w:val="false"/>
          <w:smallCaps w:val="false"/>
          <w:sz w:val="20"/>
          <w:u w:val="single"/>
        </w:rPr>
        <w:t>Purchase Price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2.3    </w:t>
      </w:r>
      <w:r>
        <w:rPr>
          <w:rFonts w:ascii="Times New Roman" w:hAnsi="Times New Roman"/>
          <w:caps w:val="false"/>
          <w:smallCaps w:val="false"/>
          <w:sz w:val="20"/>
          <w:u w:val="single"/>
        </w:rPr>
        <w:t>No Assumed Obligations, Etc.</w:t>
      </w:r>
      <w:r>
        <w:rPr>
          <w:rFonts w:ascii="Times New Roman" w:hAnsi="Times New Roman"/>
          <w:caps w:val="false"/>
          <w:smallCaps w:val="false"/>
          <w:sz w:val="20"/>
        </w:rPr>
        <w:t> Notwithstanding any provision in this Agreement to the contrary, the Buyer is only agreeing, on the terms and conditions set forth in this Agreement, to purchase, acquire and accept the Revenue Participation Right and is not assuming any liability or obligation of the Seller of whatever nature, whether presently in existence or arising or asserted 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CLOSING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3.1    </w:t>
      </w:r>
      <w:r>
        <w:rPr>
          <w:rFonts w:ascii="Times New Roman" w:hAnsi="Times New Roman"/>
          <w:caps w:val="false"/>
          <w:smallCaps w:val="false"/>
          <w:sz w:val="20"/>
          <w:u w:val="single"/>
        </w:rPr>
        <w:t>Closing</w:t>
      </w:r>
      <w:r>
        <w:rPr>
          <w:rFonts w:ascii="Times New Roman" w:hAnsi="Times New Roman"/>
          <w:caps w:val="false"/>
          <w:smallCaps w:val="false"/>
          <w:sz w:val="20"/>
        </w:rPr>
        <w:t>. Subject to the satisfaction of the conditions set forth in ‎ARTICLE 5, the Closing shall take place remotely via the exchange of documents and signatures on the date hereof, subject to the satisfaction or waiver of the conditions set forth in ‎ARTICLE 5 (other than those conditions that by their nature are to be satisfied at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3.2    </w:t>
      </w:r>
      <w:r>
        <w:rPr>
          <w:rFonts w:ascii="Times New Roman" w:hAnsi="Times New Roman"/>
          <w:caps w:val="false"/>
          <w:smallCaps w:val="false"/>
          <w:sz w:val="20"/>
          <w:u w:val="single"/>
        </w:rPr>
        <w:t>Payment of Purchase Price</w:t>
      </w:r>
      <w:r>
        <w:rPr>
          <w:rFonts w:ascii="Times New Roman" w:hAnsi="Times New Roman"/>
          <w:caps w:val="false"/>
          <w:smallCaps w:val="false"/>
          <w:sz w:val="20"/>
        </w:rPr>
        <w:t>. At the Closing, the Buyer shall deliver (or cause to be delivered) payment of the Purchase Price to the Seller by electronic funds transfer or wire transfer of immediately available funds to one or more accounts specified by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3.3    </w:t>
      </w:r>
      <w:r>
        <w:rPr>
          <w:rFonts w:ascii="Times New Roman" w:hAnsi="Times New Roman"/>
          <w:caps w:val="false"/>
          <w:smallCaps w:val="false"/>
          <w:sz w:val="20"/>
          <w:u w:val="single"/>
        </w:rPr>
        <w:t>Bill of Sale</w:t>
      </w:r>
      <w:r>
        <w:rPr>
          <w:rFonts w:ascii="Times New Roman" w:hAnsi="Times New Roman"/>
          <w:caps w:val="false"/>
          <w:smallCaps w:val="false"/>
          <w:sz w:val="20"/>
        </w:rPr>
        <w:t>. At the Closing, upon confirmation of the receipt of the Purchase Price, the Seller shall deliver to the Buyer a duly executed bill of sale evidencing the sale, transfer, assignment and conveyance of the Revenue Participation Right in form attached hereto as Exhibit 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REPRESENTATIONS AND WARRANTIES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4.1    </w:t>
      </w:r>
      <w:r>
        <w:rPr>
          <w:rFonts w:ascii="Times New Roman" w:hAnsi="Times New Roman"/>
          <w:caps w:val="false"/>
          <w:smallCaps w:val="false"/>
          <w:sz w:val="20"/>
          <w:u w:val="single"/>
        </w:rPr>
        <w:t>Seller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r>
        <w:rPr>
          <w:rFonts w:ascii="Times New Roman" w:hAnsi="Times New Roman"/>
          <w:caps w:val="false"/>
          <w:smallCaps w:val="false"/>
          <w:sz w:val="20"/>
        </w:rPr>
        <w:t>. Except as set forth on the Disclosure Schedule attached hereto, the Seller represents and warrants to the Buyer that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Existence; Good Standing</w:t>
      </w:r>
      <w:r>
        <w:rPr>
          <w:rFonts w:ascii="Times New Roman" w:hAnsi="Times New Roman"/>
          <w:caps w:val="false"/>
          <w:smallCaps w:val="false"/>
          <w:sz w:val="20"/>
        </w:rPr>
        <w:t>. The Seller is a corporation duly incorporated, validly existing and in good standing under the laws of the State of Delaware. The Seller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Authorization</w:t>
      </w:r>
      <w:r>
        <w:rPr>
          <w:rFonts w:ascii="Times New Roman" w:hAnsi="Times New Roman"/>
          <w:caps w:val="false"/>
          <w:smallCaps w:val="false"/>
          <w:sz w:val="20"/>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Enforceability</w:t>
      </w:r>
      <w:r>
        <w:rPr>
          <w:rFonts w:ascii="Times New Roman" w:hAnsi="Times New Roman"/>
          <w:caps w:val="false"/>
          <w:smallCaps w:val="false"/>
          <w:sz w:val="20"/>
        </w:rPr>
        <w:t>. This Agreement has been duly executed and delivered by an authorized officer of the Seller and constitutes the valid and binding obligation of the Seller, enforceable against the Seller in accordance with its terms, except as may be limited by applicable Bankruptcy Laws or by general principles of equity (whether considered in a proceeding in equity or at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by the Seller of this Agreement and the consummation of the transactions contemplated hereby and thereby do not and will not (i) contravene or conflict with the certificate of incorporation or bylaws of the Seller, (ii) contravene or conflict with or constitute a material default under any law binding upon or applicable to the Seller or the Revenue Participation Right or (iii) contravene or conflict with or constitute a material default under any material agreement or Judgment binding upon or applicable to the Seller or the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Consents</w:t>
      </w:r>
      <w:r>
        <w:rPr>
          <w:rFonts w:ascii="Times New Roman" w:hAnsi="Times New Roman"/>
          <w:caps w:val="false"/>
          <w:smallCaps w:val="false"/>
          <w:sz w:val="20"/>
        </w:rPr>
        <w:t>. Except for the consents that have been obtained on or prior to the Closing, the UCC financing statements contemplated by ‎Section 2.1(b), or any filings required by the federal securities laws or stock exchange rules, no consent, approval, license, order, authorization, registration, declaration or filing with or of any Governmental Entity or other Person is required to be done or obtained by the Seller in connection with (i) the execution and delivery by the Seller of this Agreement, (ii) the performance by the Seller of its obligations under this Agreement or (iii) the consummation by the Seller of any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 Litigation</w:t>
      </w:r>
      <w:r>
        <w:rPr>
          <w:rFonts w:ascii="Times New Roman" w:hAnsi="Times New Roman"/>
          <w:caps w:val="false"/>
          <w:smallCaps w:val="false"/>
          <w:sz w:val="20"/>
        </w:rPr>
        <w:t>. Neither the Seller nor any of its Subsidiaries is a party to, and has not received any written notice of, any action, suit, investigation or proceeding pending before any Governmental Entity and, to the Knowledge of the Seller, no such action, suit, investigation or proceeding has been threatened against the Seller, that, individually or in the aggregate, has had or would, if determined adversely,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Compliance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    All applications, submissions, information and data related to the Product submitted or utilized as the basis for any request to any Regulatory Authority by or on behalf of the Seller were true and correct in all material respects as of the date of such submission or request, and, to the Knowledge of the Seller any material updates, changes, corrections or modification to such applications, submissions, information or data required under applicable laws or regulations have been submitted to the necessary Regulatory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    Neither the Seller nor any of its Subsidiaries has committed any act, made any statement or failed to make any statement that would reasonably be expected to provide a basis for the FDA or EMA to invoke its policy with respect to “Fraud, Untrue Statements of Material Facts, Bribery, and Illegal Gratuities”, 56 Fed. Reg. 46191 (September 10, 1991) (the “</w:t>
      </w:r>
      <w:r>
        <w:rPr>
          <w:rFonts w:ascii="Times New Roman" w:hAnsi="Times New Roman"/>
          <w:caps w:val="false"/>
          <w:smallCaps w:val="false"/>
          <w:sz w:val="20"/>
          <w:u w:val="single"/>
        </w:rPr>
        <w:t>FDA Application Integrity Policy</w:t>
      </w:r>
      <w:r>
        <w:rPr>
          <w:rFonts w:ascii="Times New Roman" w:hAnsi="Times New Roman"/>
          <w:caps w:val="false"/>
          <w:smallCaps w:val="false"/>
          <w:sz w:val="20"/>
        </w:rPr>
        <w:t>”) and any amendments thereto, or any similar policies by FDA or any other Regulatory Authority, set forth in any applicable laws or regulations. Neither the Seller nor, to the Knowledge of the Seller, any of its officers, employees, contractors or agents is the subject of any pending or, to the Knowledge of the Seller, threatened investigation by FDA or any other Regulatory Authority that could reasonably result in the invocation of the FDA Application Integrity Policy or any similar policy by any Regulatory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(iii)    The Seller has provided to the Buyer prior to the date hereof in a data room available to the Buyer true and correct copies or summaries of all material written communications sent or received by the Seller and any of its Affiliates to or from any Regulatory Authorities that relate to the Product since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(iv)    None of the Seller, any of its Subsidiaries and, to the Knowledge of the Seller, any Third Party manufacturer of the Product, has received from the FDA a “Warning Letter”, Form FDA-483, “Untitled Letter,” or similar material written correspondence or notice alleging violations of applicable laws and regulations enforced by the FDA, or any comparable material written correspondence from any other Regulatory Authority with regard to the Product or the manufacture, processing, packaging or holding thereof, the subject of which communication is unresolved and if determined adversely to the Seller or such Subsidiary would, individually or in the aggregate, reasonably be expected to result 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    Since [***], (A) there have been no Safety Notices, (B) to the Knowledge of the Seller, there are no unresolved material product complaints with respect to the Product, which would result in a Material Adverse Effect, and (C) to the Knowledge of the Seller, there are no facts currently in existence that would, individually or in the aggregate, reasonably be expected to result in (1) a material Safety Notice with respect to the Product, or (2) a material change in the labeling of the Product. Since [***], neither the Seller nor any of its Subsidiaries has experienced any significant failures in the manufacturing of the Product for clinical use or commercial sale that have not been resolved, or that would, individually or in the aggregate, have had or would reasonably be expected to result in, if such failure occurred again,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    The Seller possesses all Marketing Approvals and material permits, licenses, registrations, certificates, authorizations, orders and approvals from the appropriate federal, state or foreign regulatory authorities necessary to conduct its business, including all such material permits, licenses, registrations, certificates, authorizations, orders and approvals required by the FDA or any other Regulatory Authority (collectively, “</w:t>
      </w:r>
      <w:r>
        <w:rPr>
          <w:rFonts w:ascii="Times New Roman" w:hAnsi="Times New Roman"/>
          <w:caps w:val="false"/>
          <w:smallCaps w:val="false"/>
          <w:sz w:val="20"/>
          <w:u w:val="single"/>
        </w:rPr>
        <w:t>Permits</w:t>
      </w:r>
      <w:r>
        <w:rPr>
          <w:rFonts w:ascii="Times New Roman" w:hAnsi="Times New Roman"/>
          <w:caps w:val="false"/>
          <w:smallCaps w:val="false"/>
          <w:sz w:val="20"/>
        </w:rPr>
        <w:t>”). The Seller has not received any written notice of proceedings relating to the suspension, modification, revocation or cancellation of any Permit. Neither the Seller nor, to the Knowledge of the Seller, any officer, employee or agent of the Seller has been convicted of any crime or engaged in any conduct that has previously caused or would reasonably be expected to result in (A) disqualification or debarment by the FDA under 21 U.S.C. Sections 335(a) or (b), or any similar law, rule or regulation of any other governmental entities, (B) debarment, suspension, or exclusion under any federal healthcare programs or by the General Services Administration, or (C) exclusion under 42 U.S.C. Section 1320a-7 or any similar law, rule or regulation administered by any Regulatory Authority. To the Knowledge of the Seller, neither the Seller nor any of its officers, employees,, any of its contractors or agents has made an untrue statement of material fact on, or material omissions from, any notifications, applications, approvals, reports and other submissions to FDA or any similar Regulatory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(vii)    The Seller is and has been in compliance with all applicable laws administered or issued by the FDA or any similar Regulatory Authority, including the Federal Food, Drug, and Cosmetic Act, applicable requirements in FDA regulations, and any orders issued by FDA or similar Regulatory Authorities, and all other laws regarding ownership, developing, testing, manufacturing, packaging, storage, import, export, disposal, marketing, distributing, promoting, and complaint handling or adverse event reporting for the products of the Seller, except to the extent that such failure to comply with such applicable laws would not reasonably be expected to result 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Licenses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In-Licenses</w:t>
      </w:r>
      <w:r>
        <w:rPr>
          <w:rFonts w:ascii="Times New Roman" w:hAnsi="Times New Roman"/>
          <w:caps w:val="false"/>
          <w:smallCaps w:val="false"/>
          <w:sz w:val="20"/>
        </w:rPr>
        <w:t>. There are no In-Licenses.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Out-Licenses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w:t>
      </w:r>
      <w:r>
        <w:rPr>
          <w:rFonts w:ascii="Times New Roman" w:hAnsi="Times New Roman"/>
          <w:caps w:val="false"/>
          <w:smallCaps w:val="false"/>
          <w:sz w:val="20"/>
        </w:rPr>
        <w:t> </w:t>
      </w:r>
      <w:r>
        <w:rPr>
          <w:rFonts w:ascii="Times New Roman" w:hAnsi="Times New Roman"/>
          <w:caps w:val="false"/>
          <w:smallCaps w:val="false"/>
          <w:sz w:val="20"/>
          <w:u w:val="single"/>
        </w:rPr>
        <w:t>4.1(h)(ii)</w:t>
      </w:r>
      <w:r>
        <w:rPr>
          <w:rFonts w:ascii="Times New Roman" w:hAnsi="Times New Roman"/>
          <w:caps w:val="false"/>
          <w:smallCaps w:val="false"/>
          <w:sz w:val="20"/>
        </w:rPr>
        <w:t xml:space="preserve"> of the Disclosure Schedule, there are no Out-Licenses (any Out-License set forth on </w:t>
      </w:r>
      <w:r>
        <w:rPr>
          <w:rFonts w:ascii="Times New Roman" w:hAnsi="Times New Roman"/>
          <w:caps w:val="false"/>
          <w:smallCaps w:val="false"/>
          <w:sz w:val="20"/>
          <w:u w:val="single"/>
        </w:rPr>
        <w:t>Schedule</w:t>
      </w:r>
      <w:r>
        <w:rPr>
          <w:rFonts w:ascii="Times New Roman" w:hAnsi="Times New Roman"/>
          <w:caps w:val="false"/>
          <w:smallCaps w:val="false"/>
          <w:sz w:val="20"/>
        </w:rPr>
        <w:t> </w:t>
      </w:r>
      <w:r>
        <w:rPr>
          <w:rFonts w:ascii="Times New Roman" w:hAnsi="Times New Roman"/>
          <w:caps w:val="false"/>
          <w:smallCaps w:val="false"/>
          <w:sz w:val="20"/>
          <w:u w:val="single"/>
        </w:rPr>
        <w:t>4.1(h)(ii)</w:t>
      </w:r>
      <w:r>
        <w:rPr>
          <w:rFonts w:ascii="Times New Roman" w:hAnsi="Times New Roman"/>
          <w:caps w:val="false"/>
          <w:smallCaps w:val="false"/>
          <w:sz w:val="20"/>
        </w:rPr>
        <w:t xml:space="preserve"> of the Disclosure Schedule, an “</w:t>
      </w:r>
      <w:r>
        <w:rPr>
          <w:rFonts w:ascii="Times New Roman" w:hAnsi="Times New Roman"/>
          <w:caps w:val="false"/>
          <w:smallCaps w:val="false"/>
          <w:sz w:val="20"/>
          <w:u w:val="single"/>
        </w:rPr>
        <w:t>Existing Out-License</w:t>
      </w:r>
      <w:r>
        <w:rPr>
          <w:rFonts w:ascii="Times New Roman" w:hAnsi="Times New Roman"/>
          <w:caps w:val="false"/>
          <w:smallCaps w:val="false"/>
          <w:sz w:val="20"/>
        </w:rPr>
        <w:t>”). A true, correct and complete copy of each Existing Out</w:t>
        <w:noBreakHyphen/>
        <w:t>License has been provided to the Buyer by the Seller in a data room available to the Buyer. Neither the Seller nor the respective counterparty thereto has made or entered into any amendment, supplement or modification to, or granted any waiver under any provision of any Existing Out</w:t>
        <w:noBreakHyphen/>
        <w: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Validity and Enforceability of Out-Licenses</w:t>
      </w:r>
      <w:r>
        <w:rPr>
          <w:rFonts w:ascii="Times New Roman" w:hAnsi="Times New Roman"/>
          <w:caps w:val="false"/>
          <w:smallCaps w:val="false"/>
          <w:sz w:val="20"/>
        </w:rPr>
        <w:t>. Each Existing Out-License is a valid and binding obligation of the Seller and the counterparty thereto. To the Knowledge of the Seller, each Existing Out-License is enforceable against each counterparty thereto in accordance with its terms except as may be limited by applicable Bankruptcy Laws or by general principles of equity (whether considered in a proceeding in equity or at law). The Seller has not received any written notice in connection with any Existing Out-License challenging the validity, enforceability or interpretation of any provision of such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No Termination</w:t>
      </w:r>
      <w:r>
        <w:rPr>
          <w:rFonts w:ascii="Times New Roman" w:hAnsi="Times New Roman"/>
          <w:caps w:val="false"/>
          <w:smallCaps w:val="false"/>
          <w:sz w:val="20"/>
        </w:rPr>
        <w:t>. The Seller has not (A) given notice to a counterparty of the termination of any Existing Out-License (whether in whole or in part) or any notice to a counterparty expressing any intention or desire to terminate any Existing Out-License or (B) received from a counterparty thereto any written notice of termination of any Existing Out-License (whether in whole or in part) or any written notice from a counterparty expressing any intention or desire to terminate any Existing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No Breaches or Defaults</w:t>
      </w:r>
      <w:r>
        <w:rPr>
          <w:rFonts w:ascii="Times New Roman" w:hAnsi="Times New Roman"/>
          <w:caps w:val="false"/>
          <w:smallCaps w:val="false"/>
          <w:sz w:val="20"/>
        </w:rPr>
        <w:t>. There is and has been no material breach or default under any provision of any Existing Out-License either by the Seller or, to the Knowledge of the Seller, by the respective counterparty (or any predecessor thereof) thereto, and there is no event that upon notice or the passage of time, or both, would reasonably be expected to give rise to any breach or default either by the Seller or, to the Knowledge of the Seller, by the respective counterparty to such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Payments Made</w:t>
      </w:r>
      <w:r>
        <w:rPr>
          <w:rFonts w:ascii="Times New Roman" w:hAnsi="Times New Roman"/>
          <w:caps w:val="false"/>
          <w:smallCaps w:val="false"/>
          <w:sz w:val="20"/>
        </w:rPr>
        <w:t>. The respective counterparty of each Existing Out-License has made all payments to the Seller required under each Existing Out</w:t>
        <w:noBreakHyphen/>
        <w:t>License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z w:val="20"/>
          <w:u w:val="single"/>
        </w:rPr>
        <w:t>No Assignments</w:t>
      </w:r>
      <w:r>
        <w:rPr>
          <w:rFonts w:ascii="Times New Roman" w:hAnsi="Times New Roman"/>
          <w:caps w:val="false"/>
          <w:smallCaps w:val="false"/>
          <w:sz w:val="20"/>
        </w:rPr>
        <w:t>. The Seller has not consented to any assignment by the counterparty to any Existing Out-License of any of its rights or obligations under any such Existing Out-License and, to the Knowledge of the Seller, the counterparty has not assigned any of its rights or obligations under any such Existing Out-License to any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(viii)    </w:t>
      </w:r>
      <w:r>
        <w:rPr>
          <w:rFonts w:ascii="Times New Roman" w:hAnsi="Times New Roman"/>
          <w:caps w:val="false"/>
          <w:smallCaps w:val="false"/>
          <w:sz w:val="20"/>
          <w:u w:val="single"/>
        </w:rPr>
        <w:t>No Indemnification Claims</w:t>
      </w:r>
      <w:r>
        <w:rPr>
          <w:rFonts w:ascii="Times New Roman" w:hAnsi="Times New Roman"/>
          <w:caps w:val="false"/>
          <w:smallCaps w:val="false"/>
          <w:sz w:val="20"/>
        </w:rPr>
        <w:t>. The Seller has not notified any Person of any claims for indemnification under any Existing Out-License nor has the Seller received any claims for indemnification under any Existing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 w:hAnsi="Times New Roman"/>
          <w:caps w:val="false"/>
          <w:smallCaps w:val="false"/>
          <w:sz w:val="20"/>
        </w:rPr>
      </w:pPr>
      <w:r>
        <w:rPr>
          <w:rFonts w:ascii="Times New Roman" w:hAnsi="Times New Roman"/>
          <w:caps w:val="false"/>
          <w:smallCaps w:val="false"/>
          <w:sz w:val="20"/>
        </w:rPr>
        <w:t>(ix)    </w:t>
      </w:r>
      <w:r>
        <w:rPr>
          <w:rFonts w:ascii="Times New Roman" w:hAnsi="Times New Roman"/>
          <w:caps w:val="false"/>
          <w:smallCaps w:val="false"/>
          <w:sz w:val="20"/>
          <w:u w:val="single"/>
        </w:rPr>
        <w:t>No Infringement</w:t>
      </w:r>
      <w:r>
        <w:rPr>
          <w:rFonts w:ascii="Times New Roman" w:hAnsi="Times New Roman"/>
          <w:caps w:val="false"/>
          <w:smallCaps w:val="false"/>
          <w:sz w:val="20"/>
        </w:rPr>
        <w:t>. Neither the Seller nor any of its Subsidiaries has received any written notice from, or given any written notice to, any counterparty to any Existing Out-License regarding any infringement of any of the Existing Patent Rights licensed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No Liens; Title to Revenue Participation Right</w:t>
      </w:r>
      <w:r>
        <w:rPr>
          <w:rFonts w:ascii="Times New Roman" w:hAnsi="Times New Roman"/>
          <w:caps w:val="false"/>
          <w:smallCaps w:val="false"/>
          <w:sz w:val="20"/>
        </w:rPr>
        <w:t>. None of the property or assets, in each case, that specifically relate to the Product, including Intellectual Property Rights, of the Seller or any of its Subsidiaries is subject to any Lien, except for a Permitted Lien. Upon the Closing, the Buyer will have acquired, subject to the terms and conditions set forth in this Agreement, good and marketable title to the Revenue Participation Right, free and clear of all Liens, except for a Lien contemplated by subparts (a), (b), (f), (g), and (k) of the definition of “Permitted Liens”.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Manufacturing; Supply</w:t>
      </w:r>
      <w:r>
        <w:rPr>
          <w:rFonts w:ascii="Times New Roman" w:hAnsi="Times New Roman"/>
          <w:caps w:val="false"/>
          <w:smallCaps w:val="false"/>
          <w:sz w:val="20"/>
        </w:rPr>
        <w:t>. All Product has, since [***], been manufactured, transported, stored and handled in all material respects in accordance with applicable law and with good manufacturing practices. Since [***], neither the Seller nor any Affiliate of the Seller has experienced any significant failures in the manufacturing or supply of the Product that, individually or in the aggregate, have had or would reasonably be expected to result in, if such failure occurred again, a Material Adverse Effect. The Seller has on hand or has made adequate provisions to secure sufficient clinical quantities of Product to complete all clinical trials and all activities required for Marketing Approvals, in each case, that are ongoing or planned as of the date hereof. The Seller has on hand or has made adequate provisions to secure sufficient quantities of the Product to support the commercial launch of the Product in the Direct Sales Territories.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Intellectual Property</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Schedule 4.1(k)(i)(A)</w:t>
      </w:r>
      <w:r>
        <w:rPr>
          <w:rFonts w:ascii="Times New Roman" w:hAnsi="Times New Roman"/>
          <w:caps w:val="false"/>
          <w:smallCaps w:val="false"/>
          <w:sz w:val="20"/>
        </w:rPr>
        <w:t xml:space="preserve"> of the Disclosure Schedule lists all of the currently existing Patents included within the Patent Rights (the “</w:t>
      </w:r>
      <w:r>
        <w:rPr>
          <w:rFonts w:ascii="Times New Roman" w:hAnsi="Times New Roman"/>
          <w:caps w:val="false"/>
          <w:smallCaps w:val="false"/>
          <w:sz w:val="20"/>
          <w:u w:val="single"/>
        </w:rPr>
        <w:t>Existing Patent Rights</w:t>
      </w:r>
      <w:r>
        <w:rPr>
          <w:rFonts w:ascii="Times New Roman" w:hAnsi="Times New Roman"/>
          <w:caps w:val="false"/>
          <w:smallCaps w:val="false"/>
          <w:sz w:val="20"/>
        </w:rPr>
        <w:t xml:space="preserve">”). The Seller is the sole and exclusive owner of all of the Existing Patent Rights. </w:t>
      </w:r>
      <w:r>
        <w:rPr>
          <w:rFonts w:ascii="Times New Roman" w:hAnsi="Times New Roman"/>
          <w:caps w:val="false"/>
          <w:smallCaps w:val="false"/>
          <w:sz w:val="20"/>
          <w:u w:val="single"/>
        </w:rPr>
        <w:t>Schedule 4.1(k)(i)(A)</w:t>
      </w:r>
      <w:r>
        <w:rPr>
          <w:rFonts w:ascii="Times New Roman" w:hAnsi="Times New Roman"/>
          <w:caps w:val="false"/>
          <w:smallCaps w:val="false"/>
          <w:sz w:val="20"/>
        </w:rPr>
        <w:t xml:space="preserve"> of the Disclosure Schedule specifies as to each listed patent or patent application the jurisdictions by or in which each such patent has issued as a patent or such patent application has been filed, including the respective patent or application numbers.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Neither Seller nor any of its Subsidiaries is a party to any pending and, to the Knowledge of the Seller, there is no threatened, litigation, interference, reexamination, opposition or like procedure involving any of the Existing Patent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    All of the issued patents within the Existing Patent Rights are (A) to the Knowledge of the Seller, valid and enforceable, and (B) in full force and effect. None of the issued patents within the Existing Patent Rights have lapsed, expired or otherwise terminated. Neither Seller nor any of its Subsidiaries has received any written notice relating to the lapse, expiration or other termination of any of the issued patents within the Existing Patent Rights, and neither Seller nor its Subsidiaries has received any written legal opinion that alleges that, an issued patent within any of the Existing Patent Rights is invalid or unenforceable.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(iv)    Neither Seller nor any of its Subsidiaries has received any written notice that there is any, and, to the Knowledge of the Seller, there is no, Person who is or claims to be an inventor under any of the Existing Patent Rights who is not a named inventor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    Neither Seller not its Affiliates has received any written notice of any claim by any Person challenging the inventorship or ownership of, the rights of the Seller in and to, or the patentability, validity or enforceability of, any of the Existing Patent Rights, or asserting that the development, manufacture, importation, sale, offer for sale or use of the Product infringes, misappropriates or otherwise violates or will infringe, misappropriate or otherwise violate such Person’s Patents or other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    To the Knowledge of the Seller, the discovery, development manufacture, importation, sale, offer for sale or use of the Product, in each case in the form the Product exists as of the date hereof and as such activity is currently contemplated by the Seller, has not and will not, infringe, misappropriate or otherwise violate any Patents or other intellectual property rights owned by any Third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    To the Knowledge of the Seller, no Person has infringed, misappropriated or otherwise violated, or is infringing, misappropriating or otherwise violating, any of the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(viii)    The Seller has paid all maintenance fees, annuities and like payments required as of the date hereof with respect to each of the Existing Patent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Indebtedness</w:t>
      </w:r>
      <w:r>
        <w:rPr>
          <w:rFonts w:ascii="Times New Roman" w:hAnsi="Times New Roman"/>
          <w:caps w:val="false"/>
          <w:smallCaps w:val="false"/>
          <w:sz w:val="20"/>
        </w:rPr>
        <w:t xml:space="preserve">. </w:t>
      </w:r>
      <w:r>
        <w:rPr>
          <w:rFonts w:ascii="Times New Roman" w:hAnsi="Times New Roman"/>
          <w:caps w:val="false"/>
          <w:smallCaps w:val="false"/>
          <w:sz w:val="20"/>
          <w:u w:val="single"/>
        </w:rPr>
        <w:t>Schedule 4.1(l)</w:t>
      </w:r>
      <w:r>
        <w:rPr>
          <w:rFonts w:ascii="Times New Roman" w:hAnsi="Times New Roman"/>
          <w:caps w:val="false"/>
          <w:smallCaps w:val="false"/>
          <w:sz w:val="20"/>
        </w:rPr>
        <w:t xml:space="preserve"> sets forth a complete list of the outstanding Indebtedness of the Seller and its Subsidiaries in excess of $[***] in the aggregate.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Foreign Corrupt Practices Act</w:t>
      </w:r>
      <w:r>
        <w:rPr>
          <w:rFonts w:ascii="Times New Roman" w:hAnsi="Times New Roman"/>
          <w:caps w:val="false"/>
          <w:smallCaps w:val="false"/>
          <w:sz w:val="20"/>
        </w:rPr>
        <w:t>. Neither the Seller nor, to the Knowledge of Seller, any of its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hAnsi="Times New Roman"/>
          <w:caps w:val="false"/>
          <w:smallCaps w:val="false"/>
          <w:sz w:val="20"/>
          <w:u w:val="single"/>
        </w:rPr>
        <w:t>FCPA</w:t>
      </w:r>
      <w:r>
        <w:rPr>
          <w:rFonts w:ascii="Times New Roman" w:hAnsi="Times New Roman"/>
          <w:caps w:val="false"/>
          <w:smallCaps w:val="false"/>
          <w:sz w:val="20"/>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Seller or any of its Affiliates in obtaining or retaining business for or with, or directing business to, any person. Neither the Seller nor, to the Knowledge of Seller, any of its directors, officers, employees or agents have made or authorized any bribe, rebate, payoff, influence payment, kickback or other unlawful payment of funds or received or retained any funds in violation of any law, rule or regulation. The Seller further represents that it has maintained, and has caused each of its Subsidiaries to maintain, systems of internal controls (including, but not limited to, accounting systems, purchasing systems and billing systems) and written policies designed to ensure compliance with the FCPA or any other applicable anti-bribery or anti-corruption law, and designed to ensure that all books and records of the Seller accurately and fairly reflect, in reasonable detail, all transactions and dispositions of funds and assets. To the Knowledge of the Seller, neither the Seller nor any of its officers, directors or employees are the subject of any allegation, voluntary disclosure, investigation, prosecution or other enforcement action related to the FCPA or any other anti-corruption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Lien Related Representation and Warranties</w:t>
      </w:r>
      <w:r>
        <w:rPr>
          <w:rFonts w:ascii="Times New Roman" w:hAnsi="Times New Roman"/>
          <w:caps w:val="false"/>
          <w:smallCaps w:val="false"/>
          <w:sz w:val="20"/>
        </w:rPr>
        <w:t>. The Seller’s exact legal name is, and for the immediately preceding five (5) years has been, “BioCryst Pharmaceuticals, Inc.” The Seller is, and for the prior five (5) years has been, incorporated in the State of Delaware.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Brokers</w:t>
      </w:r>
      <w:r>
        <w:rPr>
          <w:rFonts w:ascii="Times New Roman" w:hAnsi="Times New Roman"/>
          <w:caps w:val="false"/>
          <w:smallCaps w:val="false"/>
          <w:sz w:val="20"/>
        </w:rPr>
        <w:t>’</w:t>
      </w:r>
      <w:r>
        <w:rPr>
          <w:rFonts w:ascii="Times New Roman" w:hAnsi="Times New Roman"/>
          <w:caps w:val="false"/>
          <w:smallCaps w:val="false"/>
          <w:sz w:val="20"/>
          <w:u w:val="single"/>
        </w:rPr>
        <w:t xml:space="preserve"> Fees</w:t>
      </w:r>
      <w:r>
        <w:rPr>
          <w:rFonts w:ascii="Times New Roman" w:hAnsi="Times New Roman"/>
          <w:caps w:val="false"/>
          <w:smallCaps w:val="false"/>
          <w:sz w:val="20"/>
        </w:rPr>
        <w:t>. Except for Cowen Inc., there is no investment banker, broker, finder, financial advisor or other intermediary who has been retained by or is authorized to act on behalf of the Seller who might be entitled to any fee or commission in connection with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4.2    </w:t>
      </w:r>
      <w:r>
        <w:rPr>
          <w:rFonts w:ascii="Times New Roman" w:hAnsi="Times New Roman"/>
          <w:caps w:val="false"/>
          <w:smallCaps w:val="false"/>
          <w:sz w:val="20"/>
          <w:u w:val="single"/>
        </w:rPr>
        <w:t>Buyer</w:t>
      </w:r>
      <w:r>
        <w:rPr>
          <w:rFonts w:ascii="Times New Roman" w:hAnsi="Times New Roman"/>
          <w:caps w:val="false"/>
          <w:smallCaps w:val="false"/>
          <w:sz w:val="20"/>
        </w:rPr>
        <w:t>’</w:t>
      </w:r>
      <w:r>
        <w:rPr>
          <w:rFonts w:ascii="Times New Roman" w:hAnsi="Times New Roman"/>
          <w:caps w:val="false"/>
          <w:smallCaps w:val="false"/>
          <w:sz w:val="20"/>
          <w:u w:val="single"/>
        </w:rPr>
        <w:t>s Representations and Warranties</w:t>
      </w:r>
      <w:r>
        <w:rPr>
          <w:rFonts w:ascii="Times New Roman" w:hAnsi="Times New Roman"/>
          <w:caps w:val="false"/>
          <w:smallCaps w:val="false"/>
          <w:sz w:val="20"/>
        </w:rPr>
        <w:t>. The Buyer hereby represents and warrants to the Seller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Existence; Good Standing</w:t>
      </w:r>
      <w:r>
        <w:rPr>
          <w:rFonts w:ascii="Times New Roman" w:hAnsi="Times New Roman"/>
          <w:caps w:val="false"/>
          <w:smallCaps w:val="false"/>
          <w:sz w:val="20"/>
        </w:rPr>
        <w:t>. The Buyer is a corporation duly organized, validly existing and in good standing under the laws of Ontario, Canada.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Authorization</w:t>
      </w:r>
      <w:r>
        <w:rPr>
          <w:rFonts w:ascii="Times New Roman" w:hAnsi="Times New Roman"/>
          <w:caps w:val="false"/>
          <w:smallCaps w:val="false"/>
          <w:sz w:val="20"/>
        </w:rPr>
        <w:t>. The Buyer has all requisite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Enforceability</w:t>
      </w:r>
      <w:r>
        <w:rPr>
          <w:rFonts w:ascii="Times New Roman" w:hAnsi="Times New Roman"/>
          <w:caps w:val="false"/>
          <w:smallCaps w:val="false"/>
          <w:sz w:val="20"/>
        </w:rPr>
        <w:t>.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by the Buyer of this Agreement do not and will not (i) contravene or conflict with the organizational documents of the Buyer, (ii) contravene or conflict with or constitute a default under any material provision of any law binding upon or applicable to the Buyer or (iii) contravene or conflict with or constitute a default under any material contract or other material agreement or Judgment binding upon or applicable to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Consents</w:t>
      </w:r>
      <w:r>
        <w:rPr>
          <w:rFonts w:ascii="Times New Roman" w:hAnsi="Times New Roman"/>
          <w:caps w:val="false"/>
          <w:smallCaps w:val="false"/>
          <w:sz w:val="20"/>
        </w:rPr>
        <w:t>. Except for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 Litigation</w:t>
      </w:r>
      <w:r>
        <w:rPr>
          <w:rFonts w:ascii="Times New Roman" w:hAnsi="Times New Roman"/>
          <w:caps w:val="false"/>
          <w:smallCaps w:val="false"/>
          <w:sz w:val="20"/>
        </w:rPr>
        <w:t>. There is no action, suit, investigation or proceeding pending or, to the knowledge of the Buyer, threatened before any Governmental Entity to which the Buyer is a party that would, if determined adversely, reasonably be expected to prevent or materially and adversely affect the ability of the Buyer to perform its obligations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Financing</w:t>
      </w:r>
      <w:r>
        <w:rPr>
          <w:rFonts w:ascii="Times New Roman" w:hAnsi="Times New Roman"/>
          <w:caps w:val="false"/>
          <w:smallCaps w:val="false"/>
          <w:sz w:val="20"/>
        </w:rPr>
        <w:t>. The Buyer has sufficient cash to pay the Purchase Price at the Closing. The Buyer acknowledges that its obligations under this Agreement are not contingent on obtaining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Tax Status</w:t>
      </w:r>
      <w:r>
        <w:rPr>
          <w:rFonts w:ascii="Times New Roman" w:hAnsi="Times New Roman"/>
          <w:caps w:val="false"/>
          <w:smallCaps w:val="false"/>
          <w:sz w:val="20"/>
        </w:rPr>
        <w:t>. Under current law, the Buyer is exempt from U.S. federal withholding tax on all payments with respect to the Revenue Participation Right by reason of the Buyer’s status as eligible for zero percent treaty rates with respect to such payments.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Brokers</w:t>
      </w:r>
      <w:r>
        <w:rPr>
          <w:rFonts w:ascii="Times New Roman" w:hAnsi="Times New Roman"/>
          <w:caps w:val="false"/>
          <w:smallCaps w:val="false"/>
          <w:sz w:val="20"/>
        </w:rPr>
        <w:t>’</w:t>
      </w:r>
      <w:r>
        <w:rPr>
          <w:rFonts w:ascii="Times New Roman" w:hAnsi="Times New Roman"/>
          <w:caps w:val="false"/>
          <w:smallCaps w:val="false"/>
          <w:sz w:val="20"/>
          <w:u w:val="single"/>
        </w:rPr>
        <w:t xml:space="preserve"> Fees</w:t>
      </w:r>
      <w:r>
        <w:rPr>
          <w:rFonts w:ascii="Times New Roman" w:hAnsi="Times New Roman"/>
          <w:caps w:val="false"/>
          <w:smallCaps w:val="false"/>
          <w:sz w:val="20"/>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4.3    </w:t>
      </w:r>
      <w:r>
        <w:rPr>
          <w:rFonts w:ascii="Times New Roman" w:hAnsi="Times New Roman"/>
          <w:caps w:val="false"/>
          <w:smallCaps w:val="false"/>
          <w:sz w:val="20"/>
          <w:u w:val="single"/>
        </w:rPr>
        <w:t>No Implied Representations and Warranties</w:t>
      </w:r>
      <w:r>
        <w:rPr>
          <w:rFonts w:ascii="Times New Roman" w:hAnsi="Times New Roman"/>
          <w:caps w:val="false"/>
          <w:smallCaps w:val="false"/>
          <w:sz w:val="20"/>
        </w:rPr>
        <w:t>. The Buyer acknowledges and agrees that, other than the express representations and warranties of the Seller specifically contained in this ‎ARTICLE 4, (a) there are no representations or warranties of the Seller either expressed or implied with respect to the Patent Rights or Royalty Payment and that the Buyer does not rely on, and shall have no remedies in respect of, any representation or warranty not specifically set forth in this ‎ARTICLE 4, and all other representations and warranties are hereby expressly disclaimed, and (b) nothing contained herein guarantees that sales of the Product or the aggregate Royalty Payments due to the Buyer will achieve any specific amounts (it being understood and agreed that nothing in this ‎Section 4.3 shall limit in any way the Seller’s obligations under ‎ARTICLE 8). Notwithstanding the foregoing, claims for fraud, gross negligence, or willful misconduct shall not be waived or limited in any way by this ‎Section 4.3. Except for the Revenue Participation Right, Back-up Security Interest and the Buyer’s rights under ‎Section 6.5(d), the Buyer further acknowledges and agrees that no licenses or assignments under any assets (including the Patent Rights or any other intellectual property) of the Seller and its Affiliates are granted pursuant to this Agreement, including by implication, estoppel, exhaustion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CONDITIONS TO CLOSING</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5.1    </w:t>
      </w:r>
      <w:r>
        <w:rPr>
          <w:rFonts w:ascii="Times New Roman" w:hAnsi="Times New Roman"/>
          <w:caps w:val="false"/>
          <w:smallCaps w:val="false"/>
          <w:sz w:val="20"/>
          <w:u w:val="single"/>
        </w:rPr>
        <w:t>Conditions to the Buyer</w:t>
      </w:r>
      <w:r>
        <w:rPr>
          <w:rFonts w:ascii="Times New Roman" w:hAnsi="Times New Roman"/>
          <w:caps w:val="false"/>
          <w:smallCaps w:val="false"/>
          <w:sz w:val="20"/>
        </w:rPr>
        <w:t>’</w:t>
      </w:r>
      <w:r>
        <w:rPr>
          <w:rFonts w:ascii="Times New Roman" w:hAnsi="Times New Roman"/>
          <w:caps w:val="false"/>
          <w:smallCaps w:val="false"/>
          <w:sz w:val="20"/>
          <w:u w:val="single"/>
        </w:rPr>
        <w:t>s Obligations</w:t>
      </w:r>
      <w:r>
        <w:rPr>
          <w:rFonts w:ascii="Times New Roman" w:hAnsi="Times New Roman"/>
          <w:caps w:val="false"/>
          <w:smallCaps w:val="false"/>
          <w:sz w:val="20"/>
        </w:rPr>
        <w:t>. The obligations of the Buyer to consummate the transactions contemplated hereunder on the Closing Date are subject to the satisfaction or waiver, at or prior to the Closing Date, of each of the following conditions precedent: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have performed and complied in all material respects with all agreements, covenants, obligations and conditions required to be performed and complied with by it under this Agreement at or prior to the Closing Date, and the Buyer shall have received a certificate executed by a duly authorized officer of the Seller on the Closing Date certifying on behalf of the Seller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 xml:space="preserve">(b)    The representations and warranties of the Seller contained in ‎Section 4.1 shall have been true and correct in all material respects as of the date hereof and shall be true and correct in all material respects as of the Closing Date as though made at and as of the date hereof and as of the Closing Date, respectively, except to the extent any such representation or warranty expressly speaks as of a particular date, in which case it shall be true and correct in all material respects as of such date; </w:t>
      </w:r>
      <w:r>
        <w:rPr>
          <w:rFonts w:ascii="Times New Roman" w:hAnsi="Times New Roman"/>
          <w:caps w:val="false"/>
          <w:smallCaps w:val="false"/>
          <w:sz w:val="20"/>
          <w:u w:val="single"/>
        </w:rPr>
        <w:t>provided</w:t>
      </w:r>
      <w:r>
        <w:rPr>
          <w:rFonts w:ascii="Times New Roman" w:hAnsi="Times New Roman"/>
          <w:caps w:val="false"/>
          <w:smallCaps w:val="false"/>
          <w:sz w:val="20"/>
        </w:rPr>
        <w:t>,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Buyer shall have received a certificate executed by an authorized officer of the Seller on the Closing Date certifying on behalf of the Seller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No event or events shall have occurred, or be reasonably likely to occur, that, individually or in the aggregate, have had or would reasonably be expected to result in (or, with the giving of notice, the passage of time or otherwise, would result in) a Material Adverse Effect. The Buyer shall have received a certificate executed by a duly authorized officer of the Seller on the Closing Date certifying on behalf of the Seller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There shall not have been issued and be in effect any Judgment of any Governmental Entity enjoining, preventing or restricting the consummation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The Buyer shall have received the Intercreditor Agreement, duly executed and delivered by the Seller, RPI 2019 Intermediate Finance Trust, and Athyrium.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(g)    The Buyer shall have received a valid, properly executed Internal Revenue Service Form W-9 certifying that the Seller is exempt from U.S. federal “backup” withholding Tax.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(h)    The Seller shall have delivered to the Buyer the legal opinions of Gibson, Dunn &amp; Crutcher, LLP, as counsel to the Seller, in substantially the forms attached hereto as Exhibit 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(i)    The Buyer shall have received a certificate of the Secretary or an Assistant Secretary of the Seller, dated the Closing Date, certifying as to (i) the incumbency of each officer of the Seller executing this Agreement and (ii) the attached thereto copies of (A) the Seller’s certificate of incorporation, (B) bylaws, and (C) resolutions adopted by the Seller’s Board of Directors authorizing the execution and delivery by the Seller of this Agreement and the consummation by the Seller of the transactions contemplated hereby (the “</w:t>
      </w:r>
      <w:r>
        <w:rPr>
          <w:rFonts w:ascii="Times New Roman" w:hAnsi="Times New Roman"/>
          <w:caps w:val="false"/>
          <w:smallCaps w:val="false"/>
          <w:sz w:val="20"/>
          <w:u w:val="single"/>
        </w:rPr>
        <w:t>Seller Certificate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(j)    The Seller shall have confirmed it has scheduled delivery to Buyer of a CD or USB containing copies of all documents uploaded to the data room related to the transactions contemplated by this Agreement, as of the date hereof, maintained by the Seller and made available to the Buyer, including all documents referred to in ‎Section 4.1(g)(iii) and ‎Section 4.1(h)(ii).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5.2    </w:t>
      </w:r>
      <w:r>
        <w:rPr>
          <w:rFonts w:ascii="Times New Roman" w:hAnsi="Times New Roman"/>
          <w:caps w:val="false"/>
          <w:smallCaps w:val="false"/>
          <w:sz w:val="20"/>
          <w:u w:val="single"/>
        </w:rPr>
        <w:t>Conditions to the Seller</w:t>
      </w:r>
      <w:r>
        <w:rPr>
          <w:rFonts w:ascii="Times New Roman" w:hAnsi="Times New Roman"/>
          <w:caps w:val="false"/>
          <w:smallCaps w:val="false"/>
          <w:sz w:val="20"/>
        </w:rPr>
        <w:t>’</w:t>
      </w:r>
      <w:r>
        <w:rPr>
          <w:rFonts w:ascii="Times New Roman" w:hAnsi="Times New Roman"/>
          <w:caps w:val="false"/>
          <w:smallCaps w:val="false"/>
          <w:sz w:val="20"/>
          <w:u w:val="single"/>
        </w:rPr>
        <w:t>s Obligations</w:t>
      </w:r>
      <w:r>
        <w:rPr>
          <w:rFonts w:ascii="Times New Roman" w:hAnsi="Times New Roman"/>
          <w:caps w:val="false"/>
          <w:smallCaps w:val="false"/>
          <w:sz w:val="20"/>
        </w:rPr>
        <w:t>. The obligations of the Seller to consummate the transactions contemplated hereunder on the Closing Date are subject to the satisfaction or waiver, at or prior to the Closing Date, of each of the following conditions precedent: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Buyer shall have performed and complied in all material respects with all agreements, covenants, obligations and conditions required to be performed and complied with by it under this Agreement at or prior to the Closing Date, and the Seller shall have received a certificate executed by a duly authorized person of the Buyer, on the Closing Date certifying on behalf of the Buyer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 xml:space="preserve">(b)    The representations and warranties of the Buyer contained in ‎Section 4.2 shall have been true and correct in all material respects as of the date hereof and shall be true and correct in all material respects as of the Closing Date as though made at and as of the date hereof and Closing Date, respectively, except to the extent any such representation or warranty expressly speaks as of a particular date, in which case it shall be true and correct in all material respects as of such date; </w:t>
      </w:r>
      <w:r>
        <w:rPr>
          <w:rFonts w:ascii="Times New Roman" w:hAnsi="Times New Roman"/>
          <w:caps w:val="false"/>
          <w:smallCaps w:val="false"/>
          <w:sz w:val="20"/>
          <w:u w:val="single"/>
        </w:rPr>
        <w:t>provided</w:t>
      </w:r>
      <w:r>
        <w:rPr>
          <w:rFonts w:ascii="Times New Roman" w:hAnsi="Times New Roman"/>
          <w:caps w:val="false"/>
          <w:smallCaps w:val="false"/>
          <w:sz w:val="20"/>
        </w:rPr>
        <w:t>, that to the extent that any such representation or warranty is qualified by the term “material,” or “Material Adverse Effect” such representation or warranty (as so written, including the term “material” or “Material Adverse Effect”) shall have been true and correct in all respects as of the date hereof and shall be true and correct in all respects as of the Closing Date or such other date, as applicable. The Seller shall have received a certificate executed by a duly authorized person of the Buyer, on the Closing Date certifying on behalf of the Buyer to the effect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There shall not have been issued and be in effect any Judgment of any Governmental Entity enjoining, preventing or restricting the consummation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the Buyer’s purchase of the Revenue Participation Right.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The Seller shall have received a valid, properly executed Internal Revenue Service Form W-8EXP certifying that the Buyer is a “controlled entity” of a foreign government within the meaning of Section 892 of the Code and the payments with respect to the Revenue Participation Rights are within the scope of the exemption granted by Section 892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(f)    The Seller shall have received a certificate of an authorized person of the Buyer, dated the Closing Date, certifying as to the incumbency of the officers executing this Agreement on behalf of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6</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COVENANTS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    </w:t>
      </w:r>
      <w:r>
        <w:rPr>
          <w:rFonts w:ascii="Times New Roman" w:hAnsi="Times New Roman"/>
          <w:caps w:val="false"/>
          <w:smallCaps w:val="false"/>
          <w:sz w:val="20"/>
          <w:u w:val="single"/>
        </w:rPr>
        <w:t>Reporting</w:t>
      </w:r>
      <w:r>
        <w:rPr>
          <w:rFonts w:ascii="Times New Roman" w:hAnsi="Times New Roman"/>
          <w:caps w:val="false"/>
          <w:smallCaps w:val="false"/>
          <w:sz w:val="20"/>
        </w:rPr>
        <w:t>. From and after the date hereof, the Seller shall provide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promptly following the end of each [***]-month period in a calendar year ([***]), but in any event, in each case, no later than [***] calendar days after the end of such [***]-month period, as applicable, a reasonably detailed semi-annual report setting forth, with respect to such same period, (1) any Clinical Updates and (2) the Commercial Updates (the “</w:t>
      </w:r>
      <w:r>
        <w:rPr>
          <w:rFonts w:ascii="Times New Roman" w:hAnsi="Times New Roman"/>
          <w:caps w:val="false"/>
          <w:smallCaps w:val="false"/>
          <w:sz w:val="20"/>
          <w:u w:val="single"/>
        </w:rPr>
        <w:t>Clinical and Commercial Semi-Annual Report</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promptly following the end of each [***]-month period in a calendar year ([***]), but in any event, in each case, no later than [***] calendar days after the end of such [***]-month period, as applicable, a reasonably detailed semi-annual report setting forth, with respect to such same period, (i) the Regulatory Updates, and (ii) the Intellectual Property Updates (the “</w:t>
      </w:r>
      <w:r>
        <w:rPr>
          <w:rFonts w:ascii="Times New Roman" w:hAnsi="Times New Roman"/>
          <w:caps w:val="false"/>
          <w:smallCaps w:val="false"/>
          <w:sz w:val="20"/>
          <w:u w:val="single"/>
        </w:rPr>
        <w:t>Regulatory and IP Semi-Annual Report</w:t>
      </w:r>
      <w:r>
        <w:rPr>
          <w:rFonts w:ascii="Times New Roman" w:hAnsi="Times New Roman"/>
          <w:caps w:val="false"/>
          <w:smallCaps w:val="false"/>
          <w:sz w:val="20"/>
        </w:rPr>
        <w:t>”, and, collectively with the Clinical and Commercial Semi-Annual Reports, the “</w:t>
      </w:r>
      <w:r>
        <w:rPr>
          <w:rFonts w:ascii="Times New Roman" w:hAnsi="Times New Roman"/>
          <w:caps w:val="false"/>
          <w:smallCaps w:val="false"/>
          <w:sz w:val="20"/>
          <w:u w:val="single"/>
        </w:rPr>
        <w:t>Reports</w:t>
      </w:r>
      <w:r>
        <w:rPr>
          <w:rFonts w:ascii="Times New Roman" w:hAnsi="Times New Roman"/>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The Seller shall include in each Report as applicable any (i) material CMC updates and (ii) details as to the achievement of any development, sales, regulatory or other milestone event set forth in each Out-License.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 Seller shall also provide the Buyer with such additional information regarding the updates included in each Report as the Buyer may reasonably request from time to time. The Seller shall prepare and maintain and shall cause its Affiliates and Licensees to prepare and maintain reasonably complete and accurate records of the information to be disclosed in each Report. All Reports, and the Confidential Information contained therein, shall be the Confidential Information of Seller and subject to the obligations of confidentiality set forth in ‎ARTICLE 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6.2    </w:t>
      </w:r>
      <w:r>
        <w:rPr>
          <w:rFonts w:ascii="Times New Roman" w:hAnsi="Times New Roman"/>
          <w:caps w:val="false"/>
          <w:smallCaps w:val="false"/>
          <w:sz w:val="20"/>
          <w:u w:val="single"/>
        </w:rPr>
        <w:t>Royalty Payments; Revenue Participation and Royalty Payment Details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For each calendar quarter beginning on October 1, 2023 and until the Royalty Termination Date, the Seller shall pay to the Buyer, without any setoff or offset (subject, in each case, to ‎Section 6.13), the Royalty Payment promptly, but in any event no later than [***] calendar days after the end of each of the first three calendar quarters and [***] calendar days after the end of the last calendar quarter in each calendar year (or [***] Business Days after the filing of the Seller’s annual report on Form 10-K, if earlier), provided that for any payments received by the Seller after the date that is [***] calendar days after the end of each calendar quarter, such payment will be paid with the following calendar quarter’s Royalty Payment. A late fee of [***]% over the Prime Rate (calculated on a per annum basis) will accrue on all unpaid amounts with respect to any Royalty Payment from the date such obligation was due. The imposition and payment of a late fee shall not constitute a waiver of the Buyer’s rights with respect to such payment default.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For each calendar quarter beginning on October 1, 2023 and until the Royalty Termination Date, promptly, but in any event no later than [***] calendar days after the end of each of the first three calendar quarters and [***] calendar days after the end of the last calendar quarter in each calendar year (or [***] Business Days after the filing of the Seller’s annual report on Form 10-K, if earlier), the Seller shall provide to Buyer a report, in substantially the form attached to this Agreement as Exhibit D, setting forth in reasonable detail (i) the calculation of Direct Sales, including Gross Sales and Net Sales for the applicable calendar quarter and calendar year to date, on a country-by-country basis (including a detailed break-down of all permitted deductions from Gross Sales used to determine Net Sales and any Net Sales described in ‎Section 6.5(d)), (ii) the calculation of Indirect Revenues on a country-by-country and Licensee-by-Licensee basis (including a detailed breakdown of Indirect Revenue consisting of royalties, upfront payments, milestones and other fixed payments), (iii) the calculation of the Royalty Payment payable to the Buyer for the applicable calendar quarter, identifying, on a country-by-country basis, the number of units of Product sold by the Seller, its Affiliates and each Licensee and (iv) foreign currency exchange rates used (which shall be rates of exchange determined in a manner consistent with the Seller’s method for calculating rates of exchange in the preparation of the Seller’s annual financial statements in accordance with accounting principles generally accepted in the United States); provided that for any reports received by the Seller after the date that is [***] calendar days after the end of each calendar quarter, the Seller shall provide to the Buyer the relevant information from such reports in the following calendar quarter’s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Any payments required to be made by either party under this Agreement shall be made in United States Dollars via electronic funds transfer or wire transfer of immediately available funds to such bank account as the other party shall designate in writing prior to the date of such 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6.3    </w:t>
      </w:r>
      <w:r>
        <w:rPr>
          <w:rFonts w:ascii="Times New Roman" w:hAnsi="Times New Roman"/>
          <w:caps w:val="false"/>
          <w:smallCaps w:val="false"/>
          <w:sz w:val="20"/>
          <w:u w:val="single"/>
        </w:rPr>
        <w:t>Disclosures</w:t>
      </w:r>
      <w:r>
        <w:rPr>
          <w:rFonts w:ascii="Times New Roman" w:hAnsi="Times New Roman"/>
          <w:caps w:val="false"/>
          <w:smallCaps w:val="false"/>
          <w:sz w:val="20"/>
        </w:rPr>
        <w:t>. Except for a press release previously approved in form and substance by the Seller and the Buyer or any other public announcement using substantially the same text as such press release, neither the Buyer nor the Seller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or delayed), except as may be required by applicable law or stock exchange rule (in which case the party hereto required to make the press release or other public announcement or disclosure shall allow the other party hereto reasonable time to comment on, and, if applicable, reasonably direct the disclosing party to seek confidential treatment in respect of portions of, such press release or other public announcement or disclosure in advance of such issuance).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6.4    </w:t>
      </w:r>
      <w:r>
        <w:rPr>
          <w:rFonts w:ascii="Times New Roman" w:hAnsi="Times New Roman"/>
          <w:caps w:val="false"/>
          <w:smallCaps w:val="false"/>
          <w:sz w:val="20"/>
          <w:u w:val="single"/>
        </w:rPr>
        <w:t>Inspections and Audits of the Seller</w:t>
      </w:r>
      <w:r>
        <w:rPr>
          <w:rFonts w:ascii="Times New Roman" w:hAnsi="Times New Roman"/>
          <w:caps w:val="false"/>
          <w:smallCaps w:val="false"/>
          <w:sz w:val="20"/>
        </w:rPr>
        <w:t>. Following the Closing, upon at least fourteen (14) Business Days written notice and during normal business hours, no more frequently than once per calendar year, the Buyer may cause an inspection and/or audit by an independent public accounting firm reasonably acceptable to the Seller to be made of the Seller’s books of account for the three (3) calendar years prior to the audit for the purpose of determining the correctness of the calculation of the Royalty Payments made under this Agreement. Upon the Buyer’s reasonable request, no more frequently than once per calendar year while any Out-License remains in effect, the Seller shall use Commercially Reasonable Efforts to exercise any rights it may have under any Out-License relating to the Product to cause an inspection and/or audit by an independent public accounting firm to be made of the books of account of any counterparty thereto for the purpose of determining the correctness of the calculation of the Royalty Payments made under this Agreement. Seller shall notify Buyer in writing if it initiates an inspection and/or audit of the books of account of any counterparty to an Out-License to the extent such inspection and/or audit is related to the Royalty Payments, and shall provide to Buyer a redacted copy of any report relating thereto within ten (10) Business Days of receipt thereof; provided, that any redactions to such report shall not include any information necessary to determine the correctness of the calculation of the Royalty Payments made under this Agreement. All of the out-of-pocket expenses of any inspection or audit requested by the Buyer hereunder (including the fees and expenses of such independent public accounting firm designated for such purpose) shall be borne solely by the Buyer, unless the independent public accounting firm determines that Royalty Payments previously paid to Buyer during the period of the audit were underpaid by an amount greater than [***]% of the Royalty Payments actually paid during such period, in which case such expenses shall be borne by the Seller. Any such accounting firm or Seller shall not disclose the confidential information of the Seller or any such Licensee relating to the Product to the Buyer, except to the extent such disclosure is necessary to determine the correctness of Royalty Payments or otherwise would be included in a Report. All information obtained by the Buyer as a result of any such inspection or audit shall be Confidential Information subject to ‎ARTICLE 8. If any audit discloses any underpayments by the Seller to the Buyer, then such underpayment shall be paid by the Seller to the Buyer within thirty (30) calendar days of it being so disclosed. If any audit discloses any overpayments by the Seller to the Buyer, then the Seller shall have the right to credit the amount of the overpayment against each subsequent quarterly Royalty Payment due to the Buyer until the overpayment has been fully applied. If the overpayment is not fully applied prior to the final quarterly Royalty Payment due hereunder, the Buyer shall promptly refund an amount equal to any such remaining overpayment.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6.5    </w:t>
      </w:r>
      <w:r>
        <w:rPr>
          <w:rFonts w:ascii="Times New Roman" w:hAnsi="Times New Roman"/>
          <w:caps w:val="false"/>
          <w:smallCaps w:val="false"/>
          <w:sz w:val="20"/>
          <w:u w:val="single"/>
        </w:rPr>
        <w:t>Intellectual Property Matters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provide to the Buyer a copy of any written notice received by the Seller from a Third Party alleging or claiming that the making, having made, using, importing, offering for sale or selling of the Product infringes or misappropriates any Patents or other intellectual property rights of such Third Party, together with copies of material correspondence sent or received by the Seller related thereto, as soon as practicable and in any event not more than [***] Business Days following such delivery or receipt.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Seller shall promptly inform the Buyer of any infringement by a Third Party of any Patent Right of which any of the individuals named in the definition of “Knowledge of the Seller” (or the successors of such Person at the Seller) becomes aware. Without limiting the foregoing, the Seller shall provide to the Buyer a copy of any written notice of any suspected infringement of any Patent Rights delivered or received by the Seller, as well as copies of material correspondence related thereto, as soon as practicable and in any event not more than [***] Business Days following such delivery or receipt.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Within [***] Business Days of initiating, or permitting a Licensee to initiate, an enforcement action regarding any suspected infringement by a Third Party of any Patent Right, the Seller shall provide the Buyer with written notice of such enforcement 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If the Seller recovers monetary damages from a Third Party in an action brought for such Third Party’s infringement of any Patent Rights relating to the Product, where such damages, whether in the form of judgment or settlement, are awarded for such infringement of such Patent Rights, (i) such recovery will be allocated first to the reimbursement of any expenses incurred by the Seller (or any party to an In-License or Permitted License of such Patent Rights entitled to such reimbursement under any such In-License or Out-License ) in bringing such action (including all reasonable attorney’s fees), (ii) any remaining amounts will be reduced, if applicable, to comply with allocation of recovered damages with licensors of such Patent Rights required under any In-Licenses or Permitted Licenses of such Patent Rights under any Out-Licenses, if any, and (iii) any residual amount of such damages after application of (i) and (ii) will be treated as Direct Sales with respect to the Direct Sales Territories, Indirect Sales with respect to the Indirect Sales Territories, or Product Partnering Revenue with respect to the Permitted Sale Territory,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6.6    </w:t>
      </w:r>
      <w:r>
        <w:rPr>
          <w:rFonts w:ascii="Times New Roman" w:hAnsi="Times New Roman"/>
          <w:caps w:val="false"/>
          <w:smallCaps w:val="false"/>
          <w:sz w:val="20"/>
          <w:u w:val="single"/>
        </w:rPr>
        <w:t>In-Licenses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promptly (and in any event within [***] Business Days) provide the Buyer with (i) executed copies of any In-License entered into by the Seller or its Affiliates, and (ii) executed copies of each amendment, supplement, modification or written waiver of any provision of any In-License.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Seller shall use Commercially Reasonable Efforts to comply in all material respects with its obligations under any In-Licenses it enters into and shall not take any action or forego any action that would reasonably be expected to result in a material breach thereof. Promptly, and in any event within [***] Business Days, after receipt of any (written or oral) notice from a counterparty to any In-License or its Affiliates of an alleged material breach under any In-License, the Seller shall provide the Buyer a copy thereof. The Seller shall use its Commercially Reasonable Efforts to cure any material breaches by it under any In-License and shall give written notice to the Buyer upon curing any such breach. The Seller shall provide the Buyer with written notice following becoming aware of a counterparty’s material breach of its obligations under any In-License. The Seller shall not terminate any In-License without providing the Buyer prior written notice. Promptly, and in any event within [***] Business Days following the Seller’s notice to a counterparty to any In-License of an alleged breach by such counterparty under any such In-License, the Seller shall provide the Buyer a copy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6.7    </w:t>
      </w:r>
      <w:r>
        <w:rPr>
          <w:rFonts w:ascii="Times New Roman" w:hAnsi="Times New Roman"/>
          <w:caps w:val="false"/>
          <w:smallCaps w:val="false"/>
          <w:sz w:val="20"/>
          <w:u w:val="single"/>
        </w:rPr>
        <w:t>Out-Licenses and Permitted Sales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 xml:space="preserve">(a)    Subject to compliance with this ‎Section 6.7, the Seller may enter into either (i) an Out-License with a Third Party or enter into an agreement to research, develop or manufacture the Product in all or any portion of the world; </w:t>
      </w:r>
      <w:r>
        <w:rPr>
          <w:rFonts w:ascii="Times New Roman" w:hAnsi="Times New Roman"/>
          <w:caps w:val="false"/>
          <w:smallCaps w:val="false"/>
          <w:sz w:val="20"/>
          <w:u w:val="single"/>
        </w:rPr>
        <w:t>provided</w:t>
      </w:r>
      <w:r>
        <w:rPr>
          <w:rFonts w:ascii="Times New Roman" w:hAnsi="Times New Roman"/>
          <w:caps w:val="false"/>
          <w:smallCaps w:val="false"/>
          <w:sz w:val="20"/>
        </w:rPr>
        <w:t>, that such license shall not assign or otherwise convey title to or impose any Lien, other than the grant of the license or sublicense, in favor of any Third Party (any such license, a “</w:t>
      </w:r>
      <w:r>
        <w:rPr>
          <w:rFonts w:ascii="Times New Roman" w:hAnsi="Times New Roman"/>
          <w:caps w:val="false"/>
          <w:smallCaps w:val="false"/>
          <w:sz w:val="20"/>
          <w:u w:val="single"/>
        </w:rPr>
        <w:t>Permitted License</w:t>
      </w:r>
      <w:r>
        <w:rPr>
          <w:rFonts w:ascii="Times New Roman" w:hAnsi="Times New Roman"/>
          <w:caps w:val="false"/>
          <w:smallCaps w:val="false"/>
          <w:sz w:val="20"/>
        </w:rPr>
        <w:t>”), or (ii) a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Seller shall promptly (and in any event within [***] Business Days) provide the Buyer with (i) executed copies of each Out-License and Permitted Sale, and (ii) executed copies of each amendment, supplement, modification or written waiver of any material provision of an Out-License or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The Seller shall include in all Out-Licenses (other than Existing Out-Licenses) and all definitive agreement(s) for Permitted Sales provisions permitting the Seller to audit such Licensee or Permitted Purchaser (as applicable) and shall use commercially reasonable efforts to include terms and conditions consistent in all material respects with the Buyer’s rights to audit the Seller set forth in ‎Section 6.4.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The Seller shall provide the Buyer prompt (and in any event within [***] Business Days) written notice of a Licensee’s material breach of its obligations under any Out-License or a Permitted Purchaser’s material breach of its obligations under any Permitted Sale of which any of the individuals named in the definition of “Knowledge of the Seller” (or the successors of such Person at the Seller) becomes 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The Seller shall provide the Buyer with written notice promptly (and in any event within [***] Business Days) following the termination of any Out-License or Permitted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6.8    </w:t>
      </w:r>
      <w:r>
        <w:rPr>
          <w:rFonts w:ascii="Times New Roman" w:hAnsi="Times New Roman"/>
          <w:caps w:val="false"/>
          <w:smallCaps w:val="false"/>
          <w:sz w:val="20"/>
          <w:u w:val="single"/>
        </w:rPr>
        <w:t>Restricted Indebtedness</w:t>
      </w:r>
      <w:r>
        <w:rPr>
          <w:rFonts w:ascii="Times New Roman" w:hAnsi="Times New Roman"/>
          <w:caps w:val="false"/>
          <w:smallCaps w:val="false"/>
          <w:sz w:val="20"/>
        </w:rPr>
        <w:t>. Prior to the Minimum Return Date, the Seller shall not, and shall not permit any of its Subsidiaries to, create, incur, assume or suffer to exist any Restricted Indebtedness. As a condition to the incurrence of any secured Permitted Indebtedness for borrowed money with one or more lenders other than the holders of Indebtedness under the Athyrium Credit Agreement, either (i) the Seller shall cause such lender or lenders or any agent, representative or trustee acting on behalf of such lender or lenders to become a party to the Intercreditor Agreement in accordance with the terms thereof or (ii) the Buyer shall enter, and the Seller shall enter and cause such lender or lenders or any agent, representative or trustee acting on behalf of such lender or lenders to enter into an Other Intercreditor Agreement. Notwithstanding the foregoing and except as otherwise agreed by the parties, following the Minimum Return Date, the Seller shall not, and shall not permit any of its Subsidiaries to incur any Convertible Bond Indebtedness unless such Convertible Bond Indebtedness shall be subordinated in right of payment to the Royalty Payments that are owed or may be owed in the future to the Buyer pursuant to the terms of a subordination, intercreditor, or other similar agreement (or terms of subordination incorporated into the indenture under which such Convertible Bond Indebtedness is issued), in each case in form and substance, and on terms, approved by the Buyer, the Seller, and the applicable Third Party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6.9    </w:t>
      </w:r>
      <w:r>
        <w:rPr>
          <w:rFonts w:ascii="Times New Roman" w:hAnsi="Times New Roman"/>
          <w:caps w:val="false"/>
          <w:smallCaps w:val="false"/>
          <w:sz w:val="20"/>
          <w:u w:val="single"/>
        </w:rPr>
        <w:t>Diligence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shall use Commercially Reasonable Efforts to complete clinical development and Commercialize (either directly or through Licensees) the Product in the Direct Sales Territories for hereditary angioedema. In furtherance of the foregoing, the Seller shall use Commercially Reasonable Efforts to prepare, execute, deliver and file any and all agreements, documents or instruments that are necessary or desirable to secure and maintain all Marketing Approvals required to Commercialize the Product in the Direct Sales Territories and the Seller shall use Commercially Reasonable Efforts to not withdraw or abandon, or fail to take any action necessary to prevent the withdrawal or abandonment of, any such Marketing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On a country-by-country basis, if a Loss of Market Exclusivity has occurred in such country, the Seller’s obligations under ‎Section 6.9(a) shall no longer apply in such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6.10    </w:t>
      </w:r>
      <w:r>
        <w:rPr>
          <w:rFonts w:ascii="Times New Roman" w:hAnsi="Times New Roman"/>
          <w:caps w:val="false"/>
          <w:smallCaps w:val="false"/>
          <w:sz w:val="20"/>
          <w:u w:val="single"/>
        </w:rPr>
        <w:t>Efforts to Consummate Transactions</w:t>
      </w:r>
      <w:r>
        <w:rPr>
          <w:rFonts w:ascii="Times New Roman" w:hAnsi="Times New Roman"/>
          <w:caps w:val="false"/>
          <w:smallCaps w:val="false"/>
          <w:sz w:val="20"/>
        </w:rPr>
        <w:t>. Subject to the terms and conditions of this Agreement, each of the Seller and the Buyer will use its commercially reasonable efforts prior to the Closing to take, or cause to be taken, all actions and to do, or cause to be done, all things reasonably necessary under applicable law to consummate the transactions contemplated by this Agreement. Each of the Buyer and the Seller agrees to execute and deliver such other documents, certificates, agreements and other writings and to take such other actions as may be reasonably necessary in order to consummate or implement expeditiously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6.11    </w:t>
      </w:r>
      <w:r>
        <w:rPr>
          <w:rFonts w:ascii="Times New Roman" w:hAnsi="Times New Roman"/>
          <w:caps w:val="false"/>
          <w:smallCaps w:val="false"/>
          <w:sz w:val="20"/>
          <w:u w:val="single"/>
        </w:rPr>
        <w:t>Further Assurances</w:t>
      </w:r>
      <w:r>
        <w:rPr>
          <w:rFonts w:ascii="Times New Roman" w:hAnsi="Times New Roman"/>
          <w:caps w:val="false"/>
          <w:smallCaps w:val="false"/>
          <w:sz w:val="20"/>
        </w:rPr>
        <w:t>. After the Closing, the Seller and the Buyer agree to execute and deliver such other documents, certificates, agreements and other writings and to take such other actions as may be reasonably necessary in order to give effect to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6.12    </w:t>
      </w:r>
      <w:r>
        <w:rPr>
          <w:rFonts w:ascii="Times New Roman" w:hAnsi="Times New Roman"/>
          <w:caps w:val="false"/>
          <w:smallCaps w:val="false"/>
          <w:sz w:val="20"/>
          <w:u w:val="single"/>
        </w:rPr>
        <w:t>No Impairment of Revenue Participation Right or Back-Up Security Interest</w:t>
      </w:r>
      <w:r>
        <w:rPr>
          <w:rFonts w:ascii="Times New Roman" w:hAnsi="Times New Roman"/>
          <w:caps w:val="false"/>
          <w:smallCaps w:val="false"/>
          <w:sz w:val="20"/>
        </w:rPr>
        <w:t>. Notwithstanding anything herein to the contrary, the Seller shall not enter into any contracts or arrangement or otherwise knowingly take any action or knowingly fail to act in a manner that would, individually or in the aggregate, reasonably be expected to materially and adversely affect the Buyer’s interest in the Revenue Participation Right or the Back-Up Security Interest. The parties agree that the entry into (i) the Athyrium Loan Documents, (ii) any agreement evidencing any secured Indebtedness permitted by clause (b)(ii) of the definition of Restricted Indebtedness and (iii) the RP Royalty Financing Documents, which shall, in each case, be subject to and in compliance with the Intercreditor Agreement or any Other Intercreditor Agreement, shall be deemed to not materially and adversely affect the Buyer’s interest in the Revenue Participation Right or the Back-Up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6.13    </w:t>
      </w:r>
      <w:r>
        <w:rPr>
          <w:rFonts w:ascii="Times New Roman" w:hAnsi="Times New Roman"/>
          <w:caps w:val="false"/>
          <w:smallCaps w:val="false"/>
          <w:sz w:val="20"/>
          <w:u w:val="single"/>
        </w:rPr>
        <w:t>Certain Tax Matters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and the Buyer agree that for Tax purposes, (a) the Seller and the Buyer shall treat the transactions contemplated by this Agreement as [***] and (b) any and all amounts remitted by the Seller to the Buyer after the Closing Date pursuant to this Agreement shall be treated as received by the Seller as agent for the Buyer. The parties hereto agree not to take any position that is inconsistent with the provisions of this ‎Section 6.13(a) on any tax return or in any audit or other tax-related administrative or judicial proceeding unless the other party hereto has consented in writing (such consent not to be unreasonably withheld, conditioned or delayed) to such actions. If there is an inquiry by any Governmental Entity of the Buyer or the Seller related to the treatment described in this ‎Section 6.13(a), the parties hereto shall cooperate with each other in responding to such inquiry in a reasonable manner which is consistent with this ‎Section 6.13(a).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Notwithstanding anything to the contrary in this Agreement, each of the Buyer and the Seller shall be entitled to withhold and deduct (or cause to be withheld and deducted) from any amount payable under this Agreement to the other party any Tax that the Buyer or the Seller, as applicable, determines that it is required to withhold and deduct under applicable law, and any such amount withheld and deducted shall be treated for all purposes of this Agreement as being paid to the other party; provided that each of the Buyer and the Seller shall give the other party reasonable prior notice and the opportunity, in good faith, to contest and prevent such withholding and deduction. The parties hereto shall use commercially reasonable efforts to give or cause to be given to the other party hereto such assistance and such information concerning the reasons for withholding or deduction (including, in reasonable detail, the method of calculation for the deduction or withholding thereof) as may be reasonably necessary to enable the Buyer or the Seller, as applicable, to claim exemption therefrom, or credit therefor, or relief (whether at source or by reclaim) therefrom, and, in each case, shall furnish the Buyer or the Seller, as applicable, with proper evidence of the taxes withheld and deducted and remitted to the relevant taxing authority. The Buyer agrees (i) to notify the Seller in writing if (A) Buyer becomes ineligible to use or deliver the Form W-8EXP delivered to the Seller under ‎Section 5.2(e), or (B) the Form W-8EXP delivered to the Seller under ‎Section 5.2(e) ceases to be accurate or complete, and (ii) to provide (to the extent it is legally eligible to do so) any additional Tax forms that the Seller may reasonably request.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7</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INDEMNIFICATION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7.1    </w:t>
      </w:r>
      <w:r>
        <w:rPr>
          <w:rFonts w:ascii="Times New Roman" w:hAnsi="Times New Roman"/>
          <w:caps w:val="false"/>
          <w:smallCaps w:val="false"/>
          <w:sz w:val="20"/>
          <w:u w:val="single"/>
        </w:rPr>
        <w:t>General Indemnity</w:t>
      </w:r>
      <w:r>
        <w:rPr>
          <w:rFonts w:ascii="Times New Roman" w:hAnsi="Times New Roman"/>
          <w:caps w:val="false"/>
          <w:smallCaps w:val="false"/>
          <w:sz w:val="20"/>
        </w:rPr>
        <w:t>. From and after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the Seller hereby agrees to indemnify, defend and hold harmless the Buyer and its Affiliates and its and their directors, managers, officers, trustees, agents and employees (the “</w:t>
      </w:r>
      <w:r>
        <w:rPr>
          <w:rFonts w:ascii="Times New Roman" w:hAnsi="Times New Roman"/>
          <w:caps w:val="false"/>
          <w:smallCaps w:val="false"/>
          <w:sz w:val="20"/>
          <w:u w:val="single"/>
        </w:rPr>
        <w:t>Buyer Indemnified Parties</w:t>
      </w:r>
      <w:r>
        <w:rPr>
          <w:rFonts w:ascii="Times New Roman" w:hAnsi="Times New Roman"/>
          <w:caps w:val="false"/>
          <w:smallCaps w:val="false"/>
          <w:sz w:val="20"/>
        </w:rPr>
        <w:t>”) from, against and in respect of all Losses suffered or incurred by the Buyer Indemnified Parties to the extent arising out of or resulting from (i) any breach of any of the representations or warranties of the Seller in this Agreement, and (ii) any breach of any of the covenants or agreements of the Seller in this Agreement;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the Buyer hereby agrees to indemnify, defend and hold harmless the Seller and its Affiliates and its and their directors, officers, agents and employees (the “</w:t>
      </w:r>
      <w:r>
        <w:rPr>
          <w:rFonts w:ascii="Times New Roman" w:hAnsi="Times New Roman"/>
          <w:caps w:val="false"/>
          <w:smallCaps w:val="false"/>
          <w:sz w:val="20"/>
          <w:u w:val="single"/>
        </w:rPr>
        <w:t>Seller Indemnified Parties</w:t>
      </w:r>
      <w:r>
        <w:rPr>
          <w:rFonts w:ascii="Times New Roman" w:hAnsi="Times New Roman"/>
          <w:caps w:val="false"/>
          <w:smallCaps w:val="false"/>
          <w:sz w:val="20"/>
        </w:rPr>
        <w:t>”) from, against and in respect of all Losses suffered or incurred by the Seller Indemnified Parties to the extent arising out of or resulting from (i) any breach of any of the representations or warranties of the Buyer in this Agreement, and (ii) any breach of any of the covenants or agreements of the Buyer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7.2    </w:t>
      </w:r>
      <w:r>
        <w:rPr>
          <w:rFonts w:ascii="Times New Roman" w:hAnsi="Times New Roman"/>
          <w:caps w:val="false"/>
          <w:smallCaps w:val="false"/>
          <w:sz w:val="20"/>
          <w:u w:val="single"/>
        </w:rPr>
        <w:t>Notice of Claims</w:t>
      </w:r>
      <w:r>
        <w:rPr>
          <w:rFonts w:ascii="Times New Roman" w:hAnsi="Times New Roman"/>
          <w:caps w:val="false"/>
          <w:smallCaps w:val="false"/>
          <w:sz w:val="20"/>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hAnsi="Times New Roman"/>
          <w:caps w:val="false"/>
          <w:smallCaps w:val="false"/>
          <w:sz w:val="20"/>
          <w:u w:val="single"/>
        </w:rPr>
        <w:t>Indemnified Party</w:t>
      </w:r>
      <w:r>
        <w:rPr>
          <w:rFonts w:ascii="Times New Roman" w:hAnsi="Times New Roman"/>
          <w:caps w:val="false"/>
          <w:smallCaps w:val="false"/>
          <w:sz w:val="20"/>
        </w:rPr>
        <w:t>”), has suffered or incurred any Losses for which indemnification may be sought under this ‎ARTICLE 7, the Indemnified Party shall so notify the other party from whom indemnification is sought under this ‎ARTICLE 7 (the “</w:t>
      </w:r>
      <w:r>
        <w:rPr>
          <w:rFonts w:ascii="Times New Roman" w:hAnsi="Times New Roman"/>
          <w:caps w:val="false"/>
          <w:smallCaps w:val="false"/>
          <w:sz w:val="20"/>
          <w:u w:val="single"/>
        </w:rPr>
        <w:t>Indemnifying Party</w:t>
      </w:r>
      <w:r>
        <w:rPr>
          <w:rFonts w:ascii="Times New Roman" w:hAnsi="Times New Roman"/>
          <w:caps w:val="false"/>
          <w:smallCaps w:val="false"/>
          <w:sz w:val="20"/>
        </w:rPr>
        <w:t>”) promptly in writing 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7,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7.2 shall not limit the obligation of the Indemnifying Party under this ‎ARTICLE 7, except to the extent such Indemnifying Party is actually prejudiced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7.3    </w:t>
      </w:r>
      <w:r>
        <w:rPr>
          <w:rFonts w:ascii="Times New Roman" w:hAnsi="Times New Roman"/>
          <w:caps w:val="false"/>
          <w:smallCaps w:val="false"/>
          <w:sz w:val="20"/>
          <w:u w:val="single"/>
        </w:rPr>
        <w:t>Limitations on Liability</w:t>
      </w:r>
      <w:r>
        <w:rPr>
          <w:rFonts w:ascii="Times New Roman" w:hAnsi="Times New Roman"/>
          <w:caps w:val="false"/>
          <w:smallCaps w:val="false"/>
          <w:sz w:val="20"/>
        </w:rPr>
        <w:t>. Except for claims arising from a breach of confidentiality obligations under ‎ARTICLE 8 or in cases of fraud, gross negligence, or willful misconduct, no party hereto shall be liable for any consequential, punitive, special or incidental damages under this ‎ARTICLE 7 (and no claim for indemnification hereunder shall be asserted) as a result of any breach or violation of any covenant or agreement of such party (including under this ‎ARTICLE 7) in or pursuant to this Agreement. In connection with the foregoing, the parties hereto acknowledge and agree that (i) the Buyer’s damages, if any, for any such action or claim will typically include Losses for Royalty Payments that the Buyer was entitled to receive in respect of its ownership of the Royalty Payments but did not receive timely or at all due to such indemnifiable event and (ii) the Buyer shall be entitled to make claims for all such missing or delayed Royalty Payments as Losses hereunder, and such missing or Royalty Payments shall not be deemed consequential, punitive, special, indirect or incidental damages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7.4    </w:t>
      </w:r>
      <w:r>
        <w:rPr>
          <w:rFonts w:ascii="Times New Roman" w:hAnsi="Times New Roman"/>
          <w:caps w:val="false"/>
          <w:smallCaps w:val="false"/>
          <w:sz w:val="20"/>
          <w:u w:val="single"/>
        </w:rPr>
        <w:t>Exclusive Remedy</w:t>
      </w:r>
      <w:r>
        <w:rPr>
          <w:rFonts w:ascii="Times New Roman" w:hAnsi="Times New Roman"/>
          <w:caps w:val="false"/>
          <w:smallCaps w:val="false"/>
          <w:sz w:val="20"/>
        </w:rPr>
        <w:t>. Except as set forth in ‎Section 10.11, from and after Closing, the rights of the parties hereto pursuant to (and subject to the conditions of) this ‎ARTICLE 7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the rights of the Buyer under the Intercreditor Agreement and claims for fraud, gross negligence, or willful misconduct shall not be waived or limited in any way by this ‎ARTICLE 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7.5    </w:t>
      </w:r>
      <w:r>
        <w:rPr>
          <w:rFonts w:ascii="Times New Roman" w:hAnsi="Times New Roman"/>
          <w:caps w:val="false"/>
          <w:smallCaps w:val="false"/>
          <w:sz w:val="20"/>
          <w:u w:val="single"/>
        </w:rPr>
        <w:t>Tax Treatment of Indemnification Payments</w:t>
      </w:r>
      <w:r>
        <w:rPr>
          <w:rFonts w:ascii="Times New Roman" w:hAnsi="Times New Roman"/>
          <w:caps w:val="false"/>
          <w:smallCaps w:val="false"/>
          <w:sz w:val="20"/>
        </w:rPr>
        <w:t>. For all purposes hereunder, any indemnification payments made pursuant to this ‎ARTICLE 7 will be treated as an adjustment to the Purchase Price for U.S. federal income tax to the fullest extent permitted by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CONFIDENTIALITY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8.1    </w:t>
      </w:r>
      <w:r>
        <w:rPr>
          <w:rFonts w:ascii="Times New Roman" w:hAnsi="Times New Roman"/>
          <w:caps w:val="false"/>
          <w:smallCaps w:val="false"/>
          <w:sz w:val="20"/>
          <w:u w:val="single"/>
        </w:rPr>
        <w:t>Confidentiality</w:t>
      </w:r>
      <w:r>
        <w:rPr>
          <w:rFonts w:ascii="Times New Roman" w:hAnsi="Times New Roman"/>
          <w:caps w:val="false"/>
          <w:smallCaps w:val="false"/>
          <w:sz w:val="20"/>
        </w:rPr>
        <w:t>. Except as provided in this ‎ARTICLE 8, ‎Section 10.4 or otherwise agreed in writing by the parties, the parties hereto agree that, during the term of this Agreement and for [***] years thereafter, each party (the “</w:t>
      </w:r>
      <w:r>
        <w:rPr>
          <w:rFonts w:ascii="Times New Roman" w:hAnsi="Times New Roman"/>
          <w:caps w:val="false"/>
          <w:smallCaps w:val="false"/>
          <w:sz w:val="20"/>
          <w:u w:val="single"/>
        </w:rPr>
        <w:t>Receiving Party</w:t>
      </w:r>
      <w:r>
        <w:rPr>
          <w:rFonts w:ascii="Times New Roman" w:hAnsi="Times New Roman"/>
          <w:caps w:val="false"/>
          <w:smallCaps w:val="false"/>
          <w:sz w:val="20"/>
        </w:rPr>
        <w:t>”) shall keep confidential and shall not publish or otherwise disclose and shall not use for any purpose other than as provided for in this Agreement (which includes the exercise of any rights or the performance of any obligations hereunder) any information furnished to it by or on behalf of the other party (the “</w:t>
      </w:r>
      <w:r>
        <w:rPr>
          <w:rFonts w:ascii="Times New Roman" w:hAnsi="Times New Roman"/>
          <w:caps w:val="false"/>
          <w:smallCaps w:val="false"/>
          <w:sz w:val="20"/>
          <w:u w:val="single"/>
        </w:rPr>
        <w:t>Disclosing Party</w:t>
      </w:r>
      <w:r>
        <w:rPr>
          <w:rFonts w:ascii="Times New Roman" w:hAnsi="Times New Roman"/>
          <w:caps w:val="false"/>
          <w:smallCaps w:val="false"/>
          <w:sz w:val="20"/>
        </w:rPr>
        <w:t>”) pursuant to this Agreement (such information, “</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of the Disclosing Party), except for that portion of such information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was already known to the Receiving Party, other than under an obligation of confidentiality, at the time of disclosure by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was generally available to the public or otherwise part of the public domain at the time of its disclosure to the Receiving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became generally available to the public or otherwise part of the public domain after its disclosure and other than through any act or omission of the Receiving Party in breach of this Agreement or any other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(d)    is independently developed by the Receiving Party or any of its Affiliates, as evidenced by written records, without the use of or reference of the Confidential Information;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(e)    is subsequently disclosed to the Receiving Party on a non-confidential basis by a Third Party without obligations of confidentiality with respect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8.2    </w:t>
      </w:r>
      <w:r>
        <w:rPr>
          <w:rFonts w:ascii="Times New Roman" w:hAnsi="Times New Roman"/>
          <w:caps w:val="false"/>
          <w:smallCaps w:val="false"/>
          <w:sz w:val="20"/>
          <w:u w:val="single"/>
        </w:rPr>
        <w:t>Authorized Disclosure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Either party may disclose Confidential Information to the extent such disclosure is reasonably necessary in the following situations: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    prosecuting or defending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    complying with applicable laws and regulations, including regulations promulgated by securities exchanges;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(iii)    complying with a valid order of a court of competent jurisdiction or other Governmental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(iv)    for regulatory, Tax or customs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    for audit purposes, provided that each recipient of Confidential Information must be bound by customary and reasonable obligations of confidentiality and non-use prior to any such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    disclosure to its Affiliates and Representatives on a need-to-know basis, provided that each such recipient of Confidential Information must be bound by contractual or professional obligations of confidentiality and non-use at least as stringent as those imposed upon the parties hereunder prior to any such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    upon the prior written consent of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(viii)    disclosure to its potential investors, and other sources of funding, including debt financing, or potential partners, collaborators or acquirers, and their respective accountants, financial advisors and other professional representatives, provided, that such disclosure shall be made only to the extent customarily required to consummate such investment, financing transaction partnership, collaboration or acquisition and that each recipient of Confidential Information must be bound by customary obligations of confidentiality and non-use prior to any such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rPr>
          <w:rFonts w:ascii="Times New Roman" w:hAnsi="Times New Roman"/>
          <w:caps w:val="false"/>
          <w:smallCaps w:val="false"/>
          <w:sz w:val="20"/>
        </w:rPr>
      </w:pPr>
      <w:r>
        <w:rPr>
          <w:rFonts w:ascii="Times New Roman" w:hAnsi="Times New Roman"/>
          <w:caps w:val="false"/>
          <w:smallCaps w:val="false"/>
          <w:sz w:val="20"/>
        </w:rPr>
        <w:t>(ix)    as is necessary in connection with a permitted assignment pursuant to ‎Section 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Notwithstanding the foregoing, in the event the Receiving Party is required to make a disclosure of the Disclosing Party’s Confidential Information pursuant to ‎Section 8.2(a)(i), ‎(ii), ‎(iii) or ‎(iv), it will, except where impracticable, give reasonable advance notice to the Disclosing Party of such disclosure and use reasonable efforts to secure confidential treatment of such information. In any event, the Buyer shall not file, or assist any Third Party in filing, any patent application based upon or using the Confidential Information of Seller provided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Notwithstanding anything set forth in this Agreement, materials and documentation relating to the Seller’s Intellectual Property Rights may be only disclosed to or accessed by the Buyer and its attorneys and auditors, without further disclosure to any other Representative of the Buyer.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TERMINATION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9.1    </w:t>
      </w:r>
      <w:r>
        <w:rPr>
          <w:rFonts w:ascii="Times New Roman" w:hAnsi="Times New Roman"/>
          <w:caps w:val="false"/>
          <w:smallCaps w:val="false"/>
          <w:sz w:val="20"/>
          <w:u w:val="single"/>
        </w:rPr>
        <w:t>Mutual Termination</w:t>
      </w:r>
      <w:r>
        <w:rPr>
          <w:rFonts w:ascii="Times New Roman" w:hAnsi="Times New Roman"/>
          <w:caps w:val="false"/>
          <w:smallCaps w:val="false"/>
          <w:sz w:val="20"/>
        </w:rPr>
        <w:t>. This Agreement may be terminated by mutual written agreement of the Buyer and the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9.2    </w:t>
      </w:r>
      <w:r>
        <w:rPr>
          <w:rFonts w:ascii="Times New Roman" w:hAnsi="Times New Roman"/>
          <w:caps w:val="false"/>
          <w:smallCaps w:val="false"/>
          <w:sz w:val="20"/>
          <w:u w:val="single"/>
        </w:rPr>
        <w:t>Automatic Termination</w:t>
      </w:r>
      <w:r>
        <w:rPr>
          <w:rFonts w:ascii="Times New Roman" w:hAnsi="Times New Roman"/>
          <w:caps w:val="false"/>
          <w:smallCaps w:val="false"/>
          <w:sz w:val="20"/>
        </w:rPr>
        <w:t>. Unless earlier terminated as provided in ‎Section 9.1, following the Closing, this Agreement shall continue in full force and effect until the Royalty Termination Date, at which point this Agreement shall automatically terminate, except with respect to any rights that shall have accrued prior to such termination, and the Liens and Back-Up Security Interest granted to the Buyer and its successors and assigns pursuant to this Agreement shall be automatically released without any further action necessary. In furtherance of the foregoing, the Buyer shall promptly file UCC-3 terminations and deliver to Seller a lien release letter, in in each case, releasing such Liens and Back-Up Security Interest, and execute and deliver to the Seller, at the Seller’s expense, all other documents that the Seller shall reasonably request to evidence such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9.3    </w:t>
      </w:r>
      <w:r>
        <w:rPr>
          <w:rFonts w:ascii="Times New Roman" w:hAnsi="Times New Roman"/>
          <w:caps w:val="false"/>
          <w:smallCaps w:val="false"/>
          <w:sz w:val="20"/>
          <w:u w:val="single"/>
        </w:rPr>
        <w:t>Survival</w:t>
      </w:r>
      <w:r>
        <w:rPr>
          <w:rFonts w:ascii="Times New Roman" w:hAnsi="Times New Roman"/>
          <w:caps w:val="false"/>
          <w:smallCaps w:val="false"/>
          <w:sz w:val="20"/>
        </w:rPr>
        <w:t>. Notwithstanding anything to the contrary in this ‎ARTICLE 9, the following provisions shall survive termination of this Agreement: ‎Section 6.3 (Disclosures), ‎Section 6.4 (Inspections and Audits of the Seller), ‎ARTICLE 7 (Indemnification), ‎ARTICLE 8 (Confidentiality), this ‎Section 9.3 (Survival) and ‎ARTICLE 10 (Miscellaneous). Termination of the Agreement shall not relieve any party of liability in respect of breaches under this Agreement by any party on or prior to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MISCELLANEOUS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    </w:t>
      </w:r>
      <w:r>
        <w:rPr>
          <w:rFonts w:ascii="Times New Roman" w:hAnsi="Times New Roman"/>
          <w:caps w:val="false"/>
          <w:smallCaps w:val="false"/>
          <w:sz w:val="20"/>
          <w:u w:val="single"/>
        </w:rPr>
        <w:t>Headings</w:t>
      </w:r>
      <w:r>
        <w:rPr>
          <w:rFonts w:ascii="Times New Roman" w:hAnsi="Times New Roman"/>
          <w:caps w:val="false"/>
          <w:smallCaps w:val="false"/>
          <w:sz w:val="20"/>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10.2    </w:t>
      </w:r>
      <w:r>
        <w:rPr>
          <w:rFonts w:ascii="Times New Roman" w:hAnsi="Times New Roman"/>
          <w:caps w:val="false"/>
          <w:smallCaps w:val="false"/>
          <w:sz w:val="20"/>
          <w:u w:val="single"/>
        </w:rPr>
        <w:t>Notices</w:t>
      </w:r>
      <w:r>
        <w:rPr>
          <w:rFonts w:ascii="Times New Roman" w:hAnsi="Times New Roman"/>
          <w:caps w:val="false"/>
          <w:smallCaps w:val="false"/>
          <w:sz w:val="20"/>
        </w:rPr>
        <w:t>. All notices and other communications under this Agreement shall be in writing and shall be by email with PDF attachment, facsimile, courier service or personal delivery to the following addresses, or to such other addresses as shall be designated from time to time by a party hereto in accordance with this ‎Section 10.2:</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If to the Seller, to it at:</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BioCryst Pharmaceuticals, Inc.</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4505 Emperor Blvd., Suite 200</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Durham, North Carolina 27703</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Alane Barnes</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w:t>
      </w:r>
    </w:p>
    <w:p>
      <w:pPr>
        <w:pStyle w:val="TextBody"/>
        <w:spacing w:before="0" w:after="0"/>
        <w:ind w:left="1440" w:right="0" w:firstLine="36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Gibson, Dunn &amp; Crutcher LLP</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555 Mission Street</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San Francisco, CA 94105</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Ryan Murr; Todd Trattner</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rmurr@gibsondunn.com; ttrattner@gibsondunn.com</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If to the Buyer, to it at:</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OCM IP Healthcare Holdings Limited</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c/o OMERS Capital Markets</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Canada</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w:t>
      </w:r>
    </w:p>
    <w:p>
      <w:pPr>
        <w:pStyle w:val="TextBody"/>
        <w:spacing w:before="0" w:after="0"/>
        <w:ind w:left="1440" w:right="0" w:firstLine="360"/>
        <w:rPr>
          <w:rFonts w:ascii="Times New Roman" w:hAnsi="Times New Roman"/>
          <w:caps w:val="false"/>
          <w:smallCaps w:val="false"/>
          <w:sz w:val="20"/>
        </w:rPr>
      </w:pPr>
      <w:r>
        <w:rPr>
          <w:rFonts w:ascii="Times New Roman" w:hAnsi="Times New Roman"/>
          <w:caps w:val="false"/>
          <w:smallCaps w:val="false"/>
          <w:sz w:val="20"/>
        </w:rPr>
        <w:t>Email: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Sidley Austin LLP</w:t>
        <w:br/>
        <w:t>2850 Quarry Lake Drive, Suite 301</w:t>
        <w:br/>
        <w:t>Baltimore, MD 21209</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Asher M. Rubin; Adriana V. Tibbitts</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arubin@sidley.com; atibbitts@sidley.com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 notices and communications under this Agreement shall be deemed to have been duly given (i) when delivered by hand, if personally delivered, (ii) when sent, if sent by facsimile, with an acknowledgement of sending being produced by the sending facsimile machine, (iii) when sent, if by email with PDF attachment, with an acknowledgment of receipt being produced by the recipient’s email account, or (iv) one Business Day following sending within the United States by overnight delivery via commercial one-day overnight courier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10.3    </w:t>
      </w:r>
      <w:r>
        <w:rPr>
          <w:rFonts w:ascii="Times New Roman" w:hAnsi="Times New Roman"/>
          <w:caps w:val="false"/>
          <w:smallCaps w:val="false"/>
          <w:sz w:val="20"/>
          <w:u w:val="single"/>
        </w:rPr>
        <w:t>Expenses</w:t>
      </w:r>
      <w:r>
        <w:rPr>
          <w:rFonts w:ascii="Times New Roman" w:hAnsi="Times New Roman"/>
          <w:caps w:val="false"/>
          <w:smallCaps w:val="false"/>
          <w:sz w:val="20"/>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10.4    </w:t>
      </w:r>
      <w:r>
        <w:rPr>
          <w:rFonts w:ascii="Times New Roman" w:hAnsi="Times New Roman"/>
          <w:caps w:val="false"/>
          <w:smallCaps w:val="false"/>
          <w:sz w:val="20"/>
          <w:u w:val="single"/>
        </w:rPr>
        <w:t>Assignment</w:t>
      </w:r>
      <w:r>
        <w:rPr>
          <w:rFonts w:ascii="Times New Roman" w:hAnsi="Times New Roman"/>
          <w:caps w:val="false"/>
          <w:smallCaps w:val="false"/>
          <w:sz w:val="20"/>
        </w:rPr>
        <w:t>. The Seller may not assign in whole or in part this Agreement, or any of its rights or obligations hereunder, without the Buyer’s prior written consent, except (a) for a Permitted Sale; or (b) to a Third Party in connection with the sale or transfer of all or substantially all of the Seller’s business or assets related to the Product, whether by merger, sale of assets, reorganization, or other conveyance of title and only if upon closing any such transaction, the Seller causes such Affiliate or Third Party, as applicable, to deliver a writing to the Buyer in which it assumes all of the obligations of the Seller to the Buyer under this Agreement, and such Affiliate or Third Party shall be deemed an assignee of Seller under this Agreement (clauses (a) and (b) the “</w:t>
      </w:r>
      <w:r>
        <w:rPr>
          <w:rFonts w:ascii="Times New Roman" w:hAnsi="Times New Roman"/>
          <w:caps w:val="false"/>
          <w:smallCaps w:val="false"/>
          <w:sz w:val="20"/>
          <w:u w:val="single"/>
        </w:rPr>
        <w:t>Permitted Assignment Provisions</w:t>
      </w:r>
      <w:r>
        <w:rPr>
          <w:rFonts w:ascii="Times New Roman" w:hAnsi="Times New Roman"/>
          <w:caps w:val="false"/>
          <w:smallCaps w:val="false"/>
          <w:sz w:val="20"/>
        </w:rPr>
        <w:t>”). The Seller may not assign in whole or in part any of its rights in a Product, including any Product Rights, without the Buyer’s prior written consent, except (i)) pursuant to the Permitted Assignment Provisions, (ii) pursuant to the RP Royalty Financing Documents, (iii) pursuant to the Athyrium Loan Documents, or (iv) pursuant to any agreement evidencing any secured Indebtedness permitted by clause (b)(ii) of the definition of Restricted Indebtedness; provided that, for the avoidance of doubt, nothing in this ‎Section 10.4 shall restrict the Seller from engaging in a Permitted Sale, from licensing any Product Rights pursuant to a Permitted License, from transferring the Marketing Approvals for any jurisdiction to a Licensee or a Permitted Purchaser in connection with a Permitted License or Permitted Sale covering such jurisdiction, or incurring any Permitted Indebtedness. Following the Closing, the Buyer may assign this Agreement in whole or in part to any Person, including to any Third Party or to one or more of its Affiliates; provided that the Buyer shall cause such Person to become a party to the Intercreditor Agreement in accordance with the terms thereof or enter into an intercreditor agreement with the administrative agent, trustee or representative under the Athyrium Credit Agreement, the “Buyer” under the 2020 RP Royalty Financing Documents and the “Buyer” under the 2021 RP Royalty Financing Documents in form and substance substantially the same as the Intercreditor Agreement. This Agreement shall be binding upon, inure to the benefit of and be enforceable by, the parties hereto and their respective permitted successors and assigns. Any purported assignment in violation of this ‎Section 10.4 shall be null and void. Notwithstanding the foregoing, nothing in this Agreement shall prohibit Athyrium or the administrative agent, trustee or representative under the Athyrium Credit Agreement at such time from taking any action permitted by the Intercreditor Agreement or an Other Intercreditor Agreement, including but not limited to commencing or maintaining any Enforcement Action (as defined in the Intercreditor Agreement) or such similar term (as defined in an Other Intercreditor Agreement) or exercising any rights with respect to its collateral under the Bankruptcy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10.5    </w:t>
      </w:r>
      <w:r>
        <w:rPr>
          <w:rFonts w:ascii="Times New Roman" w:hAnsi="Times New Roman"/>
          <w:caps w:val="false"/>
          <w:smallCaps w:val="false"/>
          <w:sz w:val="20"/>
          <w:u w:val="single"/>
        </w:rPr>
        <w:t>Amendment and Waiver</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This Agreement may be amended, modified or supplemented only in a writing signed by each of the parties hereto. Any provision of this Agreement may be waived only in a writing signed by the party hereto granting such waiver.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10.6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the Exhibits annexed hereto and the Disclosure Schedule constitute the entire understanding between the parties hereto with respect to the subject matter hereof and supersede all other understandings and negotiations with respect thereto. As of the date hereof, the Non-Disclosure Agreement between OMERS Capital Markets and the Seller, dated as of [***] is hereby terminated without further force and effect and is superseded by ‎ARTICLE 8 of this Agreement, all “Confidential Information” (or such similar term, as defined therein) shared thereunder is deemed Confidential Information under this Agreement, and all obligations between the parties relating to confidentiality shall be governed by ‎ARTICLE 8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10.7    </w:t>
      </w:r>
      <w:r>
        <w:rPr>
          <w:rFonts w:ascii="Times New Roman" w:hAnsi="Times New Roman"/>
          <w:caps w:val="false"/>
          <w:smallCaps w:val="false"/>
          <w:sz w:val="20"/>
          <w:u w:val="single"/>
        </w:rPr>
        <w:t>No Third Party Beneficiaries</w:t>
      </w:r>
      <w:r>
        <w:rPr>
          <w:rFonts w:ascii="Times New Roman" w:hAnsi="Times New Roman"/>
          <w:caps w:val="false"/>
          <w:smallCaps w:val="false"/>
          <w:sz w:val="20"/>
        </w:rPr>
        <w:t>. This Agreement is for the sole benefit of the Seller and the Buyer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‎Section 7.1.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10.8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governed by, and construed in accordance with, the laws of the State of New York without giving effect to any choice or conflict of law provision or rule that would cause the application of the laws of any other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10.9    </w:t>
      </w:r>
      <w:r>
        <w:rPr>
          <w:rFonts w:ascii="Times New Roman" w:hAnsi="Times New Roman"/>
          <w:caps w:val="false"/>
          <w:smallCaps w:val="false"/>
          <w:sz w:val="20"/>
          <w:u w:val="single"/>
        </w:rPr>
        <w:t>Jurisdiction; Venue</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(a)    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HEREBY IRREVOCABLY AND UNCONDITIONALLY AGREE THAT ALL CLAIMS IN RESPECT OF ANY SUCH ACTION OR PROCEEDING MAY BE HEARD AND DETERMINED IN ANY SUCH NEW YORK STATE COURT OR, TO THE FULLEST EXTENT PERMITTED BY APPLICABLE LAW, IN SUCH FEDERAL COURT. THE BUYER AND THE SELLER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THE BUYER AND THE SELLER AGREE, TO THE FULLEST EXTENT PERMITTED BY APPLICABLE LAW, THAT PROCESS MAY BE SERVED ON THE BUYER OR THE SELLER IN THE SAME MANNER THAT NOTICES MAY BE GIVEN PURSUANT TO SECTION ‎10.2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(b)    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(c)    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10.10    </w:t>
      </w:r>
      <w:r>
        <w:rPr>
          <w:rFonts w:ascii="Times New Roman" w:hAnsi="Times New Roman"/>
          <w:caps w:val="false"/>
          <w:smallCaps w:val="false"/>
          <w:sz w:val="20"/>
          <w:u w:val="single"/>
        </w:rPr>
        <w:t>Severability</w:t>
      </w:r>
      <w:r>
        <w:rPr>
          <w:rFonts w:ascii="Times New Roman" w:hAnsi="Times New Roman"/>
          <w:caps w:val="false"/>
          <w:smallCaps w:val="false"/>
          <w:sz w:val="20"/>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10.11    </w:t>
      </w:r>
      <w:r>
        <w:rPr>
          <w:rFonts w:ascii="Times New Roman" w:hAnsi="Times New Roman"/>
          <w:caps w:val="false"/>
          <w:smallCaps w:val="false"/>
          <w:sz w:val="20"/>
          <w:u w:val="single"/>
        </w:rPr>
        <w:t>Specific Performance</w:t>
      </w:r>
      <w:r>
        <w:rPr>
          <w:rFonts w:ascii="Times New Roman" w:hAnsi="Times New Roman"/>
          <w:caps w:val="false"/>
          <w:smallCaps w:val="false"/>
          <w:sz w:val="20"/>
        </w:rPr>
        <w:t>. Each of the parties acknowledges and agrees that the other party would be damaged irreparably in the event any of the provisions of this Agreement are not performed in accordance with their specific terms or otherwise are breached or violated. Accordingly, each of the parties agrees that, without posting bond or other undertaking, the other party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of the parties further agrees that, in the event of any action for specific performance in respect of such breach of violation, it will not assert the defense that a remedy at law would be adequate.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10.12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10.13    </w:t>
      </w:r>
      <w:r>
        <w:rPr>
          <w:rFonts w:ascii="Times New Roman" w:hAnsi="Times New Roman"/>
          <w:caps w:val="false"/>
          <w:smallCaps w:val="false"/>
          <w:sz w:val="20"/>
          <w:u w:val="single"/>
        </w:rPr>
        <w:t>Relationship of the Parties</w:t>
      </w:r>
      <w:r>
        <w:rPr>
          <w:rFonts w:ascii="Times New Roman" w:hAnsi="Times New Roman"/>
          <w:caps w:val="false"/>
          <w:smallCaps w:val="false"/>
          <w:sz w:val="20"/>
        </w:rPr>
        <w:t>. The relationship between the Buyer and the Seller is solely that of purchaser and seller, and neither the Buyer nor the Seller has any fiduciary or other special relationship with the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agree that they shall not take any inconsistent position with respect to such treatment in a filing with any Governmental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 w:hAnsi="Times New Roman"/>
          <w:caps w:val="false"/>
          <w:smallCaps w:val="false"/>
          <w:sz w:val="20"/>
        </w:rPr>
      </w:pPr>
      <w:r>
        <w:rPr>
          <w:rFonts w:ascii="Times New Roman" w:hAnsi="Times New Roman"/>
          <w:caps w:val="false"/>
          <w:smallCaps w:val="false"/>
          <w:sz w:val="20"/>
        </w:rPr>
        <w:t>Section 10.14    </w:t>
      </w:r>
      <w:r>
        <w:rPr>
          <w:rFonts w:ascii="Times New Roman" w:hAnsi="Times New Roman"/>
          <w:caps w:val="false"/>
          <w:smallCaps w:val="false"/>
          <w:sz w:val="20"/>
          <w:u w:val="single"/>
        </w:rPr>
        <w:t>Intercreditor Agreement</w:t>
      </w:r>
      <w:r>
        <w:rPr>
          <w:rFonts w:ascii="Times New Roman" w:hAnsi="Times New Roman"/>
          <w:caps w:val="false"/>
          <w:smallCaps w:val="false"/>
          <w:sz w:val="20"/>
        </w:rPr>
        <w:t>. Notwithstanding anything to the contrary herein, the Liens and Back-Up Security Interest granted to the Buyer and its successors and assigns pursuant to this Agreement and the exercise of any right or remedy by the Buyer and its successors and assigns hereunder are subject to the provisions of the Intercreditor Agreement and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provisions of any Other Intercreditor Agreement. If there is conflict between the terms of the Intercreditor Agreement or an Other Intercreditor Agreement (each a “</w:t>
      </w:r>
      <w:r>
        <w:rPr>
          <w:rFonts w:ascii="Times New Roman" w:hAnsi="Times New Roman"/>
          <w:caps w:val="false"/>
          <w:smallCaps w:val="false"/>
          <w:sz w:val="20"/>
          <w:u w:val="single"/>
        </w:rPr>
        <w:t>Controlling Agreement</w:t>
      </w:r>
      <w:r>
        <w:rPr>
          <w:rFonts w:ascii="Times New Roman" w:hAnsi="Times New Roman"/>
          <w:caps w:val="false"/>
          <w:smallCaps w:val="false"/>
          <w:sz w:val="20"/>
        </w:rPr>
        <w:t>”), on the one hand, and the terms of this Agreement, on the other hand, with respect to the Liens, security interests or the exercise of any right or remedy of the Buyer, the “Buyer” under and as defined in the RP Royalty Financing Documents for so long as such Person is a party to a Controlling Agreement, or any holder of any Indebtedness that is a party to a Controlling Agreement, then the terms of such Controlling Agreement will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pPr>
      <w:r>
        <w:rPr/>
        <w:t> </w:t>
      </w:r>
    </w:p>
    <w:p>
      <w:pPr>
        <w:pStyle w:val="TextBody"/>
        <w:spacing w:before="0" w:after="0"/>
        <w:ind w:left="0" w:right="0" w:firstLine="720"/>
        <w:rPr>
          <w:rFonts w:ascii="Times New Roman" w:hAnsi="Times New Roman"/>
          <w:sz w:val="20"/>
        </w:rPr>
      </w:pPr>
      <w:r>
        <w:rPr>
          <w:rFonts w:ascii="Times New Roman" w:hAnsi="Times New Roman"/>
          <w:sz w:val="20"/>
        </w:rPr>
        <w:t>IN WITNESS WHEREOF, the parties hereto have caused this Agreement to be executed and delivered by their respective representatives thereunto duly authorized as of the date first above written.</w:t>
      </w:r>
    </w:p>
    <w:p>
      <w:pPr>
        <w:pStyle w:val="TextBody"/>
        <w:spacing w:before="0" w:after="0"/>
        <w:ind w:left="0" w:right="0" w:hanging="0"/>
        <w:rPr/>
      </w:pPr>
      <w:r>
        <w:rPr/>
        <w:t> </w:t>
      </w:r>
    </w:p>
    <w:tbl>
      <w:tblPr>
        <w:tblW w:w="3919" w:type="dxa"/>
        <w:jc w:val="left"/>
        <w:tblInd w:w="0" w:type="dxa"/>
        <w:tblCellMar>
          <w:top w:w="0" w:type="dxa"/>
          <w:left w:w="0" w:type="dxa"/>
          <w:bottom w:w="0" w:type="dxa"/>
          <w:right w:w="0" w:type="dxa"/>
        </w:tblCellMar>
      </w:tblPr>
      <w:tblGrid>
        <w:gridCol w:w="60"/>
        <w:gridCol w:w="458"/>
        <w:gridCol w:w="3401"/>
      </w:tblGrid>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0"/>
              <w:ind w:left="140" w:right="0" w:hanging="140"/>
              <w:rPr>
                <w:rFonts w:ascii="Times New Roman" w:hAnsi="Times New Roman"/>
                <w:caps w:val="false"/>
                <w:smallCaps w:val="false"/>
                <w:sz w:val="20"/>
              </w:rPr>
            </w:pPr>
            <w:r>
              <w:rPr>
                <w:rFonts w:ascii="Times New Roman" w:hAnsi="Times New Roman"/>
                <w:caps w:val="false"/>
                <w:smallCaps w:val="false"/>
                <w:sz w:val="20"/>
              </w:rPr>
              <w:t>SELLER</w:t>
            </w:r>
          </w:p>
        </w:tc>
      </w:tr>
      <w:tr>
        <w:trPr/>
        <w:tc>
          <w:tcPr>
            <w:tcW w:w="60"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BIOCRYST PHARMACEUTICALS, INC.</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34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Doyle</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Anthony Doyle</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 Chief Financial Officer</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0"/>
              <w:ind w:left="140" w:right="0" w:hanging="140"/>
              <w:rPr>
                <w:rFonts w:ascii="Times New Roman" w:hAnsi="Times New Roman"/>
                <w:caps w:val="false"/>
                <w:smallCaps w:val="false"/>
                <w:sz w:val="20"/>
              </w:rPr>
            </w:pPr>
            <w:r>
              <w:rPr>
                <w:rFonts w:ascii="Times New Roman" w:hAnsi="Times New Roman"/>
                <w:caps w:val="false"/>
                <w:smallCaps w:val="false"/>
                <w:sz w:val="20"/>
              </w:rPr>
              <w:t>BUYER</w:t>
            </w:r>
          </w:p>
        </w:tc>
      </w:tr>
      <w:tr>
        <w:trPr/>
        <w:tc>
          <w:tcPr>
            <w:tcW w:w="60"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59"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OCM IP HEALTHCARE HOLDINGS LIMITED</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34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Rob Missere</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Rob Missere</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 President</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34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Bernhard Wu</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Bernhard Wu</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 Vice President</w:t>
            </w:r>
          </w:p>
        </w:tc>
      </w:tr>
      <w:tr>
        <w:trPr/>
        <w:tc>
          <w:tcPr>
            <w:tcW w:w="60"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401"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Purchase and Sale Agreement]</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46" w:name="ex_340698.htm"/>
      <w:bookmarkStart w:id="47" w:name="ksex_340698"/>
      <w:bookmarkEnd w:id="46"/>
      <w:bookmarkEnd w:id="47"/>
      <w:r>
        <w:rPr>
          <w:rFonts w:ascii="Times New Roman" w:hAnsi="Times New Roman"/>
          <w:b/>
          <w:caps w:val="false"/>
          <w:smallCaps w:val="false"/>
          <w:sz w:val="20"/>
        </w:rPr>
        <w:t>Exhibit 10.104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personally identifiable information has been omitted from this exhibit in places marked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pursuant to Item 601(a)(6) under Regulation 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BIOCRYST PHARMACEUTICALS,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COMMON STOCK PURCHASE AGREEMENT (this “</w:t>
      </w:r>
      <w:r>
        <w:rPr>
          <w:rFonts w:ascii="Times New Roman" w:hAnsi="Times New Roman"/>
          <w:b/>
          <w:caps w:val="false"/>
          <w:smallCaps w:val="false"/>
          <w:sz w:val="20"/>
        </w:rPr>
        <w:t>Agreement</w:t>
      </w:r>
      <w:r>
        <w:rPr>
          <w:rFonts w:ascii="Times New Roman" w:hAnsi="Times New Roman"/>
          <w:caps w:val="false"/>
          <w:smallCaps w:val="false"/>
          <w:sz w:val="20"/>
        </w:rPr>
        <w:t>”) is made as of November 19, 2021 by and between BioCryst Pharmaceuticals, Inc.,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and RPI 2019 Intermediate Finance Trust, a Delaware statutory trust (the “</w:t>
      </w:r>
      <w:r>
        <w:rPr>
          <w:rFonts w:ascii="Times New Roman" w:hAnsi="Times New Roman"/>
          <w:b/>
          <w:caps w:val="false"/>
          <w:smallCaps w:val="false"/>
          <w:sz w:val="20"/>
        </w:rPr>
        <w:t>Investor</w:t>
      </w:r>
      <w:r>
        <w:rPr>
          <w:rFonts w:ascii="Times New Roman" w:hAnsi="Times New Roman"/>
          <w:caps w:val="false"/>
          <w:smallCaps w:val="false"/>
          <w:sz w:val="20"/>
        </w:rPr>
        <w:t>”). Any capitalized terms used but not defined herein shall be as defined in the 2021 PSA (as defined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or about the date hereof, the Company and the Investor have entered into that certain 2021 Purchase and Sale Agreement (the “</w:t>
      </w:r>
      <w:r>
        <w:rPr>
          <w:rFonts w:ascii="Times New Roman" w:hAnsi="Times New Roman"/>
          <w:b/>
          <w:caps w:val="false"/>
          <w:smallCaps w:val="false"/>
          <w:sz w:val="20"/>
        </w:rPr>
        <w:t>2021 PSA</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the terms set forth in this Agreement, the Company desires to issue and sell to the Investor, and the Investor desires to purchase from the Company, shares of common stock of the Company, par value $0.01 per share (the “</w:t>
      </w:r>
      <w:r>
        <w:rPr>
          <w:rFonts w:ascii="Times New Roman" w:hAnsi="Times New Roman"/>
          <w:b/>
          <w:caps w:val="false"/>
          <w:smallCaps w:val="false"/>
          <w:sz w:val="20"/>
        </w:rPr>
        <w:t>Common Stock</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premises and mutual covenants herein contained, and for other good and valuable consideration, the receipt and sufficiency of which are hereby acknowledged, the parties hereto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1</w:t>
      </w:r>
      <w:r>
        <w:rPr>
          <w:rFonts w:ascii="Times New Roman" w:hAnsi="Times New Roman"/>
          <w:caps w:val="false"/>
          <w:smallCaps w:val="false"/>
          <w:sz w:val="20"/>
        </w:rPr>
        <w:br/>
        <w:br/>
      </w:r>
      <w:r>
        <w:rPr>
          <w:rFonts w:ascii="Times New Roman" w:hAnsi="Times New Roman"/>
          <w:b/>
          <w:caps w:val="false"/>
          <w:smallCaps w:val="false"/>
          <w:sz w:val="20"/>
        </w:rPr>
        <w:t>Purchase and Sale of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i/>
          <w:caps w:val="false"/>
          <w:smallCaps w:val="false"/>
          <w:sz w:val="20"/>
        </w:rPr>
        <w:t>Sale of Shares</w:t>
      </w:r>
      <w:r>
        <w:rPr>
          <w:rFonts w:ascii="Times New Roman" w:hAnsi="Times New Roman"/>
          <w:caps w:val="false"/>
          <w:smallCaps w:val="false"/>
          <w:sz w:val="20"/>
        </w:rPr>
        <w:t>. Subject to the terms and conditions hereof and of the 2021 PSA, the Company will issue and sell to the Investor, and the Investor will purchase from the Company, at the Closing (as defined below), 3,846,154 shares of Common Stock (the “</w:t>
      </w:r>
      <w:r>
        <w:rPr>
          <w:rFonts w:ascii="Times New Roman" w:hAnsi="Times New Roman"/>
          <w:b/>
          <w:caps w:val="false"/>
          <w:smallCaps w:val="false"/>
          <w:sz w:val="20"/>
        </w:rPr>
        <w:t>Shares</w:t>
      </w:r>
      <w:r>
        <w:rPr>
          <w:rFonts w:ascii="Times New Roman" w:hAnsi="Times New Roman"/>
          <w:caps w:val="false"/>
          <w:smallCaps w:val="false"/>
          <w:sz w:val="20"/>
        </w:rPr>
        <w:t>”) at a price of $13.00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i/>
          <w:caps w:val="false"/>
          <w:smallCaps w:val="false"/>
          <w:sz w:val="20"/>
        </w:rPr>
        <w:t>Closing</w:t>
      </w:r>
      <w:r>
        <w:rPr>
          <w:rFonts w:ascii="Times New Roman" w:hAnsi="Times New Roman"/>
          <w:caps w:val="false"/>
          <w:smallCaps w:val="false"/>
          <w:sz w:val="20"/>
        </w:rPr>
        <w:t>. Subject to the satisfaction or waiver of the conditions set forth in Section 4 and Section 5 (other than those conditions that by their nature are to be satisfied at or immediately prior to the Closing, but subject to the satisfaction or waiver of those conditions), the purchase and sale of the Shares shall take place remotely via the exchange of documents and signatures (the “</w:t>
      </w:r>
      <w:r>
        <w:rPr>
          <w:rFonts w:ascii="Times New Roman" w:hAnsi="Times New Roman"/>
          <w:b/>
          <w:caps w:val="false"/>
          <w:smallCaps w:val="false"/>
          <w:sz w:val="20"/>
        </w:rPr>
        <w:t>Closing</w:t>
      </w:r>
      <w:r>
        <w:rPr>
          <w:rFonts w:ascii="Times New Roman" w:hAnsi="Times New Roman"/>
          <w:caps w:val="false"/>
          <w:smallCaps w:val="false"/>
          <w:sz w:val="20"/>
        </w:rPr>
        <w:t>”) on the closing date set forth in the 2021 PSA or at such other date, time and place as the Company and the Investor may agree in writing (the “</w:t>
      </w:r>
      <w:r>
        <w:rPr>
          <w:rFonts w:ascii="Times New Roman" w:hAnsi="Times New Roman"/>
          <w:b/>
          <w:caps w:val="false"/>
          <w:smallCaps w:val="false"/>
          <w:sz w:val="20"/>
        </w:rPr>
        <w:t>Closing Date</w:t>
      </w:r>
      <w:r>
        <w:rPr>
          <w:rFonts w:ascii="Times New Roman" w:hAnsi="Times New Roman"/>
          <w:caps w:val="false"/>
          <w:smallCaps w:val="false"/>
          <w:sz w:val="20"/>
        </w:rPr>
        <w:t>”). At the Closing, the Company will deliver or cause to be delivered to the Investor a copy of the irrevocable instructions to the Company’s transfer agent instructing such transfer agent to issue the Shares into book entry to the Investor and, concurrently, the Investor shall pay to the Company a cash amount equal to $50,000,002.00, by wire transfer of immediately available funds in accordance with the Company’s instructions provided to the Investor in writing prior to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br/>
        <w:br/>
      </w:r>
      <w:r>
        <w:rPr>
          <w:rFonts w:ascii="Times New Roman" w:hAnsi="Times New Roman"/>
          <w:b/>
          <w:caps w:val="false"/>
          <w:smallCaps w:val="false"/>
          <w:sz w:val="20"/>
        </w:rPr>
        <w:t>Representations and Warranties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Except as set forth on the Schedule of Exceptions attached hereto as </w:t>
      </w:r>
      <w:r>
        <w:rPr>
          <w:rFonts w:ascii="Times New Roman" w:hAnsi="Times New Roman"/>
          <w:caps w:val="false"/>
          <w:smallCaps w:val="false"/>
          <w:sz w:val="20"/>
          <w:u w:val="single"/>
        </w:rPr>
        <w:t>Schedule I</w:t>
      </w:r>
      <w:r>
        <w:rPr>
          <w:rFonts w:ascii="Times New Roman" w:hAnsi="Times New Roman"/>
          <w:caps w:val="false"/>
          <w:smallCaps w:val="false"/>
          <w:sz w:val="20"/>
        </w:rPr>
        <w:t>, the Company hereby represents and warrants the following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i/>
          <w:caps w:val="false"/>
          <w:smallCaps w:val="false"/>
          <w:sz w:val="20"/>
        </w:rPr>
        <w:t>Organization and Good Standing and Qualifications</w:t>
      </w:r>
      <w:r>
        <w:rPr>
          <w:rFonts w:ascii="Times New Roman" w:hAnsi="Times New Roman"/>
          <w:caps w:val="false"/>
          <w:smallCaps w:val="false"/>
          <w:sz w:val="20"/>
        </w:rPr>
        <w:t>. The Company is a corporation duly organized, validly existing and in good standing under the laws of the State of Delaware and has all requisite power and authority to own, lease, operate and occupy its properties and to carry on its business as now being conducted. Except as set forth on the Schedule of Exceptions, the Company does not own or control, directly or indirectly, any interest in any other corporation, partnership, trust, joint venture, limited liability company, association, or other business entity. The Company is not a participant in any joint venture or similar arrangement. The Company is duly qualified as a foreign corporation to do business and is in good standing in every jurisdiction in which the nature of the business conducted or property owned or leased by it makes such qualification necessary, other than those in which the failure so to qualify or be in good standing would not have a Material Adverse Effect. For purposes of this Agreement, “</w:t>
      </w:r>
      <w:r>
        <w:rPr>
          <w:rFonts w:ascii="Times New Roman" w:hAnsi="Times New Roman"/>
          <w:b/>
          <w:caps w:val="false"/>
          <w:smallCaps w:val="false"/>
          <w:sz w:val="20"/>
        </w:rPr>
        <w:t>Material Adverse Effect</w:t>
      </w:r>
      <w:r>
        <w:rPr>
          <w:rFonts w:ascii="Times New Roman" w:hAnsi="Times New Roman"/>
          <w:caps w:val="false"/>
          <w:smallCaps w:val="false"/>
          <w:sz w:val="20"/>
        </w:rPr>
        <w:t>” shall mean any event or condition that would reasonably be likely to have a material adverse effect on the business, operations, properties, condition (financial or otherwise) or prospects of the Company and its consolidated subsidiaries (if any), taken as a whole, or adversely affect in any material respect the ability of the Company to perform its obligations, or Investor’s rights, under the 2021 PSA.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i/>
          <w:caps w:val="false"/>
          <w:smallCaps w:val="false"/>
          <w:sz w:val="20"/>
        </w:rPr>
        <w:t>Authorization</w:t>
      </w:r>
      <w:r>
        <w:rPr>
          <w:rFonts w:ascii="Times New Roman" w:hAnsi="Times New Roman"/>
          <w:caps w:val="false"/>
          <w:smallCaps w:val="false"/>
          <w:sz w:val="20"/>
        </w:rPr>
        <w:t>. (i) The Company has the requisite corporate power and authority to enter into and perform its obligations under this Agreement; (ii) the execution and delivery of this Agreement by the Company, the consummation by the Company of the transactions contemplated hereby and thereby and the issuance, sale and delivery of the Shares have been duly authorized by all necessary corporate action and no further consent or authorization of the Company, its Board of Directors or stockholders is required; and (iii) this Agreement has been duly executed and delivered and constitutes a valid and binding obligation of the Company enforceable against the Company in accordance with its terms, except as such enforceability may be limited by applicable bankruptcy, securities, insolvency, or similar laws relating to, or affecting generally the enforcement of, creditors’ rights and remedies, or indemnification or by other equitable principles of general application.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i/>
          <w:caps w:val="false"/>
          <w:smallCaps w:val="false"/>
          <w:sz w:val="20"/>
        </w:rPr>
        <w:t>Valid Issuance of Shares</w:t>
      </w:r>
      <w:r>
        <w:rPr>
          <w:rFonts w:ascii="Times New Roman" w:hAnsi="Times New Roman"/>
          <w:caps w:val="false"/>
          <w:smallCaps w:val="false"/>
          <w:sz w:val="20"/>
        </w:rPr>
        <w:t>. The issuance of the Shares has been duly authorized by all requisite corporate action. When the Shares are issued, sold and delivered in accordance with the terms of this Agreement for the consideration expressed herein, the Shares will be duly and validly issued and outstanding, fully paid, and nonassessable, and will be free of all liens and restrictions on transfer other than restrictions on transfer under applicable state and federal securities laws, and the Investor shall be entitled to all rights accorded to a holder of shares of Common Stock. The Company has reserved a sufficient number of shares of Common Stock for issuance to the Investor in accordance with the Company’s obligations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b/>
          <w:i/>
          <w:caps w:val="false"/>
          <w:smallCaps w:val="false"/>
          <w:sz w:val="20"/>
        </w:rPr>
        <w:t>No Conflict</w:t>
      </w:r>
      <w:r>
        <w:rPr>
          <w:rFonts w:ascii="Times New Roman" w:hAnsi="Times New Roman"/>
          <w:caps w:val="false"/>
          <w:smallCaps w:val="false"/>
          <w:sz w:val="20"/>
        </w:rPr>
        <w:t>. The execution, delivery and performance of this Agreement, and any other document or instrument contemplated hereby, by the Company and the consummation by the Company of the transactions contemplated hereby, do not: (i) violate any provision of the certificate of incorporation or bylaws of the Company, (ii) conflict with, or constitute a default (or an event which with notice or lapse of time or both would become a default) under, or give to others any rights of termination, amendment, acceleration or cancellation of, any material agreement, mortgage, deed of trust, indenture, note, bond, license, lease agreement, instrument or obligation to which the Company is a party where such default or conflict would constitute a Material Adverse Effect, (iii) create or impose a lien, charge or encumbrance on any property of the Company under any agreement or any commitment to which the Company is a party or by which the Company is bound, which would constitute a Material Adverse Effect, or (iv) result in a violation of any federal, state, local or foreign statute, rule, regulation, order, writ, judgment or decree (including federal and state securities laws and regulations) applicable to the Company or any of its subsidiaries or by which any property or asset of the Company are bound or affected where such violation would constitute a Material Adverse Effect. The Company is not required under federal, state or local law, rule or regulation to obtain any consent, authorization or order of, or make any filing or registration with, any court or governmental agency in order for it to execute, deliver or perform any of its obligations under this Agreement or issue and sell the Shares in accordance with the terms hereof (other than any filings that may be required to be made by the Company with the Securities and Exchange Commission (the “</w:t>
      </w:r>
      <w:r>
        <w:rPr>
          <w:rFonts w:ascii="Times New Roman" w:hAnsi="Times New Roman"/>
          <w:b/>
          <w:caps w:val="false"/>
          <w:smallCaps w:val="false"/>
          <w:sz w:val="20"/>
        </w:rPr>
        <w:t>Commission</w:t>
      </w:r>
      <w:r>
        <w:rPr>
          <w:rFonts w:ascii="Times New Roman" w:hAnsi="Times New Roman"/>
          <w:caps w:val="false"/>
          <w:smallCaps w:val="false"/>
          <w:sz w:val="20"/>
        </w:rPr>
        <w:t>”), the National Association of Securities Dealers Automated Quotation System (“</w:t>
      </w:r>
      <w:r>
        <w:rPr>
          <w:rFonts w:ascii="Times New Roman" w:hAnsi="Times New Roman"/>
          <w:b/>
          <w:caps w:val="false"/>
          <w:smallCaps w:val="false"/>
          <w:sz w:val="20"/>
        </w:rPr>
        <w:t>Nasdaq</w:t>
      </w:r>
      <w:r>
        <w:rPr>
          <w:rFonts w:ascii="Times New Roman" w:hAnsi="Times New Roman"/>
          <w:caps w:val="false"/>
          <w:smallCaps w:val="false"/>
          <w:sz w:val="20"/>
        </w:rPr>
        <w:t>”), the Nasdaq Global Select Market (the “</w:t>
      </w:r>
      <w:r>
        <w:rPr>
          <w:rFonts w:ascii="Times New Roman" w:hAnsi="Times New Roman"/>
          <w:b/>
          <w:caps w:val="false"/>
          <w:smallCaps w:val="false"/>
          <w:sz w:val="20"/>
        </w:rPr>
        <w:t>NASDAQ Market</w:t>
      </w:r>
      <w:r>
        <w:rPr>
          <w:rFonts w:ascii="Times New Roman" w:hAnsi="Times New Roman"/>
          <w:caps w:val="false"/>
          <w:smallCaps w:val="false"/>
          <w:sz w:val="20"/>
        </w:rPr>
        <w:t xml:space="preserve">”) or state securities commissions subsequent to the Closing);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of the representation made in this sentence, the Company is assuming and relying upon the accuracy of the relevant representations and agreements of the Investor herein.</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b/>
          <w:i/>
          <w:caps w:val="false"/>
          <w:smallCaps w:val="false"/>
          <w:sz w:val="20"/>
        </w:rPr>
        <w:t xml:space="preserve">Consents. </w:t>
      </w:r>
      <w:r>
        <w:rPr>
          <w:rFonts w:ascii="Times New Roman" w:hAnsi="Times New Roman"/>
          <w:caps w:val="false"/>
          <w:smallCaps w:val="false"/>
          <w:sz w:val="20"/>
        </w:rPr>
        <w:t>Except for the consents that have been obtained on or prior to the Closing or filings required to be made by the Company with federal or state securities commissions, Nasdaq or the NASDAQ Market, no consent, approval, license, order, authorization, registration, declaration or filing with or of any governmental entity or other person is required to be done or obtained by the Company (including, without limitation, pursuant to any material contract to which the Company is subject or to which any of its assets, operations or management may be subject) in connection with (i) the execution and delivery by the Company of this Agreement, (ii) the performance by the Company of its obligations under this Agreement, the consummation by the Company of any of the transactions contemplated by this Agreement, including the issuance and sale of the Shares in accordance with the terms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b/>
          <w:i/>
          <w:caps w:val="false"/>
          <w:smallCaps w:val="false"/>
          <w:sz w:val="20"/>
        </w:rPr>
        <w:t>Compliance</w:t>
      </w:r>
      <w:r>
        <w:rPr>
          <w:rFonts w:ascii="Times New Roman" w:hAnsi="Times New Roman"/>
          <w:caps w:val="false"/>
          <w:smallCaps w:val="false"/>
          <w:sz w:val="20"/>
        </w:rPr>
        <w:t>. The Company is not, and the execution and delivery of this Agreement and the consummation of the transactions contemplated herewith will not cause the Company to be (i) in violation or default of any provision of any instrument, mortgage, deed of trust, loan, contract or commitment, (ii) in violation of any provision of any judgment, decree, order or obligation to which it is a party or by which it or any of its properties or assets are bound, or (iii) in violation of any federal, state or, to its knowledge, local statute, rule or governmental regulation, in the case of each of clauses (i), (ii) and (iii), which would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2.7    </w:t>
      </w:r>
      <w:r>
        <w:rPr>
          <w:rFonts w:ascii="Times New Roman" w:hAnsi="Times New Roman"/>
          <w:b/>
          <w:i/>
          <w:caps w:val="false"/>
          <w:smallCaps w:val="false"/>
          <w:sz w:val="20"/>
        </w:rPr>
        <w:t>Capitalization</w:t>
      </w:r>
      <w:r>
        <w:rPr>
          <w:rFonts w:ascii="Times New Roman" w:hAnsi="Times New Roman"/>
          <w:caps w:val="false"/>
          <w:smallCaps w:val="false"/>
          <w:sz w:val="20"/>
        </w:rPr>
        <w:t>. As of October 29, 2021 (the “</w:t>
      </w:r>
      <w:r>
        <w:rPr>
          <w:rFonts w:ascii="Times New Roman" w:hAnsi="Times New Roman"/>
          <w:b/>
          <w:caps w:val="false"/>
          <w:smallCaps w:val="false"/>
          <w:sz w:val="20"/>
        </w:rPr>
        <w:t>Reference Date</w:t>
      </w:r>
      <w:r>
        <w:rPr>
          <w:rFonts w:ascii="Times New Roman" w:hAnsi="Times New Roman"/>
          <w:caps w:val="false"/>
          <w:smallCaps w:val="false"/>
          <w:sz w:val="20"/>
        </w:rPr>
        <w:t>”), a total of 179,936,171 shares of Common Stock were issued and outstanding, increased thereafter solely as set forth in the next sentence. Other than in the ordinary course of business, the Company has not issued any capital stock since the Reference Date other than pursuant to (i) employee benefit plans disclosed in the Commission Documents (as hereinafter defined), and (ii) outstanding warrants, options or other securities disclosed in the Commission Documents. The outstanding shares of capital stock of the Company have been duly and validly issued and are fully paid and nonassessable, were not issued in violation of any preemptive rights or similar rights to subscribe for or purchase securities, and, for those shares issued until the Closing, have been issued in compliance with all federal and state securities laws, in each case except as would not reasonably be expected to have a Material Adverse Effect. Except as set forth in the Commission Documents, there are no outstanding rights (including, without limitation, preemptive rights), warrants or options to acquire, or instruments convertible into or exchangeable for, any unissued shares of capital stock or other equity interest in the Company, or any contract, commitment, agreement, understanding or arrangement of any kind to which the Company is a party and relating to the issuance or sale of any capital stock of the Company, any such convertible or exchangeable securities or any such rights, warrants or options. Without limiting the foregoing, no preemptive right, co-sale right, right of first refusal, registration right, or other similar right exists with respect to the Shares or the issuance and sale thereof. There are no shareholder agreements, voting agreements or other similar agreements with respect to the voting or tendering of the Shares to which the Company is a party or, to the knowledge of the Company, between or among any of the Company’s shareholders.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2.8    </w:t>
      </w:r>
      <w:r>
        <w:rPr>
          <w:rFonts w:ascii="Times New Roman" w:hAnsi="Times New Roman"/>
          <w:b/>
          <w:i/>
          <w:caps w:val="false"/>
          <w:smallCaps w:val="false"/>
          <w:sz w:val="20"/>
        </w:rPr>
        <w:t>Commission Documents, Financial Statements</w:t>
      </w:r>
      <w:r>
        <w:rPr>
          <w:rFonts w:ascii="Times New Roman" w:hAnsi="Times New Roman"/>
          <w:caps w:val="false"/>
          <w:smallCaps w:val="false"/>
          <w:sz w:val="20"/>
        </w:rPr>
        <w:t>. The Company’s Common Stock is registered pursuant to Section 12(b) or 12(g) of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 and during the past 12 months, the Company has timely filed all reports, schedules, forms, statements and other documents required to be filed by it with the Commission pursuant to the reporting requirements of the Exchange Act, including material filed pursuant to Section 13(a) or 15(d) of the Exchange Act (all of the foregoing, including filings incorporated by reference therein, being referred to herein as the “</w:t>
      </w:r>
      <w:r>
        <w:rPr>
          <w:rFonts w:ascii="Times New Roman" w:hAnsi="Times New Roman"/>
          <w:b/>
          <w:caps w:val="false"/>
          <w:smallCaps w:val="false"/>
          <w:sz w:val="20"/>
        </w:rPr>
        <w:t>Commission Documents</w:t>
      </w:r>
      <w:r>
        <w:rPr>
          <w:rFonts w:ascii="Times New Roman" w:hAnsi="Times New Roman"/>
          <w:caps w:val="false"/>
          <w:smallCaps w:val="false"/>
          <w:sz w:val="20"/>
        </w:rPr>
        <w:t>”). The Company’s Common Stock is currently listed on the NASDAQ Market. The Company is not in violation of the listing requirements of the NASDAQ Market and has no knowledge of any facts that would reasonably lead to delisting or suspension of its Common Stock from the NASDAQ Market in the foreseeable future. As of its date, each Commission Document filed within the past 12 months complied in all material respects with the requirements of the Exchange Act and the rules and regulations of the Commission promulgated thereunder applicable to such document, and, as of its date, after giving effect to the information disclosed and incorporated by reference therein, no such Commission Document within the past 12 months contained any untrue statement of a material fact or omitted to state a material fact required to be stated therein or necessary in order to make the statements therein, in light of the circumstances under which they were made, not misleading. As of their respective dates, the financial statements of the Company included in the Commission Documents filed with the Commission during the past 12 months complied as to form and substance in all material respects with applicable accounting requirements and the published rules and regulations of the Commission or other applicable rules and regulations with respect thereto. Such financial statements have been prepared in accordance with GAAP applied on a consistent basis during the periods involved (except (i) as may be otherwise indicated in such financial statements or the notes thereto or (ii) in the case of unaudited interim financial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year-end audit adjustments).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2.9    </w:t>
      </w:r>
      <w:r>
        <w:rPr>
          <w:rFonts w:ascii="Times New Roman" w:hAnsi="Times New Roman"/>
          <w:b/>
          <w:i/>
          <w:caps w:val="false"/>
          <w:smallCaps w:val="false"/>
          <w:sz w:val="20"/>
        </w:rPr>
        <w:t>Internal Controls and Procedures.</w:t>
      </w:r>
      <w:r>
        <w:rPr>
          <w:rFonts w:ascii="Times New Roman" w:hAnsi="Times New Roman"/>
          <w:caps w:val="false"/>
          <w:smallCaps w:val="false"/>
          <w:sz w:val="20"/>
        </w:rPr>
        <w:t xml:space="preserve"> The Company maintains disclosure controls and procedures as such terms are defined in, and required by, Rule 13a-15 and Rule 15d-15 under the Exchange Act. Such disclosure controls and procedures are effective as of the latest date of management’s evaluation of such disclosure controls and procedures as set forth in the Commission Documents to ensure that all material information required to be disclosed by the Company in the reports that it files or furnishes under the Exchange Act is recorded, processed, summarized and reported within the time periods specified in the rules and forms of the Commission. The Company maintains a system of internal controls over financial reporting sufficient to provide reasonable assurance that (i) transactions are executed in accordance with management’s general or specific authorizations; and (ii) transactions are recorded as necessary to permit preparation of financial statements in conformity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2.10    </w:t>
      </w:r>
      <w:r>
        <w:rPr>
          <w:rFonts w:ascii="Times New Roman" w:hAnsi="Times New Roman"/>
          <w:b/>
          <w:i/>
          <w:caps w:val="false"/>
          <w:smallCaps w:val="false"/>
          <w:sz w:val="20"/>
        </w:rPr>
        <w:t>Material Adverse Change</w:t>
      </w:r>
      <w:r>
        <w:rPr>
          <w:rFonts w:ascii="Times New Roman" w:hAnsi="Times New Roman"/>
          <w:caps w:val="false"/>
          <w:smallCaps w:val="false"/>
          <w:sz w:val="20"/>
        </w:rPr>
        <w:t>. Except as disclosed in the Commission Documents, since September 30, 2021, no event or series of events has or have occurred that would, individually or in the aggregate, have a Material Adverse Effect on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2.11    </w:t>
      </w:r>
      <w:r>
        <w:rPr>
          <w:rFonts w:ascii="Times New Roman" w:hAnsi="Times New Roman"/>
          <w:b/>
          <w:i/>
          <w:caps w:val="false"/>
          <w:smallCaps w:val="false"/>
          <w:sz w:val="20"/>
        </w:rPr>
        <w:t>No Undisclosed Liabilities</w:t>
      </w:r>
      <w:r>
        <w:rPr>
          <w:rFonts w:ascii="Times New Roman" w:hAnsi="Times New Roman"/>
          <w:caps w:val="false"/>
          <w:smallCaps w:val="false"/>
          <w:sz w:val="20"/>
        </w:rPr>
        <w:t>. Neither the Company nor any of its subsidiaries has any liabilities, obligations, claims or losses (whether liquidated or unliquidated, secured or unsecured, absolute, accrued, contingent or otherwise) that would be required to be disclosed on a balance sheet of the Company or any of its subsidiaries (including the notes thereto) in conformity with GAAP and are not disclosed in the Commission Documents, other than those incurred in the ordinary course of the Company’s or its subsidiaries’ respective businesses since September 30,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2.12    </w:t>
      </w:r>
      <w:r>
        <w:rPr>
          <w:rFonts w:ascii="Times New Roman" w:hAnsi="Times New Roman"/>
          <w:b/>
          <w:i/>
          <w:caps w:val="false"/>
          <w:smallCaps w:val="false"/>
          <w:sz w:val="20"/>
        </w:rPr>
        <w:t>No Undisclosed Events or Circumstances</w:t>
      </w:r>
      <w:r>
        <w:rPr>
          <w:rFonts w:ascii="Times New Roman" w:hAnsi="Times New Roman"/>
          <w:caps w:val="false"/>
          <w:smallCaps w:val="false"/>
          <w:sz w:val="20"/>
        </w:rPr>
        <w:t>. Except for the transactions contemplated by this Agreement and the 2021 PSA, no event or circumstance has occurred or exists with respect to the Company, its subsidiaries, or their respective businesses, properties, operations or financial condition, which, under applicable law, rule or regulation, requires public disclosure or announcement by the Company but which has not been so publicly announced or disclosed and which, individually or in the aggregate, would have a Material Adverse Effect on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2.13    </w:t>
      </w:r>
      <w:r>
        <w:rPr>
          <w:rFonts w:ascii="Times New Roman" w:hAnsi="Times New Roman"/>
          <w:b/>
          <w:i/>
          <w:caps w:val="false"/>
          <w:smallCaps w:val="false"/>
          <w:sz w:val="20"/>
        </w:rPr>
        <w:t>Actions Pending</w:t>
      </w:r>
      <w:r>
        <w:rPr>
          <w:rFonts w:ascii="Times New Roman" w:hAnsi="Times New Roman"/>
          <w:caps w:val="false"/>
          <w:smallCaps w:val="false"/>
          <w:sz w:val="20"/>
        </w:rPr>
        <w:t>. There is no action, suit, claim, investigation or proceeding pending or, to the knowledge of the Company, threatened against the Company or any subsidiary which questions the validity of this Agreement or the transactions contemplated hereby or any action taken or to be taken pursuant hereto. Except as set forth in the Commission Documents, there is no action, suit, claim, investigation or proceeding pending or, to the knowledge of the Company, threatened, against or involving the Company, any subsidiary, or any of their respective properties or assets that could be reasonably expected to have a Material Adverse Effect on the Company. Except as set forth in the Commission Documents, no judgment, order, writ, injunction or decree or award has been issued by or, to the knowledge of the Company, requested of any court, arbitrator or governmental agency which could be reasonably expected to result 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2.14    </w:t>
      </w:r>
      <w:r>
        <w:rPr>
          <w:rFonts w:ascii="Times New Roman" w:hAnsi="Times New Roman"/>
          <w:b/>
          <w:i/>
          <w:caps w:val="false"/>
          <w:smallCaps w:val="false"/>
          <w:sz w:val="20"/>
        </w:rPr>
        <w:t>Compliance with Law</w:t>
      </w:r>
      <w:r>
        <w:rPr>
          <w:rFonts w:ascii="Times New Roman" w:hAnsi="Times New Roman"/>
          <w:caps w:val="false"/>
          <w:smallCaps w:val="false"/>
          <w:sz w:val="20"/>
        </w:rPr>
        <w:t>. The businesses of the Company and its subsidiaries have been and are presently being conducted in accordance with all applicable federal, state and local governmental laws, rules, regulations and ordinances, except as would not reasonably be expected to cause a Material Adverse Effect. The Company and each of its subsidiaries have all franchises, permits, licenses, consents and other governmental or regulatory authorizations and approvals necessary for the conduct of its business as now being conducted by it, except for such franchises, permits, licenses, consents and other governmental or regulatory authorizations and approvals, the failure to possess which, individually or in the aggregate, could not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2.15    </w:t>
      </w:r>
      <w:r>
        <w:rPr>
          <w:rFonts w:ascii="Times New Roman" w:hAnsi="Times New Roman"/>
          <w:b/>
          <w:i/>
          <w:caps w:val="false"/>
          <w:smallCaps w:val="false"/>
          <w:sz w:val="20"/>
        </w:rPr>
        <w:t>Exemption from Registration, Valid Issuance</w:t>
      </w:r>
      <w:r>
        <w:rPr>
          <w:rFonts w:ascii="Times New Roman" w:hAnsi="Times New Roman"/>
          <w:caps w:val="false"/>
          <w:smallCaps w:val="false"/>
          <w:sz w:val="20"/>
        </w:rPr>
        <w:t>. Subject to, and in reliance on, the representations, warranties and covenants made herein by the Investor, the issuance and sale of the Shares in accordance with the terms and on the bases of the representations and warranties set forth in this Agreement, may and shall be properly issued pursuant to Section 4(a)(2) of the Securities Act of 1933, as amended (the “</w:t>
      </w:r>
      <w:r>
        <w:rPr>
          <w:rFonts w:ascii="Times New Roman" w:hAnsi="Times New Roman"/>
          <w:b/>
          <w:caps w:val="false"/>
          <w:smallCaps w:val="false"/>
          <w:sz w:val="20"/>
        </w:rPr>
        <w:t>Securities Act</w:t>
      </w:r>
      <w:r>
        <w:rPr>
          <w:rFonts w:ascii="Times New Roman" w:hAnsi="Times New Roman"/>
          <w:caps w:val="false"/>
          <w:smallCaps w:val="false"/>
          <w:sz w:val="20"/>
        </w:rPr>
        <w:t>”), Regulation D promulgated pursuant to the Act (“</w:t>
      </w:r>
      <w:r>
        <w:rPr>
          <w:rFonts w:ascii="Times New Roman" w:hAnsi="Times New Roman"/>
          <w:b/>
          <w:caps w:val="false"/>
          <w:smallCaps w:val="false"/>
          <w:sz w:val="20"/>
        </w:rPr>
        <w:t>Regulation D</w:t>
      </w:r>
      <w:r>
        <w:rPr>
          <w:rFonts w:ascii="Times New Roman" w:hAnsi="Times New Roman"/>
          <w:caps w:val="false"/>
          <w:smallCaps w:val="false"/>
          <w:sz w:val="20"/>
        </w:rPr>
        <w:t>”) and/or any other applicable federal and state securities laws. The sale and issuance of the Shares pursuant to, and the Company’s performance of its obligations under, this Agreement will not (i) result in the creation or imposition of any liens, charges, claims or other encumbrances upon the Shares or any of the assets of the Company, or (ii) entitle the holders of any outstanding shares of capital stock of the Company to preemptive or other rights to subscribe to or acquire the Shares or other securities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2.16    </w:t>
      </w:r>
      <w:r>
        <w:rPr>
          <w:rFonts w:ascii="Times New Roman" w:hAnsi="Times New Roman"/>
          <w:b/>
          <w:i/>
          <w:caps w:val="false"/>
          <w:smallCaps w:val="false"/>
          <w:sz w:val="20"/>
        </w:rPr>
        <w:t>Transfer Taxes</w:t>
      </w:r>
      <w:r>
        <w:rPr>
          <w:rFonts w:ascii="Times New Roman" w:hAnsi="Times New Roman"/>
          <w:caps w:val="false"/>
          <w:smallCaps w:val="false"/>
          <w:sz w:val="20"/>
        </w:rPr>
        <w:t>. All stock transfer or other taxes (other than income taxes) which are required to be paid in connection with the sale and transfer of the Shares to be sold to the Investor hereunder will be, or will have been, fully paid or provided for by the Company and all laws imposing such taxes will be, or will have been, fully complied with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2.17    </w:t>
      </w:r>
      <w:r>
        <w:rPr>
          <w:rFonts w:ascii="Times New Roman" w:hAnsi="Times New Roman"/>
          <w:b/>
          <w:i/>
          <w:caps w:val="false"/>
          <w:smallCaps w:val="false"/>
          <w:sz w:val="20"/>
        </w:rPr>
        <w:t>Investment Company</w:t>
      </w:r>
      <w:r>
        <w:rPr>
          <w:rFonts w:ascii="Times New Roman" w:hAnsi="Times New Roman"/>
          <w:caps w:val="false"/>
          <w:smallCaps w:val="false"/>
          <w:sz w:val="20"/>
        </w:rPr>
        <w:t>. The Company is not, and after giving effect to the offering and sale of the Shares will not be, an “investment company” as defined in the Investment Company Act of 1940,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2.18    </w:t>
      </w:r>
      <w:r>
        <w:rPr>
          <w:rFonts w:ascii="Times New Roman" w:hAnsi="Times New Roman"/>
          <w:b/>
          <w:i/>
          <w:caps w:val="false"/>
          <w:smallCaps w:val="false"/>
          <w:sz w:val="20"/>
        </w:rPr>
        <w:t>Brokers</w:t>
      </w:r>
      <w:r>
        <w:rPr>
          <w:rFonts w:ascii="Times New Roman" w:hAnsi="Times New Roman"/>
          <w:caps w:val="false"/>
          <w:smallCaps w:val="false"/>
          <w:sz w:val="20"/>
        </w:rPr>
        <w:t>. Except as expressly set forth in the 2021 PSA, no brokers, finders or financial advisory fees or commissions will be payable by the Company or any of its subsidiaries in respect of the transactions contemplated by this Agreement or the 2021 PSA.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3</w:t>
      </w:r>
      <w:r>
        <w:rPr>
          <w:rFonts w:ascii="Times New Roman" w:hAnsi="Times New Roman"/>
          <w:caps w:val="false"/>
          <w:smallCaps w:val="false"/>
          <w:sz w:val="20"/>
        </w:rPr>
        <w:br/>
        <w:br/>
      </w:r>
      <w:r>
        <w:rPr>
          <w:rFonts w:ascii="Times New Roman" w:hAnsi="Times New Roman"/>
          <w:b/>
          <w:caps w:val="false"/>
          <w:smallCaps w:val="false"/>
          <w:sz w:val="20"/>
        </w:rPr>
        <w:t>Representations and Warranties of the Investor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Investor hereby represents and warrants the following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b/>
          <w:i/>
          <w:caps w:val="false"/>
          <w:smallCaps w:val="false"/>
          <w:sz w:val="20"/>
        </w:rPr>
        <w:t>Experience</w:t>
      </w:r>
      <w:r>
        <w:rPr>
          <w:rFonts w:ascii="Times New Roman" w:hAnsi="Times New Roman"/>
          <w:caps w:val="false"/>
          <w:smallCaps w:val="false"/>
          <w:sz w:val="20"/>
        </w:rPr>
        <w:t>. The Investor is experienced in evaluating companies such as the Company, has such knowledge and experience in financial and business matters that the Investor is capable of evaluating the merits and risks of the Investor’s prospective investment in the Company, and has the ability to bear the economic risks of the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b/>
          <w:i/>
          <w:caps w:val="false"/>
          <w:smallCaps w:val="false"/>
          <w:sz w:val="20"/>
        </w:rPr>
        <w:t>Investment</w:t>
      </w:r>
      <w:r>
        <w:rPr>
          <w:rFonts w:ascii="Times New Roman" w:hAnsi="Times New Roman"/>
          <w:caps w:val="false"/>
          <w:smallCaps w:val="false"/>
          <w:sz w:val="20"/>
        </w:rPr>
        <w:t>. The Investor is acquiring the Shares for investment for the Investor’s own account and not with the view to, or for resale in connection with, any distribution thereof. The Investor understands that the Shares have not been and will not be registered under the Securities Act by reason of a specific exemption from the registration provisions of the Securities Act which depends upon, among other things, the bona fide nature of the investment intent as expressed herein. The Investor further represents that it does not have any contract, undertaking, agreement or arrangement with any person to sell, transfer or grant participation to any third person with respect to any of the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b/>
          <w:i/>
          <w:caps w:val="false"/>
          <w:smallCaps w:val="false"/>
          <w:sz w:val="20"/>
        </w:rPr>
        <w:t>Rule</w:t>
      </w:r>
      <w:r>
        <w:rPr>
          <w:rFonts w:ascii="Times New Roman" w:hAnsi="Times New Roman"/>
          <w:caps w:val="false"/>
          <w:smallCaps w:val="false"/>
          <w:sz w:val="20"/>
        </w:rPr>
        <w:t> </w:t>
      </w:r>
      <w:r>
        <w:rPr>
          <w:rFonts w:ascii="Times New Roman" w:hAnsi="Times New Roman"/>
          <w:b/>
          <w:i/>
          <w:caps w:val="false"/>
          <w:smallCaps w:val="false"/>
          <w:sz w:val="20"/>
        </w:rPr>
        <w:t>144</w:t>
      </w:r>
      <w:r>
        <w:rPr>
          <w:rFonts w:ascii="Times New Roman" w:hAnsi="Times New Roman"/>
          <w:caps w:val="false"/>
          <w:smallCaps w:val="false"/>
          <w:sz w:val="20"/>
        </w:rPr>
        <w:t>. The Investor acknowledges that the Shares must be held indefinitely unless subsequently registered under the Securities Act or an exemption from such registration is available. The Investor is aware of the provisions of Rule 144 promulgated under the Securities Act which permit limited resale of shares purchased in a private placement subject to the satisfaction of certain conditions. In connection therewith, the Investor acknowledges that the Company will make a notation on its stock books regarding the restrictions on transfers set forth in this Section 3, subject to Section 6.2, and will transfer the Shares on the books of the Company only to the extent not inconsistent herewith and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b/>
          <w:i/>
          <w:caps w:val="false"/>
          <w:smallCaps w:val="false"/>
          <w:sz w:val="20"/>
        </w:rPr>
        <w:t>Access to Information</w:t>
      </w:r>
      <w:r>
        <w:rPr>
          <w:rFonts w:ascii="Times New Roman" w:hAnsi="Times New Roman"/>
          <w:caps w:val="false"/>
          <w:smallCaps w:val="false"/>
          <w:sz w:val="20"/>
        </w:rPr>
        <w:t>. The Investor has received and reviewed information about the Company and has had an opportunity to discuss the Company’s business, management and financial affairs with its management. The Investor has had a full opportunity to ask questions of and receive answers from the Company, or any person or persons acting on behalf of the Company, concerning the terms and conditions of an investment in the Shares. The Investor is not relying upon, and has not relied upon, any statement, representation or warranty made by any person, except for the statements, representations and warranties contained in this Agreement and the 2021 PSA.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3.5    </w:t>
      </w:r>
      <w:r>
        <w:rPr>
          <w:rFonts w:ascii="Times New Roman" w:hAnsi="Times New Roman"/>
          <w:b/>
          <w:i/>
          <w:caps w:val="false"/>
          <w:smallCaps w:val="false"/>
          <w:sz w:val="20"/>
        </w:rPr>
        <w:t>Authorization</w:t>
      </w:r>
      <w:r>
        <w:rPr>
          <w:rFonts w:ascii="Times New Roman" w:hAnsi="Times New Roman"/>
          <w:caps w:val="false"/>
          <w:smallCaps w:val="false"/>
          <w:sz w:val="20"/>
        </w:rPr>
        <w:t>. This Agreement when executed and delivered by the Investor will constitute a valid and legally binding obligation of the Investor, enforceable in accordance with its terms, subject to: (i) judicial principles respecting election of remedies or limiting the availability of specific performance, injunctive relief, and other equitable remedies; and (ii) bankruptcy, insolvency, reorganization, moratorium or other similar laws now or hereafter in effect generally relating to or affecting creditors’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3.6    </w:t>
      </w:r>
      <w:r>
        <w:rPr>
          <w:rFonts w:ascii="Times New Roman" w:hAnsi="Times New Roman"/>
          <w:b/>
          <w:i/>
          <w:caps w:val="false"/>
          <w:smallCaps w:val="false"/>
          <w:sz w:val="20"/>
        </w:rPr>
        <w:t>Investor Status</w:t>
      </w:r>
      <w:r>
        <w:rPr>
          <w:rFonts w:ascii="Times New Roman" w:hAnsi="Times New Roman"/>
          <w:caps w:val="false"/>
          <w:smallCaps w:val="false"/>
          <w:sz w:val="20"/>
        </w:rPr>
        <w:t>. The Investor acknowledges that it is either (i) an institutional “accredited investor” as defined in Rule 501(a) of Regulation D of the Securities Act (an “</w:t>
      </w:r>
      <w:r>
        <w:rPr>
          <w:rFonts w:ascii="Times New Roman" w:hAnsi="Times New Roman"/>
          <w:b/>
          <w:caps w:val="false"/>
          <w:smallCaps w:val="false"/>
          <w:sz w:val="20"/>
        </w:rPr>
        <w:t>Institutional Accredited Investor</w:t>
      </w:r>
      <w:r>
        <w:rPr>
          <w:rFonts w:ascii="Times New Roman" w:hAnsi="Times New Roman"/>
          <w:caps w:val="false"/>
          <w:smallCaps w:val="false"/>
          <w:sz w:val="20"/>
        </w:rPr>
        <w:t>”) or (ii) a “qualified institutional buyer” as defined in Rule 144A of the Securities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3.7    </w:t>
      </w:r>
      <w:r>
        <w:rPr>
          <w:rFonts w:ascii="Times New Roman" w:hAnsi="Times New Roman"/>
          <w:b/>
          <w:i/>
          <w:caps w:val="false"/>
          <w:smallCaps w:val="false"/>
          <w:sz w:val="20"/>
        </w:rPr>
        <w:t>No Inducement</w:t>
      </w:r>
      <w:r>
        <w:rPr>
          <w:rFonts w:ascii="Times New Roman" w:hAnsi="Times New Roman"/>
          <w:caps w:val="false"/>
          <w:smallCaps w:val="false"/>
          <w:sz w:val="20"/>
        </w:rPr>
        <w:t>. The Investor was not induced to participate in the offer and sale of the Shares by the filing of any registration statement in connection with any public offering of the Company’s securities, and the Investor’s decision to purchase the Shares hereunder was not influenced by the information contained in any such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4</w:t>
      </w:r>
      <w:r>
        <w:rPr>
          <w:rFonts w:ascii="Times New Roman" w:hAnsi="Times New Roman"/>
          <w:caps w:val="false"/>
          <w:smallCaps w:val="false"/>
          <w:sz w:val="20"/>
        </w:rPr>
        <w:br/>
        <w:br/>
      </w:r>
      <w:r>
        <w:rPr>
          <w:rFonts w:ascii="Times New Roman" w:hAnsi="Times New Roman"/>
          <w:b/>
          <w:caps w:val="false"/>
          <w:smallCaps w:val="false"/>
          <w:sz w:val="20"/>
        </w:rPr>
        <w:t>Conditions to Investor</w:t>
      </w:r>
      <w:r>
        <w:rPr>
          <w:rFonts w:ascii="Times New Roman" w:hAnsi="Times New Roman"/>
          <w:caps w:val="false"/>
          <w:smallCaps w:val="false"/>
          <w:sz w:val="20"/>
        </w:rPr>
        <w:t>’</w:t>
      </w:r>
      <w:r>
        <w:rPr>
          <w:rFonts w:ascii="Times New Roman" w:hAnsi="Times New Roman"/>
          <w:b/>
          <w:caps w:val="false"/>
          <w:smallCaps w:val="false"/>
          <w:sz w:val="20"/>
        </w:rPr>
        <w:t>s Obligations at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obligations of the Investor under this Agreement are subject to the fulfillment on or before the Closing of each of the following conditions, any of which may be waived in writing by the Investor (except to the extent not permitted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b/>
          <w:i/>
          <w:caps w:val="false"/>
          <w:smallCaps w:val="false"/>
          <w:sz w:val="20"/>
        </w:rPr>
        <w:t>No Injunction, etc</w:t>
      </w:r>
      <w:r>
        <w:rPr>
          <w:rFonts w:ascii="Times New Roman" w:hAnsi="Times New Roman"/>
          <w:caps w:val="false"/>
          <w:smallCaps w:val="false"/>
          <w:sz w:val="20"/>
        </w:rPr>
        <w:t>. No preliminary or permanent injunction or other binding order, decree or ruling issued by a court or governmental agency shall be in effect which shall have the effect of preventing the consummation of the transactions contemplated by this Agreement. No action or claim shall be pending before any court or quasi-judicial or administrative agency of any federal, state, local or foreign jurisdiction or before any arbitrator wherein an unfavorable injunction, judgment, order, decree, ruling or charge would be reasonably likely to (i) prevent consummation of any of the transactions contemplated by this Agreement, (ii) cause any of the transactions contemplated by this Agreement to be rescinded following consummation or (iii) have the effect of making illegal the purchase of, or payment for, any of the Shares by the Investor. No stop order or suspension of trading shall have been imposed by Nasdaq, the NASDAQ Market, the Commission or any other governmental or regulatory body with respect to public trading in the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b/>
          <w:i/>
          <w:caps w:val="false"/>
          <w:smallCaps w:val="false"/>
          <w:sz w:val="20"/>
        </w:rPr>
        <w:t>Representations and Warranties</w:t>
      </w:r>
      <w:r>
        <w:rPr>
          <w:rFonts w:ascii="Times New Roman" w:hAnsi="Times New Roman"/>
          <w:caps w:val="false"/>
          <w:smallCaps w:val="false"/>
          <w:sz w:val="20"/>
        </w:rPr>
        <w:t>. The representations and warranties of the Company contained in Section 2 shall have been true and correct in all material respects (except for such representations and warranties that are qualified by “materiality” or “Material Adverse Effect” which shall be true and correct in all respects) on and as of the Closing with the same effect as though such representations and warranties had been made on and as of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b/>
          <w:i/>
          <w:caps w:val="false"/>
          <w:smallCaps w:val="false"/>
          <w:sz w:val="20"/>
        </w:rPr>
        <w:t>Performance</w:t>
      </w:r>
      <w:r>
        <w:rPr>
          <w:rFonts w:ascii="Times New Roman" w:hAnsi="Times New Roman"/>
          <w:caps w:val="false"/>
          <w:smallCaps w:val="false"/>
          <w:sz w:val="20"/>
        </w:rPr>
        <w:t>. The Company shall have performed and complied with all covenants, agreements, obligations and conditions contained in this Agreement that are required to be performed or complied with by it on or before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b/>
          <w:i/>
          <w:caps w:val="false"/>
          <w:smallCaps w:val="false"/>
          <w:sz w:val="20"/>
        </w:rPr>
        <w:t>Compliance Certificate</w:t>
      </w:r>
      <w:r>
        <w:rPr>
          <w:rFonts w:ascii="Times New Roman" w:hAnsi="Times New Roman"/>
          <w:caps w:val="false"/>
          <w:smallCaps w:val="false"/>
          <w:sz w:val="20"/>
        </w:rPr>
        <w:t>. A duly authorized officer of the Company shall deliver to the Investor at the Closing a certificate stating that the conditions specified in Section 4.2 and Section 4.3 have been fulfilled and certifying and attaching the Company’s certificate of incorporation, bylaws and authorizing Board of Directors resolutions with respect to this Agreement, the 2021 PSA, the transactions contemplated hereby and thereby and the issuance of the Shares to the Investor.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b/>
          <w:i/>
          <w:caps w:val="false"/>
          <w:smallCaps w:val="false"/>
          <w:sz w:val="20"/>
        </w:rPr>
        <w:t>Securities Laws</w:t>
      </w:r>
      <w:r>
        <w:rPr>
          <w:rFonts w:ascii="Times New Roman" w:hAnsi="Times New Roman"/>
          <w:caps w:val="false"/>
          <w:smallCaps w:val="false"/>
          <w:sz w:val="20"/>
        </w:rPr>
        <w:t>. The offer and sale of the Shares to the Investor pursuant to this Agreement shall be exempt from the registration requirements of the Securities Act and the registration and/or qualification requirements of all applicable state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4.6    </w:t>
      </w:r>
      <w:r>
        <w:rPr>
          <w:rFonts w:ascii="Times New Roman" w:hAnsi="Times New Roman"/>
          <w:b/>
          <w:i/>
          <w:caps w:val="false"/>
          <w:smallCaps w:val="false"/>
          <w:sz w:val="20"/>
        </w:rPr>
        <w:t>Authorizations</w:t>
      </w:r>
      <w:r>
        <w:rPr>
          <w:rFonts w:ascii="Times New Roman" w:hAnsi="Times New Roman"/>
          <w:caps w:val="false"/>
          <w:smallCaps w:val="false"/>
          <w:sz w:val="20"/>
        </w:rPr>
        <w:t>. All authorizations, approvals or permits, if any, of any governmental authority or regulatory body that are required in connection with the lawful issuance and sale of the Shares pursuant to this Agreement shall have been duly obtained and shall be effective on and as of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4.7    </w:t>
      </w:r>
      <w:r>
        <w:rPr>
          <w:rFonts w:ascii="Times New Roman" w:hAnsi="Times New Roman"/>
          <w:b/>
          <w:i/>
          <w:caps w:val="false"/>
          <w:smallCaps w:val="false"/>
          <w:sz w:val="20"/>
        </w:rPr>
        <w:t>Legal Opinion</w:t>
      </w:r>
      <w:r>
        <w:rPr>
          <w:rFonts w:ascii="Times New Roman" w:hAnsi="Times New Roman"/>
          <w:caps w:val="false"/>
          <w:smallCaps w:val="false"/>
          <w:sz w:val="20"/>
        </w:rPr>
        <w:t xml:space="preserve">. The Investor shall have received a legal opinion from Gibson, Dunn &amp; Crutcher LLP, counsel to the Company, in the form attached hereto as </w:t>
      </w:r>
      <w:r>
        <w:rPr>
          <w:rFonts w:ascii="Times New Roman" w:hAnsi="Times New Roman"/>
          <w:caps w:val="false"/>
          <w:smallCaps w:val="false"/>
          <w:sz w:val="20"/>
          <w:u w:val="single"/>
        </w:rPr>
        <w:t>Schedule II</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4.8    </w:t>
      </w:r>
      <w:r>
        <w:rPr>
          <w:rFonts w:ascii="Times New Roman" w:hAnsi="Times New Roman"/>
          <w:b/>
          <w:i/>
          <w:caps w:val="false"/>
          <w:smallCaps w:val="false"/>
          <w:sz w:val="20"/>
        </w:rPr>
        <w:t>2021 PSA</w:t>
      </w:r>
      <w:r>
        <w:rPr>
          <w:rFonts w:ascii="Times New Roman" w:hAnsi="Times New Roman"/>
          <w:caps w:val="false"/>
          <w:smallCaps w:val="false"/>
          <w:sz w:val="20"/>
        </w:rPr>
        <w:t>. The Investor shall have received the 2021 PSA duly executed and delivered by the Company, and closing thereunder shall have been consummated.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5</w:t>
      </w:r>
      <w:r>
        <w:rPr>
          <w:rFonts w:ascii="Times New Roman" w:hAnsi="Times New Roman"/>
          <w:caps w:val="false"/>
          <w:smallCaps w:val="false"/>
          <w:sz w:val="20"/>
        </w:rPr>
        <w:br/>
        <w:br/>
      </w:r>
      <w:r>
        <w:rPr>
          <w:rFonts w:ascii="Times New Roman" w:hAnsi="Times New Roman"/>
          <w:b/>
          <w:caps w:val="false"/>
          <w:smallCaps w:val="false"/>
          <w:sz w:val="20"/>
        </w:rPr>
        <w:t>Conditions to the Company</w:t>
      </w:r>
      <w:r>
        <w:rPr>
          <w:rFonts w:ascii="Times New Roman" w:hAnsi="Times New Roman"/>
          <w:caps w:val="false"/>
          <w:smallCaps w:val="false"/>
          <w:sz w:val="20"/>
        </w:rPr>
        <w:t>’</w:t>
      </w:r>
      <w:r>
        <w:rPr>
          <w:rFonts w:ascii="Times New Roman" w:hAnsi="Times New Roman"/>
          <w:b/>
          <w:caps w:val="false"/>
          <w:smallCaps w:val="false"/>
          <w:sz w:val="20"/>
        </w:rPr>
        <w:t>s Obligations at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obligations of the Company to the Investor under this Agreement are subject to the fulfillment on or before the Closing of each of the following conditions by the Investor, any of which may be waived in writing by the Company (except to the extent not permitted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b/>
          <w:i/>
          <w:caps w:val="false"/>
          <w:smallCaps w:val="false"/>
          <w:sz w:val="20"/>
        </w:rPr>
        <w:t>Representations and Warranties</w:t>
      </w:r>
      <w:r>
        <w:rPr>
          <w:rFonts w:ascii="Times New Roman" w:hAnsi="Times New Roman"/>
          <w:caps w:val="false"/>
          <w:smallCaps w:val="false"/>
          <w:sz w:val="20"/>
        </w:rPr>
        <w:t>. The representations and warranties of the Investor contained in Section 3 shall be true and correct in all material respects (except for such representations and warranties that are qualified by materiality which shall be true and correct in all respects) on and as of the Closing with the same effect as though such representations and warranties had been made on and as of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b/>
          <w:i/>
          <w:caps w:val="false"/>
          <w:smallCaps w:val="false"/>
          <w:sz w:val="20"/>
        </w:rPr>
        <w:t>Securities Law Compliance</w:t>
      </w:r>
      <w:r>
        <w:rPr>
          <w:rFonts w:ascii="Times New Roman" w:hAnsi="Times New Roman"/>
          <w:caps w:val="false"/>
          <w:smallCaps w:val="false"/>
          <w:sz w:val="20"/>
        </w:rPr>
        <w:t>. The offer and sale of the Shares to the Investor pursuant to this Agreement shall be exempt from the registration requirements of the Securities Act and the registration and/or qualification requirements of all applicable state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b/>
          <w:i/>
          <w:caps w:val="false"/>
          <w:smallCaps w:val="false"/>
          <w:sz w:val="20"/>
        </w:rPr>
        <w:t>Authorization</w:t>
      </w:r>
      <w:r>
        <w:rPr>
          <w:rFonts w:ascii="Times New Roman" w:hAnsi="Times New Roman"/>
          <w:i/>
          <w:caps w:val="false"/>
          <w:smallCaps w:val="false"/>
          <w:sz w:val="20"/>
        </w:rPr>
        <w:t>.</w:t>
      </w:r>
      <w:r>
        <w:rPr>
          <w:rFonts w:ascii="Times New Roman" w:hAnsi="Times New Roman"/>
          <w:caps w:val="false"/>
          <w:smallCaps w:val="false"/>
          <w:sz w:val="20"/>
        </w:rPr>
        <w:t xml:space="preserve"> All authorizations, approvals or permits, if any, of any governmental authority or regulatory body that are required in connection with the lawful issuance and sale of the Shares pursuant to this Agreement shall have been duly obtained and shall be effective on and as of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b/>
          <w:i/>
          <w:caps w:val="false"/>
          <w:smallCaps w:val="false"/>
          <w:sz w:val="20"/>
        </w:rPr>
        <w:t>2021 PSA</w:t>
      </w:r>
      <w:r>
        <w:rPr>
          <w:rFonts w:ascii="Times New Roman" w:hAnsi="Times New Roman"/>
          <w:caps w:val="false"/>
          <w:smallCaps w:val="false"/>
          <w:sz w:val="20"/>
        </w:rPr>
        <w:t>. The Company shall have received the 2021 PSA duly executed and delivered by the Investor, and closing thereunder shall have been consummated.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6</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b/>
          <w:i/>
          <w:caps w:val="false"/>
          <w:smallCaps w:val="false"/>
          <w:sz w:val="20"/>
        </w:rPr>
        <w:t>Rule 144 Reporting</w:t>
      </w:r>
      <w:r>
        <w:rPr>
          <w:rFonts w:ascii="Times New Roman" w:hAnsi="Times New Roman"/>
          <w:caps w:val="false"/>
          <w:smallCaps w:val="false"/>
          <w:sz w:val="20"/>
        </w:rPr>
        <w:t>. With a view to making available to the Investor the benefits of certain rules and regulations of the Commission which may permit the sale of the Shares to the public without registration, the Company agrees for the 12-month period following Closing, or such longer period as may be required to permit the sale of the Shares to the public without registration to use commercially reasonable efforts to:</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2260"/>
        <w:rPr>
          <w:rFonts w:ascii="Times New Roman" w:hAnsi="Times New Roman"/>
          <w:caps w:val="false"/>
          <w:smallCaps w:val="false"/>
          <w:sz w:val="20"/>
        </w:rPr>
      </w:pPr>
      <w:r>
        <w:rPr>
          <w:rFonts w:ascii="Times New Roman" w:hAnsi="Times New Roman"/>
          <w:caps w:val="false"/>
          <w:smallCaps w:val="false"/>
          <w:sz w:val="20"/>
        </w:rPr>
        <w:t>(a)    Make and keep public information available, as those terms are understood and defined in Rule 144 promulgated under the Securities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firstLine="2260"/>
        <w:rPr>
          <w:rFonts w:ascii="Times New Roman" w:hAnsi="Times New Roman"/>
          <w:caps w:val="false"/>
          <w:smallCaps w:val="false"/>
          <w:sz w:val="20"/>
        </w:rPr>
      </w:pPr>
      <w:r>
        <w:rPr>
          <w:rFonts w:ascii="Times New Roman" w:hAnsi="Times New Roman"/>
          <w:caps w:val="false"/>
          <w:smallCaps w:val="false"/>
          <w:sz w:val="20"/>
        </w:rPr>
        <w:t>(b)    File with the Commission in a timely manner all reports and other documents required of the Company under the Exchange Act; and</w:t>
      </w:r>
    </w:p>
    <w:p>
      <w:pPr>
        <w:pStyle w:val="TextBody"/>
        <w:spacing w:before="0" w:after="0"/>
        <w:ind w:left="0" w:right="0" w:hanging="0"/>
        <w:rPr>
          <w:caps w:val="false"/>
          <w:smallCaps w:val="false"/>
        </w:rPr>
      </w:pPr>
      <w:r>
        <w:rPr>
          <w:caps w:val="false"/>
          <w:smallCaps w:val="false"/>
        </w:rPr>
        <w:t> </w:t>
      </w:r>
    </w:p>
    <w:p>
      <w:pPr>
        <w:pStyle w:val="TextBody"/>
        <w:spacing w:before="0" w:after="0"/>
        <w:ind w:left="100" w:right="0" w:firstLine="2260"/>
        <w:rPr>
          <w:rFonts w:ascii="Times New Roman" w:hAnsi="Times New Roman"/>
          <w:caps w:val="false"/>
          <w:smallCaps w:val="false"/>
          <w:sz w:val="20"/>
        </w:rPr>
      </w:pPr>
      <w:r>
        <w:rPr>
          <w:rFonts w:ascii="Times New Roman" w:hAnsi="Times New Roman"/>
          <w:caps w:val="false"/>
          <w:smallCaps w:val="false"/>
          <w:sz w:val="20"/>
        </w:rPr>
        <w:t>(c)    Furnish the Investor forthwith upon request (i) a written statement by the Company as to its compliance with the public information requirements of said Rule 144, (ii) a copy of the most recent annual or quarterly report of the Company, and (iii) such other reports and documents as may be reasonably requested in availing the Investor of any rule or regulation of the Commission permitting the sale of any such securities without registration.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b/>
          <w:i/>
          <w:caps w:val="false"/>
          <w:smallCaps w:val="false"/>
          <w:sz w:val="20"/>
        </w:rPr>
        <w:t>Restrictive Legend</w:t>
      </w:r>
      <w:r>
        <w:rPr>
          <w:rFonts w:ascii="Times New Roman" w:hAnsi="Times New Roman"/>
          <w:caps w:val="false"/>
          <w:smallCaps w:val="false"/>
          <w:sz w:val="20"/>
        </w:rPr>
        <w:t>. The certificates representing the Shares, when issued, will bear a restrictive legend in substantially the following form: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THE SECURITIES EVIDENCED OR CONSTITUTED HEREBY HAVE BEEN ISSUED WITHOUT REGISTRATION UNDER THE SECURITIES ACT OF 1933, AS AMENDED (THE “ACT”) AND MAY NOT BE SOLD, OFFERED FOR SALE, TRANSFERRED, PLEDGED OR HYPOTHECATED WITHOUT REGISTRATION UNDER THE ACT UNLESS EITHER (i) THE COMPANY HAS RECEIVED AN OPINION OF COUNSEL, IN FORM AND SUBSTANCE REASONABLY SATISFACTORY TO THE COMPANY, TO THE EFFECT THAT REGISTRATION IS NOT REQUIRED IN CONNECTION WITH SUCH DISPOSITION OR (ii) THE SALE OF SUCH SECURITIES IS MADE PURSUANT TO SECURITIES AND EXCHANGE COMMISSION RULE 144.”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legend set forth in this Section 6.2 and the related notation in the Company’s stock books shall be removed and the Company shall issue a certificate without such legend or any other legend to the holder of the Shares or issue to such holder by electronic delivery at the applicable balance account at the Depository Trust Company, if (i) the Shares are registered for resale under the Securities Act, (ii) the Shares are sold or transferred in compliance with Rule 144, or (iii) the Shares are eligible for sale under Rule 144, without the requirement for the Company to be in compliance with the current public information required under Rule 144. Following Rule 144 becoming available for the resale of Shares, without the requirement for the Company to be in compliance with the current public information required under Rule 144, the Company shall (at the Company’s expense), upon the written request of Investor, cause its counsel to promptly issue to the Company’s transfer agent a legal opinion authorizing the issuance of a certificate representing the Shares without any restrictive or other legends, if requested by such transfer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b/>
          <w:i/>
          <w:caps w:val="false"/>
          <w:smallCaps w:val="false"/>
          <w:sz w:val="20"/>
        </w:rPr>
        <w:t>Further Assurances</w:t>
      </w:r>
      <w:r>
        <w:rPr>
          <w:rFonts w:ascii="Times New Roman" w:hAnsi="Times New Roman"/>
          <w:caps w:val="false"/>
          <w:smallCaps w:val="false"/>
          <w:sz w:val="20"/>
        </w:rPr>
        <w:t>. Each of the Investor and the Company shall execute such further documents and shall take, or shall cause to be taken, such further actions as may be reasonably required to carry out the provisions of this Agreement and give effect to the transactions contemplated hereby.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Indemnification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b/>
          <w:i/>
          <w:caps w:val="false"/>
          <w:smallCaps w:val="false"/>
          <w:sz w:val="20"/>
        </w:rPr>
        <w:t>General Indemnification</w:t>
      </w:r>
      <w:r>
        <w:rPr>
          <w:rFonts w:ascii="Times New Roman" w:hAnsi="Times New Roman"/>
          <w:caps w:val="false"/>
          <w:smallCaps w:val="false"/>
          <w:sz w:val="20"/>
        </w:rPr>
        <w:t>. Without derogating from any indemnification rights or obligations of the parties as set forth in the 2021 PSA, from and after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800"/>
        <w:jc w:val="both"/>
        <w:rPr>
          <w:rFonts w:ascii="Times New Roman" w:hAnsi="Times New Roman"/>
          <w:caps w:val="false"/>
          <w:smallCaps w:val="false"/>
          <w:sz w:val="20"/>
        </w:rPr>
      </w:pPr>
      <w:r>
        <w:rPr>
          <w:rFonts w:ascii="Times New Roman" w:hAnsi="Times New Roman"/>
          <w:caps w:val="false"/>
          <w:smallCaps w:val="false"/>
          <w:sz w:val="20"/>
        </w:rPr>
        <w:t>(a) The Company agrees to indemnify, defend and hold harmless the Investor and its Affiliates and its and their directors, managers, trustees, officers, agents and employees (the “</w:t>
      </w:r>
      <w:r>
        <w:rPr>
          <w:rFonts w:ascii="Times New Roman" w:hAnsi="Times New Roman"/>
          <w:b/>
          <w:caps w:val="false"/>
          <w:smallCaps w:val="false"/>
          <w:sz w:val="20"/>
        </w:rPr>
        <w:t>Investor Indemnified Parties</w:t>
      </w:r>
      <w:r>
        <w:rPr>
          <w:rFonts w:ascii="Times New Roman" w:hAnsi="Times New Roman"/>
          <w:caps w:val="false"/>
          <w:smallCaps w:val="false"/>
          <w:sz w:val="20"/>
        </w:rPr>
        <w:t>”) from, against and in respect of all Losses suffered or incurred by the Investor Indemnified Parties to the extent arising out of, or resulting from, (i) any breach of any of the representations or warranties of the Company in this Agreement; and (ii) any breach of any covenant or undertaking of the Company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0"/>
        <w:jc w:val="both"/>
        <w:rPr>
          <w:rFonts w:ascii="Times New Roman" w:hAnsi="Times New Roman"/>
          <w:caps w:val="false"/>
          <w:smallCaps w:val="false"/>
          <w:sz w:val="20"/>
        </w:rPr>
      </w:pPr>
      <w:r>
        <w:rPr>
          <w:rFonts w:ascii="Times New Roman" w:hAnsi="Times New Roman"/>
          <w:caps w:val="false"/>
          <w:smallCaps w:val="false"/>
          <w:sz w:val="20"/>
        </w:rPr>
        <w:t>(b) The Investor agrees to indemnify, defend and hold harmless the Company and its Affiliates and its and their directors, officers, agents and employees (the “</w:t>
      </w:r>
      <w:r>
        <w:rPr>
          <w:rFonts w:ascii="Times New Roman" w:hAnsi="Times New Roman"/>
          <w:b/>
          <w:caps w:val="false"/>
          <w:smallCaps w:val="false"/>
          <w:sz w:val="20"/>
        </w:rPr>
        <w:t>Company Indemnified Parties</w:t>
      </w:r>
      <w:r>
        <w:rPr>
          <w:rFonts w:ascii="Times New Roman" w:hAnsi="Times New Roman"/>
          <w:caps w:val="false"/>
          <w:smallCaps w:val="false"/>
          <w:sz w:val="20"/>
        </w:rPr>
        <w:t>”) from, against and in respect of all Losses suffered or incurred by the Company Indemnified Parties to the extent arising out of, or resulting from, (i) any breach of any of the representations or warranties of the Investor in this Agreement; and (ii) any breach of any covenant or undertaking of the Investor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b/>
          <w:i/>
          <w:caps w:val="false"/>
          <w:smallCaps w:val="false"/>
          <w:sz w:val="20"/>
        </w:rPr>
        <w:t>Notice of Claims</w:t>
      </w:r>
      <w:r>
        <w:rPr>
          <w:rFonts w:ascii="Times New Roman" w:hAnsi="Times New Roman"/>
          <w:caps w:val="false"/>
          <w:smallCaps w:val="false"/>
          <w:sz w:val="20"/>
        </w:rPr>
        <w:t>. If an event or omission (including, without limitation, any claim asserted or action or proceeding commenced by a third party) occurs which either an Investor Indemnified Party, on the one hand, or a Company Indemnified Party, on the other hand (such Investor Indemnified Party on the one hand and such Company Indemnified Party on the other hand hereinafter referred to as an “</w:t>
      </w:r>
      <w:r>
        <w:rPr>
          <w:rFonts w:ascii="Times New Roman" w:hAnsi="Times New Roman"/>
          <w:b/>
          <w:caps w:val="false"/>
          <w:smallCaps w:val="false"/>
          <w:sz w:val="20"/>
        </w:rPr>
        <w:t>Indemnified Party</w:t>
      </w:r>
      <w:r>
        <w:rPr>
          <w:rFonts w:ascii="Times New Roman" w:hAnsi="Times New Roman"/>
          <w:caps w:val="false"/>
          <w:smallCaps w:val="false"/>
          <w:sz w:val="20"/>
        </w:rPr>
        <w:t>”), has suffered any Loss for which indemnification may be asserted pursuant to this Section 7, the Indemnified Party shall so notify the other party from whom indemnification is sought under this Section 7 (the “</w:t>
      </w:r>
      <w:r>
        <w:rPr>
          <w:rFonts w:ascii="Times New Roman" w:hAnsi="Times New Roman"/>
          <w:b/>
          <w:caps w:val="false"/>
          <w:smallCaps w:val="false"/>
          <w:sz w:val="20"/>
        </w:rPr>
        <w:t>Indemnifying Party</w:t>
      </w:r>
      <w:r>
        <w:rPr>
          <w:rFonts w:ascii="Times New Roman" w:hAnsi="Times New Roman"/>
          <w:caps w:val="false"/>
          <w:smallCaps w:val="false"/>
          <w:sz w:val="20"/>
        </w:rPr>
        <w:t>”) promptly in writing, setting forth the Loss, the amount or estimated amount thereof, if known or reasonably capable of estimation, and the method of computation of such Loss, all with reasonable particularity containing a reference to the provisions of this Agreement in respect of which such Loss shall have occurred. If any claim, action, suit or proceeding is asserted or instituted by or against a third party with respect to which an Indemnified Party intends to claim any Losses under this Section 7, such Indemnified Party shall promptly notify the Indemnifying Party in writing of such claim, action, suit or proceeding. Such notice will be a condition precedent to any obligation of the Indemnifying Party to act under this Agreement but will not relieve it of its obligations under the indemnity except to the extent that the failure to provide prompt written notice as provided in this Agreement actually prejudices the Indemnifying Party with respect to the transactions contemplated by this Agreement and to the defense of the liability.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b/>
          <w:i/>
          <w:caps w:val="false"/>
          <w:smallCaps w:val="false"/>
          <w:sz w:val="20"/>
        </w:rPr>
        <w:t>Limitations on Liability</w:t>
      </w:r>
      <w:r>
        <w:rPr>
          <w:rFonts w:ascii="Times New Roman" w:hAnsi="Times New Roman"/>
          <w:caps w:val="false"/>
          <w:smallCaps w:val="false"/>
          <w:sz w:val="20"/>
        </w:rPr>
        <w:t>. Except in cases of fraud, gross negligence, or willful misconduct, no party hereto shall be liable for any consequential, punitive, special or incidental damages under this ‎Section 7 (and no claim for indemnification hereunder shall be asserted) as a result of any breach or violation of any covenant or agreement of such party (including under this ‎Section 7) in or pursuant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b/>
          <w:i/>
          <w:caps w:val="false"/>
          <w:smallCaps w:val="false"/>
          <w:sz w:val="20"/>
        </w:rPr>
        <w:t>Exclusive Remedy</w:t>
      </w:r>
      <w:r>
        <w:rPr>
          <w:rFonts w:ascii="Times New Roman" w:hAnsi="Times New Roman"/>
          <w:caps w:val="false"/>
          <w:smallCaps w:val="false"/>
          <w:sz w:val="20"/>
        </w:rPr>
        <w:t>. Except as set forth herein or in the 2021 PSA, from and after Closing, the rights of the parties hereto pursuant to (and subject to the conditions of) this ‎Section 7 shall be the sole and exclusive remedy of the parties hereto and their respective Affiliates with respect to any Losses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fraud, gross negligence, or willful misconduct shall not be waived or limited in any way by this ‎Section 7.</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8</w:t>
      </w:r>
      <w:r>
        <w:rPr>
          <w:rFonts w:ascii="Times New Roman" w:hAnsi="Times New Roman"/>
          <w:caps w:val="false"/>
          <w:smallCaps w:val="false"/>
          <w:sz w:val="20"/>
        </w:rPr>
        <w:br/>
        <w:br/>
      </w:r>
      <w:r>
        <w:rPr>
          <w:rFonts w:ascii="Times New Roman" w:hAnsi="Times New Roman"/>
          <w:b/>
          <w:caps w:val="false"/>
          <w:smallCaps w:val="false"/>
          <w:sz w:val="20"/>
        </w:rPr>
        <w:t>Miscellaneous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b/>
          <w:i/>
          <w:caps w:val="false"/>
          <w:smallCaps w:val="false"/>
          <w:sz w:val="20"/>
        </w:rPr>
        <w:t>Headings</w:t>
      </w:r>
      <w:r>
        <w:rPr>
          <w:rFonts w:ascii="Times New Roman" w:hAnsi="Times New Roman"/>
          <w:caps w:val="false"/>
          <w:smallCaps w:val="false"/>
          <w:sz w:val="20"/>
        </w:rPr>
        <w:t>. The descriptive headings of the several Sections of this Agreement and the Schedules are for convenience only, do not constitute a part of this Agreement and shall not control or affect, in any way, the meaning or interpretation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b/>
          <w:i/>
          <w:caps w:val="false"/>
          <w:smallCaps w:val="false"/>
          <w:sz w:val="20"/>
        </w:rPr>
        <w:t>Governing Law</w:t>
      </w:r>
      <w:r>
        <w:rPr>
          <w:rFonts w:ascii="Times New Roman" w:hAnsi="Times New Roman"/>
          <w:caps w:val="false"/>
          <w:smallCaps w:val="false"/>
          <w:sz w:val="20"/>
        </w:rPr>
        <w:t>. This Agreement shall be governed by, and construed in accordance with, the laws of the State of New York without giving effect to any choice or conflict of law provision or rule that would cause the application of the laws of any other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b/>
          <w:i/>
          <w:caps w:val="false"/>
          <w:smallCaps w:val="false"/>
          <w:sz w:val="20"/>
        </w:rPr>
        <w:t>Survival</w:t>
      </w:r>
      <w:r>
        <w:rPr>
          <w:rFonts w:ascii="Times New Roman" w:hAnsi="Times New Roman"/>
          <w:caps w:val="false"/>
          <w:smallCaps w:val="false"/>
          <w:sz w:val="20"/>
        </w:rPr>
        <w:t>. The representations, warranties, covenants and agreements made herein shall survive any investigation made by the Investor and the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8.4    </w:t>
      </w:r>
      <w:r>
        <w:rPr>
          <w:rFonts w:ascii="Times New Roman" w:hAnsi="Times New Roman"/>
          <w:b/>
          <w:i/>
          <w:caps w:val="false"/>
          <w:smallCaps w:val="false"/>
          <w:sz w:val="20"/>
        </w:rPr>
        <w:t>Jurisdiction; Venue</w:t>
      </w:r>
      <w:r>
        <w:rPr>
          <w:rFonts w:ascii="Times New Roman" w:hAnsi="Times New Roman"/>
          <w:caps w:val="false"/>
          <w:smallCaps w:val="false"/>
          <w:sz w:val="20"/>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0"/>
        <w:rPr>
          <w:rFonts w:ascii="Times New Roman" w:hAnsi="Times New Roman"/>
          <w:caps w:val="false"/>
          <w:smallCaps w:val="false"/>
          <w:sz w:val="20"/>
        </w:rPr>
      </w:pPr>
      <w:r>
        <w:rPr>
          <w:rFonts w:ascii="Times New Roman" w:hAnsi="Times New Roman"/>
          <w:caps w:val="false"/>
          <w:smallCaps w:val="false"/>
          <w:sz w:val="20"/>
        </w:rPr>
        <w:t>(a)     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COMPANY AND THE INVESTOR HEREBY IRREVOCABLY AND UNCONDITIONALLY AGREE THAT ALL CLAIMS IN RESPECT OF ANY SUCH ACTION OR PROCEEDING MAY BE HEARD AND DETERMINED IN ANY SUCH NEW YORK STATE COURT OR, TO THE FULLEST EXTENT PERMITTED BY APPLICABLE LAW, IN SUCH FEDERAL COURT. THE COMPANY AND THE INVESTOR HEREBY AGREE THAT A FINAL JUDGMENT IN ANY SUCH ACTION OR PROCEEDING SHALL BE CONCLUSIVE AND MAY BE ENFORCED IN OTHER JURISDICTIONS BY SUIT ON THE JUDGMENT OR IN ANY OTHER MANNER PROVIDED BY APPLICABLE LAW. EACH OF THE COMPANY AND THE INVESTOR HEREBY SUBMITS TO THE EXCLUSIVE PERSONAL JURISDICTION AND VENUE OF SUCH NEW YORK STATE AND FEDERAL COURTS. COMPANY AND THE INVESTOR AGREE, TO THE FULLEST EXTENT PERMITTED BY APPLICABLE LAW, THAT PROCESS MAY BE SERVED ON THE COMPANY OR THE INVESTOR IN THE SAME MANNER THAT NOTICES MAY BE GIVEN PURSUANT TO SECTION 8.7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720"/>
        <w:rPr>
          <w:rFonts w:ascii="Times New Roman" w:hAnsi="Times New Roman"/>
          <w:caps w:val="false"/>
          <w:smallCaps w:val="false"/>
          <w:sz w:val="20"/>
        </w:rPr>
      </w:pPr>
      <w:r>
        <w:rPr>
          <w:rFonts w:ascii="Times New Roman" w:hAnsi="Times New Roman"/>
          <w:caps w:val="false"/>
          <w:smallCaps w:val="false"/>
          <w:sz w:val="20"/>
        </w:rPr>
        <w:t>(b)    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COMPANY AND THE INVESTOR HEREBY IRREVOCABLY WAIVES, TO THE FULLEST EXTENT PERMITTED BY APPLICABLE LAW, THE DEFENSE OF AN INCONVENIENT FORUM TO THE MAINTENANCE OF SUCH ACTION OR PROCEEDING IN ANY SUCH COURT.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720"/>
        <w:rPr>
          <w:rFonts w:ascii="Times New Roman" w:hAnsi="Times New Roman"/>
          <w:caps w:val="false"/>
          <w:smallCaps w:val="false"/>
          <w:sz w:val="20"/>
        </w:rPr>
      </w:pPr>
      <w:r>
        <w:rPr>
          <w:rFonts w:ascii="Times New Roman" w:hAnsi="Times New Roman"/>
          <w:caps w:val="false"/>
          <w:smallCaps w:val="false"/>
          <w:sz w:val="20"/>
        </w:rPr>
        <w:t>(c)    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8.5    </w:t>
      </w:r>
      <w:r>
        <w:rPr>
          <w:rFonts w:ascii="Times New Roman" w:hAnsi="Times New Roman"/>
          <w:b/>
          <w:i/>
          <w:caps w:val="false"/>
          <w:smallCaps w:val="false"/>
          <w:sz w:val="20"/>
        </w:rPr>
        <w:t>Severability</w:t>
      </w:r>
      <w:r>
        <w:rPr>
          <w:rFonts w:ascii="Times New Roman" w:hAnsi="Times New Roman"/>
          <w:caps w:val="false"/>
          <w:smallCaps w:val="false"/>
          <w:sz w:val="20"/>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8.6    </w:t>
      </w:r>
      <w:r>
        <w:rPr>
          <w:rFonts w:ascii="Times New Roman" w:hAnsi="Times New Roman"/>
          <w:b/>
          <w:i/>
          <w:caps w:val="false"/>
          <w:smallCaps w:val="false"/>
          <w:sz w:val="20"/>
        </w:rPr>
        <w:t>Successors, Assigns</w:t>
      </w:r>
      <w:r>
        <w:rPr>
          <w:rFonts w:ascii="Times New Roman" w:hAnsi="Times New Roman"/>
          <w:caps w:val="false"/>
          <w:smallCaps w:val="false"/>
          <w:sz w:val="20"/>
        </w:rPr>
        <w:t>. Except as otherwise provided herein, the provisions hereof shall inure to the benefit of, and be binding upon, the successors, assigns, heirs, executors and administrators of the parties hereto. This Agreement may not be assigned by either party without the prior written consent of the other; except that either the Investor may assign this Agreement to an Affiliate.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8.7    </w:t>
      </w:r>
      <w:r>
        <w:rPr>
          <w:rFonts w:ascii="Times New Roman" w:hAnsi="Times New Roman"/>
          <w:b/>
          <w:i/>
          <w:caps w:val="false"/>
          <w:smallCaps w:val="false"/>
          <w:sz w:val="20"/>
        </w:rPr>
        <w:t>Notices</w:t>
      </w:r>
      <w:r>
        <w:rPr>
          <w:rFonts w:ascii="Times New Roman" w:hAnsi="Times New Roman"/>
          <w:caps w:val="false"/>
          <w:smallCaps w:val="false"/>
          <w:sz w:val="20"/>
        </w:rPr>
        <w:t>. All notices and other communications under this Agreement shall be in writing and shall be by email with PDF attachment, facsimile, courier service or personal delivery to the following addresses, or to such other addresses as shall be designated from time to time by a party hereto in accordance with this Section 8.7:</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If to the Company, to it at:</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BioCryst Pharmaceuticals, Inc.</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4505 Emperor Blvd., Suite 200</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Durham, North Carolina 27703</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Alane Barnes</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Gibson, Dunn &amp; Crutcher LLP</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555 Mission Street, Suite 3000</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San Francisco, CA 94105</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Attention: Ryan Murr</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rmurr@gibsondunn.com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800" w:right="0" w:hanging="360"/>
        <w:jc w:val="both"/>
        <w:rPr>
          <w:rFonts w:ascii="Times New Roman" w:hAnsi="Times New Roman"/>
          <w:caps w:val="false"/>
          <w:smallCaps w:val="false"/>
          <w:sz w:val="20"/>
        </w:rPr>
      </w:pPr>
      <w:r>
        <w:rPr>
          <w:rFonts w:ascii="Times New Roman" w:hAnsi="Times New Roman"/>
          <w:caps w:val="false"/>
          <w:smallCaps w:val="false"/>
          <w:sz w:val="20"/>
        </w:rPr>
        <w:t>If to the Investor, to it at:</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RPI 2019 Intermediate Finance Trust</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110 E. 59th Street, Suite 3300</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 10022</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Attention: George Lloyd</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360"/>
        <w:jc w:val="both"/>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spacing w:before="0" w:after="0"/>
        <w:ind w:left="0" w:right="0" w:hanging="0"/>
        <w:rPr>
          <w:caps w:val="false"/>
          <w:smallCaps w:val="false"/>
        </w:rPr>
      </w:pPr>
      <w:r>
        <w:rPr>
          <w:caps w:val="false"/>
          <w:smallCaps w:val="false"/>
        </w:rPr>
        <w:t> </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Goodwin Procter LLP</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100 Northern Avenue</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Boston, Massachusetts 02210</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Attention: Arthur R. McGivern, Jacqueline Mercier &amp;</w:t>
      </w:r>
    </w:p>
    <w:p>
      <w:pPr>
        <w:pStyle w:val="TextBody"/>
        <w:spacing w:before="0" w:after="0"/>
        <w:ind w:left="1800" w:right="0" w:hanging="0"/>
        <w:jc w:val="both"/>
        <w:rPr>
          <w:rFonts w:ascii="Times New Roman" w:hAnsi="Times New Roman"/>
          <w:caps w:val="false"/>
          <w:smallCaps w:val="false"/>
          <w:sz w:val="20"/>
        </w:rPr>
      </w:pPr>
      <w:r>
        <w:rPr>
          <w:rFonts w:ascii="Times New Roman" w:hAnsi="Times New Roman"/>
          <w:caps w:val="false"/>
          <w:smallCaps w:val="false"/>
          <w:sz w:val="20"/>
        </w:rPr>
        <w:t>Robert M. Crawford, Jr.</w:t>
      </w:r>
    </w:p>
    <w:p>
      <w:pPr>
        <w:pStyle w:val="TextBody"/>
        <w:spacing w:before="0" w:after="0"/>
        <w:ind w:left="1800" w:right="0" w:hanging="0"/>
        <w:rPr>
          <w:rFonts w:ascii="Times New Roman" w:hAnsi="Times New Roman"/>
          <w:caps w:val="false"/>
          <w:smallCaps w:val="false"/>
          <w:sz w:val="20"/>
        </w:rPr>
      </w:pPr>
      <w:r>
        <w:rPr>
          <w:rFonts w:ascii="Times New Roman" w:hAnsi="Times New Roman"/>
          <w:caps w:val="false"/>
          <w:smallCaps w:val="false"/>
          <w:sz w:val="20"/>
        </w:rPr>
        <w:t>Email: amcgivern@goodwinlaw.com, jmercier@goodwinlaw.com &amp; rcrawford@goodwinlaw.com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notices and communications under this Agreement shall be deemed to have been duly given (i) when delivered by hand, if personally delivered, (ii) when sent, if sent by facsimile, with an acknowledgement of sending being produced by the sending facsimile machine, (iii) when sent, if sent by email with PDF attachment, with an acknowledgment of receipt being produced by the recipient’s email account, or (iv) one (1) Business Day following sending within the United States by overnight delivery via commercial one-day overnight courier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8.8    </w:t>
      </w:r>
      <w:r>
        <w:rPr>
          <w:rFonts w:ascii="Times New Roman" w:hAnsi="Times New Roman"/>
          <w:b/>
          <w:i/>
          <w:caps w:val="false"/>
          <w:smallCaps w:val="false"/>
          <w:sz w:val="20"/>
        </w:rPr>
        <w:t>Expenses</w:t>
      </w:r>
      <w:r>
        <w:rPr>
          <w:rFonts w:ascii="Times New Roman" w:hAnsi="Times New Roman"/>
          <w:caps w:val="false"/>
          <w:smallCaps w:val="false"/>
          <w:sz w:val="20"/>
        </w:rPr>
        <w:t>.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8.9    </w:t>
      </w:r>
      <w:r>
        <w:rPr>
          <w:rFonts w:ascii="Times New Roman" w:hAnsi="Times New Roman"/>
          <w:b/>
          <w:i/>
          <w:caps w:val="false"/>
          <w:smallCaps w:val="false"/>
          <w:sz w:val="20"/>
        </w:rPr>
        <w:t>Finder</w:t>
      </w:r>
      <w:r>
        <w:rPr>
          <w:rFonts w:ascii="Times New Roman" w:hAnsi="Times New Roman"/>
          <w:caps w:val="false"/>
          <w:smallCaps w:val="false"/>
          <w:sz w:val="20"/>
        </w:rPr>
        <w:t>’</w:t>
      </w:r>
      <w:r>
        <w:rPr>
          <w:rFonts w:ascii="Times New Roman" w:hAnsi="Times New Roman"/>
          <w:b/>
          <w:i/>
          <w:caps w:val="false"/>
          <w:smallCaps w:val="false"/>
          <w:sz w:val="20"/>
        </w:rPr>
        <w:t>s Fees</w:t>
      </w:r>
      <w:r>
        <w:rPr>
          <w:rFonts w:ascii="Times New Roman" w:hAnsi="Times New Roman"/>
          <w:caps w:val="false"/>
          <w:smallCaps w:val="false"/>
          <w:sz w:val="20"/>
        </w:rPr>
        <w:t>. Each of the Company and the Investor shall indemnify and hold the other harmless from any liability for any commission or compensation in the nature of a finder’s fee, placement fee or underwriter’s discount (including the costs, expenses and legal fees of defending against such liability) for which the Company or the Investor, or any of its respective partners, employees, or representatives, as the case may be, is responsible.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8.10    </w:t>
      </w:r>
      <w:r>
        <w:rPr>
          <w:rFonts w:ascii="Times New Roman" w:hAnsi="Times New Roman"/>
          <w:b/>
          <w:i/>
          <w:caps w:val="false"/>
          <w:smallCaps w:val="false"/>
          <w:sz w:val="20"/>
        </w:rPr>
        <w:t>Counterparts</w:t>
      </w:r>
      <w:r>
        <w:rPr>
          <w:rFonts w:ascii="Times New Roman" w:hAnsi="Times New Roman"/>
          <w:caps w:val="false"/>
          <w:smallCaps w:val="false"/>
          <w:sz w:val="20"/>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8.11    </w:t>
      </w:r>
      <w:r>
        <w:rPr>
          <w:rFonts w:ascii="Times New Roman" w:hAnsi="Times New Roman"/>
          <w:b/>
          <w:i/>
          <w:caps w:val="false"/>
          <w:smallCaps w:val="false"/>
          <w:sz w:val="20"/>
        </w:rPr>
        <w:t>Entire Agreement</w:t>
      </w:r>
      <w:r>
        <w:rPr>
          <w:rFonts w:ascii="Times New Roman" w:hAnsi="Times New Roman"/>
          <w:caps w:val="false"/>
          <w:smallCaps w:val="false"/>
          <w:sz w:val="20"/>
        </w:rPr>
        <w:t>. This Agreement and the Schedule of Exceptions appended hereto, together with the 2021 PSA, constitute the entire understanding between the parties hereto with respect to the subject matter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8.12    </w:t>
      </w:r>
      <w:r>
        <w:rPr>
          <w:rFonts w:ascii="Times New Roman" w:hAnsi="Times New Roman"/>
          <w:b/>
          <w:i/>
          <w:caps w:val="false"/>
          <w:smallCaps w:val="false"/>
          <w:sz w:val="20"/>
        </w:rPr>
        <w:t>No Third Party Beneficiaries</w:t>
      </w:r>
      <w:r>
        <w:rPr>
          <w:rFonts w:ascii="Times New Roman" w:hAnsi="Times New Roman"/>
          <w:caps w:val="false"/>
          <w:smallCaps w:val="false"/>
          <w:sz w:val="20"/>
        </w:rPr>
        <w:t>. This Agreement is for the sole benefit of the Company and the Investor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‎Section 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8.13    </w:t>
      </w:r>
      <w:r>
        <w:rPr>
          <w:rFonts w:ascii="Times New Roman" w:hAnsi="Times New Roman"/>
          <w:b/>
          <w:i/>
          <w:caps w:val="false"/>
          <w:smallCaps w:val="false"/>
          <w:sz w:val="20"/>
        </w:rPr>
        <w:t>Amendment and Waiver</w:t>
      </w:r>
      <w:r>
        <w:rPr>
          <w:rFonts w:ascii="Times New Roman" w:hAnsi="Times New Roman"/>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720"/>
        <w:rPr>
          <w:rFonts w:ascii="Times New Roman" w:hAnsi="Times New Roman"/>
          <w:caps w:val="false"/>
          <w:smallCaps w:val="false"/>
          <w:sz w:val="20"/>
        </w:rPr>
      </w:pPr>
      <w:r>
        <w:rPr>
          <w:rFonts w:ascii="Times New Roman" w:hAnsi="Times New Roman"/>
          <w:caps w:val="false"/>
          <w:smallCaps w:val="false"/>
          <w:sz w:val="20"/>
        </w:rPr>
        <w:t>(a)    This Agreement may be amended, modified or supplemented only in a writing signed by each of the parties hereto. Any provision of this Agreement may be waived only in a writing signed by the party hereto granting such waiver.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720"/>
        <w:rPr>
          <w:rFonts w:ascii="Times New Roman" w:hAnsi="Times New Roman"/>
          <w:caps w:val="false"/>
          <w:smallCaps w:val="false"/>
          <w:sz w:val="20"/>
        </w:rPr>
      </w:pPr>
      <w:r>
        <w:rPr>
          <w:rFonts w:ascii="Times New Roman" w:hAnsi="Times New Roman"/>
          <w:caps w:val="false"/>
          <w:smallCaps w:val="false"/>
          <w:sz w:val="20"/>
        </w:rPr>
        <w:t>(b)    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8.14    </w:t>
      </w:r>
      <w:r>
        <w:rPr>
          <w:rFonts w:ascii="Times New Roman" w:hAnsi="Times New Roman"/>
          <w:b/>
          <w:i/>
          <w:caps w:val="false"/>
          <w:smallCaps w:val="false"/>
          <w:sz w:val="20"/>
        </w:rPr>
        <w:t>Trustee Capacity of Wilmington Trust, National Association</w:t>
      </w:r>
      <w:r>
        <w:rPr>
          <w:rFonts w:ascii="Times New Roman" w:hAnsi="Times New Roman"/>
          <w:caps w:val="false"/>
          <w:smallCaps w:val="false"/>
          <w:sz w:val="20"/>
        </w:rPr>
        <w:t>. Notwithstanding anything contained herein to the contrary, it is expressly understood and agreed by the parties hereto that (i) this Agreement is executed and delivered by Wilmington Trust, National Association, not individually or personally but solely in its trustee capacity, in the exercise of the powers and authority conferred and vested in it under the trust agreement of the Investor, (ii) each of the representations, undertakings and agreements herein made on the part of the Investor is made and intended not as a personal representation, undertaking and agreement by Wilmington Trust, National Association, but is made and intended for the purpose of binding only the Investor and, (iii) nothing herein contained shall be construed as creating any liability on Wilmington Trust, National Association, individually or personally, to perform any covenant either expressed or implied contained herein, all such liability, if any, being expressly waived by the parties hereto and by any Person claiming by, through or under the parties hereto, (iv) Wilmington Trust, National Association has made no investigation as to the accuracy or completeness of any representations and warranties made by the Investor in this Agreement, and (v) under no circumstances shall Wilmington Trust, National Association be personally liable for the payment of any indebtedness or expenses of the Investor or be liable for the breach or failure of any obligation, representation, warranty or covenant made or undertaken by the Investor under this Agreement or any related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have executed this Common Stock Purchase Agreement as of the date first set forth above.</w:t>
      </w:r>
    </w:p>
    <w:tbl>
      <w:tblPr>
        <w:tblW w:w="9475" w:type="dxa"/>
        <w:jc w:val="left"/>
        <w:tblInd w:w="0" w:type="dxa"/>
        <w:tblCellMar>
          <w:top w:w="0" w:type="dxa"/>
          <w:left w:w="0" w:type="dxa"/>
          <w:bottom w:w="0" w:type="dxa"/>
          <w:right w:w="0" w:type="dxa"/>
        </w:tblCellMar>
      </w:tblPr>
      <w:tblGrid>
        <w:gridCol w:w="60"/>
        <w:gridCol w:w="320"/>
        <w:gridCol w:w="9095"/>
      </w:tblGrid>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0"/>
              <w:ind w:left="140" w:right="0" w:hanging="140"/>
              <w:rPr>
                <w:rFonts w:ascii="Times New Roman" w:hAnsi="Times New Roman"/>
                <w:b/>
                <w:caps w:val="false"/>
                <w:smallCaps w:val="false"/>
                <w:sz w:val="20"/>
              </w:rPr>
            </w:pPr>
            <w:r>
              <w:rPr>
                <w:rFonts w:ascii="Times New Roman" w:hAnsi="Times New Roman"/>
                <w:b/>
                <w:caps w:val="false"/>
                <w:smallCaps w:val="false"/>
                <w:sz w:val="20"/>
              </w:rPr>
              <w:t>BIOCRYST PHARMACEUTICALS, INC.</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90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Doyle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Anthony Doyle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 Chief Financial Officer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415" w:type="dxa"/>
            <w:gridSpan w:val="2"/>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RPI 2019 INTERMEDIATE FINANCE TRUST</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Wilmington Trust, National Association, not in its individual capacity but solely in its capacity as owner trustee</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90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Cynthia L. Major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Name: Cynthia L. Major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Title: Banking Officer</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909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48" w:name="ex_340697.htm"/>
      <w:bookmarkStart w:id="49" w:name="ksex_340697"/>
      <w:bookmarkEnd w:id="48"/>
      <w:bookmarkEnd w:id="49"/>
      <w:r>
        <w:rPr>
          <w:rFonts w:ascii="Times New Roman" w:hAnsi="Times New Roman"/>
          <w:b/>
          <w:caps w:val="false"/>
          <w:smallCaps w:val="false"/>
          <w:sz w:val="20"/>
        </w:rPr>
        <w:t>Exhibit 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the Registrant</w:t>
      </w:r>
    </w:p>
    <w:p>
      <w:pPr>
        <w:pStyle w:val="TextBody"/>
        <w:spacing w:before="0" w:after="0"/>
        <w:ind w:left="0" w:right="0" w:hanging="0"/>
        <w:rPr>
          <w:caps w:val="false"/>
          <w:smallCaps w:val="false"/>
        </w:rPr>
      </w:pPr>
      <w:r>
        <w:rPr>
          <w:caps w:val="false"/>
          <w:smallCaps w:val="false"/>
        </w:rPr>
        <w:t> </w:t>
      </w:r>
    </w:p>
    <w:tbl>
      <w:tblPr>
        <w:tblW w:w="5620" w:type="dxa"/>
        <w:jc w:val="left"/>
        <w:tblInd w:w="0" w:type="dxa"/>
        <w:tblCellMar>
          <w:top w:w="0" w:type="dxa"/>
          <w:left w:w="0" w:type="dxa"/>
          <w:bottom w:w="28" w:type="dxa"/>
          <w:right w:w="0" w:type="dxa"/>
        </w:tblCellMar>
      </w:tblPr>
      <w:tblGrid>
        <w:gridCol w:w="3050"/>
        <w:gridCol w:w="60"/>
        <w:gridCol w:w="2510"/>
      </w:tblGrid>
      <w:tr>
        <w:trPr/>
        <w:tc>
          <w:tcPr>
            <w:tcW w:w="305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Subsidiary</w:t>
            </w:r>
          </w:p>
        </w:tc>
        <w:tc>
          <w:tcPr>
            <w:tcW w:w="60" w:type="dxa"/>
            <w:tcBorders/>
            <w:shd w:fill="auto" w:val="clear"/>
            <w:tcMar>
              <w:bottom w:w="0" w:type="dxa"/>
            </w:tcMar>
            <w:vAlign w:val="center"/>
          </w:tcPr>
          <w:p>
            <w:pPr>
              <w:pStyle w:val="TableContents"/>
              <w:spacing w:before="0" w:after="283"/>
              <w:rPr/>
            </w:pPr>
            <w:r>
              <w:rPr/>
              <w:t> </w:t>
            </w:r>
          </w:p>
        </w:tc>
        <w:tc>
          <w:tcPr>
            <w:tcW w:w="251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Jurisdiction of Incorporation</w:t>
            </w:r>
          </w:p>
        </w:tc>
      </w:tr>
      <w:tr>
        <w:trPr/>
        <w:tc>
          <w:tcPr>
            <w:tcW w:w="30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JPR Royalty Sub, LLC</w:t>
            </w:r>
          </w:p>
        </w:tc>
        <w:tc>
          <w:tcPr>
            <w:tcW w:w="60" w:type="dxa"/>
            <w:tcBorders/>
            <w:shd w:fill="auto" w:val="clear"/>
            <w:tcMar>
              <w:bottom w:w="0" w:type="dxa"/>
            </w:tcMar>
            <w:vAlign w:val="center"/>
          </w:tcPr>
          <w:p>
            <w:pPr>
              <w:pStyle w:val="TableContents"/>
              <w:spacing w:before="0" w:after="283"/>
              <w:rPr/>
            </w:pPr>
            <w:r>
              <w:rPr/>
              <w:t> </w:t>
            </w:r>
          </w:p>
        </w:tc>
        <w:tc>
          <w:tcPr>
            <w:tcW w:w="251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0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BioCryst US Sales Co., LLC</w:t>
            </w:r>
          </w:p>
        </w:tc>
        <w:tc>
          <w:tcPr>
            <w:tcW w:w="60" w:type="dxa"/>
            <w:tcBorders/>
            <w:shd w:fill="auto" w:val="clear"/>
            <w:tcMar>
              <w:bottom w:w="0" w:type="dxa"/>
            </w:tcMar>
            <w:vAlign w:val="center"/>
          </w:tcPr>
          <w:p>
            <w:pPr>
              <w:pStyle w:val="TableContents"/>
              <w:spacing w:before="0" w:after="283"/>
              <w:rPr/>
            </w:pPr>
            <w:r>
              <w:rPr/>
              <w:t> </w:t>
            </w:r>
          </w:p>
        </w:tc>
        <w:tc>
          <w:tcPr>
            <w:tcW w:w="251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30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BioCryst UK Limited</w:t>
            </w:r>
          </w:p>
        </w:tc>
        <w:tc>
          <w:tcPr>
            <w:tcW w:w="60" w:type="dxa"/>
            <w:tcBorders/>
            <w:shd w:fill="auto" w:val="clear"/>
            <w:tcMar>
              <w:bottom w:w="0" w:type="dxa"/>
            </w:tcMar>
            <w:vAlign w:val="center"/>
          </w:tcPr>
          <w:p>
            <w:pPr>
              <w:pStyle w:val="TableContents"/>
              <w:spacing w:before="0" w:after="283"/>
              <w:rPr/>
            </w:pPr>
            <w:r>
              <w:rPr/>
              <w:t> </w:t>
            </w:r>
          </w:p>
        </w:tc>
        <w:tc>
          <w:tcPr>
            <w:tcW w:w="251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England and Wales</w:t>
            </w:r>
          </w:p>
        </w:tc>
      </w:tr>
      <w:tr>
        <w:trPr/>
        <w:tc>
          <w:tcPr>
            <w:tcW w:w="30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BioCryst Ireland Limited</w:t>
            </w:r>
          </w:p>
        </w:tc>
        <w:tc>
          <w:tcPr>
            <w:tcW w:w="60" w:type="dxa"/>
            <w:tcBorders/>
            <w:shd w:fill="auto" w:val="clear"/>
            <w:tcMar>
              <w:bottom w:w="0" w:type="dxa"/>
            </w:tcMar>
            <w:vAlign w:val="center"/>
          </w:tcPr>
          <w:p>
            <w:pPr>
              <w:pStyle w:val="TableContents"/>
              <w:spacing w:before="0" w:after="283"/>
              <w:rPr/>
            </w:pPr>
            <w:r>
              <w:rPr/>
              <w:t> </w:t>
            </w:r>
          </w:p>
        </w:tc>
        <w:tc>
          <w:tcPr>
            <w:tcW w:w="251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Ireland</w:t>
            </w:r>
          </w:p>
        </w:tc>
      </w:tr>
      <w:tr>
        <w:trPr/>
        <w:tc>
          <w:tcPr>
            <w:tcW w:w="30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BioCryst Pharma Deutschland GmbH</w:t>
            </w:r>
          </w:p>
        </w:tc>
        <w:tc>
          <w:tcPr>
            <w:tcW w:w="60" w:type="dxa"/>
            <w:tcBorders/>
            <w:shd w:fill="auto" w:val="clear"/>
            <w:tcMar>
              <w:bottom w:w="0" w:type="dxa"/>
            </w:tcMar>
            <w:vAlign w:val="center"/>
          </w:tcPr>
          <w:p>
            <w:pPr>
              <w:pStyle w:val="TableContents"/>
              <w:spacing w:before="0" w:after="283"/>
              <w:rPr/>
            </w:pPr>
            <w:r>
              <w:rPr/>
              <w:t> </w:t>
            </w:r>
          </w:p>
        </w:tc>
        <w:tc>
          <w:tcPr>
            <w:tcW w:w="251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r>
      <w:tr>
        <w:trPr/>
        <w:tc>
          <w:tcPr>
            <w:tcW w:w="30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BioCryst France SAS</w:t>
            </w:r>
          </w:p>
        </w:tc>
        <w:tc>
          <w:tcPr>
            <w:tcW w:w="60" w:type="dxa"/>
            <w:tcBorders/>
            <w:shd w:fill="auto" w:val="clear"/>
            <w:tcMar>
              <w:bottom w:w="0" w:type="dxa"/>
            </w:tcMar>
            <w:vAlign w:val="center"/>
          </w:tcPr>
          <w:p>
            <w:pPr>
              <w:pStyle w:val="TableContents"/>
              <w:spacing w:before="0" w:after="283"/>
              <w:rPr/>
            </w:pPr>
            <w:r>
              <w:rPr/>
              <w:t> </w:t>
            </w:r>
          </w:p>
        </w:tc>
        <w:tc>
          <w:tcPr>
            <w:tcW w:w="251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France</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50" w:name="ex_338385.htm"/>
      <w:bookmarkStart w:id="51" w:name="ksex_338385"/>
      <w:bookmarkEnd w:id="50"/>
      <w:bookmarkEnd w:id="51"/>
      <w:r>
        <w:rPr>
          <w:rFonts w:ascii="Times New Roman" w:hAnsi="Times New Roman"/>
          <w:b/>
          <w:caps w:val="false"/>
          <w:smallCaps w:val="false"/>
          <w:sz w:val="20"/>
        </w:rPr>
        <w:t>Exhibit 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following Registration Statements: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Statements (Form S-8 Nos. 333-231108, 333-239078, 333-245024, 333-259919) pertaining to the BioCryst Pharmaceuticals, Inc. Inducement Equity Incentive Plan;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Statements (Form S-3 Nos. 333-145638, 333-153084, 333-217859, 333-237820 and 333-253719) of BioCryst Pharmaceuticals,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Statements (Form S-8 Nos. 333-120345, 333-39484, 333-30751 and 333-136703) pertaining to the BioCryst Pharmaceuticals, Inc. 1991 Stock Option Plan, as amended and restated;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Statements (Form S-8 Nos. 333-90582, 333-239077 and 333-256624) pertaining to the BioCryst Pharmaceuticals, Inc. Employee Stock Purchase Plan, as amended and restated;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 (Form S-8 No. 333-145627) pertaining to the BioCryst Pharmaceuticals, Inc. Stock Incentive Plan, as amended and restated, and the Employment Letter Agreement dated April 2, 2007 between BioCryst Pharmaceuticals, Inc. and David McCullough;</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Statements (Form S-8 Nos. 333-176096, 333-211529, 333-218360, 333-228296, 333-231942, 333-239076 and 333-256625) pertaining to the BioCryst Pharmaceuticals, Inc. Stock Incentive Plan, as amended and restated;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Registration Statements (Form S-8 Nos. 333-152570, 333-167830, 333-187193 and 333-195869) pertaining to the BioCryst Pharmaceuticals, Inc. Stock Incentive Plan and the Employee Stock Purchase Plan, each as amended and restated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rPr>
          <w:rFonts w:ascii="Times New Roman" w:hAnsi="Times New Roman"/>
          <w:caps w:val="false"/>
          <w:smallCaps w:val="false"/>
          <w:sz w:val="20"/>
        </w:rPr>
      </w:pPr>
      <w:r>
        <w:rPr>
          <w:rFonts w:ascii="Times New Roman" w:hAnsi="Times New Roman"/>
          <w:caps w:val="false"/>
          <w:smallCaps w:val="false"/>
          <w:sz w:val="20"/>
        </w:rPr>
        <w:t>of our reports dated February 28, 2022, with respect to the consolidated financial statements of BioCryst Pharmaceuticals, Inc. and the effectiveness of internal control over financial reporting of BioCryst Pharmaceuticals, Inc. included in this Annual Report (Form 10-K) of BioCryst Pharmaceuticals, Inc. for the year ended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spacing w:before="0" w:after="0"/>
        <w:ind w:left="160" w:right="0" w:hanging="0"/>
        <w:rPr>
          <w:rFonts w:ascii="Times New Roman" w:hAnsi="Times New Roman"/>
          <w:caps w:val="false"/>
          <w:smallCaps w:val="false"/>
          <w:sz w:val="20"/>
        </w:rPr>
      </w:pPr>
      <w:r>
        <w:rPr>
          <w:rFonts w:ascii="Times New Roman" w:hAnsi="Times New Roman"/>
          <w:caps w:val="false"/>
          <w:smallCaps w:val="false"/>
          <w:sz w:val="20"/>
        </w:rPr>
        <w:t>Raleigh, North Carolina</w:t>
      </w:r>
    </w:p>
    <w:p>
      <w:pPr>
        <w:pStyle w:val="TextBody"/>
        <w:spacing w:before="0" w:after="0"/>
        <w:ind w:left="160" w:right="0" w:hanging="0"/>
        <w:rPr>
          <w:rFonts w:ascii="Times New Roman" w:hAnsi="Times New Roman"/>
          <w:caps w:val="false"/>
          <w:smallCaps w:val="false"/>
          <w:sz w:val="20"/>
        </w:rPr>
      </w:pPr>
      <w:r>
        <w:rPr>
          <w:rFonts w:ascii="Times New Roman" w:hAnsi="Times New Roman"/>
          <w:caps w:val="false"/>
          <w:smallCaps w:val="false"/>
          <w:sz w:val="20"/>
        </w:rPr>
        <w:t>February 28, 2022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52" w:name="ex_338405.htm"/>
      <w:bookmarkStart w:id="53" w:name="ksex_338405"/>
      <w:bookmarkEnd w:id="52"/>
      <w:bookmarkEnd w:id="53"/>
      <w:r>
        <w:rPr>
          <w:rFonts w:ascii="Times New Roman" w:hAnsi="Times New Roman"/>
          <w:b/>
          <w:caps w:val="false"/>
          <w:smallCaps w:val="false"/>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ind w:left="4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Jon P. Stonehouse, certify that:</w:t>
      </w:r>
    </w:p>
    <w:p>
      <w:pPr>
        <w:pStyle w:val="TextBody"/>
        <w:spacing w:before="0" w:after="0"/>
        <w:ind w:left="0" w:right="0" w:hanging="0"/>
        <w:rPr>
          <w:caps w:val="false"/>
          <w:smallCaps w:val="false"/>
        </w:rPr>
      </w:pPr>
      <w:r>
        <w:rPr>
          <w:caps w:val="false"/>
          <w:smallCaps w:val="false"/>
        </w:rPr>
        <w:t> </w:t>
      </w:r>
    </w:p>
    <w:tbl>
      <w:tblPr>
        <w:tblW w:w="6970" w:type="dxa"/>
        <w:jc w:val="left"/>
        <w:tblInd w:w="0" w:type="dxa"/>
        <w:tblCellMar>
          <w:top w:w="0" w:type="dxa"/>
          <w:left w:w="0" w:type="dxa"/>
          <w:bottom w:w="0" w:type="dxa"/>
          <w:right w:w="0" w:type="dxa"/>
        </w:tblCellMar>
      </w:tblPr>
      <w:tblGrid>
        <w:gridCol w:w="60"/>
        <w:gridCol w:w="170"/>
        <w:gridCol w:w="67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67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BioCryst Pharmaceuticals,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330" w:type="dxa"/>
        <w:jc w:val="left"/>
        <w:tblInd w:w="0" w:type="dxa"/>
        <w:tblCellMar>
          <w:top w:w="0" w:type="dxa"/>
          <w:left w:w="0" w:type="dxa"/>
          <w:bottom w:w="0" w:type="dxa"/>
          <w:right w:w="0" w:type="dxa"/>
        </w:tblCellMar>
      </w:tblPr>
      <w:tblGrid>
        <w:gridCol w:w="1985"/>
        <w:gridCol w:w="2345"/>
      </w:tblGrid>
      <w:tr>
        <w:trPr/>
        <w:tc>
          <w:tcPr>
            <w:tcW w:w="19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February 28, 2022</w:t>
            </w:r>
          </w:p>
        </w:tc>
        <w:tc>
          <w:tcPr>
            <w:tcW w:w="234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Jon P. Stonehouse</w:t>
            </w:r>
          </w:p>
        </w:tc>
      </w:tr>
      <w:tr>
        <w:trPr/>
        <w:tc>
          <w:tcPr>
            <w:tcW w:w="198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Jon P. Stonehouse</w:t>
            </w:r>
          </w:p>
        </w:tc>
      </w:tr>
      <w:tr>
        <w:trPr/>
        <w:tc>
          <w:tcPr>
            <w:tcW w:w="198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8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54" w:name="ex_338406.htm"/>
      <w:bookmarkStart w:id="55" w:name="ksex_338406"/>
      <w:bookmarkEnd w:id="54"/>
      <w:bookmarkEnd w:id="55"/>
      <w:r>
        <w:rPr>
          <w:rFonts w:ascii="Times New Roman" w:hAnsi="Times New Roman"/>
          <w:b/>
          <w:caps w:val="false"/>
          <w:smallCaps w:val="false"/>
          <w:sz w:val="20"/>
        </w:rPr>
        <w:t>Exhibit 31.2</w:t>
      </w:r>
    </w:p>
    <w:p>
      <w:pPr>
        <w:pStyle w:val="TextBody"/>
        <w:spacing w:before="0" w:after="0"/>
        <w:ind w:left="0" w:right="0" w:hanging="0"/>
        <w:rPr>
          <w:caps w:val="false"/>
          <w:smallCaps w:val="false"/>
        </w:rPr>
      </w:pPr>
      <w:r>
        <w:rPr>
          <w:caps w:val="false"/>
          <w:smallCaps w:val="false"/>
        </w:rPr>
        <w:t> </w:t>
      </w:r>
    </w:p>
    <w:p>
      <w:pPr>
        <w:pStyle w:val="TextBody"/>
        <w:spacing w:before="0" w:after="0"/>
        <w:ind w:left="4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Anthony J. Doyle, certify that:</w:t>
      </w:r>
    </w:p>
    <w:p>
      <w:pPr>
        <w:pStyle w:val="TextBody"/>
        <w:spacing w:before="0" w:after="0"/>
        <w:ind w:left="0" w:right="0" w:hanging="0"/>
        <w:rPr>
          <w:caps w:val="false"/>
          <w:smallCaps w:val="false"/>
        </w:rPr>
      </w:pPr>
      <w:r>
        <w:rPr>
          <w:caps w:val="false"/>
          <w:smallCaps w:val="false"/>
        </w:rPr>
        <w:t> </w:t>
      </w:r>
    </w:p>
    <w:tbl>
      <w:tblPr>
        <w:tblW w:w="6970" w:type="dxa"/>
        <w:jc w:val="left"/>
        <w:tblInd w:w="0" w:type="dxa"/>
        <w:tblCellMar>
          <w:top w:w="0" w:type="dxa"/>
          <w:left w:w="0" w:type="dxa"/>
          <w:bottom w:w="0" w:type="dxa"/>
          <w:right w:w="0" w:type="dxa"/>
        </w:tblCellMar>
      </w:tblPr>
      <w:tblGrid>
        <w:gridCol w:w="60"/>
        <w:gridCol w:w="170"/>
        <w:gridCol w:w="67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67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BioCryst Pharmaceuticals,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270" w:type="dxa"/>
        <w:jc w:val="left"/>
        <w:tblInd w:w="0" w:type="dxa"/>
        <w:tblCellMar>
          <w:top w:w="0" w:type="dxa"/>
          <w:left w:w="0" w:type="dxa"/>
          <w:bottom w:w="0" w:type="dxa"/>
          <w:right w:w="0" w:type="dxa"/>
        </w:tblCellMar>
      </w:tblPr>
      <w:tblGrid>
        <w:gridCol w:w="1985"/>
        <w:gridCol w:w="2285"/>
      </w:tblGrid>
      <w:tr>
        <w:trPr/>
        <w:tc>
          <w:tcPr>
            <w:tcW w:w="19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February 28, 2022</w:t>
            </w:r>
          </w:p>
        </w:tc>
        <w:tc>
          <w:tcPr>
            <w:tcW w:w="22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J. Doyle</w:t>
            </w:r>
          </w:p>
        </w:tc>
      </w:tr>
      <w:tr>
        <w:trPr/>
        <w:tc>
          <w:tcPr>
            <w:tcW w:w="198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Anthony J. Doyle</w:t>
            </w:r>
          </w:p>
        </w:tc>
      </w:tr>
      <w:tr>
        <w:trPr/>
        <w:tc>
          <w:tcPr>
            <w:tcW w:w="198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8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56" w:name="ex_338407.htm"/>
      <w:bookmarkStart w:id="57" w:name="ksex_338407"/>
      <w:bookmarkEnd w:id="56"/>
      <w:bookmarkEnd w:id="57"/>
      <w:r>
        <w:rPr>
          <w:rFonts w:ascii="Times New Roman" w:hAnsi="Times New Roman"/>
          <w:b/>
          <w:caps w:val="false"/>
          <w:smallCaps w:val="false"/>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In connection with the Annual Report of BioCryst Pharmaceuticals, Inc. (the “Company”) on Form 10-K for the period ending December 31, 2021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pStyle w:val="TextBody"/>
        <w:spacing w:before="0" w:after="0"/>
        <w:ind w:left="0" w:right="0" w:hanging="0"/>
        <w:rPr>
          <w:caps w:val="false"/>
          <w:smallCaps w:val="false"/>
        </w:rPr>
      </w:pPr>
      <w:r>
        <w:rPr>
          <w:caps w:val="false"/>
          <w:smallCaps w:val="false"/>
        </w:rPr>
        <w:t> </w:t>
      </w:r>
    </w:p>
    <w:tbl>
      <w:tblPr>
        <w:tblW w:w="9865" w:type="dxa"/>
        <w:jc w:val="left"/>
        <w:tblInd w:w="0" w:type="dxa"/>
        <w:tblCellMar>
          <w:top w:w="0" w:type="dxa"/>
          <w:left w:w="0" w:type="dxa"/>
          <w:bottom w:w="0" w:type="dxa"/>
          <w:right w:w="0" w:type="dxa"/>
        </w:tblCellMar>
      </w:tblPr>
      <w:tblGrid>
        <w:gridCol w:w="60"/>
        <w:gridCol w:w="245"/>
        <w:gridCol w:w="956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95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4330" w:type="dxa"/>
        <w:jc w:val="left"/>
        <w:tblInd w:w="0" w:type="dxa"/>
        <w:tblCellMar>
          <w:top w:w="0" w:type="dxa"/>
          <w:left w:w="0" w:type="dxa"/>
          <w:bottom w:w="0" w:type="dxa"/>
          <w:right w:w="0" w:type="dxa"/>
        </w:tblCellMar>
      </w:tblPr>
      <w:tblGrid>
        <w:gridCol w:w="1985"/>
        <w:gridCol w:w="2345"/>
      </w:tblGrid>
      <w:tr>
        <w:trPr/>
        <w:tc>
          <w:tcPr>
            <w:tcW w:w="19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February 28, 2022</w:t>
            </w:r>
          </w:p>
        </w:tc>
        <w:tc>
          <w:tcPr>
            <w:tcW w:w="234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Jon P. Stonehouse</w:t>
            </w:r>
          </w:p>
        </w:tc>
      </w:tr>
      <w:tr>
        <w:trPr/>
        <w:tc>
          <w:tcPr>
            <w:tcW w:w="198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Jon P. Stonehouse</w:t>
            </w:r>
          </w:p>
        </w:tc>
      </w:tr>
      <w:tr>
        <w:trPr/>
        <w:tc>
          <w:tcPr>
            <w:tcW w:w="198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85"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58" w:name="ex_338408.htm"/>
      <w:bookmarkStart w:id="59" w:name="ksex_338408"/>
      <w:bookmarkEnd w:id="58"/>
      <w:bookmarkEnd w:id="59"/>
      <w:r>
        <w:rPr>
          <w:rFonts w:ascii="Times New Roman" w:hAnsi="Times New Roman"/>
          <w:b/>
          <w:caps w:val="false"/>
          <w:smallCaps w:val="false"/>
          <w:sz w:val="20"/>
        </w:rPr>
        <w:t>Exhibit 32.2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In connection with the Annual Report of BioCryst Pharmaceuticals, Inc. (the “Company”) on Form 10-K for the period ending December 31, 2021 as filed with the Securities and Exchange Commission on the date hereof (the “Report”), I, Anthony J. Doyle, Chief Financial Officer of the Company, certify, pursuant to 18 U.S.C. § 1350, as adopted pursuant to § 906 of the Sarbanes-Oxley Act of 2002, that, to the best of my knowledge:</w:t>
      </w:r>
    </w:p>
    <w:p>
      <w:pPr>
        <w:pStyle w:val="TextBody"/>
        <w:spacing w:before="0" w:after="0"/>
        <w:ind w:left="0" w:right="0" w:hanging="0"/>
        <w:rPr>
          <w:caps w:val="false"/>
          <w:smallCaps w:val="false"/>
        </w:rPr>
      </w:pPr>
      <w:r>
        <w:rPr>
          <w:caps w:val="false"/>
          <w:smallCaps w:val="false"/>
        </w:rPr>
        <w:t> </w:t>
      </w:r>
    </w:p>
    <w:tbl>
      <w:tblPr>
        <w:tblW w:w="9865" w:type="dxa"/>
        <w:jc w:val="left"/>
        <w:tblInd w:w="0" w:type="dxa"/>
        <w:tblCellMar>
          <w:top w:w="0" w:type="dxa"/>
          <w:left w:w="0" w:type="dxa"/>
          <w:bottom w:w="0" w:type="dxa"/>
          <w:right w:w="0" w:type="dxa"/>
        </w:tblCellMar>
      </w:tblPr>
      <w:tblGrid>
        <w:gridCol w:w="60"/>
        <w:gridCol w:w="245"/>
        <w:gridCol w:w="956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(1)</w:t>
            </w:r>
          </w:p>
        </w:tc>
        <w:tc>
          <w:tcPr>
            <w:tcW w:w="95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4"/>
        <w:gridCol w:w="9911"/>
      </w:tblGrid>
      <w:tr>
        <w:trPr/>
        <w:tc>
          <w:tcPr>
            <w:tcW w:w="60"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4270" w:type="dxa"/>
        <w:jc w:val="left"/>
        <w:tblInd w:w="0" w:type="dxa"/>
        <w:tblCellMar>
          <w:top w:w="0" w:type="dxa"/>
          <w:left w:w="0" w:type="dxa"/>
          <w:bottom w:w="0" w:type="dxa"/>
          <w:right w:w="0" w:type="dxa"/>
        </w:tblCellMar>
      </w:tblPr>
      <w:tblGrid>
        <w:gridCol w:w="1985"/>
        <w:gridCol w:w="2285"/>
      </w:tblGrid>
      <w:tr>
        <w:trPr/>
        <w:tc>
          <w:tcPr>
            <w:tcW w:w="1985" w:type="dxa"/>
            <w:tcBorders/>
            <w:shd w:fill="auto" w:val="clear"/>
            <w:vAlign w:val="center"/>
          </w:tcPr>
          <w:p>
            <w:pPr>
              <w:pStyle w:val="TableContents"/>
              <w:spacing w:before="0" w:after="0"/>
              <w:ind w:left="440" w:right="0" w:hanging="0"/>
              <w:rPr>
                <w:rFonts w:ascii="Times New Roman" w:hAnsi="Times New Roman"/>
                <w:caps w:val="false"/>
                <w:smallCaps w:val="false"/>
                <w:sz w:val="20"/>
              </w:rPr>
            </w:pPr>
            <w:r>
              <w:rPr>
                <w:rFonts w:ascii="Times New Roman" w:hAnsi="Times New Roman"/>
                <w:caps w:val="false"/>
                <w:smallCaps w:val="false"/>
                <w:sz w:val="20"/>
              </w:rPr>
              <w:t>Date: February 28, 2022</w:t>
            </w:r>
          </w:p>
        </w:tc>
        <w:tc>
          <w:tcPr>
            <w:tcW w:w="22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 Anthony J. Doyle</w:t>
            </w:r>
          </w:p>
        </w:tc>
      </w:tr>
      <w:tr>
        <w:trPr/>
        <w:tc>
          <w:tcPr>
            <w:tcW w:w="198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Anthony J. Doyle</w:t>
            </w:r>
          </w:p>
        </w:tc>
      </w:tr>
      <w:tr>
        <w:trPr/>
        <w:tc>
          <w:tcPr>
            <w:tcW w:w="198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8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rPr>
          <w:rFonts w:ascii="Times New Roman" w:hAnsi="Times New Roman"/>
          <w:caps w:val="false"/>
          <w:smallCaps w:val="false"/>
          <w:sz w:val="20"/>
        </w:rPr>
      </w:pPr>
      <w:r>
        <w:rPr>
          <w:rFonts w:ascii="Times New Roman" w:hAnsi="Times New Roman"/>
          <w:caps w:val="false"/>
          <w:smallCaps w:val="false"/>
          <w:sz w:val="20"/>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82796/000103570406000836/d42297exv3w1.htm" TargetMode="External"/><Relationship Id="rId4" Type="http://schemas.openxmlformats.org/officeDocument/2006/relationships/hyperlink" Target="http://www.sec.gov/Archives/edgar/data/882796/000103570406000836/d42297exv3w1.htm" TargetMode="External"/><Relationship Id="rId5" Type="http://schemas.openxmlformats.org/officeDocument/2006/relationships/hyperlink" Target="http://www.sec.gov/Archives/edgar/data/882796/000136231007001386/c70813exv3w1.htm" TargetMode="External"/><Relationship Id="rId6" Type="http://schemas.openxmlformats.org/officeDocument/2006/relationships/hyperlink" Target="http://www.sec.gov/Archives/edgar/data/882796/000136231007001386/c70813exv3w1.htm" TargetMode="External"/><Relationship Id="rId7" Type="http://schemas.openxmlformats.org/officeDocument/2006/relationships/hyperlink" Target="http://www.sec.gov/Archives/edgar/data/882796/000119312514186707/d722313dex31.htm" TargetMode="External"/><Relationship Id="rId8" Type="http://schemas.openxmlformats.org/officeDocument/2006/relationships/hyperlink" Target="http://www.sec.gov/Archives/edgar/data/882796/000119312514186707/d722313dex31.htm" TargetMode="External"/><Relationship Id="rId9" Type="http://schemas.openxmlformats.org/officeDocument/2006/relationships/hyperlink" Target="http://www.sec.gov/Archives/edgar/data/882796/000117184320003680/exh_31.htm" TargetMode="External"/><Relationship Id="rId10" Type="http://schemas.openxmlformats.org/officeDocument/2006/relationships/hyperlink" Target="http://www.sec.gov/Archives/edgar/data/882796/000117184320003680/exh_31.htm" TargetMode="External"/><Relationship Id="rId11" Type="http://schemas.openxmlformats.org/officeDocument/2006/relationships/hyperlink" Target="http://www.sec.gov/Archives/edgar/data/882796/000117184320003680/exh_32.htm" TargetMode="External"/><Relationship Id="rId12" Type="http://schemas.openxmlformats.org/officeDocument/2006/relationships/hyperlink" Target="http://www.sec.gov/Archives/edgar/data/882796/000117184320003680/exh_32.htm" TargetMode="External"/><Relationship Id="rId13" Type="http://schemas.openxmlformats.org/officeDocument/2006/relationships/hyperlink" Target="http://www.sec.gov/Archives/edgar/data/882796/000136231008006580/c76716exv3w2.htm" TargetMode="External"/><Relationship Id="rId14" Type="http://schemas.openxmlformats.org/officeDocument/2006/relationships/hyperlink" Target="http://www.sec.gov/Archives/edgar/data/882796/000136231008006580/c76716exv3w2.htm" TargetMode="External"/><Relationship Id="rId15" Type="http://schemas.openxmlformats.org/officeDocument/2006/relationships/hyperlink" Target="http://www.sec.gov/Archives/edgar/data/882796/000117184321001411/ex_230468.htm" TargetMode="External"/><Relationship Id="rId16" Type="http://schemas.openxmlformats.org/officeDocument/2006/relationships/hyperlink" Target="http://www.sec.gov/Archives/edgar/data/882796/000117184321001411/ex_230468.htm" TargetMode="External"/><Relationship Id="rId17" Type="http://schemas.openxmlformats.org/officeDocument/2006/relationships/hyperlink" Target="http://www.sec.gov/Archives/edgar/data/882796/000095012311046591/g27110exv4w3.htm" TargetMode="External"/><Relationship Id="rId18" Type="http://schemas.openxmlformats.org/officeDocument/2006/relationships/hyperlink" Target="http://www.sec.gov/Archives/edgar/data/882796/000095012311046591/g27110exv4w3.htm" TargetMode="External"/><Relationship Id="rId19" Type="http://schemas.openxmlformats.org/officeDocument/2006/relationships/hyperlink" Target="http://www.sec.gov/Archives/edgar/data/882796/000114036119021088/ex4_1.htm" TargetMode="External"/><Relationship Id="rId20" Type="http://schemas.openxmlformats.org/officeDocument/2006/relationships/hyperlink" Target="http://www.sec.gov/Archives/edgar/data/882796/000114036119021088/ex4_1.htm" TargetMode="External"/><Relationship Id="rId21" Type="http://schemas.openxmlformats.org/officeDocument/2006/relationships/hyperlink" Target="http://www.sec.gov/Archives/edgar/data/882796/000114036120012787/nt10011234x7_ex4-1.htm" TargetMode="External"/><Relationship Id="rId22" Type="http://schemas.openxmlformats.org/officeDocument/2006/relationships/hyperlink" Target="http://www.sec.gov/Archives/edgar/data/882796/000114036120012787/nt10011234x7_ex4-1.htm" TargetMode="External"/><Relationship Id="rId23" Type="http://schemas.openxmlformats.org/officeDocument/2006/relationships/hyperlink" Target="http://www.sec.gov/Archives/edgar/data/882796/000119312512248790/d358788dex101.htm" TargetMode="External"/><Relationship Id="rId24" Type="http://schemas.openxmlformats.org/officeDocument/2006/relationships/hyperlink" Target="http://www.sec.gov/Archives/edgar/data/882796/000119312512248790/d358788dex101.htm" TargetMode="External"/><Relationship Id="rId25" Type="http://schemas.openxmlformats.org/officeDocument/2006/relationships/hyperlink" Target="http://www.sec.gov/Archives/edgar/data/882796/000119312514181823/d721175dex101.htm" TargetMode="External"/><Relationship Id="rId26" Type="http://schemas.openxmlformats.org/officeDocument/2006/relationships/hyperlink" Target="http://www.sec.gov/Archives/edgar/data/882796/000119312514181823/d721175dex101.htm" TargetMode="External"/><Relationship Id="rId27" Type="http://schemas.openxmlformats.org/officeDocument/2006/relationships/hyperlink" Target="http://www.sec.gov/Archives/edgar/data/882796/000117184316010246/exh_101.htm" TargetMode="External"/><Relationship Id="rId28" Type="http://schemas.openxmlformats.org/officeDocument/2006/relationships/hyperlink" Target="http://www.sec.gov/Archives/edgar/data/882796/000117184316010246/exh_101.htm" TargetMode="External"/><Relationship Id="rId29" Type="http://schemas.openxmlformats.org/officeDocument/2006/relationships/hyperlink" Target="http://www.sec.gov/Archives/edgar/data/882796/000117184317003361/exh_101.htm" TargetMode="External"/><Relationship Id="rId30" Type="http://schemas.openxmlformats.org/officeDocument/2006/relationships/hyperlink" Target="http://www.sec.gov/Archives/edgar/data/882796/000117184317003361/exh_101.htm" TargetMode="External"/><Relationship Id="rId31" Type="http://schemas.openxmlformats.org/officeDocument/2006/relationships/hyperlink" Target="http://www.sec.gov/Archives/edgar/data/882796/000117184318007398/exh_101.htm" TargetMode="External"/><Relationship Id="rId32" Type="http://schemas.openxmlformats.org/officeDocument/2006/relationships/hyperlink" Target="http://www.sec.gov/Archives/edgar/data/882796/000117184318007398/exh_101.htm" TargetMode="External"/><Relationship Id="rId33" Type="http://schemas.openxmlformats.org/officeDocument/2006/relationships/hyperlink" Target="http://www.sec.gov/Archives/edgar/data/882796/000117184319003812/exh_101.htm" TargetMode="External"/><Relationship Id="rId34" Type="http://schemas.openxmlformats.org/officeDocument/2006/relationships/hyperlink" Target="http://www.sec.gov/Archives/edgar/data/882796/000117184319003812/exh_101.htm" TargetMode="External"/><Relationship Id="rId35" Type="http://schemas.openxmlformats.org/officeDocument/2006/relationships/hyperlink" Target="http://www.sec.gov/Archives/edgar/data/882796/000117184320003680/exh_101.htm" TargetMode="External"/><Relationship Id="rId36" Type="http://schemas.openxmlformats.org/officeDocument/2006/relationships/hyperlink" Target="http://www.sec.gov/Archives/edgar/data/882796/000117184320003680/exh_101.htm" TargetMode="External"/><Relationship Id="rId37" Type="http://schemas.openxmlformats.org/officeDocument/2006/relationships/hyperlink" Target="http://www.sec.gov/Archives/edgar/data/882796/000117184321003792/exh_101.htm" TargetMode="External"/><Relationship Id="rId38" Type="http://schemas.openxmlformats.org/officeDocument/2006/relationships/hyperlink" Target="http://www.sec.gov/Archives/edgar/data/882796/000117184321003792/exh_101.htm" TargetMode="External"/><Relationship Id="rId39" Type="http://schemas.openxmlformats.org/officeDocument/2006/relationships/hyperlink" Target="http://www.sec.gov/Archives/edgar/data/882796/000095014408001624/g12086exv10w4.htm" TargetMode="External"/><Relationship Id="rId40" Type="http://schemas.openxmlformats.org/officeDocument/2006/relationships/hyperlink" Target="http://www.sec.gov/Archives/edgar/data/882796/000095014408001624/g12086exv10w4.htm" TargetMode="External"/><Relationship Id="rId41" Type="http://schemas.openxmlformats.org/officeDocument/2006/relationships/hyperlink" Target="http://www.sec.gov/Archives/edgar/data/882796/000095014408001624/g12086exv10w5.htm" TargetMode="External"/><Relationship Id="rId42" Type="http://schemas.openxmlformats.org/officeDocument/2006/relationships/hyperlink" Target="http://www.sec.gov/Archives/edgar/data/882796/000095014408001624/g12086exv10w5.htm" TargetMode="External"/><Relationship Id="rId43" Type="http://schemas.openxmlformats.org/officeDocument/2006/relationships/hyperlink" Target="http://www.sec.gov/Archives/edgar/data/882796/000117184315001186/exh_107.htm" TargetMode="External"/><Relationship Id="rId44" Type="http://schemas.openxmlformats.org/officeDocument/2006/relationships/hyperlink" Target="http://www.sec.gov/Archives/edgar/data/882796/000117184315001186/exh_107.htm" TargetMode="External"/><Relationship Id="rId45" Type="http://schemas.openxmlformats.org/officeDocument/2006/relationships/hyperlink" Target="http://www.sec.gov/Archives/edgar/data/882796/000117184315001186/exh_108.htm" TargetMode="External"/><Relationship Id="rId46" Type="http://schemas.openxmlformats.org/officeDocument/2006/relationships/hyperlink" Target="http://www.sec.gov/Archives/edgar/data/882796/000117184315001186/exh_108.htm" TargetMode="External"/><Relationship Id="rId47" Type="http://schemas.openxmlformats.org/officeDocument/2006/relationships/hyperlink" Target="http://www.sec.gov/Archives/edgar/data/882796/000117184321003310/ex_247204.htm" TargetMode="External"/><Relationship Id="rId48" Type="http://schemas.openxmlformats.org/officeDocument/2006/relationships/hyperlink" Target="http://www.sec.gov/Archives/edgar/data/882796/000117184321003310/ex_247204.htm" TargetMode="External"/><Relationship Id="rId49" Type="http://schemas.openxmlformats.org/officeDocument/2006/relationships/hyperlink" Target="http://www.sec.gov/Archives/edgar/data/882796/000117184321003792/exh_102.htm" TargetMode="External"/><Relationship Id="rId50" Type="http://schemas.openxmlformats.org/officeDocument/2006/relationships/hyperlink" Target="http://www.sec.gov/Archives/edgar/data/882796/000117184321003792/exh_102.htm" TargetMode="External"/><Relationship Id="rId51" Type="http://schemas.openxmlformats.org/officeDocument/2006/relationships/hyperlink" Target="http://www.sec.gov/Archives/edgar/data/882796/000117184319002720/exh_991.htm" TargetMode="External"/><Relationship Id="rId52" Type="http://schemas.openxmlformats.org/officeDocument/2006/relationships/hyperlink" Target="http://www.sec.gov/Archives/edgar/data/882796/000117184319002720/exh_991.htm" TargetMode="External"/><Relationship Id="rId53" Type="http://schemas.openxmlformats.org/officeDocument/2006/relationships/hyperlink" Target="http://www.sec.gov/Archives/edgar/data/882796/000117184320003557/exh_102.htm" TargetMode="External"/><Relationship Id="rId54" Type="http://schemas.openxmlformats.org/officeDocument/2006/relationships/hyperlink" Target="http://www.sec.gov/Archives/edgar/data/882796/000117184320003557/exh_102.htm" TargetMode="External"/><Relationship Id="rId55" Type="http://schemas.openxmlformats.org/officeDocument/2006/relationships/hyperlink" Target="http://www.sec.gov/Archives/edgar/data/882796/000117184320005862/exh_991.htm" TargetMode="External"/><Relationship Id="rId56" Type="http://schemas.openxmlformats.org/officeDocument/2006/relationships/hyperlink" Target="http://www.sec.gov/Archives/edgar/data/882796/000117184320005862/exh_991.htm" TargetMode="External"/><Relationship Id="rId57" Type="http://schemas.openxmlformats.org/officeDocument/2006/relationships/hyperlink" Target="http://www.sec.gov/Archives/edgar/data/882796/000117184321006732/exh_991.htm" TargetMode="External"/><Relationship Id="rId58" Type="http://schemas.openxmlformats.org/officeDocument/2006/relationships/hyperlink" Target="http://www.sec.gov/Archives/edgar/data/882796/000117184321006732/exh_991.htm" TargetMode="External"/><Relationship Id="rId59" Type="http://schemas.openxmlformats.org/officeDocument/2006/relationships/hyperlink" Target="http://www.sec.gov/Archives/edgar/data/882796/000117184321001411/ex_230469.htm" TargetMode="External"/><Relationship Id="rId60" Type="http://schemas.openxmlformats.org/officeDocument/2006/relationships/hyperlink" Target="http://www.sec.gov/Archives/edgar/data/882796/000117184321001411/ex_230469.htm" TargetMode="External"/><Relationship Id="rId61" Type="http://schemas.openxmlformats.org/officeDocument/2006/relationships/hyperlink" Target="http://www.sec.gov/Archives/edgar/data/882796/000117184320008616/exh_101.htm" TargetMode="External"/><Relationship Id="rId62" Type="http://schemas.openxmlformats.org/officeDocument/2006/relationships/hyperlink" Target="http://www.sec.gov/Archives/edgar/data/882796/000117184320008616/exh_101.htm" TargetMode="External"/><Relationship Id="rId63" Type="http://schemas.openxmlformats.org/officeDocument/2006/relationships/hyperlink" Target="http://www.sec.gov/Archives/edgar/data/882796/000095014408001624/g12086exv10w2.htm" TargetMode="External"/><Relationship Id="rId64" Type="http://schemas.openxmlformats.org/officeDocument/2006/relationships/hyperlink" Target="http://www.sec.gov/Archives/edgar/data/882796/000095014408001624/g12086exv10w2.htm" TargetMode="External"/><Relationship Id="rId65" Type="http://schemas.openxmlformats.org/officeDocument/2006/relationships/hyperlink" Target="http://www.sec.gov/Archives/edgar/data/882796/000095014407002193/g06036exv10w12.htm" TargetMode="External"/><Relationship Id="rId66" Type="http://schemas.openxmlformats.org/officeDocument/2006/relationships/hyperlink" Target="http://www.sec.gov/Archives/edgar/data/882796/000095014407002193/g06036exv10w12.htm" TargetMode="External"/><Relationship Id="rId67" Type="http://schemas.openxmlformats.org/officeDocument/2006/relationships/hyperlink" Target="http://www.sec.gov/Archives/edgar/data/882796/000117184321005674/ex_272109.htm" TargetMode="External"/><Relationship Id="rId68" Type="http://schemas.openxmlformats.org/officeDocument/2006/relationships/hyperlink" Target="http://www.sec.gov/Archives/edgar/data/882796/000117184321005674/ex_272109.htm" TargetMode="External"/><Relationship Id="rId69" Type="http://schemas.openxmlformats.org/officeDocument/2006/relationships/hyperlink" Target="http://www.sec.gov/Archives/edgar/data/882796/000117184321005674/ex_272110.htm" TargetMode="External"/><Relationship Id="rId70" Type="http://schemas.openxmlformats.org/officeDocument/2006/relationships/hyperlink" Target="http://www.sec.gov/Archives/edgar/data/882796/000117184321005674/ex_272110.htm" TargetMode="External"/><Relationship Id="rId71" Type="http://schemas.openxmlformats.org/officeDocument/2006/relationships/hyperlink" Target="http://www.sec.gov/Archives/edgar/data/882796/000117184321005674/ex_272111.htm" TargetMode="External"/><Relationship Id="rId72" Type="http://schemas.openxmlformats.org/officeDocument/2006/relationships/hyperlink" Target="http://www.sec.gov/Archives/edgar/data/882796/000117184321005674/ex_272111.htm" TargetMode="External"/><Relationship Id="rId73" Type="http://schemas.openxmlformats.org/officeDocument/2006/relationships/hyperlink" Target="http://www.sec.gov/Archives/edgar/data/882796/000117184319005326/exh_101.htm" TargetMode="External"/><Relationship Id="rId74" Type="http://schemas.openxmlformats.org/officeDocument/2006/relationships/hyperlink" Target="http://www.sec.gov/Archives/edgar/data/882796/000117184319005326/exh_101.htm" TargetMode="External"/><Relationship Id="rId75" Type="http://schemas.openxmlformats.org/officeDocument/2006/relationships/hyperlink" Target="http://www.sec.gov/Archives/edgar/data/882796/000117184321005671/exh_101.htm" TargetMode="External"/><Relationship Id="rId76" Type="http://schemas.openxmlformats.org/officeDocument/2006/relationships/hyperlink" Target="http://www.sec.gov/Archives/edgar/data/882796/000117184321005671/exh_101.htm" TargetMode="External"/><Relationship Id="rId77" Type="http://schemas.openxmlformats.org/officeDocument/2006/relationships/hyperlink" Target="http://www.sec.gov/Archives/edgar/data/882796/000117184321001411/ex_230470.htm" TargetMode="External"/><Relationship Id="rId78" Type="http://schemas.openxmlformats.org/officeDocument/2006/relationships/hyperlink" Target="http://www.sec.gov/Archives/edgar/data/882796/000117184321001411/ex_230470.htm" TargetMode="External"/><Relationship Id="rId79" Type="http://schemas.openxmlformats.org/officeDocument/2006/relationships/hyperlink" Target="http://www.sec.gov/Archives/edgar/data/882796/000117184321007570/ex_299598.htm" TargetMode="External"/><Relationship Id="rId80" Type="http://schemas.openxmlformats.org/officeDocument/2006/relationships/hyperlink" Target="http://www.sec.gov/Archives/edgar/data/882796/000117184321007570/ex_299598.htm" TargetMode="External"/><Relationship Id="rId81" Type="http://schemas.openxmlformats.org/officeDocument/2006/relationships/hyperlink" Target="http://www.sec.gov/Archives/edgar/data/882796/000117184320003557/exh_101.htm" TargetMode="External"/><Relationship Id="rId82" Type="http://schemas.openxmlformats.org/officeDocument/2006/relationships/hyperlink" Target="http://www.sec.gov/Archives/edgar/data/882796/000117184320003557/exh_101.htm" TargetMode="External"/><Relationship Id="rId83" Type="http://schemas.openxmlformats.org/officeDocument/2006/relationships/hyperlink" Target="http://www.sec.gov/Archives/edgar/data/882796/000117184321007570/ex_299566.htm" TargetMode="External"/><Relationship Id="rId84" Type="http://schemas.openxmlformats.org/officeDocument/2006/relationships/hyperlink" Target="http://www.sec.gov/Archives/edgar/data/882796/000117184321007570/ex_299566.htm" TargetMode="External"/><Relationship Id="rId85" Type="http://schemas.openxmlformats.org/officeDocument/2006/relationships/hyperlink" Target="http://www.sec.gov/Archives/edgar/data/882796/000117184321003310/ex_247203.htm" TargetMode="External"/><Relationship Id="rId86" Type="http://schemas.openxmlformats.org/officeDocument/2006/relationships/hyperlink" Target="http://www.sec.gov/Archives/edgar/data/882796/000117184321003310/ex_247203.htm" TargetMode="External"/><Relationship Id="rId87" Type="http://schemas.openxmlformats.org/officeDocument/2006/relationships/hyperlink" Target="http://www.sec.gov/Archives/edgar/data/882796/000117184321007570/ex_299567.htm" TargetMode="External"/><Relationship Id="rId88" Type="http://schemas.openxmlformats.org/officeDocument/2006/relationships/hyperlink" Target="http://www.sec.gov/Archives/edgar/data/882796/000117184321007570/ex_299567.htm" TargetMode="External"/><Relationship Id="rId89" Type="http://schemas.openxmlformats.org/officeDocument/2006/relationships/hyperlink" Target="http://www.sec.gov/Archives/edgar/data/882796/000117184321001411/ex_230471.htm" TargetMode="External"/><Relationship Id="rId90" Type="http://schemas.openxmlformats.org/officeDocument/2006/relationships/hyperlink" Target="http://www.sec.gov/Archives/edgar/data/882796/000117184321001411/ex_230471.htm" TargetMode="External"/><Relationship Id="rId91" Type="http://schemas.openxmlformats.org/officeDocument/2006/relationships/hyperlink" Target="http://www.sec.gov/Archives/edgar/data/882796/000117184321001411/ex_230463.htm" TargetMode="External"/><Relationship Id="rId92" Type="http://schemas.openxmlformats.org/officeDocument/2006/relationships/hyperlink" Target="http://www.sec.gov/Archives/edgar/data/882796/000117184321001411/ex_230463.htm" TargetMode="External"/><Relationship Id="rId93" Type="http://schemas.openxmlformats.org/officeDocument/2006/relationships/hyperlink" Target="http://www.sec.gov/Archives/edgar/data/882796/000117184321001411/ex_230489.htm" TargetMode="External"/><Relationship Id="rId94" Type="http://schemas.openxmlformats.org/officeDocument/2006/relationships/hyperlink" Target="http://www.sec.gov/Archives/edgar/data/882796/000117184321001411/ex_230489.htm" TargetMode="External"/><Relationship Id="rId95" Type="http://schemas.openxmlformats.org/officeDocument/2006/relationships/hyperlink" Target="http://www.sec.gov/Archives/edgar/data/882796/000117184321001411/ex_230490.htm" TargetMode="External"/><Relationship Id="rId96" Type="http://schemas.openxmlformats.org/officeDocument/2006/relationships/hyperlink" Target="http://www.sec.gov/Archives/edgar/data/882796/000117184321001411/ex_230490.htm" TargetMode="External"/><Relationship Id="rId97" Type="http://schemas.openxmlformats.org/officeDocument/2006/relationships/hyperlink" Target="http://www.sec.gov/Archives/edgar/data/882796/000095012310074183/g24253exv10w1.htm" TargetMode="External"/><Relationship Id="rId98" Type="http://schemas.openxmlformats.org/officeDocument/2006/relationships/hyperlink" Target="http://www.sec.gov/Archives/edgar/data/882796/000095012310074183/g24253exv10w1.htm" TargetMode="External"/><Relationship Id="rId99" Type="http://schemas.openxmlformats.org/officeDocument/2006/relationships/hyperlink" Target="http://www.sec.gov/Archives/edgar/data/882796/000117184321001411/ex_230492.htm" TargetMode="External"/><Relationship Id="rId100" Type="http://schemas.openxmlformats.org/officeDocument/2006/relationships/hyperlink" Target="http://www.sec.gov/Archives/edgar/data/882796/000117184321001411/ex_230492.htm" TargetMode="External"/><Relationship Id="rId101" Type="http://schemas.openxmlformats.org/officeDocument/2006/relationships/hyperlink" Target="http://www.sec.gov/Archives/edgar/data/882796/000117184321001411/ex_230493.htm" TargetMode="External"/><Relationship Id="rId102" Type="http://schemas.openxmlformats.org/officeDocument/2006/relationships/hyperlink" Target="http://www.sec.gov/Archives/edgar/data/882796/000117184321001411/ex_230493.htm" TargetMode="External"/><Relationship Id="rId103" Type="http://schemas.openxmlformats.org/officeDocument/2006/relationships/hyperlink" Target="http://www.sec.gov/Archives/edgar/data/882796/000117184315004473/exh_106.htm" TargetMode="External"/><Relationship Id="rId104" Type="http://schemas.openxmlformats.org/officeDocument/2006/relationships/hyperlink" Target="http://www.sec.gov/Archives/edgar/data/882796/000117184315004473/exh_106.htm" TargetMode="External"/><Relationship Id="rId105" Type="http://schemas.openxmlformats.org/officeDocument/2006/relationships/hyperlink" Target="http://www.sec.gov/Archives/edgar/data/882796/000117184315004473/exh_107.htm" TargetMode="External"/><Relationship Id="rId106" Type="http://schemas.openxmlformats.org/officeDocument/2006/relationships/hyperlink" Target="http://www.sec.gov/Archives/edgar/data/882796/000117184315004473/exh_107.htm" TargetMode="External"/><Relationship Id="rId107" Type="http://schemas.openxmlformats.org/officeDocument/2006/relationships/hyperlink" Target="http://www.sec.gov/Archives/edgar/data/882796/000095012311046591/g27110exv10w1.htm" TargetMode="External"/><Relationship Id="rId108" Type="http://schemas.openxmlformats.org/officeDocument/2006/relationships/hyperlink" Target="http://www.sec.gov/Archives/edgar/data/882796/000095012311046591/g27110exv10w1.htm" TargetMode="External"/><Relationship Id="rId109" Type="http://schemas.openxmlformats.org/officeDocument/2006/relationships/hyperlink" Target="http://www.sec.gov/Archives/edgar/data/882796/000095012311046591/g27110exv10w2.htm" TargetMode="External"/><Relationship Id="rId110" Type="http://schemas.openxmlformats.org/officeDocument/2006/relationships/hyperlink" Target="http://www.sec.gov/Archives/edgar/data/882796/000095012311046591/g27110exv10w2.htm" TargetMode="External"/><Relationship Id="rId111" Type="http://schemas.openxmlformats.org/officeDocument/2006/relationships/hyperlink" Target="http://www.sec.gov/Archives/edgar/data/882796/000095012311046591/g27110exv10w3.htm" TargetMode="External"/><Relationship Id="rId112" Type="http://schemas.openxmlformats.org/officeDocument/2006/relationships/hyperlink" Target="http://www.sec.gov/Archives/edgar/data/882796/000095012311046591/g27110exv10w3.htm" TargetMode="External"/><Relationship Id="rId113" Type="http://schemas.openxmlformats.org/officeDocument/2006/relationships/hyperlink" Target="http://www.sec.gov/Archives/edgar/data/882796/000119312513434942/d605961dex102.htm" TargetMode="External"/><Relationship Id="rId114" Type="http://schemas.openxmlformats.org/officeDocument/2006/relationships/hyperlink" Target="http://www.sec.gov/Archives/edgar/data/882796/000119312513434942/d605961dex102.htm" TargetMode="External"/><Relationship Id="rId115" Type="http://schemas.openxmlformats.org/officeDocument/2006/relationships/hyperlink" Target="http://www.sec.gov/Archives/edgar/data/882796/000119312514091609/d668682dex1051.htm" TargetMode="External"/><Relationship Id="rId116" Type="http://schemas.openxmlformats.org/officeDocument/2006/relationships/hyperlink" Target="http://www.sec.gov/Archives/edgar/data/882796/000119312514091609/d668682dex1051.htm" TargetMode="External"/><Relationship Id="rId117" Type="http://schemas.openxmlformats.org/officeDocument/2006/relationships/hyperlink" Target="http://www.sec.gov/Archives/edgar/data/882796/000119312514091609/d668682dex1052.htm" TargetMode="External"/><Relationship Id="rId118" Type="http://schemas.openxmlformats.org/officeDocument/2006/relationships/hyperlink" Target="http://www.sec.gov/Archives/edgar/data/882796/000119312514091609/d668682dex1052.htm" TargetMode="External"/><Relationship Id="rId119" Type="http://schemas.openxmlformats.org/officeDocument/2006/relationships/hyperlink" Target="http://www.sec.gov/Archives/edgar/data/882796/000117184314003839/exh_105.htm" TargetMode="External"/><Relationship Id="rId120" Type="http://schemas.openxmlformats.org/officeDocument/2006/relationships/hyperlink" Target="http://www.sec.gov/Archives/edgar/data/882796/000117184314003839/exh_105.htm" TargetMode="External"/><Relationship Id="rId121" Type="http://schemas.openxmlformats.org/officeDocument/2006/relationships/hyperlink" Target="http://www.sec.gov/Archives/edgar/data/882796/000117184314003839/exh_106.htm" TargetMode="External"/><Relationship Id="rId122" Type="http://schemas.openxmlformats.org/officeDocument/2006/relationships/hyperlink" Target="http://www.sec.gov/Archives/edgar/data/882796/000117184314003839/exh_106.htm" TargetMode="External"/><Relationship Id="rId123" Type="http://schemas.openxmlformats.org/officeDocument/2006/relationships/hyperlink" Target="http://www.sec.gov/Archives/edgar/data/882796/000117184314005367/exh_101.htm" TargetMode="External"/><Relationship Id="rId124" Type="http://schemas.openxmlformats.org/officeDocument/2006/relationships/hyperlink" Target="http://www.sec.gov/Archives/edgar/data/882796/000117184314005367/exh_101.htm" TargetMode="External"/><Relationship Id="rId125" Type="http://schemas.openxmlformats.org/officeDocument/2006/relationships/hyperlink" Target="http://www.sec.gov/Archives/edgar/data/882796/000117184314005367/exh_102.htm" TargetMode="External"/><Relationship Id="rId126" Type="http://schemas.openxmlformats.org/officeDocument/2006/relationships/hyperlink" Target="http://www.sec.gov/Archives/edgar/data/882796/000117184314005367/exh_102.htm" TargetMode="External"/><Relationship Id="rId127" Type="http://schemas.openxmlformats.org/officeDocument/2006/relationships/hyperlink" Target="http://www.sec.gov/Archives/edgar/data/882796/000117184314005367/exh_103.htm" TargetMode="External"/><Relationship Id="rId128" Type="http://schemas.openxmlformats.org/officeDocument/2006/relationships/hyperlink" Target="http://www.sec.gov/Archives/edgar/data/882796/000117184314005367/exh_103.htm" TargetMode="External"/><Relationship Id="rId129" Type="http://schemas.openxmlformats.org/officeDocument/2006/relationships/hyperlink" Target="http://www.sec.gov/Archives/edgar/data/882796/000117184314005367/exh_104.htm" TargetMode="External"/><Relationship Id="rId130" Type="http://schemas.openxmlformats.org/officeDocument/2006/relationships/hyperlink" Target="http://www.sec.gov/Archives/edgar/data/882796/000117184314005367/exh_104.htm" TargetMode="External"/><Relationship Id="rId131" Type="http://schemas.openxmlformats.org/officeDocument/2006/relationships/hyperlink" Target="http://www.sec.gov/Archives/edgar/data/882796/000117184315004473/exh_102.htm" TargetMode="External"/><Relationship Id="rId132" Type="http://schemas.openxmlformats.org/officeDocument/2006/relationships/hyperlink" Target="http://www.sec.gov/Archives/edgar/data/882796/000117184315004473/exh_102.htm" TargetMode="External"/><Relationship Id="rId133" Type="http://schemas.openxmlformats.org/officeDocument/2006/relationships/hyperlink" Target="http://www.sec.gov/Archives/edgar/data/882796/000117184315004473/exh_103.htm" TargetMode="External"/><Relationship Id="rId134" Type="http://schemas.openxmlformats.org/officeDocument/2006/relationships/hyperlink" Target="http://www.sec.gov/Archives/edgar/data/882796/000117184315004473/exh_103.htm" TargetMode="External"/><Relationship Id="rId135" Type="http://schemas.openxmlformats.org/officeDocument/2006/relationships/hyperlink" Target="http://www.sec.gov/Archives/edgar/data/882796/000117184315004473/exh_104.htm" TargetMode="External"/><Relationship Id="rId136" Type="http://schemas.openxmlformats.org/officeDocument/2006/relationships/hyperlink" Target="http://www.sec.gov/Archives/edgar/data/882796/000117184315004473/exh_104.htm" TargetMode="External"/><Relationship Id="rId137" Type="http://schemas.openxmlformats.org/officeDocument/2006/relationships/hyperlink" Target="http://www.sec.gov/Archives/edgar/data/882796/000117184315004473/exh_105.htm" TargetMode="External"/><Relationship Id="rId138" Type="http://schemas.openxmlformats.org/officeDocument/2006/relationships/hyperlink" Target="http://www.sec.gov/Archives/edgar/data/882796/000117184315004473/exh_105.htm" TargetMode="External"/><Relationship Id="rId139" Type="http://schemas.openxmlformats.org/officeDocument/2006/relationships/hyperlink" Target="http://www.sec.gov/Archives/edgar/data/882796/000117184315006102/exh_103.htm" TargetMode="External"/><Relationship Id="rId140" Type="http://schemas.openxmlformats.org/officeDocument/2006/relationships/hyperlink" Target="http://www.sec.gov/Archives/edgar/data/882796/000117184315006102/exh_103.htm" TargetMode="External"/><Relationship Id="rId141" Type="http://schemas.openxmlformats.org/officeDocument/2006/relationships/hyperlink" Target="http://www.sec.gov/Archives/edgar/data/882796/000117184316008207/exh_1070.htm" TargetMode="External"/><Relationship Id="rId142" Type="http://schemas.openxmlformats.org/officeDocument/2006/relationships/hyperlink" Target="http://www.sec.gov/Archives/edgar/data/882796/000117184316008207/exh_1070.htm" TargetMode="External"/><Relationship Id="rId143" Type="http://schemas.openxmlformats.org/officeDocument/2006/relationships/hyperlink" Target="http://www.sec.gov/Archives/edgar/data/882796/000117184316008207/exh_1071.htm" TargetMode="External"/><Relationship Id="rId144" Type="http://schemas.openxmlformats.org/officeDocument/2006/relationships/hyperlink" Target="http://www.sec.gov/Archives/edgar/data/882796/000117184316008207/exh_1071.htm" TargetMode="External"/><Relationship Id="rId145" Type="http://schemas.openxmlformats.org/officeDocument/2006/relationships/hyperlink" Target="http://www.sec.gov/Archives/edgar/data/882796/000117184317001159/exh_1074.htm" TargetMode="External"/><Relationship Id="rId146" Type="http://schemas.openxmlformats.org/officeDocument/2006/relationships/hyperlink" Target="http://www.sec.gov/Archives/edgar/data/882796/000117184317001159/exh_1074.htm" TargetMode="External"/><Relationship Id="rId147" Type="http://schemas.openxmlformats.org/officeDocument/2006/relationships/hyperlink" Target="http://www.sec.gov/Archives/edgar/data/882796/000117184316011576/exh_103.htm" TargetMode="External"/><Relationship Id="rId148" Type="http://schemas.openxmlformats.org/officeDocument/2006/relationships/hyperlink" Target="http://www.sec.gov/Archives/edgar/data/882796/000117184316011576/exh_103.htm" TargetMode="External"/><Relationship Id="rId149" Type="http://schemas.openxmlformats.org/officeDocument/2006/relationships/hyperlink" Target="http://www.sec.gov/Archives/edgar/data/882796/000117184316013033/exh_101.htm" TargetMode="External"/><Relationship Id="rId150" Type="http://schemas.openxmlformats.org/officeDocument/2006/relationships/hyperlink" Target="http://www.sec.gov/Archives/edgar/data/882796/000117184316013033/exh_101.htm" TargetMode="External"/><Relationship Id="rId151" Type="http://schemas.openxmlformats.org/officeDocument/2006/relationships/hyperlink" Target="http://www.sec.gov/Archives/edgar/data/882796/000117184317001159/exh_1077.htm" TargetMode="External"/><Relationship Id="rId152" Type="http://schemas.openxmlformats.org/officeDocument/2006/relationships/hyperlink" Target="http://www.sec.gov/Archives/edgar/data/882796/000117184317001159/exh_1077.htm" TargetMode="External"/><Relationship Id="rId153" Type="http://schemas.openxmlformats.org/officeDocument/2006/relationships/hyperlink" Target="http://www.sec.gov/Archives/edgar/data/882796/000117184318003719/exh_101.htm" TargetMode="External"/><Relationship Id="rId154" Type="http://schemas.openxmlformats.org/officeDocument/2006/relationships/hyperlink" Target="http://www.sec.gov/Archives/edgar/data/882796/000117184318003719/exh_101.htm" TargetMode="External"/><Relationship Id="rId155" Type="http://schemas.openxmlformats.org/officeDocument/2006/relationships/hyperlink" Target="http://www.sec.gov/Archives/edgar/data/882796/000117184318007788/exh_103.htm" TargetMode="External"/><Relationship Id="rId156" Type="http://schemas.openxmlformats.org/officeDocument/2006/relationships/hyperlink" Target="http://www.sec.gov/Archives/edgar/data/882796/000117184318007788/exh_103.htm" TargetMode="External"/><Relationship Id="rId157" Type="http://schemas.openxmlformats.org/officeDocument/2006/relationships/hyperlink" Target="http://www.sec.gov/Archives/edgar/data/882796/000117184320007740/ex_211509.htm" TargetMode="External"/><Relationship Id="rId158" Type="http://schemas.openxmlformats.org/officeDocument/2006/relationships/hyperlink" Target="http://www.sec.gov/Archives/edgar/data/882796/000117184320007740/ex_211509.htm" TargetMode="External"/><Relationship Id="rId159" Type="http://schemas.openxmlformats.org/officeDocument/2006/relationships/hyperlink" Target="http://www.sec.gov/Archives/edgar/data/882796/000117184320007740/ex_211510.htm" TargetMode="External"/><Relationship Id="rId160" Type="http://schemas.openxmlformats.org/officeDocument/2006/relationships/hyperlink" Target="http://www.sec.gov/Archives/edgar/data/882796/000117184320007740/ex_211510.htm" TargetMode="External"/><Relationship Id="rId161" Type="http://schemas.openxmlformats.org/officeDocument/2006/relationships/hyperlink" Target="http://www.sec.gov/Archives/edgar/data/882796/000117184321007570/ex_299565.htm" TargetMode="External"/><Relationship Id="rId162" Type="http://schemas.openxmlformats.org/officeDocument/2006/relationships/hyperlink" Target="http://www.sec.gov/Archives/edgar/data/882796/000117184321007570/ex_299565.htm" TargetMode="External"/><Relationship Id="rId163" Type="http://schemas.openxmlformats.org/officeDocument/2006/relationships/hyperlink" Target="http://www.sec.gov/Archives/edgar/data/882796/000117184320007740/ex_211511.htm" TargetMode="External"/><Relationship Id="rId164" Type="http://schemas.openxmlformats.org/officeDocument/2006/relationships/hyperlink" Target="http://www.sec.gov/Archives/edgar/data/882796/000117184320007740/ex_211511.htm" TargetMode="External"/><Relationship Id="rId165" Type="http://schemas.openxmlformats.org/officeDocument/2006/relationships/hyperlink" Target="http://www.sec.gov/Archives/edgar/data/882796/000117184320007740/ex_211512.htm" TargetMode="External"/><Relationship Id="rId166" Type="http://schemas.openxmlformats.org/officeDocument/2006/relationships/hyperlink" Target="http://www.sec.gov/Archives/edgar/data/882796/000117184320007740/ex_211512.htm" TargetMode="External"/><Relationship Id="rId167" Type="http://schemas.openxmlformats.org/officeDocument/2006/relationships/hyperlink" Target="http://www.sec.gov/Archives/edgar/data/882796/000117184321005674/ex_272063.htm" TargetMode="External"/><Relationship Id="rId168" Type="http://schemas.openxmlformats.org/officeDocument/2006/relationships/hyperlink" Target="http://www.sec.gov/Archives/edgar/data/882796/000117184321005674/ex_272063.htm" TargetMode="External"/><Relationship Id="rId169" Type="http://schemas.openxmlformats.org/officeDocument/2006/relationships/hyperlink" Target="http://www.sec.gov/Archives/edgar/data/882796/000117184315002688/exh_102.htm" TargetMode="External"/><Relationship Id="rId170" Type="http://schemas.openxmlformats.org/officeDocument/2006/relationships/hyperlink" Target="http://www.sec.gov/Archives/edgar/data/882796/000117184315002688/exh_102.htm" TargetMode="External"/><Relationship Id="rId171" Type="http://schemas.openxmlformats.org/officeDocument/2006/relationships/hyperlink" Target="http://www.sec.gov/Archives/edgar/data/882796/000117184315004473/exh_101.htm" TargetMode="External"/><Relationship Id="rId172" Type="http://schemas.openxmlformats.org/officeDocument/2006/relationships/hyperlink" Target="http://www.sec.gov/Archives/edgar/data/882796/000117184315004473/exh_101.htm" TargetMode="External"/><Relationship Id="rId173" Type="http://schemas.openxmlformats.org/officeDocument/2006/relationships/hyperlink" Target="http://www.sec.gov/Archives/edgar/data/882796/000117184315006102/exh_101.htm" TargetMode="External"/><Relationship Id="rId174" Type="http://schemas.openxmlformats.org/officeDocument/2006/relationships/hyperlink" Target="http://www.sec.gov/Archives/edgar/data/882796/000117184315006102/exh_101.htm" TargetMode="External"/><Relationship Id="rId175" Type="http://schemas.openxmlformats.org/officeDocument/2006/relationships/hyperlink" Target="http://www.sec.gov/Archives/edgar/data/882796/000117184315006102/exh_102.htm" TargetMode="External"/><Relationship Id="rId176" Type="http://schemas.openxmlformats.org/officeDocument/2006/relationships/hyperlink" Target="http://www.sec.gov/Archives/edgar/data/882796/000117184315006102/exh_102.htm" TargetMode="External"/><Relationship Id="rId177" Type="http://schemas.openxmlformats.org/officeDocument/2006/relationships/hyperlink" Target="http://www.sec.gov/Archives/edgar/data/882796/000117184316009811/exh_101.htm" TargetMode="External"/><Relationship Id="rId178" Type="http://schemas.openxmlformats.org/officeDocument/2006/relationships/hyperlink" Target="http://www.sec.gov/Archives/edgar/data/882796/000117184316009811/exh_101.htm" TargetMode="External"/><Relationship Id="rId179" Type="http://schemas.openxmlformats.org/officeDocument/2006/relationships/hyperlink" Target="http://www.sec.gov/Archives/edgar/data/882796/000117184316011576/exh_101.htm" TargetMode="External"/><Relationship Id="rId180" Type="http://schemas.openxmlformats.org/officeDocument/2006/relationships/hyperlink" Target="http://www.sec.gov/Archives/edgar/data/882796/000117184316011576/exh_101.htm" TargetMode="External"/><Relationship Id="rId181" Type="http://schemas.openxmlformats.org/officeDocument/2006/relationships/hyperlink" Target="http://www.sec.gov/Archives/edgar/data/882796/000117184316011576/exh_102.htm" TargetMode="External"/><Relationship Id="rId182" Type="http://schemas.openxmlformats.org/officeDocument/2006/relationships/hyperlink" Target="http://www.sec.gov/Archives/edgar/data/882796/000117184316011576/exh_102.htm" TargetMode="External"/><Relationship Id="rId183" Type="http://schemas.openxmlformats.org/officeDocument/2006/relationships/hyperlink" Target="http://www.sec.gov/Archives/edgar/data/882796/000117184316013033/exh_102.htm" TargetMode="External"/><Relationship Id="rId184" Type="http://schemas.openxmlformats.org/officeDocument/2006/relationships/hyperlink" Target="http://www.sec.gov/Archives/edgar/data/882796/000117184316013033/exh_102.htm" TargetMode="External"/><Relationship Id="rId185" Type="http://schemas.openxmlformats.org/officeDocument/2006/relationships/hyperlink" Target="http://www.sec.gov/Archives/edgar/data/882796/000117184317006746/exh_101.htm" TargetMode="External"/><Relationship Id="rId186" Type="http://schemas.openxmlformats.org/officeDocument/2006/relationships/hyperlink" Target="http://www.sec.gov/Archives/edgar/data/882796/000117184317006746/exh_101.htm" TargetMode="External"/><Relationship Id="rId187" Type="http://schemas.openxmlformats.org/officeDocument/2006/relationships/hyperlink" Target="http://www.sec.gov/Archives/edgar/data/882796/000117184318001855/exh_1088.htm" TargetMode="External"/><Relationship Id="rId188" Type="http://schemas.openxmlformats.org/officeDocument/2006/relationships/hyperlink" Target="http://www.sec.gov/Archives/edgar/data/882796/000117184318001855/exh_1088.htm" TargetMode="External"/><Relationship Id="rId189" Type="http://schemas.openxmlformats.org/officeDocument/2006/relationships/hyperlink" Target="http://www.sec.gov/Archives/edgar/data/882796/000117184318007788/exh_101.htm" TargetMode="External"/><Relationship Id="rId190" Type="http://schemas.openxmlformats.org/officeDocument/2006/relationships/hyperlink" Target="http://www.sec.gov/Archives/edgar/data/882796/000117184318007788/exh_101.htm" TargetMode="External"/><Relationship Id="rId191" Type="http://schemas.openxmlformats.org/officeDocument/2006/relationships/hyperlink" Target="http://www.sec.gov/Archives/edgar/data/882796/000117184318007788/exh_102.htm" TargetMode="External"/><Relationship Id="rId192" Type="http://schemas.openxmlformats.org/officeDocument/2006/relationships/hyperlink" Target="http://www.sec.gov/Archives/edgar/data/882796/000117184318007788/exh_102.htm" TargetMode="External"/><Relationship Id="rId193" Type="http://schemas.openxmlformats.org/officeDocument/2006/relationships/hyperlink" Target="http://www.sec.gov/Archives/edgar/data/882796/000117184320005753/ex_196806.htm" TargetMode="External"/><Relationship Id="rId194" Type="http://schemas.openxmlformats.org/officeDocument/2006/relationships/hyperlink" Target="http://www.sec.gov/Archives/edgar/data/882796/000117184320005753/ex_196806.htm" TargetMode="External"/><Relationship Id="rId195" Type="http://schemas.openxmlformats.org/officeDocument/2006/relationships/hyperlink" Target="http://www.sec.gov/Archives/edgar/data/882796/000117184320007740/ex_211515.htm" TargetMode="External"/><Relationship Id="rId196" Type="http://schemas.openxmlformats.org/officeDocument/2006/relationships/hyperlink" Target="http://www.sec.gov/Archives/edgar/data/882796/000117184320007740/ex_211515.htm" TargetMode="External"/><Relationship Id="rId197" Type="http://schemas.openxmlformats.org/officeDocument/2006/relationships/hyperlink" Target="http://www.sec.gov/Archives/edgar/data/882796/000117184321001411/ex_230494.htm" TargetMode="External"/><Relationship Id="rId198" Type="http://schemas.openxmlformats.org/officeDocument/2006/relationships/hyperlink" Target="http://www.sec.gov/Archives/edgar/data/882796/000117184321001411/ex_230494.htm" TargetMode="External"/><Relationship Id="rId199" Type="http://schemas.openxmlformats.org/officeDocument/2006/relationships/hyperlink" Target="http://www.sec.gov/Archives/edgar/data/882796/000117184317001617/exh_101.htm" TargetMode="External"/><Relationship Id="rId200" Type="http://schemas.openxmlformats.org/officeDocument/2006/relationships/hyperlink" Target="http://www.sec.gov/Archives/edgar/data/882796/000117184317001617/exh_101.htm" TargetMode="External"/><Relationship Id="rId201" Type="http://schemas.openxmlformats.org/officeDocument/2006/relationships/hyperlink" Target="http://www.sec.gov/Archives/edgar/data/882796/000110465918003194/a18-3548_1ex10d1.htm" TargetMode="External"/><Relationship Id="rId202" Type="http://schemas.openxmlformats.org/officeDocument/2006/relationships/hyperlink" Target="http://www.sec.gov/Archives/edgar/data/882796/000110465918003194/a18-3548_1ex10d1.htm" TargetMode="External"/><Relationship Id="rId203" Type="http://schemas.openxmlformats.org/officeDocument/2006/relationships/hyperlink" Target="http://www.sec.gov/Archives/edgar/data/882796/000117184318006425/exh_101.htm" TargetMode="External"/><Relationship Id="rId204" Type="http://schemas.openxmlformats.org/officeDocument/2006/relationships/hyperlink" Target="http://www.sec.gov/Archives/edgar/data/882796/000117184318006425/exh_101.htm" TargetMode="External"/><Relationship Id="rId205" Type="http://schemas.openxmlformats.org/officeDocument/2006/relationships/hyperlink" Target="http://www.sec.gov/Archives/edgar/data/882796/000117184321001411/ex_230497.htm" TargetMode="External"/><Relationship Id="rId206" Type="http://schemas.openxmlformats.org/officeDocument/2006/relationships/hyperlink" Target="http://www.sec.gov/Archives/edgar/data/882796/000117184321001411/ex_230497.htm" TargetMode="External"/><Relationship Id="rId207" Type="http://schemas.openxmlformats.org/officeDocument/2006/relationships/hyperlink" Target="http://www.sec.gov/Archives/edgar/data/882796/000117184319006137/exh_101.htm" TargetMode="External"/><Relationship Id="rId208" Type="http://schemas.openxmlformats.org/officeDocument/2006/relationships/hyperlink" Target="http://www.sec.gov/Archives/edgar/data/882796/000117184319006137/exh_101.htm" TargetMode="External"/><Relationship Id="rId209" Type="http://schemas.openxmlformats.org/officeDocument/2006/relationships/hyperlink" Target="http://www.sec.gov/Archives/edgar/data/882796/000117184320006249/exh_101.htm" TargetMode="External"/><Relationship Id="rId210" Type="http://schemas.openxmlformats.org/officeDocument/2006/relationships/hyperlink" Target="http://www.sec.gov/Archives/edgar/data/882796/000117184320006249/exh_101.htm" TargetMode="External"/><Relationship Id="rId211" Type="http://schemas.openxmlformats.org/officeDocument/2006/relationships/hyperlink" Target="http://www.sec.gov/Archives/edgar/data/882796/000117184321006257/exh_101.htm" TargetMode="External"/><Relationship Id="rId212" Type="http://schemas.openxmlformats.org/officeDocument/2006/relationships/hyperlink" Target="http://www.sec.gov/Archives/edgar/data/882796/000117184321006257/exh_101.htm" TargetMode="External"/><Relationship Id="rId213" Type="http://schemas.openxmlformats.org/officeDocument/2006/relationships/hyperlink" Target="http://www.sec.gov/Archives/edgar/data/882796/000117184320001710/exh_1083.htm" TargetMode="External"/><Relationship Id="rId214" Type="http://schemas.openxmlformats.org/officeDocument/2006/relationships/hyperlink" Target="http://www.sec.gov/Archives/edgar/data/882796/000117184320001710/exh_1083.htm" TargetMode="External"/><Relationship Id="rId215" Type="http://schemas.openxmlformats.org/officeDocument/2006/relationships/hyperlink" Target="http://www.sec.gov/Archives/edgar/data/882796/000117184321001411/ex_230714.htm" TargetMode="External"/><Relationship Id="rId216" Type="http://schemas.openxmlformats.org/officeDocument/2006/relationships/hyperlink" Target="http://www.sec.gov/Archives/edgar/data/882796/000117184321001411/ex_230714.htm" TargetMode="External"/><Relationship Id="rId217" Type="http://schemas.openxmlformats.org/officeDocument/2006/relationships/image" Target="media/image2.jpeg"/><Relationship Id="rId218" Type="http://schemas.openxmlformats.org/officeDocument/2006/relationships/image" Target="media/image3.jpeg"/><Relationship Id="rId219" Type="http://schemas.openxmlformats.org/officeDocument/2006/relationships/image" Target="media/image4.jpeg"/><Relationship Id="rId220" Type="http://schemas.openxmlformats.org/officeDocument/2006/relationships/fontTable" Target="fontTable.xml"/><Relationship Id="rId2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41</Pages>
  <Words>226944</Words>
  <CharactersWithSpaces>1463931</CharactersWithSpaces>
  <Paragraphs>15629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