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423545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40" w:type="dxa"/>
            <w:vAlign w:val="bottom"/>
            <w:gridSpan w:val="2"/>
          </w:tcPr>
          <w:p>
            <w:pPr>
              <w:jc w:val="center"/>
              <w:ind w:left="589"/>
              <w:spacing w:after="0"/>
              <w:rPr>
                <w:sz w:val="20"/>
                <w:szCs w:val="20"/>
                <w:color w:val="auto"/>
              </w:rPr>
            </w:pPr>
            <w:r>
              <w:rPr>
                <w:rFonts w:ascii="Arial" w:cs="Arial" w:eastAsia="Arial" w:hAnsi="Arial"/>
                <w:sz w:val="14"/>
                <w:szCs w:val="14"/>
                <w:b w:val="1"/>
                <w:bCs w:val="1"/>
                <w:color w:val="auto"/>
                <w:w w:val="99"/>
              </w:rPr>
              <w:t>FORM 10-Q</w:t>
            </w:r>
          </w:p>
        </w:tc>
        <w:tc>
          <w:tcPr>
            <w:tcW w:w="3920" w:type="dxa"/>
            <w:vAlign w:val="bottom"/>
          </w:tcPr>
          <w:p>
            <w:pPr>
              <w:spacing w:after="0"/>
              <w:rPr>
                <w:sz w:val="16"/>
                <w:szCs w:val="16"/>
                <w:color w:val="auto"/>
              </w:rPr>
            </w:pPr>
          </w:p>
        </w:tc>
      </w:tr>
      <w:tr>
        <w:trPr>
          <w:trHeight w:val="308"/>
        </w:trPr>
        <w:tc>
          <w:tcPr>
            <w:tcW w:w="7380" w:type="dxa"/>
            <w:vAlign w:val="bottom"/>
            <w:gridSpan w:val="4"/>
          </w:tcPr>
          <w:p>
            <w:pPr>
              <w:spacing w:after="0"/>
              <w:rPr>
                <w:sz w:val="20"/>
                <w:szCs w:val="20"/>
                <w:color w:val="auto"/>
              </w:rPr>
            </w:pPr>
            <w:r>
              <w:rPr>
                <w:rFonts w:ascii="Arial" w:cs="Arial" w:eastAsia="Arial" w:hAnsi="Arial"/>
                <w:sz w:val="14"/>
                <w:szCs w:val="14"/>
                <w:color w:val="auto"/>
              </w:rPr>
              <w:t>x QUARTERLY REPORT PURSUANT TO SECTION 13 OR 15(d) OF THE SECURITIES EXCHANGE ACT OF 1934</w:t>
            </w:r>
          </w:p>
        </w:tc>
        <w:tc>
          <w:tcPr>
            <w:tcW w:w="3920" w:type="dxa"/>
            <w:vAlign w:val="bottom"/>
          </w:tcPr>
          <w:p>
            <w:pPr>
              <w:spacing w:after="0"/>
              <w:rPr>
                <w:sz w:val="24"/>
                <w:szCs w:val="24"/>
                <w:color w:val="auto"/>
              </w:rPr>
            </w:pPr>
          </w:p>
        </w:tc>
      </w:tr>
      <w:tr>
        <w:trPr>
          <w:trHeight w:val="308"/>
        </w:trPr>
        <w:tc>
          <w:tcPr>
            <w:tcW w:w="7380" w:type="dxa"/>
            <w:vAlign w:val="bottom"/>
            <w:gridSpan w:val="4"/>
          </w:tcPr>
          <w:p>
            <w:pPr>
              <w:spacing w:after="0"/>
              <w:rPr>
                <w:sz w:val="20"/>
                <w:szCs w:val="20"/>
                <w:color w:val="auto"/>
              </w:rPr>
            </w:pPr>
            <w:r>
              <w:rPr>
                <w:rFonts w:ascii="Arial" w:cs="Arial" w:eastAsia="Arial" w:hAnsi="Arial"/>
                <w:sz w:val="14"/>
                <w:szCs w:val="14"/>
                <w:color w:val="auto"/>
              </w:rPr>
              <w:t>For the quarterly period ended June 30, 2022</w:t>
            </w:r>
          </w:p>
        </w:tc>
        <w:tc>
          <w:tcPr>
            <w:tcW w:w="3920" w:type="dxa"/>
            <w:vAlign w:val="bottom"/>
          </w:tcPr>
          <w:p>
            <w:pPr>
              <w:spacing w:after="0"/>
              <w:rPr>
                <w:sz w:val="24"/>
                <w:szCs w:val="24"/>
                <w:color w:val="auto"/>
              </w:rPr>
            </w:pPr>
          </w:p>
        </w:tc>
      </w:tr>
      <w:tr>
        <w:trPr>
          <w:trHeight w:val="318"/>
        </w:trPr>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gridSpan w:val="2"/>
          </w:tcPr>
          <w:p>
            <w:pPr>
              <w:jc w:val="center"/>
              <w:ind w:left="589"/>
              <w:spacing w:after="0"/>
              <w:rPr>
                <w:sz w:val="20"/>
                <w:szCs w:val="20"/>
                <w:color w:val="auto"/>
              </w:rPr>
            </w:pPr>
            <w:r>
              <w:rPr>
                <w:rFonts w:ascii="Arial" w:cs="Arial" w:eastAsia="Arial" w:hAnsi="Arial"/>
                <w:sz w:val="14"/>
                <w:szCs w:val="14"/>
                <w:color w:val="auto"/>
                <w:w w:val="96"/>
              </w:rPr>
              <w:t>or</w:t>
            </w:r>
          </w:p>
        </w:tc>
        <w:tc>
          <w:tcPr>
            <w:tcW w:w="3920" w:type="dxa"/>
            <w:vAlign w:val="bottom"/>
          </w:tcPr>
          <w:p>
            <w:pPr>
              <w:spacing w:after="0"/>
              <w:rPr>
                <w:sz w:val="24"/>
                <w:szCs w:val="24"/>
                <w:color w:val="auto"/>
              </w:rPr>
            </w:pPr>
          </w:p>
        </w:tc>
      </w:tr>
      <w:tr>
        <w:trPr>
          <w:trHeight w:val="308"/>
        </w:trPr>
        <w:tc>
          <w:tcPr>
            <w:tcW w:w="7380" w:type="dxa"/>
            <w:vAlign w:val="bottom"/>
            <w:gridSpan w:val="4"/>
          </w:tcPr>
          <w:p>
            <w:pPr>
              <w:spacing w:after="0"/>
              <w:rPr>
                <w:sz w:val="20"/>
                <w:szCs w:val="20"/>
                <w:color w:val="auto"/>
              </w:rPr>
            </w:pPr>
            <w:r>
              <w:rPr>
                <w:rFonts w:ascii="Arial" w:cs="Arial" w:eastAsia="Arial" w:hAnsi="Arial"/>
                <w:sz w:val="14"/>
                <w:szCs w:val="14"/>
                <w:color w:val="auto"/>
              </w:rPr>
              <w:t>o TRANSITION REPORT PURSUANT TO SECTION 13 OR 15(d) OF THE SECURITIES EXCHANGE ACT OF 1934</w:t>
            </w:r>
          </w:p>
        </w:tc>
        <w:tc>
          <w:tcPr>
            <w:tcW w:w="3920" w:type="dxa"/>
            <w:vAlign w:val="bottom"/>
          </w:tcPr>
          <w:p>
            <w:pPr>
              <w:spacing w:after="0"/>
              <w:rPr>
                <w:sz w:val="24"/>
                <w:szCs w:val="24"/>
                <w:color w:val="auto"/>
              </w:rPr>
            </w:pPr>
          </w:p>
        </w:tc>
      </w:tr>
      <w:tr>
        <w:trPr>
          <w:trHeight w:val="308"/>
        </w:trPr>
        <w:tc>
          <w:tcPr>
            <w:tcW w:w="7380" w:type="dxa"/>
            <w:vAlign w:val="bottom"/>
            <w:gridSpan w:val="4"/>
          </w:tcPr>
          <w:p>
            <w:pPr>
              <w:spacing w:after="0"/>
              <w:rPr>
                <w:sz w:val="20"/>
                <w:szCs w:val="20"/>
                <w:color w:val="auto"/>
              </w:rPr>
            </w:pPr>
            <w:r>
              <w:rPr>
                <w:rFonts w:ascii="Arial" w:cs="Arial" w:eastAsia="Arial" w:hAnsi="Arial"/>
                <w:sz w:val="14"/>
                <w:szCs w:val="14"/>
                <w:color w:val="auto"/>
              </w:rPr>
              <w:t>For the transition period from ______________________ to ______________________</w:t>
            </w:r>
          </w:p>
        </w:tc>
        <w:tc>
          <w:tcPr>
            <w:tcW w:w="3920" w:type="dxa"/>
            <w:vAlign w:val="bottom"/>
          </w:tcPr>
          <w:p>
            <w:pPr>
              <w:spacing w:after="0"/>
              <w:rPr>
                <w:sz w:val="24"/>
                <w:szCs w:val="24"/>
                <w:color w:val="auto"/>
              </w:rPr>
            </w:pPr>
          </w:p>
        </w:tc>
      </w:tr>
      <w:tr>
        <w:trPr>
          <w:trHeight w:val="318"/>
        </w:trPr>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gridSpan w:val="2"/>
          </w:tcPr>
          <w:p>
            <w:pPr>
              <w:jc w:val="center"/>
              <w:ind w:left="589"/>
              <w:spacing w:after="0"/>
              <w:rPr>
                <w:sz w:val="20"/>
                <w:szCs w:val="20"/>
                <w:color w:val="auto"/>
              </w:rPr>
            </w:pPr>
            <w:r>
              <w:rPr>
                <w:rFonts w:ascii="Arial" w:cs="Arial" w:eastAsia="Arial" w:hAnsi="Arial"/>
                <w:sz w:val="14"/>
                <w:szCs w:val="14"/>
                <w:b w:val="1"/>
                <w:bCs w:val="1"/>
                <w:color w:val="auto"/>
                <w:w w:val="91"/>
              </w:rPr>
              <w:t>Commission File Number 000-23186</w:t>
            </w:r>
          </w:p>
        </w:tc>
        <w:tc>
          <w:tcPr>
            <w:tcW w:w="3920" w:type="dxa"/>
            <w:vAlign w:val="bottom"/>
          </w:tcPr>
          <w:p>
            <w:pPr>
              <w:spacing w:after="0"/>
              <w:rPr>
                <w:sz w:val="24"/>
                <w:szCs w:val="24"/>
                <w:color w:val="auto"/>
              </w:rPr>
            </w:pPr>
          </w:p>
        </w:tc>
      </w:tr>
      <w:tr>
        <w:trPr>
          <w:trHeight w:val="297"/>
        </w:trPr>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gridSpan w:val="2"/>
          </w:tcPr>
          <w:p>
            <w:pPr>
              <w:jc w:val="center"/>
              <w:ind w:left="589"/>
              <w:spacing w:after="0"/>
              <w:rPr>
                <w:sz w:val="20"/>
                <w:szCs w:val="20"/>
                <w:color w:val="auto"/>
              </w:rPr>
            </w:pPr>
            <w:r>
              <w:rPr>
                <w:rFonts w:ascii="Arial" w:cs="Arial" w:eastAsia="Arial" w:hAnsi="Arial"/>
                <w:sz w:val="14"/>
                <w:szCs w:val="14"/>
                <w:b w:val="1"/>
                <w:bCs w:val="1"/>
                <w:color w:val="auto"/>
              </w:rPr>
              <w:t>BIOCRYST PHARMACEUTICALS, INC.</w:t>
            </w:r>
          </w:p>
        </w:tc>
        <w:tc>
          <w:tcPr>
            <w:tcW w:w="3920" w:type="dxa"/>
            <w:vAlign w:val="bottom"/>
          </w:tcPr>
          <w:p>
            <w:pPr>
              <w:spacing w:after="0"/>
              <w:rPr>
                <w:sz w:val="24"/>
                <w:szCs w:val="24"/>
                <w:color w:val="auto"/>
              </w:rPr>
            </w:pPr>
          </w:p>
        </w:tc>
      </w:tr>
      <w:tr>
        <w:trPr>
          <w:trHeight w:val="180"/>
        </w:trPr>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40" w:type="dxa"/>
            <w:vAlign w:val="bottom"/>
            <w:gridSpan w:val="2"/>
          </w:tcPr>
          <w:p>
            <w:pPr>
              <w:jc w:val="center"/>
              <w:ind w:left="589"/>
              <w:spacing w:after="0"/>
              <w:rPr>
                <w:sz w:val="20"/>
                <w:szCs w:val="20"/>
                <w:color w:val="auto"/>
              </w:rPr>
            </w:pPr>
            <w:r>
              <w:rPr>
                <w:rFonts w:ascii="Arial" w:cs="Arial" w:eastAsia="Arial" w:hAnsi="Arial"/>
                <w:sz w:val="14"/>
                <w:szCs w:val="14"/>
                <w:color w:val="auto"/>
                <w:w w:val="91"/>
              </w:rPr>
              <w:t>(Exact name of registrant as specified in its charter)</w:t>
            </w:r>
          </w:p>
        </w:tc>
        <w:tc>
          <w:tcPr>
            <w:tcW w:w="3920" w:type="dxa"/>
            <w:vAlign w:val="bottom"/>
          </w:tcPr>
          <w:p>
            <w:pPr>
              <w:spacing w:after="0"/>
              <w:rPr>
                <w:sz w:val="15"/>
                <w:szCs w:val="15"/>
                <w:color w:val="auto"/>
              </w:rPr>
            </w:pPr>
          </w:p>
        </w:tc>
      </w:tr>
      <w:tr>
        <w:trPr>
          <w:trHeight w:val="350"/>
        </w:trPr>
        <w:tc>
          <w:tcPr>
            <w:tcW w:w="2240" w:type="dxa"/>
            <w:vAlign w:val="bottom"/>
          </w:tcPr>
          <w:p>
            <w:pPr>
              <w:spacing w:after="0"/>
              <w:rPr>
                <w:sz w:val="24"/>
                <w:szCs w:val="24"/>
                <w:color w:val="auto"/>
              </w:rPr>
            </w:pPr>
          </w:p>
        </w:tc>
        <w:tc>
          <w:tcPr>
            <w:tcW w:w="5140" w:type="dxa"/>
            <w:vAlign w:val="bottom"/>
            <w:gridSpan w:val="3"/>
          </w:tcPr>
          <w:p>
            <w:pPr>
              <w:jc w:val="center"/>
              <w:ind w:right="2640"/>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right"/>
              <w:ind w:right="1769"/>
              <w:spacing w:after="0"/>
              <w:rPr>
                <w:sz w:val="20"/>
                <w:szCs w:val="20"/>
                <w:color w:val="auto"/>
              </w:rPr>
            </w:pPr>
            <w:r>
              <w:rPr>
                <w:rFonts w:ascii="Arial" w:cs="Arial" w:eastAsia="Arial" w:hAnsi="Arial"/>
                <w:sz w:val="14"/>
                <w:szCs w:val="14"/>
                <w:b w:val="1"/>
                <w:bCs w:val="1"/>
                <w:color w:val="auto"/>
              </w:rPr>
              <w:t>62-1413174</w:t>
            </w:r>
          </w:p>
        </w:tc>
      </w:tr>
      <w:tr>
        <w:trPr>
          <w:trHeight w:val="202"/>
        </w:trPr>
        <w:tc>
          <w:tcPr>
            <w:tcW w:w="2240" w:type="dxa"/>
            <w:vAlign w:val="bottom"/>
          </w:tcPr>
          <w:p>
            <w:pPr>
              <w:spacing w:after="0"/>
              <w:rPr>
                <w:sz w:val="17"/>
                <w:szCs w:val="17"/>
                <w:color w:val="auto"/>
              </w:rPr>
            </w:pPr>
          </w:p>
        </w:tc>
        <w:tc>
          <w:tcPr>
            <w:tcW w:w="5140" w:type="dxa"/>
            <w:vAlign w:val="bottom"/>
            <w:gridSpan w:val="3"/>
          </w:tcPr>
          <w:p>
            <w:pPr>
              <w:jc w:val="center"/>
              <w:ind w:right="2660"/>
              <w:spacing w:after="0"/>
              <w:rPr>
                <w:sz w:val="20"/>
                <w:szCs w:val="20"/>
                <w:color w:val="auto"/>
              </w:rPr>
            </w:pPr>
            <w:r>
              <w:rPr>
                <w:rFonts w:ascii="Arial" w:cs="Arial" w:eastAsia="Arial" w:hAnsi="Arial"/>
                <w:sz w:val="14"/>
                <w:szCs w:val="14"/>
                <w:color w:val="auto"/>
                <w:w w:val="93"/>
              </w:rPr>
              <w:t>(State or other jurisdiction of</w:t>
            </w:r>
          </w:p>
        </w:tc>
        <w:tc>
          <w:tcPr>
            <w:tcW w:w="3920" w:type="dxa"/>
            <w:vAlign w:val="bottom"/>
          </w:tcPr>
          <w:p>
            <w:pPr>
              <w:jc w:val="center"/>
              <w:ind w:right="369"/>
              <w:spacing w:after="0"/>
              <w:rPr>
                <w:sz w:val="20"/>
                <w:szCs w:val="20"/>
                <w:color w:val="auto"/>
              </w:rPr>
            </w:pPr>
            <w:r>
              <w:rPr>
                <w:rFonts w:ascii="Arial" w:cs="Arial" w:eastAsia="Arial" w:hAnsi="Arial"/>
                <w:sz w:val="14"/>
                <w:szCs w:val="14"/>
                <w:color w:val="auto"/>
                <w:w w:val="93"/>
              </w:rPr>
              <w:t>(I.R.S. Employer</w:t>
            </w:r>
          </w:p>
        </w:tc>
      </w:tr>
      <w:tr>
        <w:trPr>
          <w:trHeight w:val="202"/>
        </w:trPr>
        <w:tc>
          <w:tcPr>
            <w:tcW w:w="2240" w:type="dxa"/>
            <w:vAlign w:val="bottom"/>
          </w:tcPr>
          <w:p>
            <w:pPr>
              <w:spacing w:after="0"/>
              <w:rPr>
                <w:sz w:val="17"/>
                <w:szCs w:val="17"/>
                <w:color w:val="auto"/>
              </w:rPr>
            </w:pPr>
          </w:p>
        </w:tc>
        <w:tc>
          <w:tcPr>
            <w:tcW w:w="5140" w:type="dxa"/>
            <w:vAlign w:val="bottom"/>
            <w:gridSpan w:val="3"/>
          </w:tcPr>
          <w:p>
            <w:pPr>
              <w:jc w:val="center"/>
              <w:ind w:right="2640"/>
              <w:spacing w:after="0"/>
              <w:rPr>
                <w:sz w:val="20"/>
                <w:szCs w:val="20"/>
                <w:color w:val="auto"/>
              </w:rPr>
            </w:pPr>
            <w:r>
              <w:rPr>
                <w:rFonts w:ascii="Arial" w:cs="Arial" w:eastAsia="Arial" w:hAnsi="Arial"/>
                <w:sz w:val="14"/>
                <w:szCs w:val="14"/>
                <w:color w:val="auto"/>
                <w:w w:val="93"/>
              </w:rPr>
              <w:t>incorporation or organization)</w:t>
            </w:r>
          </w:p>
        </w:tc>
        <w:tc>
          <w:tcPr>
            <w:tcW w:w="3920" w:type="dxa"/>
            <w:vAlign w:val="bottom"/>
          </w:tcPr>
          <w:p>
            <w:pPr>
              <w:jc w:val="center"/>
              <w:ind w:right="349"/>
              <w:spacing w:after="0"/>
              <w:rPr>
                <w:sz w:val="20"/>
                <w:szCs w:val="20"/>
                <w:color w:val="auto"/>
              </w:rPr>
            </w:pPr>
            <w:r>
              <w:rPr>
                <w:rFonts w:ascii="Arial" w:cs="Arial" w:eastAsia="Arial" w:hAnsi="Arial"/>
                <w:sz w:val="14"/>
                <w:szCs w:val="14"/>
                <w:color w:val="auto"/>
                <w:w w:val="97"/>
              </w:rPr>
              <w:t>Identification No.)</w:t>
            </w:r>
          </w:p>
        </w:tc>
      </w:tr>
      <w:tr>
        <w:trPr>
          <w:trHeight w:val="414"/>
        </w:trPr>
        <w:tc>
          <w:tcPr>
            <w:tcW w:w="2240" w:type="dxa"/>
            <w:vAlign w:val="bottom"/>
          </w:tcPr>
          <w:p>
            <w:pPr>
              <w:spacing w:after="0"/>
              <w:rPr>
                <w:sz w:val="24"/>
                <w:szCs w:val="24"/>
                <w:color w:val="auto"/>
              </w:rPr>
            </w:pPr>
          </w:p>
        </w:tc>
        <w:tc>
          <w:tcPr>
            <w:tcW w:w="5140" w:type="dxa"/>
            <w:vAlign w:val="bottom"/>
            <w:gridSpan w:val="3"/>
          </w:tcPr>
          <w:p>
            <w:pPr>
              <w:jc w:val="center"/>
              <w:ind w:right="2660"/>
              <w:spacing w:after="0"/>
              <w:rPr>
                <w:sz w:val="20"/>
                <w:szCs w:val="20"/>
                <w:color w:val="auto"/>
              </w:rPr>
            </w:pPr>
            <w:r>
              <w:rPr>
                <w:rFonts w:ascii="Arial" w:cs="Arial" w:eastAsia="Arial" w:hAnsi="Arial"/>
                <w:sz w:val="14"/>
                <w:szCs w:val="14"/>
                <w:b w:val="1"/>
                <w:bCs w:val="1"/>
                <w:color w:val="auto"/>
                <w:w w:val="91"/>
              </w:rPr>
              <w:t>4505 Emperor Blvd., Suite 200</w:t>
            </w:r>
          </w:p>
        </w:tc>
        <w:tc>
          <w:tcPr>
            <w:tcW w:w="3920" w:type="dxa"/>
            <w:vAlign w:val="bottom"/>
          </w:tcPr>
          <w:p>
            <w:pPr>
              <w:spacing w:after="0"/>
              <w:rPr>
                <w:sz w:val="24"/>
                <w:szCs w:val="24"/>
                <w:color w:val="auto"/>
              </w:rPr>
            </w:pPr>
          </w:p>
        </w:tc>
      </w:tr>
      <w:tr>
        <w:trPr>
          <w:trHeight w:val="202"/>
        </w:trPr>
        <w:tc>
          <w:tcPr>
            <w:tcW w:w="2240" w:type="dxa"/>
            <w:vAlign w:val="bottom"/>
          </w:tcPr>
          <w:p>
            <w:pPr>
              <w:spacing w:after="0"/>
              <w:rPr>
                <w:sz w:val="17"/>
                <w:szCs w:val="17"/>
                <w:color w:val="auto"/>
              </w:rPr>
            </w:pPr>
          </w:p>
        </w:tc>
        <w:tc>
          <w:tcPr>
            <w:tcW w:w="5140" w:type="dxa"/>
            <w:vAlign w:val="bottom"/>
            <w:gridSpan w:val="3"/>
          </w:tcPr>
          <w:p>
            <w:pPr>
              <w:jc w:val="center"/>
              <w:ind w:right="2640"/>
              <w:spacing w:after="0"/>
              <w:rPr>
                <w:sz w:val="20"/>
                <w:szCs w:val="20"/>
                <w:color w:val="auto"/>
              </w:rPr>
            </w:pPr>
            <w:r>
              <w:rPr>
                <w:rFonts w:ascii="Arial" w:cs="Arial" w:eastAsia="Arial" w:hAnsi="Arial"/>
                <w:sz w:val="14"/>
                <w:szCs w:val="14"/>
                <w:b w:val="1"/>
                <w:bCs w:val="1"/>
                <w:color w:val="auto"/>
                <w:w w:val="94"/>
              </w:rPr>
              <w:t>Durham, North Carolina</w:t>
            </w:r>
          </w:p>
        </w:tc>
        <w:tc>
          <w:tcPr>
            <w:tcW w:w="3920" w:type="dxa"/>
            <w:vAlign w:val="bottom"/>
          </w:tcPr>
          <w:p>
            <w:pPr>
              <w:jc w:val="right"/>
              <w:ind w:right="1929"/>
              <w:spacing w:after="0"/>
              <w:rPr>
                <w:sz w:val="20"/>
                <w:szCs w:val="20"/>
                <w:color w:val="auto"/>
              </w:rPr>
            </w:pPr>
            <w:r>
              <w:rPr>
                <w:rFonts w:ascii="Arial" w:cs="Arial" w:eastAsia="Arial" w:hAnsi="Arial"/>
                <w:sz w:val="14"/>
                <w:szCs w:val="14"/>
                <w:b w:val="1"/>
                <w:bCs w:val="1"/>
                <w:color w:val="auto"/>
              </w:rPr>
              <w:t>27703</w:t>
            </w:r>
          </w:p>
        </w:tc>
      </w:tr>
      <w:tr>
        <w:trPr>
          <w:trHeight w:val="202"/>
        </w:trPr>
        <w:tc>
          <w:tcPr>
            <w:tcW w:w="2240" w:type="dxa"/>
            <w:vAlign w:val="bottom"/>
          </w:tcPr>
          <w:p>
            <w:pPr>
              <w:spacing w:after="0"/>
              <w:rPr>
                <w:sz w:val="17"/>
                <w:szCs w:val="17"/>
                <w:color w:val="auto"/>
              </w:rPr>
            </w:pPr>
          </w:p>
        </w:tc>
        <w:tc>
          <w:tcPr>
            <w:tcW w:w="5140" w:type="dxa"/>
            <w:vAlign w:val="bottom"/>
            <w:gridSpan w:val="3"/>
          </w:tcPr>
          <w:p>
            <w:pPr>
              <w:jc w:val="center"/>
              <w:ind w:right="2660"/>
              <w:spacing w:after="0"/>
              <w:rPr>
                <w:sz w:val="20"/>
                <w:szCs w:val="20"/>
                <w:color w:val="auto"/>
              </w:rPr>
            </w:pPr>
            <w:r>
              <w:rPr>
                <w:rFonts w:ascii="Arial" w:cs="Arial" w:eastAsia="Arial" w:hAnsi="Arial"/>
                <w:sz w:val="14"/>
                <w:szCs w:val="14"/>
                <w:color w:val="auto"/>
                <w:w w:val="93"/>
              </w:rPr>
              <w:t>(Address of principal executive offices)</w:t>
            </w:r>
          </w:p>
        </w:tc>
        <w:tc>
          <w:tcPr>
            <w:tcW w:w="3920" w:type="dxa"/>
            <w:vAlign w:val="bottom"/>
          </w:tcPr>
          <w:p>
            <w:pPr>
              <w:jc w:val="center"/>
              <w:ind w:right="349"/>
              <w:spacing w:after="0"/>
              <w:rPr>
                <w:sz w:val="20"/>
                <w:szCs w:val="20"/>
                <w:color w:val="auto"/>
              </w:rPr>
            </w:pPr>
            <w:r>
              <w:rPr>
                <w:rFonts w:ascii="Arial" w:cs="Arial" w:eastAsia="Arial" w:hAnsi="Arial"/>
                <w:sz w:val="14"/>
                <w:szCs w:val="14"/>
                <w:color w:val="auto"/>
                <w:w w:val="93"/>
              </w:rPr>
              <w:t>(Zip Code)</w:t>
            </w:r>
          </w:p>
        </w:tc>
      </w:tr>
      <w:tr>
        <w:trPr>
          <w:trHeight w:val="382"/>
        </w:trPr>
        <w:tc>
          <w:tcPr>
            <w:tcW w:w="2240" w:type="dxa"/>
            <w:vAlign w:val="bottom"/>
          </w:tcPr>
          <w:p>
            <w:pPr>
              <w:spacing w:after="0"/>
              <w:rPr>
                <w:sz w:val="24"/>
                <w:szCs w:val="24"/>
                <w:color w:val="auto"/>
              </w:rPr>
            </w:pPr>
          </w:p>
        </w:tc>
        <w:tc>
          <w:tcPr>
            <w:tcW w:w="4220" w:type="dxa"/>
            <w:vAlign w:val="bottom"/>
            <w:gridSpan w:val="2"/>
          </w:tcPr>
          <w:p>
            <w:pPr>
              <w:jc w:val="center"/>
              <w:ind w:left="2509"/>
              <w:spacing w:after="0"/>
              <w:rPr>
                <w:sz w:val="20"/>
                <w:szCs w:val="20"/>
                <w:color w:val="auto"/>
              </w:rPr>
            </w:pPr>
            <w:r>
              <w:rPr>
                <w:rFonts w:ascii="Arial" w:cs="Arial" w:eastAsia="Arial" w:hAnsi="Arial"/>
                <w:sz w:val="14"/>
                <w:szCs w:val="14"/>
                <w:b w:val="1"/>
                <w:bCs w:val="1"/>
                <w:color w:val="auto"/>
                <w:w w:val="92"/>
              </w:rPr>
              <w:t>+1-919-859-1302</w:t>
            </w:r>
          </w:p>
        </w:tc>
        <w:tc>
          <w:tcPr>
            <w:tcW w:w="9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80"/>
        </w:trPr>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40" w:type="dxa"/>
            <w:vAlign w:val="bottom"/>
            <w:gridSpan w:val="2"/>
          </w:tcPr>
          <w:p>
            <w:pPr>
              <w:jc w:val="center"/>
              <w:ind w:left="589"/>
              <w:spacing w:after="0"/>
              <w:rPr>
                <w:sz w:val="20"/>
                <w:szCs w:val="20"/>
                <w:color w:val="auto"/>
              </w:rPr>
            </w:pPr>
            <w:r>
              <w:rPr>
                <w:rFonts w:ascii="Arial" w:cs="Arial" w:eastAsia="Arial" w:hAnsi="Arial"/>
                <w:sz w:val="14"/>
                <w:szCs w:val="14"/>
                <w:color w:val="auto"/>
                <w:w w:val="91"/>
              </w:rPr>
              <w:t>(Registrant’s telephone number, including area code)</w:t>
            </w:r>
          </w:p>
        </w:tc>
        <w:tc>
          <w:tcPr>
            <w:tcW w:w="3920" w:type="dxa"/>
            <w:vAlign w:val="bottom"/>
          </w:tcPr>
          <w:p>
            <w:pPr>
              <w:spacing w:after="0"/>
              <w:rPr>
                <w:sz w:val="15"/>
                <w:szCs w:val="15"/>
                <w:color w:val="auto"/>
              </w:rPr>
            </w:pPr>
          </w:p>
        </w:tc>
      </w:tr>
      <w:tr>
        <w:trPr>
          <w:trHeight w:val="318"/>
        </w:trPr>
        <w:tc>
          <w:tcPr>
            <w:tcW w:w="7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920" w:type="dxa"/>
            <w:vAlign w:val="bottom"/>
          </w:tcPr>
          <w:p>
            <w:pPr>
              <w:spacing w:after="0"/>
              <w:rPr>
                <w:sz w:val="24"/>
                <w:szCs w:val="24"/>
                <w:color w:val="auto"/>
              </w:rPr>
            </w:pPr>
          </w:p>
        </w:tc>
      </w:tr>
      <w:tr>
        <w:trPr>
          <w:trHeight w:val="160"/>
        </w:trPr>
        <w:tc>
          <w:tcPr>
            <w:tcW w:w="2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tcPr>
          <w:p>
            <w:pPr>
              <w:spacing w:after="0"/>
              <w:rPr>
                <w:sz w:val="13"/>
                <w:szCs w:val="13"/>
                <w:color w:val="auto"/>
              </w:rPr>
            </w:pPr>
          </w:p>
        </w:tc>
      </w:tr>
      <w:tr>
        <w:trPr>
          <w:trHeight w:val="187"/>
        </w:trPr>
        <w:tc>
          <w:tcPr>
            <w:tcW w:w="2240" w:type="dxa"/>
            <w:vAlign w:val="bottom"/>
            <w:tcBorders>
              <w:left w:val="single" w:sz="8" w:color="auto"/>
              <w:bottom w:val="single" w:sz="8" w:color="auto"/>
            </w:tcBorders>
          </w:tcPr>
          <w:p>
            <w:pPr>
              <w:ind w:left="1100"/>
              <w:spacing w:after="0"/>
              <w:rPr>
                <w:sz w:val="20"/>
                <w:szCs w:val="20"/>
                <w:color w:val="auto"/>
              </w:rPr>
            </w:pPr>
            <w:r>
              <w:rPr>
                <w:rFonts w:ascii="Arial" w:cs="Arial" w:eastAsia="Arial" w:hAnsi="Arial"/>
                <w:sz w:val="14"/>
                <w:szCs w:val="14"/>
                <w:color w:val="auto"/>
                <w:w w:val="99"/>
              </w:rPr>
              <w:t>Title of each class</w:t>
            </w:r>
          </w:p>
        </w:tc>
        <w:tc>
          <w:tcPr>
            <w:tcW w:w="1000" w:type="dxa"/>
            <w:vAlign w:val="bottom"/>
            <w:tcBorders>
              <w:bottom w:val="single" w:sz="8" w:color="auto"/>
              <w:right w:val="single" w:sz="8" w:color="auto"/>
            </w:tcBorders>
          </w:tcPr>
          <w:p>
            <w:pPr>
              <w:spacing w:after="0"/>
              <w:rPr>
                <w:sz w:val="16"/>
                <w:szCs w:val="16"/>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92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jc w:val="center"/>
              <w:ind w:right="869"/>
              <w:spacing w:after="0"/>
              <w:rPr>
                <w:sz w:val="20"/>
                <w:szCs w:val="20"/>
                <w:color w:val="auto"/>
              </w:rPr>
            </w:pPr>
            <w:r>
              <w:rPr>
                <w:rFonts w:ascii="Arial" w:cs="Arial" w:eastAsia="Arial" w:hAnsi="Arial"/>
                <w:sz w:val="14"/>
                <w:szCs w:val="14"/>
                <w:color w:val="auto"/>
                <w:w w:val="90"/>
              </w:rPr>
              <w:t>Name of each exchange on which registered</w:t>
            </w:r>
          </w:p>
        </w:tc>
      </w:tr>
      <w:tr>
        <w:trPr>
          <w:trHeight w:val="192"/>
        </w:trPr>
        <w:tc>
          <w:tcPr>
            <w:tcW w:w="2240" w:type="dxa"/>
            <w:vAlign w:val="bottom"/>
            <w:tcBorders>
              <w:left w:val="single" w:sz="8" w:color="auto"/>
              <w:bottom w:val="single" w:sz="8" w:color="auto"/>
            </w:tcBorders>
          </w:tcPr>
          <w:p>
            <w:pPr>
              <w:ind w:left="1180"/>
              <w:spacing w:after="0"/>
              <w:rPr>
                <w:sz w:val="20"/>
                <w:szCs w:val="20"/>
                <w:color w:val="auto"/>
              </w:rPr>
            </w:pPr>
            <w:r>
              <w:rPr>
                <w:rFonts w:ascii="Arial" w:cs="Arial" w:eastAsia="Arial" w:hAnsi="Arial"/>
                <w:sz w:val="14"/>
                <w:szCs w:val="14"/>
                <w:color w:val="auto"/>
              </w:rPr>
              <w:t>Common Stock</w:t>
            </w:r>
          </w:p>
        </w:tc>
        <w:tc>
          <w:tcPr>
            <w:tcW w:w="1000" w:type="dxa"/>
            <w:vAlign w:val="bottom"/>
            <w:tcBorders>
              <w:bottom w:val="single" w:sz="8" w:color="auto"/>
              <w:right w:val="single" w:sz="8" w:color="auto"/>
            </w:tcBorders>
          </w:tcPr>
          <w:p>
            <w:pPr>
              <w:spacing w:after="0"/>
              <w:rPr>
                <w:sz w:val="16"/>
                <w:szCs w:val="16"/>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BCRX</w:t>
            </w:r>
          </w:p>
        </w:tc>
        <w:tc>
          <w:tcPr>
            <w:tcW w:w="92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jc w:val="center"/>
              <w:ind w:right="889"/>
              <w:spacing w:after="0"/>
              <w:rPr>
                <w:sz w:val="20"/>
                <w:szCs w:val="20"/>
                <w:color w:val="auto"/>
              </w:rPr>
            </w:pPr>
            <w:r>
              <w:rPr>
                <w:rFonts w:ascii="Arial" w:cs="Arial" w:eastAsia="Arial" w:hAnsi="Arial"/>
                <w:sz w:val="14"/>
                <w:szCs w:val="14"/>
                <w:color w:val="auto"/>
                <w:w w:val="92"/>
              </w:rPr>
              <w:t>Nasdaq Global Select Market</w:t>
            </w:r>
          </w:p>
        </w:tc>
      </w:tr>
    </w:tbl>
    <w:p>
      <w:pPr>
        <w:spacing w:after="0" w:line="202" w:lineRule="exact"/>
        <w:rPr>
          <w:sz w:val="24"/>
          <w:szCs w:val="24"/>
          <w:color w:val="auto"/>
        </w:rPr>
      </w:pPr>
    </w:p>
    <w:p>
      <w:pPr>
        <w:ind w:right="180"/>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0" w:lineRule="exact"/>
        <w:rPr>
          <w:sz w:val="24"/>
          <w:szCs w:val="24"/>
          <w:color w:val="auto"/>
        </w:rPr>
      </w:pPr>
    </w:p>
    <w:p>
      <w:pPr>
        <w:ind w:right="340"/>
        <w:spacing w:after="0" w:line="28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11" w:lineRule="exact"/>
        <w:rPr>
          <w:sz w:val="24"/>
          <w:szCs w:val="24"/>
          <w:color w:val="auto"/>
        </w:rPr>
      </w:pPr>
    </w:p>
    <w:p>
      <w:pPr>
        <w:ind w:right="40"/>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520" w:type="dxa"/>
            <w:vAlign w:val="bottom"/>
          </w:tcPr>
          <w:p>
            <w:pPr>
              <w:ind w:left="1580"/>
              <w:spacing w:after="0"/>
              <w:rPr>
                <w:sz w:val="20"/>
                <w:szCs w:val="20"/>
                <w:color w:val="auto"/>
              </w:rPr>
            </w:pPr>
            <w:r>
              <w:rPr>
                <w:rFonts w:ascii="Arial" w:cs="Arial" w:eastAsia="Arial" w:hAnsi="Arial"/>
                <w:sz w:val="14"/>
                <w:szCs w:val="14"/>
                <w:color w:val="auto"/>
              </w:rPr>
              <w:t>Accelerated filer</w:t>
            </w:r>
          </w:p>
        </w:tc>
      </w:tr>
      <w:tr>
        <w:trPr>
          <w:trHeight w:val="191"/>
        </w:trPr>
        <w:tc>
          <w:tcPr>
            <w:tcW w:w="2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40" w:type="dxa"/>
            <w:vAlign w:val="bottom"/>
          </w:tcPr>
          <w:p>
            <w:pPr>
              <w:ind w:left="1300"/>
              <w:spacing w:after="0"/>
              <w:rPr>
                <w:sz w:val="20"/>
                <w:szCs w:val="20"/>
                <w:color w:val="auto"/>
              </w:rPr>
            </w:pPr>
            <w:r>
              <w:rPr>
                <w:rFonts w:ascii="Arial" w:cs="Arial" w:eastAsia="Arial" w:hAnsi="Arial"/>
                <w:sz w:val="14"/>
                <w:szCs w:val="14"/>
                <w:color w:val="auto"/>
              </w:rPr>
              <w:t>x</w:t>
            </w:r>
          </w:p>
        </w:tc>
        <w:tc>
          <w:tcPr>
            <w:tcW w:w="5520" w:type="dxa"/>
            <w:vAlign w:val="bottom"/>
          </w:tcPr>
          <w:p>
            <w:pPr>
              <w:ind w:left="5440"/>
              <w:spacing w:after="0"/>
              <w:rPr>
                <w:sz w:val="20"/>
                <w:szCs w:val="20"/>
                <w:color w:val="auto"/>
              </w:rPr>
            </w:pPr>
            <w:r>
              <w:rPr>
                <w:rFonts w:ascii="Arial" w:cs="Arial" w:eastAsia="Arial" w:hAnsi="Arial"/>
                <w:sz w:val="14"/>
                <w:szCs w:val="14"/>
                <w:color w:val="auto"/>
                <w:w w:val="76"/>
              </w:rPr>
              <w:t>o</w:t>
            </w:r>
          </w:p>
        </w:tc>
      </w:tr>
      <w:tr>
        <w:trPr>
          <w:trHeight w:val="159"/>
        </w:trPr>
        <w:tc>
          <w:tcPr>
            <w:tcW w:w="2560" w:type="dxa"/>
            <w:vAlign w:val="bottom"/>
          </w:tcPr>
          <w:p>
            <w:pPr>
              <w:spacing w:after="0" w:line="159" w:lineRule="exact"/>
              <w:rPr>
                <w:sz w:val="20"/>
                <w:szCs w:val="20"/>
                <w:color w:val="auto"/>
              </w:rPr>
            </w:pPr>
            <w:r>
              <w:rPr>
                <w:rFonts w:ascii="Arial" w:cs="Arial" w:eastAsia="Arial" w:hAnsi="Arial"/>
                <w:sz w:val="14"/>
                <w:szCs w:val="14"/>
                <w:color w:val="auto"/>
              </w:rPr>
              <w:t>Non-accelerated filer</w:t>
            </w:r>
          </w:p>
        </w:tc>
        <w:tc>
          <w:tcPr>
            <w:tcW w:w="2940" w:type="dxa"/>
            <w:vAlign w:val="bottom"/>
          </w:tcPr>
          <w:p>
            <w:pPr>
              <w:spacing w:after="0"/>
              <w:rPr>
                <w:sz w:val="13"/>
                <w:szCs w:val="13"/>
                <w:color w:val="auto"/>
              </w:rPr>
            </w:pPr>
          </w:p>
        </w:tc>
        <w:tc>
          <w:tcPr>
            <w:tcW w:w="5520" w:type="dxa"/>
            <w:vAlign w:val="bottom"/>
          </w:tcPr>
          <w:p>
            <w:pPr>
              <w:ind w:left="1580"/>
              <w:spacing w:after="0" w:line="159" w:lineRule="exact"/>
              <w:rPr>
                <w:sz w:val="20"/>
                <w:szCs w:val="20"/>
                <w:color w:val="auto"/>
              </w:rPr>
            </w:pPr>
            <w:r>
              <w:rPr>
                <w:rFonts w:ascii="Arial" w:cs="Arial" w:eastAsia="Arial" w:hAnsi="Arial"/>
                <w:sz w:val="14"/>
                <w:szCs w:val="14"/>
                <w:color w:val="auto"/>
              </w:rPr>
              <w:t>Smaller reporting company</w:t>
            </w:r>
          </w:p>
        </w:tc>
      </w:tr>
      <w:tr>
        <w:trPr>
          <w:trHeight w:val="170"/>
        </w:trPr>
        <w:tc>
          <w:tcPr>
            <w:tcW w:w="2560" w:type="dxa"/>
            <w:vAlign w:val="bottom"/>
          </w:tcPr>
          <w:p>
            <w:pPr>
              <w:spacing w:after="0"/>
              <w:rPr>
                <w:sz w:val="14"/>
                <w:szCs w:val="14"/>
                <w:color w:val="auto"/>
              </w:rPr>
            </w:pPr>
          </w:p>
        </w:tc>
        <w:tc>
          <w:tcPr>
            <w:tcW w:w="2940" w:type="dxa"/>
            <w:vAlign w:val="bottom"/>
          </w:tcPr>
          <w:p>
            <w:pPr>
              <w:ind w:left="1300"/>
              <w:spacing w:after="0"/>
              <w:rPr>
                <w:sz w:val="20"/>
                <w:szCs w:val="20"/>
                <w:color w:val="auto"/>
              </w:rPr>
            </w:pPr>
            <w:r>
              <w:rPr>
                <w:rFonts w:ascii="Arial" w:cs="Arial" w:eastAsia="Arial" w:hAnsi="Arial"/>
                <w:sz w:val="14"/>
                <w:szCs w:val="14"/>
                <w:color w:val="auto"/>
              </w:rPr>
              <w:t>o</w:t>
            </w:r>
          </w:p>
        </w:tc>
        <w:tc>
          <w:tcPr>
            <w:tcW w:w="5520" w:type="dxa"/>
            <w:vAlign w:val="bottom"/>
          </w:tcPr>
          <w:p>
            <w:pPr>
              <w:ind w:left="5440"/>
              <w:spacing w:after="0"/>
              <w:rPr>
                <w:sz w:val="20"/>
                <w:szCs w:val="20"/>
                <w:color w:val="auto"/>
              </w:rPr>
            </w:pPr>
            <w:r>
              <w:rPr>
                <w:rFonts w:ascii="Arial" w:cs="Arial" w:eastAsia="Arial" w:hAnsi="Arial"/>
                <w:sz w:val="14"/>
                <w:szCs w:val="14"/>
                <w:color w:val="auto"/>
                <w:w w:val="76"/>
              </w:rPr>
              <w:t>o</w:t>
            </w:r>
          </w:p>
        </w:tc>
      </w:tr>
      <w:tr>
        <w:trPr>
          <w:trHeight w:val="180"/>
        </w:trPr>
        <w:tc>
          <w:tcPr>
            <w:tcW w:w="25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520" w:type="dxa"/>
            <w:vAlign w:val="bottom"/>
          </w:tcPr>
          <w:p>
            <w:pPr>
              <w:ind w:left="1580"/>
              <w:spacing w:after="0"/>
              <w:rPr>
                <w:sz w:val="20"/>
                <w:szCs w:val="20"/>
                <w:color w:val="auto"/>
              </w:rPr>
            </w:pPr>
            <w:r>
              <w:rPr>
                <w:rFonts w:ascii="Arial" w:cs="Arial" w:eastAsia="Arial" w:hAnsi="Arial"/>
                <w:sz w:val="14"/>
                <w:szCs w:val="14"/>
                <w:color w:val="auto"/>
              </w:rPr>
              <w:t>Emerging growth company</w:t>
            </w:r>
          </w:p>
        </w:tc>
      </w:tr>
      <w:tr>
        <w:trPr>
          <w:trHeight w:val="170"/>
        </w:trPr>
        <w:tc>
          <w:tcPr>
            <w:tcW w:w="2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520" w:type="dxa"/>
            <w:vAlign w:val="bottom"/>
          </w:tcPr>
          <w:p>
            <w:pPr>
              <w:ind w:left="5440"/>
              <w:spacing w:after="0"/>
              <w:rPr>
                <w:sz w:val="20"/>
                <w:szCs w:val="20"/>
                <w:color w:val="auto"/>
              </w:rPr>
            </w:pPr>
            <w:r>
              <w:rPr>
                <w:rFonts w:ascii="Arial" w:cs="Arial" w:eastAsia="Arial" w:hAnsi="Arial"/>
                <w:sz w:val="14"/>
                <w:szCs w:val="14"/>
                <w:color w:val="auto"/>
                <w:w w:val="76"/>
              </w:rPr>
              <w:t>o</w:t>
            </w:r>
          </w:p>
        </w:tc>
      </w:tr>
    </w:tbl>
    <w:p>
      <w:pPr>
        <w:spacing w:after="0" w:line="223" w:lineRule="exact"/>
        <w:rPr>
          <w:sz w:val="24"/>
          <w:szCs w:val="24"/>
          <w:color w:val="auto"/>
        </w:rPr>
      </w:pPr>
    </w:p>
    <w:p>
      <w:pPr>
        <w:jc w:val="both"/>
        <w:ind w:right="240"/>
        <w:spacing w:after="0" w:line="28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par value $0.01, of the Registrant outstanding as of July 29, 2022 was 185,945,016.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605790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113665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14"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140" w:type="dxa"/>
            <w:vAlign w:val="bottom"/>
            <w:gridSpan w:val="20"/>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786"/>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60" w:type="dxa"/>
            <w:vAlign w:val="bottom"/>
            <w:gridSpan w:val="5"/>
          </w:tcPr>
          <w:p>
            <w:pPr>
              <w:jc w:val="center"/>
              <w:ind w:right="2940"/>
              <w:spacing w:after="0"/>
              <w:rPr>
                <w:sz w:val="20"/>
                <w:szCs w:val="20"/>
                <w:color w:val="auto"/>
              </w:rPr>
            </w:pPr>
            <w:r>
              <w:rPr>
                <w:rFonts w:ascii="Arial" w:cs="Arial" w:eastAsia="Arial" w:hAnsi="Arial"/>
                <w:sz w:val="14"/>
                <w:szCs w:val="14"/>
                <w:b w:val="1"/>
                <w:bCs w:val="1"/>
                <w:color w:val="auto"/>
              </w:rPr>
              <w:t>BIOCRYST PHARMACEUTICALS, INC.</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80" w:type="dxa"/>
            <w:vAlign w:val="bottom"/>
            <w:gridSpan w:val="4"/>
          </w:tcPr>
          <w:p>
            <w:pPr>
              <w:jc w:val="center"/>
              <w:ind w:right="3800"/>
              <w:spacing w:after="0"/>
              <w:rPr>
                <w:sz w:val="20"/>
                <w:szCs w:val="20"/>
                <w:color w:val="auto"/>
              </w:rPr>
            </w:pPr>
            <w:r>
              <w:rPr>
                <w:rFonts w:ascii="Arial" w:cs="Arial" w:eastAsia="Arial" w:hAnsi="Arial"/>
                <w:sz w:val="14"/>
                <w:szCs w:val="14"/>
                <w:b w:val="1"/>
                <w:bCs w:val="1"/>
                <w:color w:val="auto"/>
              </w:rPr>
              <w:t>INDEX</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357"/>
        </w:trPr>
        <w:tc>
          <w:tcPr>
            <w:tcW w:w="20" w:type="dxa"/>
            <w:vAlign w:val="bottom"/>
          </w:tcPr>
          <w:p>
            <w:pPr>
              <w:spacing w:after="0"/>
              <w:rPr>
                <w:sz w:val="24"/>
                <w:szCs w:val="24"/>
                <w:color w:val="auto"/>
              </w:rPr>
            </w:pPr>
          </w:p>
        </w:tc>
        <w:tc>
          <w:tcPr>
            <w:tcW w:w="3260" w:type="dxa"/>
            <w:vAlign w:val="bottom"/>
            <w:tcBorders>
              <w:bottom w:val="single" w:sz="8" w:color="0000FF"/>
            </w:tcBorders>
            <w:gridSpan w:val="12"/>
          </w:tcPr>
          <w:p>
            <w:pPr>
              <w:spacing w:after="0"/>
              <w:rPr>
                <w:rFonts w:ascii="Arial" w:cs="Arial" w:eastAsia="Arial" w:hAnsi="Arial"/>
                <w:sz w:val="14"/>
                <w:szCs w:val="14"/>
                <w:color w:val="0000FF"/>
                <w:w w:val="91"/>
              </w:rPr>
            </w:pPr>
            <w:hyperlink w:anchor="page2">
              <w:r>
                <w:rPr>
                  <w:rFonts w:ascii="Arial" w:cs="Arial" w:eastAsia="Arial" w:hAnsi="Arial"/>
                  <w:sz w:val="14"/>
                  <w:szCs w:val="14"/>
                  <w:color w:val="0000FF"/>
                  <w:w w:val="91"/>
                </w:rPr>
                <w:t>Cautionary Note Regarding Forward-Looking Statements</w:t>
              </w:r>
            </w:hyperlink>
          </w:p>
        </w:tc>
        <w:tc>
          <w:tcPr>
            <w:tcW w:w="686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rFonts w:ascii="Arial" w:cs="Arial" w:eastAsia="Arial" w:hAnsi="Arial"/>
                <w:sz w:val="12"/>
                <w:szCs w:val="12"/>
                <w:u w:val="single" w:color="auto"/>
                <w:color w:val="0000FF"/>
                <w:w w:val="73"/>
              </w:rPr>
            </w:pPr>
            <w:hyperlink w:anchor="page2">
              <w:r>
                <w:rPr>
                  <w:rFonts w:ascii="Arial" w:cs="Arial" w:eastAsia="Arial" w:hAnsi="Arial"/>
                  <w:sz w:val="12"/>
                  <w:szCs w:val="12"/>
                  <w:u w:val="single" w:color="auto"/>
                  <w:color w:val="0000FF"/>
                  <w:w w:val="73"/>
                </w:rPr>
                <w:t>i</w:t>
              </w:r>
            </w:hyperlink>
          </w:p>
        </w:tc>
      </w:tr>
      <w:tr>
        <w:trPr>
          <w:trHeight w:val="182"/>
        </w:trPr>
        <w:tc>
          <w:tcPr>
            <w:tcW w:w="20" w:type="dxa"/>
            <w:vAlign w:val="bottom"/>
          </w:tcPr>
          <w:p>
            <w:pPr>
              <w:spacing w:after="0"/>
              <w:rPr>
                <w:sz w:val="15"/>
                <w:szCs w:val="15"/>
                <w:color w:val="auto"/>
              </w:rPr>
            </w:pPr>
          </w:p>
        </w:tc>
        <w:tc>
          <w:tcPr>
            <w:tcW w:w="10120" w:type="dxa"/>
            <w:vAlign w:val="bottom"/>
            <w:gridSpan w:val="19"/>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Risk Factor Summary</w:t>
              </w:r>
            </w:hyperlink>
          </w:p>
        </w:tc>
        <w:tc>
          <w:tcPr>
            <w:tcW w:w="980" w:type="dxa"/>
            <w:vAlign w:val="bottom"/>
          </w:tcPr>
          <w:p>
            <w:pPr>
              <w:spacing w:after="0"/>
              <w:rPr>
                <w:sz w:val="15"/>
                <w:szCs w:val="15"/>
                <w:color w:val="auto"/>
              </w:rPr>
            </w:pPr>
          </w:p>
        </w:tc>
        <w:tc>
          <w:tcPr>
            <w:tcW w:w="160" w:type="dxa"/>
            <w:vAlign w:val="bottom"/>
            <w:gridSpan w:val="2"/>
          </w:tcPr>
          <w:p>
            <w:pPr>
              <w:jc w:val="right"/>
              <w:spacing w:after="0"/>
              <w:rPr>
                <w:rFonts w:ascii="Arial" w:cs="Arial" w:eastAsia="Arial" w:hAnsi="Arial"/>
                <w:sz w:val="14"/>
                <w:szCs w:val="14"/>
                <w:color w:val="0000FF"/>
              </w:rPr>
            </w:pPr>
            <w:hyperlink w:anchor="page4">
              <w:r>
                <w:rPr>
                  <w:rFonts w:ascii="Arial" w:cs="Arial" w:eastAsia="Arial" w:hAnsi="Arial"/>
                  <w:sz w:val="14"/>
                  <w:szCs w:val="14"/>
                  <w:color w:val="0000FF"/>
                </w:rPr>
                <w:t>ii</w:t>
              </w:r>
            </w:hyperlink>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gridSpan w:val="8"/>
          </w:tcPr>
          <w:p>
            <w:pPr>
              <w:spacing w:after="0"/>
              <w:rPr>
                <w:rFonts w:ascii="Arial" w:cs="Arial" w:eastAsia="Arial" w:hAnsi="Arial"/>
                <w:sz w:val="14"/>
                <w:szCs w:val="14"/>
                <w:color w:val="0000FF"/>
                <w:w w:val="93"/>
              </w:rPr>
            </w:pPr>
            <w:hyperlink w:anchor="page6">
              <w:r>
                <w:rPr>
                  <w:rFonts w:ascii="Arial" w:cs="Arial" w:eastAsia="Arial" w:hAnsi="Arial"/>
                  <w:sz w:val="14"/>
                  <w:szCs w:val="14"/>
                  <w:color w:val="0000FF"/>
                  <w:w w:val="93"/>
                </w:rPr>
                <w:t>Part I. Financial Information</w:t>
              </w:r>
            </w:hyperlink>
          </w:p>
        </w:tc>
        <w:tc>
          <w:tcPr>
            <w:tcW w:w="8500" w:type="dxa"/>
            <w:vAlign w:val="bottom"/>
            <w:gridSpan w:val="11"/>
          </w:tcPr>
          <w:p>
            <w:pPr>
              <w:spacing w:after="0"/>
              <w:rPr>
                <w:sz w:val="15"/>
                <w:szCs w:val="15"/>
                <w:color w:val="auto"/>
              </w:rPr>
            </w:pPr>
          </w:p>
        </w:tc>
        <w:tc>
          <w:tcPr>
            <w:tcW w:w="1140" w:type="dxa"/>
            <w:vAlign w:val="bottom"/>
            <w:gridSpan w:val="3"/>
          </w:tcPr>
          <w:p>
            <w:pPr>
              <w:jc w:val="right"/>
              <w:spacing w:after="0"/>
              <w:rPr>
                <w:rFonts w:ascii="Arial" w:cs="Arial" w:eastAsia="Arial" w:hAnsi="Arial"/>
                <w:sz w:val="14"/>
                <w:szCs w:val="14"/>
                <w:color w:val="0000FF"/>
              </w:rPr>
            </w:pPr>
            <w:hyperlink w:anchor="page6">
              <w:r>
                <w:rPr>
                  <w:rFonts w:ascii="Arial" w:cs="Arial" w:eastAsia="Arial" w:hAnsi="Arial"/>
                  <w:sz w:val="14"/>
                  <w:szCs w:val="14"/>
                  <w:color w:val="0000FF"/>
                </w:rPr>
                <w:t>1</w:t>
              </w:r>
            </w:hyperlink>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660" w:type="dxa"/>
            <w:vAlign w:val="bottom"/>
            <w:gridSpan w:val="9"/>
          </w:tcPr>
          <w:p>
            <w:pPr>
              <w:spacing w:after="0"/>
              <w:rPr>
                <w:rFonts w:ascii="Arial" w:cs="Arial" w:eastAsia="Arial" w:hAnsi="Arial"/>
                <w:sz w:val="14"/>
                <w:szCs w:val="14"/>
                <w:color w:val="0000FF"/>
                <w:w w:val="90"/>
              </w:rPr>
            </w:pPr>
            <w:hyperlink w:anchor="page7">
              <w:r>
                <w:rPr>
                  <w:rFonts w:ascii="Arial" w:cs="Arial" w:eastAsia="Arial" w:hAnsi="Arial"/>
                  <w:sz w:val="14"/>
                  <w:szCs w:val="14"/>
                  <w:color w:val="0000FF"/>
                  <w:w w:val="90"/>
                </w:rPr>
                <w:t>Item 1. Financial Statements:</w:t>
              </w:r>
            </w:hyperlink>
          </w:p>
        </w:tc>
        <w:tc>
          <w:tcPr>
            <w:tcW w:w="8460" w:type="dxa"/>
            <w:vAlign w:val="bottom"/>
            <w:gridSpan w:val="10"/>
          </w:tcPr>
          <w:p>
            <w:pPr>
              <w:spacing w:after="0"/>
              <w:rPr>
                <w:sz w:val="15"/>
                <w:szCs w:val="15"/>
                <w:color w:val="auto"/>
              </w:rPr>
            </w:pPr>
          </w:p>
        </w:tc>
        <w:tc>
          <w:tcPr>
            <w:tcW w:w="1140" w:type="dxa"/>
            <w:vAlign w:val="bottom"/>
            <w:gridSpan w:val="3"/>
          </w:tcPr>
          <w:p>
            <w:pPr>
              <w:jc w:val="right"/>
              <w:spacing w:after="0"/>
              <w:rPr>
                <w:rFonts w:ascii="Arial" w:cs="Arial" w:eastAsia="Arial" w:hAnsi="Arial"/>
                <w:sz w:val="14"/>
                <w:szCs w:val="14"/>
                <w:color w:val="0000FF"/>
              </w:rPr>
            </w:pPr>
            <w:hyperlink w:anchor="page7">
              <w:r>
                <w:rPr>
                  <w:rFonts w:ascii="Arial" w:cs="Arial" w:eastAsia="Arial" w:hAnsi="Arial"/>
                  <w:sz w:val="14"/>
                  <w:szCs w:val="14"/>
                  <w:color w:val="0000FF"/>
                </w:rPr>
                <w:t>1</w:t>
              </w:r>
            </w:hyperlink>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18"/>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Consolidated Balance Sheets - June 30, 2022 and December 31, 2021</w:t>
              </w:r>
            </w:hyperlink>
          </w:p>
        </w:tc>
        <w:tc>
          <w:tcPr>
            <w:tcW w:w="1140" w:type="dxa"/>
            <w:vAlign w:val="bottom"/>
            <w:gridSpan w:val="3"/>
          </w:tcPr>
          <w:p>
            <w:pPr>
              <w:jc w:val="right"/>
              <w:spacing w:after="0"/>
              <w:rPr>
                <w:rFonts w:ascii="Arial" w:cs="Arial" w:eastAsia="Arial" w:hAnsi="Arial"/>
                <w:sz w:val="14"/>
                <w:szCs w:val="14"/>
                <w:color w:val="0000FF"/>
              </w:rPr>
            </w:pPr>
            <w:hyperlink w:anchor="page7">
              <w:r>
                <w:rPr>
                  <w:rFonts w:ascii="Arial" w:cs="Arial" w:eastAsia="Arial" w:hAnsi="Arial"/>
                  <w:sz w:val="14"/>
                  <w:szCs w:val="14"/>
                  <w:color w:val="0000FF"/>
                </w:rPr>
                <w:t>1</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18"/>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Consolidated Statements of Comprehensive Loss - Three and Six Months Ended June 30, 2022 and 2021</w:t>
              </w:r>
            </w:hyperlink>
          </w:p>
        </w:tc>
        <w:tc>
          <w:tcPr>
            <w:tcW w:w="1140" w:type="dxa"/>
            <w:vAlign w:val="bottom"/>
            <w:gridSpan w:val="3"/>
          </w:tcPr>
          <w:p>
            <w:pPr>
              <w:jc w:val="right"/>
              <w:spacing w:after="0"/>
              <w:rPr>
                <w:rFonts w:ascii="Arial" w:cs="Arial" w:eastAsia="Arial" w:hAnsi="Arial"/>
                <w:sz w:val="14"/>
                <w:szCs w:val="14"/>
                <w:color w:val="0000FF"/>
              </w:rPr>
            </w:pPr>
            <w:hyperlink w:anchor="page7">
              <w:r>
                <w:rPr>
                  <w:rFonts w:ascii="Arial" w:cs="Arial" w:eastAsia="Arial" w:hAnsi="Arial"/>
                  <w:sz w:val="14"/>
                  <w:szCs w:val="14"/>
                  <w:color w:val="0000FF"/>
                </w:rPr>
                <w:t>2</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20" w:type="dxa"/>
            <w:vAlign w:val="bottom"/>
            <w:gridSpan w:val="14"/>
          </w:tcPr>
          <w:p>
            <w:pPr>
              <w:spacing w:after="0"/>
              <w:rPr>
                <w:rFonts w:ascii="Arial" w:cs="Arial" w:eastAsia="Arial" w:hAnsi="Arial"/>
                <w:sz w:val="14"/>
                <w:szCs w:val="14"/>
                <w:color w:val="0000FF"/>
                <w:w w:val="90"/>
              </w:rPr>
            </w:pPr>
            <w:hyperlink w:anchor="page8">
              <w:r>
                <w:rPr>
                  <w:rFonts w:ascii="Arial" w:cs="Arial" w:eastAsia="Arial" w:hAnsi="Arial"/>
                  <w:sz w:val="14"/>
                  <w:szCs w:val="14"/>
                  <w:color w:val="0000FF"/>
                  <w:w w:val="90"/>
                </w:rPr>
                <w:t>Consolidated Statements of Cash Flows - Six Months Ended June 30, 2022 and 2021</w:t>
              </w:r>
            </w:hyperlink>
          </w:p>
        </w:tc>
        <w:tc>
          <w:tcPr>
            <w:tcW w:w="1120" w:type="dxa"/>
            <w:vAlign w:val="bottom"/>
            <w:gridSpan w:val="2"/>
          </w:tcPr>
          <w:p>
            <w:pPr>
              <w:spacing w:after="0"/>
              <w:rPr>
                <w:sz w:val="15"/>
                <w:szCs w:val="15"/>
                <w:color w:val="auto"/>
              </w:rPr>
            </w:pPr>
          </w:p>
        </w:tc>
        <w:tc>
          <w:tcPr>
            <w:tcW w:w="4060" w:type="dxa"/>
            <w:vAlign w:val="bottom"/>
            <w:gridSpan w:val="2"/>
          </w:tcPr>
          <w:p>
            <w:pPr>
              <w:spacing w:after="0"/>
              <w:rPr>
                <w:sz w:val="15"/>
                <w:szCs w:val="15"/>
                <w:color w:val="auto"/>
              </w:rPr>
            </w:pPr>
          </w:p>
        </w:tc>
        <w:tc>
          <w:tcPr>
            <w:tcW w:w="1140" w:type="dxa"/>
            <w:vAlign w:val="bottom"/>
            <w:gridSpan w:val="3"/>
          </w:tcPr>
          <w:p>
            <w:pPr>
              <w:jc w:val="right"/>
              <w:spacing w:after="0"/>
              <w:rPr>
                <w:rFonts w:ascii="Arial" w:cs="Arial" w:eastAsia="Arial" w:hAnsi="Arial"/>
                <w:sz w:val="14"/>
                <w:szCs w:val="14"/>
                <w:color w:val="0000FF"/>
              </w:rPr>
            </w:pPr>
            <w:hyperlink w:anchor="page8">
              <w:r>
                <w:rPr>
                  <w:rFonts w:ascii="Arial" w:cs="Arial" w:eastAsia="Arial" w:hAnsi="Arial"/>
                  <w:sz w:val="14"/>
                  <w:szCs w:val="14"/>
                  <w:color w:val="0000FF"/>
                </w:rPr>
                <w:t>3</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18"/>
          </w:tcPr>
          <w:p>
            <w:pPr>
              <w:spacing w:after="0"/>
              <w:rPr>
                <w:rFonts w:ascii="Arial" w:cs="Arial" w:eastAsia="Arial" w:hAnsi="Arial"/>
                <w:sz w:val="14"/>
                <w:szCs w:val="14"/>
                <w:color w:val="0000FF"/>
              </w:rPr>
            </w:pPr>
            <w:hyperlink w:anchor="page9">
              <w:r>
                <w:rPr>
                  <w:rFonts w:ascii="Arial" w:cs="Arial" w:eastAsia="Arial" w:hAnsi="Arial"/>
                  <w:sz w:val="14"/>
                  <w:szCs w:val="14"/>
                  <w:color w:val="0000FF"/>
                </w:rPr>
                <w:t>Consolidated Statements of Stockholders’ Deficit - Three and Six Months Ended June 30, 2022 and 2021</w:t>
              </w:r>
            </w:hyperlink>
          </w:p>
        </w:tc>
        <w:tc>
          <w:tcPr>
            <w:tcW w:w="1140" w:type="dxa"/>
            <w:vAlign w:val="bottom"/>
            <w:gridSpan w:val="3"/>
          </w:tcPr>
          <w:p>
            <w:pPr>
              <w:jc w:val="right"/>
              <w:spacing w:after="0"/>
              <w:rPr>
                <w:rFonts w:ascii="Arial" w:cs="Arial" w:eastAsia="Arial" w:hAnsi="Arial"/>
                <w:sz w:val="14"/>
                <w:szCs w:val="14"/>
                <w:color w:val="0000FF"/>
              </w:rPr>
            </w:pPr>
            <w:hyperlink w:anchor="page9">
              <w:r>
                <w:rPr>
                  <w:rFonts w:ascii="Arial" w:cs="Arial" w:eastAsia="Arial" w:hAnsi="Arial"/>
                  <w:sz w:val="14"/>
                  <w:szCs w:val="14"/>
                  <w:color w:val="0000FF"/>
                </w:rPr>
                <w:t>4</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480" w:type="dxa"/>
            <w:vAlign w:val="bottom"/>
            <w:gridSpan w:val="11"/>
          </w:tcPr>
          <w:p>
            <w:pPr>
              <w:spacing w:after="0"/>
              <w:rPr>
                <w:rFonts w:ascii="Arial" w:cs="Arial" w:eastAsia="Arial" w:hAnsi="Arial"/>
                <w:sz w:val="14"/>
                <w:szCs w:val="14"/>
                <w:color w:val="0000FF"/>
                <w:w w:val="90"/>
              </w:rPr>
            </w:pPr>
            <w:hyperlink w:anchor="page10">
              <w:r>
                <w:rPr>
                  <w:rFonts w:ascii="Arial" w:cs="Arial" w:eastAsia="Arial" w:hAnsi="Arial"/>
                  <w:sz w:val="14"/>
                  <w:szCs w:val="14"/>
                  <w:color w:val="0000FF"/>
                  <w:w w:val="90"/>
                </w:rPr>
                <w:t>Notes to Consolidated Financial Statements</w:t>
              </w:r>
            </w:hyperlink>
          </w:p>
        </w:tc>
        <w:tc>
          <w:tcPr>
            <w:tcW w:w="7640" w:type="dxa"/>
            <w:vAlign w:val="bottom"/>
            <w:gridSpan w:val="8"/>
          </w:tcPr>
          <w:p>
            <w:pPr>
              <w:spacing w:after="0"/>
              <w:rPr>
                <w:sz w:val="15"/>
                <w:szCs w:val="15"/>
                <w:color w:val="auto"/>
              </w:rPr>
            </w:pPr>
          </w:p>
        </w:tc>
        <w:tc>
          <w:tcPr>
            <w:tcW w:w="1140" w:type="dxa"/>
            <w:vAlign w:val="bottom"/>
            <w:gridSpan w:val="3"/>
          </w:tcPr>
          <w:p>
            <w:pPr>
              <w:jc w:val="right"/>
              <w:spacing w:after="0"/>
              <w:rPr>
                <w:rFonts w:ascii="Arial" w:cs="Arial" w:eastAsia="Arial" w:hAnsi="Arial"/>
                <w:sz w:val="14"/>
                <w:szCs w:val="14"/>
                <w:color w:val="0000FF"/>
              </w:rPr>
            </w:pPr>
            <w:hyperlink w:anchor="page10">
              <w:r>
                <w:rPr>
                  <w:rFonts w:ascii="Arial" w:cs="Arial" w:eastAsia="Arial" w:hAnsi="Arial"/>
                  <w:sz w:val="14"/>
                  <w:szCs w:val="14"/>
                  <w:color w:val="0000FF"/>
                </w:rPr>
                <w:t>5</w:t>
              </w:r>
            </w:hyperlink>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120" w:type="dxa"/>
            <w:vAlign w:val="bottom"/>
            <w:gridSpan w:val="19"/>
          </w:tcPr>
          <w:p>
            <w:pPr>
              <w:spacing w:after="0"/>
              <w:rPr>
                <w:rFonts w:ascii="Arial" w:cs="Arial" w:eastAsia="Arial" w:hAnsi="Arial"/>
                <w:sz w:val="14"/>
                <w:szCs w:val="14"/>
                <w:color w:val="0000FF"/>
              </w:rPr>
            </w:pPr>
            <w:hyperlink w:anchor="page32">
              <w:r>
                <w:rPr>
                  <w:rFonts w:ascii="Arial" w:cs="Arial" w:eastAsia="Arial" w:hAnsi="Arial"/>
                  <w:sz w:val="14"/>
                  <w:szCs w:val="14"/>
                  <w:color w:val="0000FF"/>
                </w:rPr>
                <w:t>Item 2. Management’s Discussion and Analysis of Financial Condition and Results of Operations</w:t>
              </w:r>
            </w:hyperlink>
          </w:p>
        </w:tc>
        <w:tc>
          <w:tcPr>
            <w:tcW w:w="1080" w:type="dxa"/>
            <w:vAlign w:val="bottom"/>
            <w:gridSpan w:val="2"/>
          </w:tcPr>
          <w:p>
            <w:pPr>
              <w:jc w:val="right"/>
              <w:spacing w:after="0"/>
              <w:rPr>
                <w:rFonts w:ascii="Arial" w:cs="Arial" w:eastAsia="Arial" w:hAnsi="Arial"/>
                <w:sz w:val="14"/>
                <w:szCs w:val="14"/>
                <w:color w:val="0000FF"/>
              </w:rPr>
            </w:pPr>
            <w:hyperlink w:anchor="page32">
              <w:r>
                <w:rPr>
                  <w:rFonts w:ascii="Arial" w:cs="Arial" w:eastAsia="Arial" w:hAnsi="Arial"/>
                  <w:sz w:val="14"/>
                  <w:szCs w:val="14"/>
                  <w:color w:val="0000FF"/>
                </w:rPr>
                <w:t>27</w:t>
              </w:r>
            </w:hyperlink>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860" w:type="dxa"/>
            <w:vAlign w:val="bottom"/>
            <w:tcBorders>
              <w:top w:val="single" w:sz="8" w:color="0000FF"/>
              <w:bottom w:val="single" w:sz="8" w:color="0000FF"/>
            </w:tcBorders>
            <w:gridSpan w:val="13"/>
          </w:tcPr>
          <w:p>
            <w:pPr>
              <w:spacing w:after="0"/>
              <w:rPr>
                <w:rFonts w:ascii="Arial" w:cs="Arial" w:eastAsia="Arial" w:hAnsi="Arial"/>
                <w:sz w:val="14"/>
                <w:szCs w:val="14"/>
                <w:color w:val="0000FF"/>
                <w:w w:val="92"/>
              </w:rPr>
            </w:pPr>
            <w:hyperlink w:anchor="page45">
              <w:r>
                <w:rPr>
                  <w:rFonts w:ascii="Arial" w:cs="Arial" w:eastAsia="Arial" w:hAnsi="Arial"/>
                  <w:sz w:val="14"/>
                  <w:szCs w:val="14"/>
                  <w:color w:val="0000FF"/>
                  <w:w w:val="92"/>
                </w:rPr>
                <w:t>Item 3. Quantitative and Qualitative Disclosures About Market Risk</w:t>
              </w:r>
            </w:hyperlink>
          </w:p>
        </w:tc>
        <w:tc>
          <w:tcPr>
            <w:tcW w:w="1640" w:type="dxa"/>
            <w:vAlign w:val="bottom"/>
            <w:tcBorders>
              <w:top w:val="single" w:sz="8" w:color="0000FF"/>
            </w:tcBorders>
            <w:gridSpan w:val="3"/>
          </w:tcPr>
          <w:p>
            <w:pPr>
              <w:spacing w:after="0"/>
              <w:rPr>
                <w:sz w:val="15"/>
                <w:szCs w:val="15"/>
                <w:color w:val="auto"/>
              </w:rPr>
            </w:pPr>
          </w:p>
        </w:tc>
        <w:tc>
          <w:tcPr>
            <w:tcW w:w="4620" w:type="dxa"/>
            <w:vAlign w:val="bottom"/>
            <w:gridSpan w:val="3"/>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45">
              <w:r>
                <w:rPr>
                  <w:rFonts w:ascii="Arial" w:cs="Arial" w:eastAsia="Arial" w:hAnsi="Arial"/>
                  <w:sz w:val="14"/>
                  <w:szCs w:val="14"/>
                  <w:color w:val="0000FF"/>
                  <w:w w:val="76"/>
                </w:rPr>
                <w:t>39</w:t>
              </w:r>
            </w:hyperlink>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0120" w:type="dxa"/>
            <w:vAlign w:val="bottom"/>
            <w:gridSpan w:val="19"/>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Item 4. Controls and Procedures</w:t>
              </w:r>
            </w:hyperlink>
          </w:p>
        </w:tc>
        <w:tc>
          <w:tcPr>
            <w:tcW w:w="1080" w:type="dxa"/>
            <w:vAlign w:val="bottom"/>
            <w:gridSpan w:val="2"/>
          </w:tcPr>
          <w:p>
            <w:pPr>
              <w:jc w:val="right"/>
              <w:spacing w:after="0"/>
              <w:rPr>
                <w:rFonts w:ascii="Arial" w:cs="Arial" w:eastAsia="Arial" w:hAnsi="Arial"/>
                <w:sz w:val="14"/>
                <w:szCs w:val="14"/>
                <w:color w:val="0000FF"/>
              </w:rPr>
            </w:pPr>
            <w:hyperlink w:anchor="page46">
              <w:r>
                <w:rPr>
                  <w:rFonts w:ascii="Arial" w:cs="Arial" w:eastAsia="Arial" w:hAnsi="Arial"/>
                  <w:sz w:val="14"/>
                  <w:szCs w:val="14"/>
                  <w:color w:val="0000FF"/>
                </w:rPr>
                <w:t>40</w:t>
              </w:r>
            </w:hyperlink>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7"/>
          </w:tcPr>
          <w:p>
            <w:pPr>
              <w:spacing w:after="0"/>
              <w:rPr>
                <w:rFonts w:ascii="Arial" w:cs="Arial" w:eastAsia="Arial" w:hAnsi="Arial"/>
                <w:sz w:val="14"/>
                <w:szCs w:val="14"/>
                <w:color w:val="0000FF"/>
                <w:w w:val="93"/>
              </w:rPr>
            </w:pPr>
            <w:hyperlink w:anchor="page47">
              <w:r>
                <w:rPr>
                  <w:rFonts w:ascii="Arial" w:cs="Arial" w:eastAsia="Arial" w:hAnsi="Arial"/>
                  <w:sz w:val="14"/>
                  <w:szCs w:val="14"/>
                  <w:color w:val="0000FF"/>
                  <w:w w:val="93"/>
                </w:rPr>
                <w:t>Part II. Other Information</w:t>
              </w:r>
            </w:hyperlink>
          </w:p>
        </w:tc>
        <w:tc>
          <w:tcPr>
            <w:tcW w:w="360" w:type="dxa"/>
            <w:vAlign w:val="bottom"/>
            <w:tcBorders>
              <w:top w:val="single" w:sz="8" w:color="0000FF"/>
            </w:tcBorders>
            <w:gridSpan w:val="3"/>
          </w:tcPr>
          <w:p>
            <w:pPr>
              <w:spacing w:after="0"/>
              <w:rPr>
                <w:sz w:val="15"/>
                <w:szCs w:val="15"/>
                <w:color w:val="auto"/>
              </w:rPr>
            </w:pPr>
          </w:p>
        </w:tc>
        <w:tc>
          <w:tcPr>
            <w:tcW w:w="8300" w:type="dxa"/>
            <w:vAlign w:val="bottom"/>
            <w:gridSpan w:val="9"/>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47">
              <w:r>
                <w:rPr>
                  <w:rFonts w:ascii="Arial" w:cs="Arial" w:eastAsia="Arial" w:hAnsi="Arial"/>
                  <w:sz w:val="14"/>
                  <w:szCs w:val="14"/>
                  <w:color w:val="0000FF"/>
                  <w:w w:val="76"/>
                </w:rPr>
                <w:t>42</w:t>
              </w:r>
            </w:hyperlink>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0120" w:type="dxa"/>
            <w:vAlign w:val="bottom"/>
            <w:gridSpan w:val="19"/>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Item 1A. Risk Factors</w:t>
              </w:r>
            </w:hyperlink>
          </w:p>
        </w:tc>
        <w:tc>
          <w:tcPr>
            <w:tcW w:w="1080" w:type="dxa"/>
            <w:vAlign w:val="bottom"/>
            <w:gridSpan w:val="2"/>
          </w:tcPr>
          <w:p>
            <w:pPr>
              <w:jc w:val="right"/>
              <w:spacing w:after="0"/>
              <w:rPr>
                <w:rFonts w:ascii="Arial" w:cs="Arial" w:eastAsia="Arial" w:hAnsi="Arial"/>
                <w:sz w:val="14"/>
                <w:szCs w:val="14"/>
                <w:color w:val="0000FF"/>
              </w:rPr>
            </w:pPr>
            <w:hyperlink w:anchor="page48">
              <w:r>
                <w:rPr>
                  <w:rFonts w:ascii="Arial" w:cs="Arial" w:eastAsia="Arial" w:hAnsi="Arial"/>
                  <w:sz w:val="14"/>
                  <w:szCs w:val="14"/>
                  <w:color w:val="0000FF"/>
                </w:rPr>
                <w:t>42</w:t>
              </w:r>
            </w:hyperlink>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240" w:type="dxa"/>
            <w:vAlign w:val="bottom"/>
            <w:tcBorders>
              <w:top w:val="single" w:sz="8" w:color="0000FF"/>
            </w:tcBorders>
            <w:gridSpan w:val="6"/>
          </w:tcPr>
          <w:p>
            <w:pPr>
              <w:spacing w:after="0"/>
              <w:rPr>
                <w:rFonts w:ascii="Arial" w:cs="Arial" w:eastAsia="Arial" w:hAnsi="Arial"/>
                <w:sz w:val="14"/>
                <w:szCs w:val="14"/>
                <w:color w:val="0000FF"/>
              </w:rPr>
            </w:pPr>
            <w:hyperlink w:anchor="page74">
              <w:r>
                <w:rPr>
                  <w:rFonts w:ascii="Arial" w:cs="Arial" w:eastAsia="Arial" w:hAnsi="Arial"/>
                  <w:sz w:val="14"/>
                  <w:szCs w:val="14"/>
                  <w:color w:val="0000FF"/>
                </w:rPr>
                <w:t>Item 6. Exhibits</w:t>
              </w:r>
            </w:hyperlink>
          </w:p>
        </w:tc>
        <w:tc>
          <w:tcPr>
            <w:tcW w:w="8880" w:type="dxa"/>
            <w:vAlign w:val="bottom"/>
            <w:gridSpan w:val="13"/>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top w:val="single" w:sz="8" w:color="0000FF"/>
            </w:tcBorders>
          </w:tcPr>
          <w:p>
            <w:pPr>
              <w:jc w:val="right"/>
              <w:spacing w:after="0"/>
              <w:rPr>
                <w:rFonts w:ascii="Arial" w:cs="Arial" w:eastAsia="Arial" w:hAnsi="Arial"/>
                <w:sz w:val="14"/>
                <w:szCs w:val="14"/>
                <w:color w:val="0000FF"/>
                <w:w w:val="76"/>
              </w:rPr>
            </w:pPr>
            <w:hyperlink w:anchor="page74">
              <w:r>
                <w:rPr>
                  <w:rFonts w:ascii="Arial" w:cs="Arial" w:eastAsia="Arial" w:hAnsi="Arial"/>
                  <w:sz w:val="14"/>
                  <w:szCs w:val="14"/>
                  <w:color w:val="0000FF"/>
                  <w:w w:val="76"/>
                </w:rPr>
                <w:t>69</w:t>
              </w:r>
            </w:hyperlink>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0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86"/>
              </w:rPr>
            </w:pPr>
            <w:hyperlink w:anchor="page76">
              <w:r>
                <w:rPr>
                  <w:rFonts w:ascii="Arial" w:cs="Arial" w:eastAsia="Arial" w:hAnsi="Arial"/>
                  <w:sz w:val="14"/>
                  <w:szCs w:val="14"/>
                  <w:color w:val="0000FF"/>
                  <w:w w:val="86"/>
                </w:rPr>
                <w:t>Signatures</w:t>
              </w:r>
            </w:hyperlink>
          </w:p>
        </w:tc>
        <w:tc>
          <w:tcPr>
            <w:tcW w:w="300" w:type="dxa"/>
            <w:vAlign w:val="bottom"/>
            <w:tcBorders>
              <w:top w:val="single" w:sz="8" w:color="0000FF"/>
            </w:tcBorders>
          </w:tcPr>
          <w:p>
            <w:pPr>
              <w:spacing w:after="0"/>
              <w:rPr>
                <w:sz w:val="15"/>
                <w:szCs w:val="15"/>
                <w:color w:val="auto"/>
              </w:rPr>
            </w:pPr>
          </w:p>
        </w:tc>
        <w:tc>
          <w:tcPr>
            <w:tcW w:w="9220" w:type="dxa"/>
            <w:vAlign w:val="bottom"/>
            <w:gridSpan w:val="15"/>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76">
              <w:r>
                <w:rPr>
                  <w:rFonts w:ascii="Arial" w:cs="Arial" w:eastAsia="Arial" w:hAnsi="Arial"/>
                  <w:sz w:val="14"/>
                  <w:szCs w:val="14"/>
                  <w:color w:val="0000FF"/>
                  <w:w w:val="76"/>
                </w:rPr>
                <w:t>71</w:t>
              </w:r>
            </w:hyperlink>
          </w:p>
        </w:tc>
        <w:tc>
          <w:tcPr>
            <w:tcW w:w="60" w:type="dxa"/>
            <w:vAlign w:val="bottom"/>
          </w:tcPr>
          <w:p>
            <w:pPr>
              <w:spacing w:after="0"/>
              <w:rPr>
                <w:sz w:val="15"/>
                <w:szCs w:val="15"/>
                <w:color w:val="auto"/>
              </w:rPr>
            </w:pPr>
          </w:p>
        </w:tc>
      </w:tr>
      <w:tr>
        <w:trPr>
          <w:trHeight w:val="394"/>
        </w:trPr>
        <w:tc>
          <w:tcPr>
            <w:tcW w:w="20" w:type="dxa"/>
            <w:vAlign w:val="bottom"/>
          </w:tcPr>
          <w:p>
            <w:pPr>
              <w:spacing w:after="0"/>
              <w:rPr>
                <w:sz w:val="24"/>
                <w:szCs w:val="24"/>
                <w:color w:val="auto"/>
              </w:rPr>
            </w:pPr>
          </w:p>
        </w:tc>
        <w:tc>
          <w:tcPr>
            <w:tcW w:w="10120" w:type="dxa"/>
            <w:vAlign w:val="bottom"/>
            <w:gridSpan w:val="19"/>
          </w:tcPr>
          <w:p>
            <w:pPr>
              <w:spacing w:after="0"/>
              <w:rPr>
                <w:rFonts w:ascii="Arial" w:cs="Arial" w:eastAsia="Arial" w:hAnsi="Arial"/>
                <w:sz w:val="14"/>
                <w:szCs w:val="14"/>
                <w:color w:val="0000FF"/>
              </w:rPr>
            </w:pPr>
            <w:hyperlink w:anchor="page78">
              <w:r>
                <w:rPr>
                  <w:rFonts w:ascii="Arial" w:cs="Arial" w:eastAsia="Arial" w:hAnsi="Arial"/>
                  <w:sz w:val="14"/>
                  <w:szCs w:val="14"/>
                  <w:color w:val="0000FF"/>
                </w:rPr>
                <w:t>EX-10.3</w:t>
              </w:r>
            </w:hyperlink>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 w:lineRule="exact"/>
        <w:rPr>
          <w:sz w:val="20"/>
          <w:szCs w:val="20"/>
          <w:color w:val="auto"/>
        </w:rPr>
      </w:pPr>
    </w:p>
    <w:p>
      <w:pPr>
        <w:ind w:left="20"/>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EX-10.4</w:t>
        </w:r>
      </w:hyperlink>
    </w:p>
    <w:p>
      <w:pPr>
        <w:spacing w:after="0" w:line="19" w:lineRule="exact"/>
        <w:rPr>
          <w:sz w:val="20"/>
          <w:szCs w:val="20"/>
          <w:color w:val="auto"/>
        </w:rPr>
      </w:pPr>
    </w:p>
    <w:p>
      <w:pPr>
        <w:ind w:left="20"/>
        <w:spacing w:after="0"/>
        <w:rPr>
          <w:rFonts w:ascii="Arial" w:cs="Arial" w:eastAsia="Arial" w:hAnsi="Arial"/>
          <w:sz w:val="14"/>
          <w:szCs w:val="14"/>
          <w:u w:val="single" w:color="auto"/>
          <w:color w:val="0000FF"/>
        </w:rPr>
      </w:pPr>
      <w:hyperlink w:anchor="page87">
        <w:r>
          <w:rPr>
            <w:rFonts w:ascii="Arial" w:cs="Arial" w:eastAsia="Arial" w:hAnsi="Arial"/>
            <w:sz w:val="14"/>
            <w:szCs w:val="14"/>
            <w:u w:val="single" w:color="auto"/>
            <w:color w:val="0000FF"/>
          </w:rPr>
          <w:t>EX-10.5</w:t>
        </w:r>
      </w:hyperlink>
    </w:p>
    <w:p>
      <w:pPr>
        <w:spacing w:after="0" w:line="30" w:lineRule="exact"/>
        <w:rPr>
          <w:sz w:val="20"/>
          <w:szCs w:val="20"/>
          <w:color w:val="auto"/>
        </w:rPr>
      </w:pPr>
    </w:p>
    <w:p>
      <w:pPr>
        <w:ind w:left="20"/>
        <w:spacing w:after="0"/>
        <w:rPr>
          <w:rFonts w:ascii="Arial" w:cs="Arial" w:eastAsia="Arial" w:hAnsi="Arial"/>
          <w:sz w:val="14"/>
          <w:szCs w:val="14"/>
          <w:u w:val="single" w:color="auto"/>
          <w:color w:val="0000FF"/>
        </w:rPr>
      </w:pPr>
      <w:hyperlink w:anchor="page89">
        <w:r>
          <w:rPr>
            <w:rFonts w:ascii="Arial" w:cs="Arial" w:eastAsia="Arial" w:hAnsi="Arial"/>
            <w:sz w:val="14"/>
            <w:szCs w:val="14"/>
            <w:u w:val="single" w:color="auto"/>
            <w:color w:val="0000FF"/>
          </w:rPr>
          <w:t>EX-31.1</w:t>
        </w:r>
      </w:hyperlink>
    </w:p>
    <w:p>
      <w:pPr>
        <w:spacing w:after="0" w:line="41" w:lineRule="exact"/>
        <w:rPr>
          <w:sz w:val="20"/>
          <w:szCs w:val="20"/>
          <w:color w:val="auto"/>
        </w:rPr>
      </w:pPr>
    </w:p>
    <w:p>
      <w:pPr>
        <w:ind w:left="20"/>
        <w:spacing w:after="0"/>
        <w:rPr>
          <w:rFonts w:ascii="Arial" w:cs="Arial" w:eastAsia="Arial" w:hAnsi="Arial"/>
          <w:sz w:val="14"/>
          <w:szCs w:val="14"/>
          <w:u w:val="single" w:color="auto"/>
          <w:color w:val="0000FF"/>
        </w:rPr>
      </w:pPr>
      <w:hyperlink w:anchor="page90">
        <w:r>
          <w:rPr>
            <w:rFonts w:ascii="Arial" w:cs="Arial" w:eastAsia="Arial" w:hAnsi="Arial"/>
            <w:sz w:val="14"/>
            <w:szCs w:val="14"/>
            <w:u w:val="single" w:color="auto"/>
            <w:color w:val="0000FF"/>
          </w:rPr>
          <w:t>EX-31.2</w:t>
        </w:r>
      </w:hyperlink>
    </w:p>
    <w:p>
      <w:pPr>
        <w:spacing w:after="0" w:line="41" w:lineRule="exact"/>
        <w:rPr>
          <w:sz w:val="20"/>
          <w:szCs w:val="20"/>
          <w:color w:val="auto"/>
        </w:rPr>
      </w:pPr>
    </w:p>
    <w:p>
      <w:pPr>
        <w:ind w:left="20"/>
        <w:spacing w:after="0"/>
        <w:rPr>
          <w:rFonts w:ascii="Arial" w:cs="Arial" w:eastAsia="Arial" w:hAnsi="Arial"/>
          <w:sz w:val="14"/>
          <w:szCs w:val="14"/>
          <w:u w:val="single" w:color="auto"/>
          <w:color w:val="0000FF"/>
        </w:rPr>
      </w:pPr>
      <w:hyperlink w:anchor="page91">
        <w:r>
          <w:rPr>
            <w:rFonts w:ascii="Arial" w:cs="Arial" w:eastAsia="Arial" w:hAnsi="Arial"/>
            <w:sz w:val="14"/>
            <w:szCs w:val="14"/>
            <w:u w:val="single" w:color="auto"/>
            <w:color w:val="0000FF"/>
          </w:rPr>
          <w:t>EX-32.1</w:t>
        </w:r>
      </w:hyperlink>
    </w:p>
    <w:p>
      <w:pPr>
        <w:spacing w:after="0" w:line="41" w:lineRule="exact"/>
        <w:rPr>
          <w:sz w:val="20"/>
          <w:szCs w:val="20"/>
          <w:color w:val="auto"/>
        </w:rPr>
      </w:pPr>
    </w:p>
    <w:p>
      <w:pPr>
        <w:ind w:left="20"/>
        <w:spacing w:after="0"/>
        <w:rPr>
          <w:rFonts w:ascii="Arial" w:cs="Arial" w:eastAsia="Arial" w:hAnsi="Arial"/>
          <w:sz w:val="14"/>
          <w:szCs w:val="14"/>
          <w:u w:val="single" w:color="auto"/>
          <w:color w:val="0000FF"/>
        </w:rPr>
      </w:pPr>
      <w:hyperlink w:anchor="page92">
        <w:r>
          <w:rPr>
            <w:rFonts w:ascii="Arial" w:cs="Arial" w:eastAsia="Arial" w:hAnsi="Arial"/>
            <w:sz w:val="14"/>
            <w:szCs w:val="14"/>
            <w:u w:val="single" w:color="auto"/>
            <w:color w:val="0000FF"/>
          </w:rPr>
          <w:t>EX-32.2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511810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3"/>
          <w:szCs w:val="13"/>
          <w:i w:val="1"/>
          <w:iCs w:val="1"/>
          <w:color w:val="auto"/>
        </w:rPr>
        <w:t xml:space="preserve">When used in this report, unless otherwise indicated, </w:t>
      </w:r>
      <w:r>
        <w:rPr>
          <w:rFonts w:ascii="Arial" w:cs="Arial" w:eastAsia="Arial" w:hAnsi="Arial"/>
          <w:sz w:val="13"/>
          <w:szCs w:val="13"/>
          <w:color w:val="auto"/>
        </w:rPr>
        <w:t>“</w:t>
      </w:r>
      <w:r>
        <w:rPr>
          <w:rFonts w:ascii="Arial" w:cs="Arial" w:eastAsia="Arial" w:hAnsi="Arial"/>
          <w:sz w:val="13"/>
          <w:szCs w:val="13"/>
          <w:i w:val="1"/>
          <w:iCs w:val="1"/>
          <w:color w:val="auto"/>
        </w:rPr>
        <w:t>we,</w:t>
      </w:r>
      <w:r>
        <w:rPr>
          <w:rFonts w:ascii="Arial" w:cs="Arial" w:eastAsia="Arial" w:hAnsi="Arial"/>
          <w:sz w:val="13"/>
          <w:szCs w:val="13"/>
          <w:color w:val="auto"/>
        </w:rPr>
        <w:t>” “</w:t>
      </w:r>
      <w:r>
        <w:rPr>
          <w:rFonts w:ascii="Arial" w:cs="Arial" w:eastAsia="Arial" w:hAnsi="Arial"/>
          <w:sz w:val="13"/>
          <w:szCs w:val="13"/>
          <w:i w:val="1"/>
          <w:iCs w:val="1"/>
          <w:color w:val="auto"/>
        </w:rPr>
        <w:t>our,</w:t>
      </w:r>
      <w:r>
        <w:rPr>
          <w:rFonts w:ascii="Arial" w:cs="Arial" w:eastAsia="Arial" w:hAnsi="Arial"/>
          <w:sz w:val="13"/>
          <w:szCs w:val="13"/>
          <w:color w:val="auto"/>
        </w:rPr>
        <w:t>” “</w:t>
      </w:r>
      <w:r>
        <w:rPr>
          <w:rFonts w:ascii="Arial" w:cs="Arial" w:eastAsia="Arial" w:hAnsi="Arial"/>
          <w:sz w:val="13"/>
          <w:szCs w:val="13"/>
          <w:i w:val="1"/>
          <w:iCs w:val="1"/>
          <w:color w:val="auto"/>
        </w:rPr>
        <w:t>us,</w:t>
      </w:r>
      <w:r>
        <w:rPr>
          <w:rFonts w:ascii="Arial" w:cs="Arial" w:eastAsia="Arial" w:hAnsi="Arial"/>
          <w:sz w:val="13"/>
          <w:szCs w:val="13"/>
          <w:color w:val="auto"/>
        </w:rPr>
        <w:t>”</w:t>
      </w:r>
      <w:r>
        <w:rPr>
          <w:rFonts w:ascii="Arial" w:cs="Arial" w:eastAsia="Arial" w:hAnsi="Arial"/>
          <w:sz w:val="13"/>
          <w:szCs w:val="13"/>
          <w:i w:val="1"/>
          <w:iCs w:val="1"/>
          <w:color w:val="auto"/>
        </w:rPr>
        <w:t xml:space="preserve"> the </w:t>
      </w:r>
      <w:r>
        <w:rPr>
          <w:rFonts w:ascii="Arial" w:cs="Arial" w:eastAsia="Arial" w:hAnsi="Arial"/>
          <w:sz w:val="13"/>
          <w:szCs w:val="13"/>
          <w:color w:val="auto"/>
        </w:rPr>
        <w:t>“</w:t>
      </w:r>
      <w:r>
        <w:rPr>
          <w:rFonts w:ascii="Arial" w:cs="Arial" w:eastAsia="Arial" w:hAnsi="Arial"/>
          <w:sz w:val="13"/>
          <w:szCs w:val="13"/>
          <w:i w:val="1"/>
          <w:iCs w:val="1"/>
          <w:color w:val="auto"/>
        </w:rPr>
        <w:t>Company,</w:t>
      </w:r>
      <w:r>
        <w:rPr>
          <w:rFonts w:ascii="Arial" w:cs="Arial" w:eastAsia="Arial" w:hAnsi="Arial"/>
          <w:sz w:val="13"/>
          <w:szCs w:val="13"/>
          <w:color w:val="auto"/>
        </w:rPr>
        <w:t>”</w:t>
      </w:r>
      <w:r>
        <w:rPr>
          <w:rFonts w:ascii="Arial" w:cs="Arial" w:eastAsia="Arial" w:hAnsi="Arial"/>
          <w:sz w:val="13"/>
          <w:szCs w:val="13"/>
          <w:i w:val="1"/>
          <w:iCs w:val="1"/>
          <w:color w:val="auto"/>
        </w:rPr>
        <w:t xml:space="preserve"> and </w:t>
      </w:r>
      <w:r>
        <w:rPr>
          <w:rFonts w:ascii="Arial" w:cs="Arial" w:eastAsia="Arial" w:hAnsi="Arial"/>
          <w:sz w:val="13"/>
          <w:szCs w:val="13"/>
          <w:color w:val="auto"/>
        </w:rPr>
        <w:t>“</w:t>
      </w:r>
      <w:r>
        <w:rPr>
          <w:rFonts w:ascii="Arial" w:cs="Arial" w:eastAsia="Arial" w:hAnsi="Arial"/>
          <w:sz w:val="13"/>
          <w:szCs w:val="13"/>
          <w:i w:val="1"/>
          <w:iCs w:val="1"/>
          <w:color w:val="auto"/>
        </w:rPr>
        <w:t>BioCryst</w:t>
      </w:r>
      <w:r>
        <w:rPr>
          <w:rFonts w:ascii="Arial" w:cs="Arial" w:eastAsia="Arial" w:hAnsi="Arial"/>
          <w:sz w:val="13"/>
          <w:szCs w:val="13"/>
          <w:color w:val="auto"/>
        </w:rPr>
        <w:t>”</w:t>
      </w:r>
      <w:r>
        <w:rPr>
          <w:rFonts w:ascii="Arial" w:cs="Arial" w:eastAsia="Arial" w:hAnsi="Arial"/>
          <w:sz w:val="13"/>
          <w:szCs w:val="13"/>
          <w:i w:val="1"/>
          <w:iCs w:val="1"/>
          <w:color w:val="auto"/>
        </w:rPr>
        <w:t xml:space="preserve"> refer to BioCryst Pharmaceuticals, Inc. and, where appropriate, its subsidiaries.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51"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spacing w:after="0" w:line="117" w:lineRule="exact"/>
        <w:rPr>
          <w:sz w:val="20"/>
          <w:szCs w:val="20"/>
          <w:color w:val="auto"/>
        </w:rPr>
      </w:pPr>
    </w:p>
    <w:p>
      <w:pPr>
        <w:ind w:left="640" w:right="540" w:hanging="253"/>
        <w:spacing w:after="0" w:line="281" w:lineRule="auto"/>
        <w:tabs>
          <w:tab w:leader="none" w:pos="63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preclinical development, clinical development, commercialization, or post-marketing studies of our products and product candidates, including ORLADEYO® (berotralstat), BCX9930, BCX9250, peramivir, galidesivir, and early-stage discovery programs, and our plans regarding the same;</w:t>
      </w:r>
    </w:p>
    <w:p>
      <w:pPr>
        <w:spacing w:after="0" w:line="111" w:lineRule="exact"/>
        <w:rPr>
          <w:rFonts w:ascii="Arial" w:cs="Arial" w:eastAsia="Arial" w:hAnsi="Arial"/>
          <w:sz w:val="14"/>
          <w:szCs w:val="14"/>
          <w:color w:val="auto"/>
        </w:rPr>
      </w:pPr>
    </w:p>
    <w:p>
      <w:pPr>
        <w:ind w:left="640" w:hanging="253"/>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timing and success of our commercialization of ORLADEYO in the United States and elsewhere and expectations regarding the commercial market for ORLADEYO;</w:t>
      </w:r>
    </w:p>
    <w:p>
      <w:pPr>
        <w:spacing w:after="0" w:line="146" w:lineRule="exact"/>
        <w:rPr>
          <w:rFonts w:ascii="Arial" w:cs="Arial" w:eastAsia="Arial" w:hAnsi="Arial"/>
          <w:sz w:val="14"/>
          <w:szCs w:val="14"/>
          <w:color w:val="auto"/>
        </w:rPr>
      </w:pPr>
    </w:p>
    <w:p>
      <w:pPr>
        <w:ind w:left="640" w:right="160" w:hanging="253"/>
        <w:spacing w:after="0" w:line="281" w:lineRule="auto"/>
        <w:tabs>
          <w:tab w:leader="none" w:pos="63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potential for government stockpiling orders of our products and product candidates, including the timing or likelihood of entering into any U.S. Government stockpile order and our ability to execute any such order;</w:t>
      </w:r>
    </w:p>
    <w:p>
      <w:pPr>
        <w:spacing w:after="0" w:line="100" w:lineRule="exact"/>
        <w:rPr>
          <w:rFonts w:ascii="Arial" w:cs="Arial" w:eastAsia="Arial" w:hAnsi="Arial"/>
          <w:sz w:val="14"/>
          <w:szCs w:val="14"/>
          <w:color w:val="auto"/>
        </w:rPr>
      </w:pPr>
    </w:p>
    <w:p>
      <w:pPr>
        <w:ind w:left="640" w:right="980" w:hanging="253"/>
        <w:spacing w:after="0" w:line="321" w:lineRule="auto"/>
        <w:tabs>
          <w:tab w:leader="none" w:pos="636"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potential funding from our contracts with the Biomedical Advanced Research and Development Authority within the U.S. Department of Health and Human Services (“BARDA/HHS”) and the National Institute of Allergy and Infectious Diseases within the HHS (“NIAID/HHS”) for the development of galidesivir;</w:t>
      </w:r>
    </w:p>
    <w:p>
      <w:pPr>
        <w:spacing w:after="0" w:line="88"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additional regulatory approvals, or milestones, royalties or profit from sales of our products by us or our partners;</w:t>
      </w:r>
    </w:p>
    <w:p>
      <w:pPr>
        <w:spacing w:after="0" w:line="146" w:lineRule="exact"/>
        <w:rPr>
          <w:rFonts w:ascii="Arial" w:cs="Arial" w:eastAsia="Arial" w:hAnsi="Arial"/>
          <w:sz w:val="14"/>
          <w:szCs w:val="14"/>
          <w:color w:val="auto"/>
        </w:rPr>
      </w:pPr>
    </w:p>
    <w:p>
      <w:pPr>
        <w:ind w:left="640" w:hanging="253"/>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implementation of our business model, strategic plans for our business, products, product candidates and technology;</w:t>
      </w:r>
    </w:p>
    <w:p>
      <w:pPr>
        <w:spacing w:after="0" w:line="146" w:lineRule="exact"/>
        <w:rPr>
          <w:rFonts w:ascii="Arial" w:cs="Arial" w:eastAsia="Arial" w:hAnsi="Arial"/>
          <w:sz w:val="14"/>
          <w:szCs w:val="14"/>
          <w:color w:val="auto"/>
        </w:rPr>
      </w:pPr>
    </w:p>
    <w:p>
      <w:pPr>
        <w:ind w:left="640" w:hanging="253"/>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ability to establish and maintain collaborations or out-license rights to our products and product candidates;</w:t>
      </w:r>
    </w:p>
    <w:p>
      <w:pPr>
        <w:spacing w:after="0" w:line="157" w:lineRule="exact"/>
        <w:rPr>
          <w:rFonts w:ascii="Arial" w:cs="Arial" w:eastAsia="Arial" w:hAnsi="Arial"/>
          <w:sz w:val="14"/>
          <w:szCs w:val="14"/>
          <w:color w:val="auto"/>
        </w:rPr>
      </w:pPr>
    </w:p>
    <w:p>
      <w:pPr>
        <w:ind w:left="640" w:right="500" w:hanging="253"/>
        <w:spacing w:after="0" w:line="281" w:lineRule="auto"/>
        <w:tabs>
          <w:tab w:leader="none" w:pos="636" w:val="left"/>
        </w:tabs>
        <w:numPr>
          <w:ilvl w:val="0"/>
          <w:numId w:val="1"/>
        </w:numPr>
        <w:rPr>
          <w:rFonts w:ascii="Arial" w:cs="Arial" w:eastAsia="Arial" w:hAnsi="Arial"/>
          <w:sz w:val="14"/>
          <w:szCs w:val="14"/>
          <w:color w:val="auto"/>
        </w:rPr>
      </w:pPr>
      <w:r>
        <w:rPr>
          <w:rFonts w:ascii="Arial" w:cs="Arial" w:eastAsia="Arial" w:hAnsi="Arial"/>
          <w:sz w:val="14"/>
          <w:szCs w:val="14"/>
          <w:color w:val="auto"/>
        </w:rPr>
        <w:t>plans, programs, progress and potential success of our collaborations, including with Torii Pharmaceutical Co., Ltd. (“Torii”) for ORLADEYO in Japan and Shionogi &amp; Co., Ltd. (“Shionogi”) and Green Cross Corporation (“Green Cross”) for peramivir in their territories;</w:t>
      </w:r>
    </w:p>
    <w:p>
      <w:pPr>
        <w:spacing w:after="0" w:line="100" w:lineRule="exact"/>
        <w:rPr>
          <w:rFonts w:ascii="Arial" w:cs="Arial" w:eastAsia="Arial" w:hAnsi="Arial"/>
          <w:sz w:val="14"/>
          <w:szCs w:val="14"/>
          <w:color w:val="auto"/>
        </w:rPr>
      </w:pPr>
    </w:p>
    <w:p>
      <w:pPr>
        <w:ind w:left="640" w:right="40" w:hanging="253"/>
        <w:spacing w:after="0" w:line="281" w:lineRule="auto"/>
        <w:tabs>
          <w:tab w:leader="none" w:pos="63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and our subsidiary guarantors’ ability to satisfy obligations under our Credit Agreement (as defined below) and to comply with the covenants as set forth in the agreements governing our debt obligations;</w:t>
      </w:r>
    </w:p>
    <w:p>
      <w:pPr>
        <w:spacing w:after="0" w:line="100" w:lineRule="exact"/>
        <w:rPr>
          <w:rFonts w:ascii="Arial" w:cs="Arial" w:eastAsia="Arial" w:hAnsi="Arial"/>
          <w:sz w:val="14"/>
          <w:szCs w:val="14"/>
          <w:color w:val="auto"/>
        </w:rPr>
      </w:pPr>
    </w:p>
    <w:p>
      <w:pPr>
        <w:ind w:left="640" w:hanging="253"/>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scope of protection we are able to establish and maintain for intellectual property rights covering our products, product candidates, and technology;</w:t>
      </w:r>
    </w:p>
    <w:p>
      <w:pPr>
        <w:spacing w:after="0" w:line="157" w:lineRule="exact"/>
        <w:rPr>
          <w:rFonts w:ascii="Arial" w:cs="Arial" w:eastAsia="Arial" w:hAnsi="Arial"/>
          <w:sz w:val="14"/>
          <w:szCs w:val="14"/>
          <w:color w:val="auto"/>
        </w:rPr>
      </w:pPr>
    </w:p>
    <w:p>
      <w:pPr>
        <w:ind w:left="640" w:hanging="253"/>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ability to operate our business without infringing the intellectual property rights of others;</w:t>
      </w:r>
    </w:p>
    <w:p>
      <w:pPr>
        <w:spacing w:after="0" w:line="146" w:lineRule="exact"/>
        <w:rPr>
          <w:rFonts w:ascii="Arial" w:cs="Arial" w:eastAsia="Arial" w:hAnsi="Arial"/>
          <w:sz w:val="14"/>
          <w:szCs w:val="14"/>
          <w:color w:val="auto"/>
        </w:rPr>
      </w:pPr>
    </w:p>
    <w:p>
      <w:pPr>
        <w:ind w:left="640" w:hanging="253"/>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estimates of our revenues, expenses, capital requirements, annual cash utilization, and our needs for additional financing;</w:t>
      </w:r>
    </w:p>
    <w:p>
      <w:pPr>
        <w:spacing w:after="0" w:line="146" w:lineRule="exact"/>
        <w:rPr>
          <w:rFonts w:ascii="Arial" w:cs="Arial" w:eastAsia="Arial" w:hAnsi="Arial"/>
          <w:sz w:val="14"/>
          <w:szCs w:val="14"/>
          <w:color w:val="auto"/>
        </w:rPr>
      </w:pPr>
    </w:p>
    <w:p>
      <w:pPr>
        <w:ind w:left="640" w:hanging="253"/>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timing or likelihood of regulatory filings or regulatory agreements, deferrals, approvals, and other decisions;</w:t>
      </w:r>
    </w:p>
    <w:p>
      <w:pPr>
        <w:spacing w:after="0" w:line="157" w:lineRule="exact"/>
        <w:rPr>
          <w:rFonts w:ascii="Arial" w:cs="Arial" w:eastAsia="Arial" w:hAnsi="Arial"/>
          <w:sz w:val="14"/>
          <w:szCs w:val="14"/>
          <w:color w:val="auto"/>
        </w:rPr>
      </w:pPr>
    </w:p>
    <w:p>
      <w:pPr>
        <w:ind w:left="640" w:hanging="253"/>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ability to manage our liquidity needs, including our ability to raise additional capital, to fund our operations or repay our recourse debt obligations;</w:t>
      </w:r>
    </w:p>
    <w:p>
      <w:pPr>
        <w:spacing w:after="0" w:line="146" w:lineRule="exact"/>
        <w:rPr>
          <w:rFonts w:ascii="Arial" w:cs="Arial" w:eastAsia="Arial" w:hAnsi="Arial"/>
          <w:sz w:val="14"/>
          <w:szCs w:val="14"/>
          <w:color w:val="auto"/>
        </w:rPr>
      </w:pPr>
    </w:p>
    <w:p>
      <w:pPr>
        <w:ind w:left="640" w:hanging="253"/>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financial performance; and</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hanging="253"/>
        <w:spacing w:after="0"/>
        <w:tabs>
          <w:tab w:leader="none" w:pos="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competitive companies, technologies, and our industry.</w:t>
      </w:r>
    </w:p>
    <w:p>
      <w:pPr>
        <w:spacing w:after="0" w:line="157"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 Factor Summary</w:t>
      </w:r>
    </w:p>
    <w:p>
      <w:pPr>
        <w:spacing w:after="0" w:line="151"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An investment in the Company involves risks. You should carefully read this entire report and consider the uncertainties and risks discussed in the “Risk Factors” 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spacing w:after="0" w:line="120" w:lineRule="exact"/>
        <w:rPr>
          <w:sz w:val="20"/>
          <w:szCs w:val="20"/>
          <w:color w:val="auto"/>
        </w:rPr>
      </w:pPr>
    </w:p>
    <w:p>
      <w:pPr>
        <w:ind w:left="640" w:right="100" w:hanging="253"/>
        <w:spacing w:after="0" w:line="297" w:lineRule="auto"/>
        <w:tabs>
          <w:tab w:leader="none" w:pos="636"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ongoing novel coronavirus (“COVID-19”) pandemic could create challenges in all aspects of our business, including, without limitation, delays, stoppages, difficulties, and increased expenses with respect to our and our partners’ development, regulatory processes, and supply chains, negatively impact our ability to access the capital or credit markets to finance our operations, or have the effect of heightening many of the risks described below or in the “Risk Factors” section in Part II, Item 1A of this report.</w:t>
      </w:r>
    </w:p>
    <w:p>
      <w:pPr>
        <w:spacing w:after="0" w:line="9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incurred losses since our inception, expect to continue to incur losses, and may never be profitable.</w:t>
      </w:r>
    </w:p>
    <w:p>
      <w:pPr>
        <w:spacing w:after="0" w:line="146" w:lineRule="exact"/>
        <w:rPr>
          <w:rFonts w:ascii="Arial" w:cs="Arial" w:eastAsia="Arial" w:hAnsi="Arial"/>
          <w:sz w:val="14"/>
          <w:szCs w:val="14"/>
          <w:color w:val="auto"/>
        </w:rPr>
      </w:pPr>
    </w:p>
    <w:p>
      <w:pPr>
        <w:ind w:left="640" w:hanging="253"/>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need to raise additional capital in the future. If we are unable to raise capital when needed, we may need to adjust our operations.</w:t>
      </w:r>
    </w:p>
    <w:p>
      <w:pPr>
        <w:spacing w:after="0" w:line="157" w:lineRule="exact"/>
        <w:rPr>
          <w:rFonts w:ascii="Arial" w:cs="Arial" w:eastAsia="Arial" w:hAnsi="Arial"/>
          <w:sz w:val="14"/>
          <w:szCs w:val="14"/>
          <w:color w:val="auto"/>
        </w:rPr>
      </w:pPr>
    </w:p>
    <w:p>
      <w:pPr>
        <w:ind w:left="640" w:right="160" w:hanging="253"/>
        <w:spacing w:after="0" w:line="258" w:lineRule="auto"/>
        <w:tabs>
          <w:tab w:leader="none" w:pos="63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success depends upon our ability to advance our product candidates through the various stages of development, especially through the clinical trial process, to receive and maintain regulatory approval for the commercial sale of our product candidates, and to successfully commercialize any approved products.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or take other actions that could materially impact the cost, timing, and success of our planned development strategies.</w:t>
      </w:r>
    </w:p>
    <w:p>
      <w:pPr>
        <w:spacing w:after="0" w:line="118" w:lineRule="exact"/>
        <w:rPr>
          <w:rFonts w:ascii="Arial" w:cs="Arial" w:eastAsia="Arial" w:hAnsi="Arial"/>
          <w:sz w:val="14"/>
          <w:szCs w:val="14"/>
          <w:color w:val="auto"/>
        </w:rPr>
      </w:pPr>
    </w:p>
    <w:p>
      <w:pPr>
        <w:ind w:left="640" w:right="280" w:hanging="253"/>
        <w:spacing w:after="0" w:line="262" w:lineRule="auto"/>
        <w:tabs>
          <w:tab w:leader="none" w:pos="63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13"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obtain additional financing or acceptable partnership arrangements as and when needed, we may be unable to complete the development and commercialization of our products and product candidates or continue operations.</w:t>
      </w:r>
    </w:p>
    <w:p>
      <w:pPr>
        <w:spacing w:after="0" w:line="111" w:lineRule="exact"/>
        <w:rPr>
          <w:rFonts w:ascii="Arial" w:cs="Arial" w:eastAsia="Arial" w:hAnsi="Arial"/>
          <w:sz w:val="14"/>
          <w:szCs w:val="14"/>
          <w:color w:val="auto"/>
        </w:rPr>
      </w:pPr>
    </w:p>
    <w:p>
      <w:pPr>
        <w:ind w:left="640" w:right="140" w:hanging="253"/>
        <w:spacing w:after="0" w:line="281" w:lineRule="auto"/>
        <w:tabs>
          <w:tab w:leader="none" w:pos="6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commercial viability of any approved product could be compromised if the product is less effective than expected, causes undesirable side effects that were not previously identified, or fails to achieve market acceptance by physicians, patients, third-party payors, health authorities, and others.</w:t>
      </w:r>
    </w:p>
    <w:p>
      <w:pPr>
        <w:spacing w:after="0" w:line="100" w:lineRule="exact"/>
        <w:rPr>
          <w:rFonts w:ascii="Arial" w:cs="Arial" w:eastAsia="Arial" w:hAnsi="Arial"/>
          <w:sz w:val="14"/>
          <w:szCs w:val="14"/>
          <w:color w:val="auto"/>
        </w:rPr>
      </w:pPr>
    </w:p>
    <w:p>
      <w:pPr>
        <w:ind w:left="640" w:right="180" w:hanging="253"/>
        <w:spacing w:after="0" w:line="281" w:lineRule="auto"/>
        <w:tabs>
          <w:tab w:leader="none" w:pos="6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There can be no assurance that our or our partners’ commercialization efforts, methods, and strategies for our products or technologies will succeed, and our future revenue generation is uncertain.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600" w:hanging="253"/>
        <w:spacing w:after="0" w:line="281"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expect to continue expanding our development and regulatory capabilities and implementing sales, marketing, and distribution capabilities, and as a result, we may encounter difficulties managing our growth, which could disrupt our operations.</w:t>
      </w:r>
    </w:p>
    <w:p>
      <w:pPr>
        <w:spacing w:after="0" w:line="111" w:lineRule="exact"/>
        <w:rPr>
          <w:rFonts w:ascii="Arial" w:cs="Arial" w:eastAsia="Arial" w:hAnsi="Arial"/>
          <w:sz w:val="14"/>
          <w:szCs w:val="14"/>
          <w:color w:val="auto"/>
        </w:rPr>
      </w:pPr>
    </w:p>
    <w:p>
      <w:pPr>
        <w:ind w:left="640" w:right="380" w:hanging="253"/>
        <w:spacing w:after="0" w:line="281"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00" w:lineRule="exact"/>
        <w:rPr>
          <w:rFonts w:ascii="Arial" w:cs="Arial" w:eastAsia="Arial" w:hAnsi="Arial"/>
          <w:sz w:val="14"/>
          <w:szCs w:val="14"/>
          <w:color w:val="auto"/>
        </w:rPr>
      </w:pPr>
    </w:p>
    <w:p>
      <w:pPr>
        <w:ind w:left="640" w:hanging="253"/>
        <w:spacing w:after="0" w:line="262"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and develop our products and product candidates, obtain collaborators, and raise capital.</w:t>
      </w:r>
    </w:p>
    <w:p>
      <w:pPr>
        <w:spacing w:after="0" w:line="113" w:lineRule="exact"/>
        <w:rPr>
          <w:rFonts w:ascii="Arial" w:cs="Arial" w:eastAsia="Arial" w:hAnsi="Arial"/>
          <w:sz w:val="14"/>
          <w:szCs w:val="14"/>
          <w:color w:val="auto"/>
        </w:rPr>
      </w:pPr>
    </w:p>
    <w:p>
      <w:pPr>
        <w:ind w:left="640" w:right="320" w:hanging="253"/>
        <w:spacing w:after="0" w:line="321" w:lineRule="auto"/>
        <w:tabs>
          <w:tab w:leader="none" w:pos="636"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we fail to adequately protect or enforce our intellectual property rights or secure rights to patents of others, the value of those rights would diminish. Legal proceedings to protect or enforce our patents, the patents of our partners, or our other intellectual property rights could be expensive, time consuming, and unsuccessful.</w:t>
      </w:r>
    </w:p>
    <w:p>
      <w:pPr>
        <w:spacing w:after="0" w:line="88" w:lineRule="exact"/>
        <w:rPr>
          <w:rFonts w:ascii="Arial" w:cs="Arial" w:eastAsia="Arial" w:hAnsi="Arial"/>
          <w:sz w:val="13"/>
          <w:szCs w:val="13"/>
          <w:color w:val="auto"/>
        </w:rPr>
      </w:pPr>
    </w:p>
    <w:p>
      <w:pPr>
        <w:ind w:left="640" w:right="40" w:hanging="253"/>
        <w:spacing w:after="0" w:line="281"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an inherent risk of liability in the event that the use or misuse of our products or product candidates results in personal injury or death, and our product liability insurance coverage may be insufficient.</w:t>
      </w:r>
    </w:p>
    <w:p>
      <w:pPr>
        <w:spacing w:after="0" w:line="100" w:lineRule="exact"/>
        <w:rPr>
          <w:rFonts w:ascii="Arial" w:cs="Arial" w:eastAsia="Arial" w:hAnsi="Arial"/>
          <w:sz w:val="14"/>
          <w:szCs w:val="14"/>
          <w:color w:val="auto"/>
        </w:rPr>
      </w:pPr>
    </w:p>
    <w:p>
      <w:pPr>
        <w:jc w:val="both"/>
        <w:ind w:left="640" w:right="60" w:hanging="253"/>
        <w:spacing w:after="0" w:line="267"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related to our government-funded programs and are subject to various U.S. Government contract requirements, which typically contain a number of extraordinary provisions that would not typically be found in commercial contracts and which may create a disadvantage and additional risks to us as compared to competitors that do not rely on U.S. Government contracts.</w:t>
      </w:r>
    </w:p>
    <w:p>
      <w:pPr>
        <w:spacing w:after="0" w:line="109" w:lineRule="exact"/>
        <w:rPr>
          <w:rFonts w:ascii="Arial" w:cs="Arial" w:eastAsia="Arial" w:hAnsi="Arial"/>
          <w:sz w:val="14"/>
          <w:szCs w:val="14"/>
          <w:color w:val="auto"/>
        </w:rPr>
      </w:pPr>
    </w:p>
    <w:p>
      <w:pPr>
        <w:ind w:left="640" w:right="220" w:hanging="253"/>
        <w:spacing w:after="0" w:line="281"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fail to reach milestones or to make annual minimum payments or otherwise breach our obligations under our license agreements, our licensors may terminate our agreements with them and seek additional remedies.</w:t>
      </w:r>
    </w:p>
    <w:p>
      <w:pPr>
        <w:spacing w:after="0" w:line="111" w:lineRule="exact"/>
        <w:rPr>
          <w:rFonts w:ascii="Arial" w:cs="Arial" w:eastAsia="Arial" w:hAnsi="Arial"/>
          <w:sz w:val="14"/>
          <w:szCs w:val="14"/>
          <w:color w:val="auto"/>
        </w:rPr>
      </w:pPr>
    </w:p>
    <w:p>
      <w:pPr>
        <w:ind w:left="640" w:right="200" w:hanging="253"/>
        <w:spacing w:after="0" w:line="267"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Credit Agreement contains conditions and restrictions that limit our flexibility in operating our business. We may be required to make a prepayment or repay our outstanding indebtedness under the Credit Agreement earlier than we expect if a prepayment event or an event of default occurs, including a material adverse change with respect to us, which could have a material adverse effect on our business.</w:t>
      </w:r>
    </w:p>
    <w:p>
      <w:pPr>
        <w:spacing w:after="0" w:line="109" w:lineRule="exact"/>
        <w:rPr>
          <w:rFonts w:ascii="Arial" w:cs="Arial" w:eastAsia="Arial" w:hAnsi="Arial"/>
          <w:sz w:val="14"/>
          <w:szCs w:val="14"/>
          <w:color w:val="auto"/>
        </w:rPr>
      </w:pPr>
    </w:p>
    <w:p>
      <w:pPr>
        <w:ind w:left="640" w:right="200" w:hanging="253"/>
        <w:spacing w:after="0" w:line="262"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13" w:lineRule="exact"/>
        <w:rPr>
          <w:rFonts w:ascii="Arial" w:cs="Arial" w:eastAsia="Arial" w:hAnsi="Arial"/>
          <w:sz w:val="14"/>
          <w:szCs w:val="14"/>
          <w:color w:val="auto"/>
        </w:rPr>
      </w:pPr>
    </w:p>
    <w:p>
      <w:pPr>
        <w:ind w:left="640" w:hanging="253"/>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our facilities incur damage or power is lost for a significant length of time, our business will suffer.</w:t>
      </w:r>
    </w:p>
    <w:p>
      <w:pPr>
        <w:spacing w:after="0" w:line="157" w:lineRule="exact"/>
        <w:rPr>
          <w:rFonts w:ascii="Arial" w:cs="Arial" w:eastAsia="Arial" w:hAnsi="Arial"/>
          <w:sz w:val="14"/>
          <w:szCs w:val="14"/>
          <w:color w:val="auto"/>
        </w:rPr>
      </w:pPr>
    </w:p>
    <w:p>
      <w:pPr>
        <w:ind w:left="640" w:hanging="253"/>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significant disruption in our information technology systems or a cybersecurity breach could adversely affect our business.</w:t>
      </w:r>
    </w:p>
    <w:p>
      <w:pPr>
        <w:spacing w:after="0" w:line="146" w:lineRule="exact"/>
        <w:rPr>
          <w:rFonts w:ascii="Arial" w:cs="Arial" w:eastAsia="Arial" w:hAnsi="Arial"/>
          <w:sz w:val="14"/>
          <w:szCs w:val="14"/>
          <w:color w:val="auto"/>
        </w:rPr>
      </w:pPr>
    </w:p>
    <w:p>
      <w:pPr>
        <w:ind w:left="640" w:right="180" w:hanging="253"/>
        <w:spacing w:after="0" w:line="281"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existing principal stockholders hold a substantial amount of our common stock and may be able to influence significant corporate decisions, which may conflict with the interests of other stockholders.</w:t>
      </w:r>
    </w:p>
    <w:p>
      <w:pPr>
        <w:spacing w:after="0" w:line="100" w:lineRule="exact"/>
        <w:rPr>
          <w:rFonts w:ascii="Arial" w:cs="Arial" w:eastAsia="Arial" w:hAnsi="Arial"/>
          <w:sz w:val="14"/>
          <w:szCs w:val="14"/>
          <w:color w:val="auto"/>
        </w:rPr>
      </w:pPr>
    </w:p>
    <w:p>
      <w:pPr>
        <w:ind w:left="640" w:hanging="253"/>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stock price has been, and is likely to continue to be, highly volatile, which could cause the value of an investment in our common stock to decline significantly.</w:t>
      </w:r>
    </w:p>
    <w:p>
      <w:pPr>
        <w:spacing w:after="0" w:line="157" w:lineRule="exact"/>
        <w:rPr>
          <w:rFonts w:ascii="Arial" w:cs="Arial" w:eastAsia="Arial" w:hAnsi="Arial"/>
          <w:sz w:val="14"/>
          <w:szCs w:val="14"/>
          <w:color w:val="auto"/>
        </w:rPr>
      </w:pPr>
    </w:p>
    <w:p>
      <w:pPr>
        <w:ind w:left="640" w:right="760" w:hanging="253"/>
        <w:spacing w:after="0" w:line="281"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spacing w:after="0" w:line="100" w:lineRule="exact"/>
        <w:rPr>
          <w:rFonts w:ascii="Arial" w:cs="Arial" w:eastAsia="Arial" w:hAnsi="Arial"/>
          <w:sz w:val="14"/>
          <w:szCs w:val="14"/>
          <w:color w:val="auto"/>
        </w:rPr>
      </w:pPr>
    </w:p>
    <w:p>
      <w:pPr>
        <w:ind w:left="640" w:hanging="253"/>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subject to legal proceedings, which could harm our reputation or result in other losses or unexpected expenditure of time and resources.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hanging="253"/>
        <w:spacing w:after="0" w:line="281" w:lineRule="auto"/>
        <w:tabs>
          <w:tab w:leader="none" w:pos="636"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9"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2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6"/>
        </w:trPr>
        <w:tc>
          <w:tcPr>
            <w:tcW w:w="1000" w:type="dxa"/>
            <w:vAlign w:val="bottom"/>
            <w:tcBorders>
              <w:top w:val="single" w:sz="8" w:color="0000FF"/>
            </w:tcBorders>
          </w:tcPr>
          <w:p>
            <w:pPr>
              <w:spacing w:after="0"/>
              <w:rPr>
                <w:sz w:val="24"/>
                <w:szCs w:val="24"/>
                <w:color w:val="auto"/>
              </w:rPr>
            </w:pPr>
          </w:p>
        </w:tc>
        <w:tc>
          <w:tcPr>
            <w:tcW w:w="7220" w:type="dxa"/>
            <w:vAlign w:val="bottom"/>
          </w:tcPr>
          <w:p>
            <w:pPr>
              <w:jc w:val="center"/>
              <w:ind w:left="1989"/>
              <w:spacing w:after="0"/>
              <w:rPr>
                <w:sz w:val="20"/>
                <w:szCs w:val="20"/>
                <w:color w:val="auto"/>
              </w:rPr>
            </w:pPr>
            <w:r>
              <w:rPr>
                <w:rFonts w:ascii="Arial" w:cs="Arial" w:eastAsia="Arial" w:hAnsi="Arial"/>
                <w:sz w:val="14"/>
                <w:szCs w:val="14"/>
                <w:b w:val="1"/>
                <w:bCs w:val="1"/>
                <w:color w:val="auto"/>
              </w:rPr>
              <w:t>PART I. FINANCIAL INFORMATION</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Item 1.  Financial Statements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7220" w:type="dxa"/>
            <w:vAlign w:val="bottom"/>
          </w:tcPr>
          <w:p>
            <w:pPr>
              <w:jc w:val="center"/>
              <w:ind w:left="1989"/>
              <w:spacing w:after="0"/>
              <w:rPr>
                <w:sz w:val="20"/>
                <w:szCs w:val="20"/>
                <w:color w:val="auto"/>
              </w:rPr>
            </w:pPr>
            <w:r>
              <w:rPr>
                <w:rFonts w:ascii="Arial" w:cs="Arial" w:eastAsia="Arial" w:hAnsi="Arial"/>
                <w:sz w:val="14"/>
                <w:szCs w:val="14"/>
                <w:b w:val="1"/>
                <w:bCs w:val="1"/>
                <w:color w:val="auto"/>
              </w:rPr>
              <w:t>BIOCRYST PHARMACEUTICALS, INC.</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7220" w:type="dxa"/>
            <w:vAlign w:val="bottom"/>
          </w:tcPr>
          <w:p>
            <w:pPr>
              <w:jc w:val="center"/>
              <w:ind w:left="1989"/>
              <w:spacing w:after="0"/>
              <w:rPr>
                <w:sz w:val="20"/>
                <w:szCs w:val="20"/>
                <w:color w:val="auto"/>
              </w:rPr>
            </w:pPr>
            <w:r>
              <w:rPr>
                <w:rFonts w:ascii="Arial" w:cs="Arial" w:eastAsia="Arial" w:hAnsi="Arial"/>
                <w:sz w:val="14"/>
                <w:szCs w:val="14"/>
                <w:b w:val="1"/>
                <w:bCs w:val="1"/>
                <w:color w:val="auto"/>
                <w:w w:val="99"/>
              </w:rPr>
              <w:t>CONSOLIDATED BALANCE SHEETS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000" w:type="dxa"/>
            <w:vAlign w:val="bottom"/>
          </w:tcPr>
          <w:p>
            <w:pPr>
              <w:spacing w:after="0"/>
              <w:rPr>
                <w:sz w:val="20"/>
                <w:szCs w:val="20"/>
                <w:color w:val="auto"/>
              </w:rPr>
            </w:pPr>
          </w:p>
        </w:tc>
        <w:tc>
          <w:tcPr>
            <w:tcW w:w="7220" w:type="dxa"/>
            <w:vAlign w:val="bottom"/>
          </w:tcPr>
          <w:p>
            <w:pPr>
              <w:jc w:val="center"/>
              <w:ind w:left="2009"/>
              <w:spacing w:after="0"/>
              <w:rPr>
                <w:sz w:val="20"/>
                <w:szCs w:val="20"/>
                <w:color w:val="auto"/>
              </w:rPr>
            </w:pPr>
            <w:r>
              <w:rPr>
                <w:rFonts w:ascii="Arial" w:cs="Arial" w:eastAsia="Arial" w:hAnsi="Arial"/>
                <w:sz w:val="14"/>
                <w:szCs w:val="14"/>
                <w:b w:val="1"/>
                <w:bCs w:val="1"/>
                <w:color w:val="auto"/>
                <w:w w:val="90"/>
              </w:rPr>
              <w:t>June 30, 2022 and December 31, 2021</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7220" w:type="dxa"/>
            <w:vAlign w:val="bottom"/>
          </w:tcPr>
          <w:p>
            <w:pPr>
              <w:jc w:val="center"/>
              <w:ind w:left="1989"/>
              <w:spacing w:after="0"/>
              <w:rPr>
                <w:sz w:val="20"/>
                <w:szCs w:val="20"/>
                <w:color w:val="auto"/>
              </w:rPr>
            </w:pPr>
            <w:r>
              <w:rPr>
                <w:rFonts w:ascii="Arial" w:cs="Arial" w:eastAsia="Arial" w:hAnsi="Arial"/>
                <w:sz w:val="14"/>
                <w:szCs w:val="14"/>
                <w:b w:val="1"/>
                <w:bCs w:val="1"/>
                <w:color w:val="auto"/>
                <w:w w:val="90"/>
              </w:rPr>
              <w:t>(In thousands, except per share data)</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6"/>
                <w:szCs w:val="16"/>
                <w:color w:val="auto"/>
              </w:rPr>
            </w:pPr>
          </w:p>
        </w:tc>
        <w:tc>
          <w:tcPr>
            <w:tcW w:w="1180" w:type="dxa"/>
            <w:vAlign w:val="bottom"/>
          </w:tcPr>
          <w:p>
            <w:pPr>
              <w:jc w:val="right"/>
              <w:ind w:right="429"/>
              <w:spacing w:after="0"/>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161"/>
        </w:trPr>
        <w:tc>
          <w:tcPr>
            <w:tcW w:w="8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272,571</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504,389</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144,912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3,212</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Trade receivables</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41,491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29,413</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Inventory</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23,378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15,791</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9,986</w:t>
            </w:r>
          </w:p>
        </w:tc>
        <w:tc>
          <w:tcPr>
            <w:tcW w:w="0" w:type="dxa"/>
            <w:vAlign w:val="bottom"/>
          </w:tcPr>
          <w:p>
            <w:pPr>
              <w:spacing w:after="0"/>
              <w:rPr>
                <w:sz w:val="1"/>
                <w:szCs w:val="1"/>
                <w:color w:val="auto"/>
              </w:rPr>
            </w:pPr>
          </w:p>
        </w:tc>
      </w:tr>
      <w:tr>
        <w:trPr>
          <w:trHeight w:val="171"/>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494,853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566,136</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8,714</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Long-term investments</w:t>
            </w:r>
          </w:p>
        </w:tc>
        <w:tc>
          <w:tcPr>
            <w:tcW w:w="2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6,829</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6,472</w:t>
            </w:r>
          </w:p>
        </w:tc>
        <w:tc>
          <w:tcPr>
            <w:tcW w:w="0" w:type="dxa"/>
            <w:vAlign w:val="bottom"/>
          </w:tcPr>
          <w:p>
            <w:pPr>
              <w:spacing w:after="0"/>
              <w:rPr>
                <w:sz w:val="1"/>
                <w:szCs w:val="1"/>
                <w:color w:val="auto"/>
              </w:rPr>
            </w:pPr>
          </w:p>
        </w:tc>
      </w:tr>
      <w:tr>
        <w:trPr>
          <w:trHeight w:val="171"/>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510,538</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588,151</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00" w:type="dxa"/>
            <w:vAlign w:val="bottom"/>
            <w:shd w:val="clear" w:color="auto" w:fill="CCEEFF"/>
          </w:tcPr>
          <w:p>
            <w:pPr>
              <w:spacing w:after="0"/>
              <w:rPr>
                <w:sz w:val="15"/>
                <w:szCs w:val="15"/>
                <w:color w:val="auto"/>
              </w:rPr>
            </w:pPr>
          </w:p>
        </w:tc>
        <w:tc>
          <w:tcPr>
            <w:tcW w:w="7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and Stockholders’ Deficit</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27,808</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79,711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72,670</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Lease financing obligation</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171"/>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95,390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103,718</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Lease financing obligation</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6,198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5,962</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Royalty financing obligations</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477,666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449,375</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Secured term loan</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144,516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136,082</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Preferred stock, $0.01 par value; shares authorized - 5,000; no shares issued and outstanding</w:t>
            </w:r>
          </w:p>
        </w:tc>
        <w:tc>
          <w:tcPr>
            <w:tcW w:w="2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8220" w:type="dxa"/>
            <w:vAlign w:val="bottom"/>
            <w:gridSpan w:val="2"/>
            <w:shd w:val="clear" w:color="auto" w:fill="CCEEFF"/>
          </w:tcPr>
          <w:p>
            <w:pPr>
              <w:ind w:left="140"/>
              <w:spacing w:after="0" w:line="138" w:lineRule="exact"/>
              <w:rPr>
                <w:sz w:val="20"/>
                <w:szCs w:val="20"/>
                <w:color w:val="auto"/>
              </w:rPr>
            </w:pPr>
            <w:r>
              <w:rPr>
                <w:rFonts w:ascii="Arial" w:cs="Arial" w:eastAsia="Arial" w:hAnsi="Arial"/>
                <w:sz w:val="14"/>
                <w:szCs w:val="14"/>
                <w:color w:val="auto"/>
                <w:w w:val="90"/>
              </w:rPr>
              <w:t>Common stock, $0.01 par value; shares authorized - 450,000; shares issued and outstanding – 185,876 as of June 30, 2022 and 184,350 as of</w:t>
            </w:r>
          </w:p>
        </w:tc>
        <w:tc>
          <w:tcPr>
            <w:tcW w:w="24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December 31, 2021</w:t>
            </w:r>
          </w:p>
        </w:tc>
        <w:tc>
          <w:tcPr>
            <w:tcW w:w="24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1,125,453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1,098,498</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(1,340,559)</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(1,207,504)</w:t>
            </w:r>
          </w:p>
        </w:tc>
        <w:tc>
          <w:tcPr>
            <w:tcW w:w="0" w:type="dxa"/>
            <w:vAlign w:val="bottom"/>
          </w:tcPr>
          <w:p>
            <w:pPr>
              <w:spacing w:after="0"/>
              <w:rPr>
                <w:sz w:val="1"/>
                <w:szCs w:val="1"/>
                <w:color w:val="auto"/>
              </w:rPr>
            </w:pPr>
          </w:p>
        </w:tc>
      </w:tr>
      <w:tr>
        <w:trPr>
          <w:trHeight w:val="171"/>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stockholders’ deficit</w:t>
            </w: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(213,232)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(106,986)</w:t>
            </w:r>
          </w:p>
        </w:tc>
        <w:tc>
          <w:tcPr>
            <w:tcW w:w="0" w:type="dxa"/>
            <w:vAlign w:val="bottom"/>
          </w:tcPr>
          <w:p>
            <w:pPr>
              <w:spacing w:after="0"/>
              <w:rPr>
                <w:sz w:val="1"/>
                <w:szCs w:val="1"/>
                <w:color w:val="auto"/>
              </w:rPr>
            </w:pPr>
          </w:p>
        </w:tc>
      </w:tr>
      <w:tr>
        <w:trPr>
          <w:trHeight w:val="171"/>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Total liabilities and stockholders’ deficit</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510,538</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588,151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24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701"/>
        </w:trPr>
        <w:tc>
          <w:tcPr>
            <w:tcW w:w="100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3920" w:type="dxa"/>
            <w:vAlign w:val="bottom"/>
            <w:gridSpan w:val="5"/>
          </w:tcPr>
          <w:p>
            <w:pPr>
              <w:jc w:val="center"/>
              <w:ind w:left="809"/>
              <w:spacing w:after="0"/>
              <w:rPr>
                <w:sz w:val="20"/>
                <w:szCs w:val="20"/>
                <w:color w:val="auto"/>
              </w:rPr>
            </w:pPr>
            <w:r>
              <w:rPr>
                <w:rFonts w:ascii="Arial" w:cs="Arial" w:eastAsia="Arial" w:hAnsi="Arial"/>
                <w:sz w:val="14"/>
                <w:szCs w:val="14"/>
                <w:b w:val="1"/>
                <w:bCs w:val="1"/>
                <w:color w:val="auto"/>
              </w:rPr>
              <w:t>BIOCRYST PHARMACEUTICALS, INC.</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3"/>
        </w:trPr>
        <w:tc>
          <w:tcPr>
            <w:tcW w:w="10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9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CONSOLIDATED STATEMENTS OF COMPREHENSIVE LOSS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9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1"/>
              </w:rPr>
              <w:t>Three and Six Months Ended June 30, 2022 and 2021</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920" w:type="dxa"/>
            <w:vAlign w:val="bottom"/>
            <w:gridSpan w:val="5"/>
          </w:tcPr>
          <w:p>
            <w:pPr>
              <w:jc w:val="center"/>
              <w:ind w:left="809"/>
              <w:spacing w:after="0"/>
              <w:rPr>
                <w:sz w:val="20"/>
                <w:szCs w:val="20"/>
                <w:color w:val="auto"/>
              </w:rPr>
            </w:pPr>
            <w:r>
              <w:rPr>
                <w:rFonts w:ascii="Arial" w:cs="Arial" w:eastAsia="Arial" w:hAnsi="Arial"/>
                <w:sz w:val="14"/>
                <w:szCs w:val="14"/>
                <w:b w:val="1"/>
                <w:bCs w:val="1"/>
                <w:color w:val="auto"/>
                <w:w w:val="90"/>
              </w:rPr>
              <w:t>(In thousands, except per share data-Unaudited)</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50"/>
        </w:trPr>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24"/>
                <w:szCs w:val="24"/>
                <w:color w:val="auto"/>
              </w:rPr>
            </w:pPr>
          </w:p>
        </w:tc>
        <w:tc>
          <w:tcPr>
            <w:tcW w:w="2740" w:type="dxa"/>
            <w:vAlign w:val="bottom"/>
            <w:gridSpan w:val="4"/>
          </w:tcPr>
          <w:p>
            <w:pPr>
              <w:jc w:val="right"/>
              <w:ind w:right="649"/>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10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r>
      <w:tr>
        <w:trPr>
          <w:trHeight w:val="160"/>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Product sales, net</w:t>
            </w:r>
          </w:p>
        </w:tc>
        <w:tc>
          <w:tcPr>
            <w:tcW w:w="212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64,888</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33,430</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114,434</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51,301</w:t>
            </w: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Royalty revenue</w:t>
            </w:r>
          </w:p>
        </w:tc>
        <w:tc>
          <w:tcPr>
            <w:tcW w:w="1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Milestone revenue</w:t>
            </w: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Collaborative and other research and development</w:t>
            </w:r>
          </w:p>
        </w:tc>
        <w:tc>
          <w:tcPr>
            <w:tcW w:w="17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w:t>
            </w:r>
          </w:p>
        </w:tc>
      </w:tr>
      <w:tr>
        <w:trPr>
          <w:trHeight w:val="171"/>
        </w:trPr>
        <w:tc>
          <w:tcPr>
            <w:tcW w:w="3240" w:type="dxa"/>
            <w:vAlign w:val="bottom"/>
            <w:gridSpan w:val="2"/>
          </w:tcPr>
          <w:p>
            <w:pPr>
              <w:ind w:left="280"/>
              <w:spacing w:after="0"/>
              <w:rPr>
                <w:sz w:val="20"/>
                <w:szCs w:val="20"/>
                <w:color w:val="auto"/>
              </w:rPr>
            </w:pPr>
            <w:r>
              <w:rPr>
                <w:rFonts w:ascii="Arial" w:cs="Arial" w:eastAsia="Arial" w:hAnsi="Arial"/>
                <w:sz w:val="14"/>
                <w:szCs w:val="14"/>
                <w:color w:val="auto"/>
              </w:rPr>
              <w:t>Total revenues</w:t>
            </w: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65,532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49,959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115,455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69,018</w:t>
            </w: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Cost of product sales</w:t>
            </w: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6,220</w:t>
            </w: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61,990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52,873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95,308</w:t>
            </w: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38,017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26,325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72,299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48,439</w:t>
            </w: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Royalty</w:t>
            </w:r>
          </w:p>
        </w:tc>
        <w:tc>
          <w:tcPr>
            <w:tcW w:w="17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1"/>
        </w:trPr>
        <w:tc>
          <w:tcPr>
            <w:tcW w:w="3240" w:type="dxa"/>
            <w:vAlign w:val="bottom"/>
            <w:gridSpan w:val="2"/>
          </w:tcPr>
          <w:p>
            <w:pPr>
              <w:ind w:left="280"/>
              <w:spacing w:after="0"/>
              <w:rPr>
                <w:sz w:val="20"/>
                <w:szCs w:val="20"/>
                <w:color w:val="auto"/>
              </w:rPr>
            </w:pPr>
            <w:r>
              <w:rPr>
                <w:rFonts w:ascii="Arial" w:cs="Arial" w:eastAsia="Arial" w:hAnsi="Arial"/>
                <w:sz w:val="14"/>
                <w:szCs w:val="14"/>
                <w:color w:val="auto"/>
              </w:rPr>
              <w:t>Total operating expenses</w:t>
            </w: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100,254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79,541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200,134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149,977</w:t>
            </w: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(34,722)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(84,679)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(80,959)</w:t>
            </w: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Interest and other income</w:t>
            </w: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(26,399)</w:t>
            </w:r>
          </w:p>
        </w:tc>
      </w:tr>
      <w:tr>
        <w:trPr>
          <w:trHeight w:val="180"/>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gains (losses), net</w:t>
            </w:r>
          </w:p>
        </w:tc>
        <w:tc>
          <w:tcPr>
            <w:tcW w:w="17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r>
      <w:tr>
        <w:trPr>
          <w:trHeight w:val="17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7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(58,003)</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(43,198)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(131,920)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(107,482)</w:t>
            </w:r>
          </w:p>
        </w:tc>
      </w:tr>
      <w:tr>
        <w:trPr>
          <w:trHeight w:val="171"/>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expense</w:t>
            </w:r>
          </w:p>
        </w:tc>
        <w:tc>
          <w:tcPr>
            <w:tcW w:w="17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7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(58,859)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(43,198)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(133,055)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(107,482)</w:t>
            </w: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loss on available for sale investments</w:t>
            </w:r>
          </w:p>
        </w:tc>
        <w:tc>
          <w:tcPr>
            <w:tcW w:w="17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Comprehensive loss</w:t>
            </w:r>
          </w:p>
        </w:tc>
        <w:tc>
          <w:tcPr>
            <w:tcW w:w="17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(59,030)</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(43,293)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(133,217)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(107,398)</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10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Basic and diluted net loss per common share</w:t>
            </w:r>
          </w:p>
        </w:tc>
        <w:tc>
          <w:tcPr>
            <w:tcW w:w="212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(0.24)</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(0.72)</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(0.60)</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w:t>
            </w:r>
          </w:p>
        </w:tc>
        <w:tc>
          <w:tcPr>
            <w:tcW w:w="17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185,605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178,127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185,253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177,737</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22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701"/>
        </w:trPr>
        <w:tc>
          <w:tcPr>
            <w:tcW w:w="1000" w:type="dxa"/>
            <w:vAlign w:val="bottom"/>
            <w:tcBorders>
              <w:top w:val="single" w:sz="8" w:color="0000FF"/>
            </w:tcBorders>
          </w:tcPr>
          <w:p>
            <w:pPr>
              <w:spacing w:after="0"/>
              <w:rPr>
                <w:sz w:val="24"/>
                <w:szCs w:val="24"/>
                <w:color w:val="auto"/>
              </w:rPr>
            </w:pPr>
          </w:p>
        </w:tc>
        <w:tc>
          <w:tcPr>
            <w:tcW w:w="7220" w:type="dxa"/>
            <w:vAlign w:val="bottom"/>
          </w:tcPr>
          <w:p>
            <w:pPr>
              <w:jc w:val="center"/>
              <w:ind w:left="1989"/>
              <w:spacing w:after="0"/>
              <w:rPr>
                <w:sz w:val="20"/>
                <w:szCs w:val="20"/>
                <w:color w:val="auto"/>
              </w:rPr>
            </w:pPr>
            <w:r>
              <w:rPr>
                <w:rFonts w:ascii="Arial" w:cs="Arial" w:eastAsia="Arial" w:hAnsi="Arial"/>
                <w:sz w:val="14"/>
                <w:szCs w:val="14"/>
                <w:b w:val="1"/>
                <w:bCs w:val="1"/>
                <w:color w:val="auto"/>
              </w:rPr>
              <w:t>BIOCRYST PHARMACEUTICALS, INC.</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3"/>
        </w:trPr>
        <w:tc>
          <w:tcPr>
            <w:tcW w:w="1000" w:type="dxa"/>
            <w:vAlign w:val="bottom"/>
          </w:tcPr>
          <w:p>
            <w:pPr>
              <w:spacing w:after="0"/>
              <w:rPr>
                <w:sz w:val="20"/>
                <w:szCs w:val="20"/>
                <w:color w:val="auto"/>
              </w:rPr>
            </w:pPr>
          </w:p>
        </w:tc>
        <w:tc>
          <w:tcPr>
            <w:tcW w:w="7220" w:type="dxa"/>
            <w:vAlign w:val="bottom"/>
          </w:tcPr>
          <w:p>
            <w:pPr>
              <w:jc w:val="center"/>
              <w:ind w:left="1989"/>
              <w:spacing w:after="0"/>
              <w:rPr>
                <w:sz w:val="20"/>
                <w:szCs w:val="20"/>
                <w:color w:val="auto"/>
              </w:rPr>
            </w:pPr>
            <w:r>
              <w:rPr>
                <w:rFonts w:ascii="Arial" w:cs="Arial" w:eastAsia="Arial" w:hAnsi="Arial"/>
                <w:sz w:val="14"/>
                <w:szCs w:val="14"/>
                <w:b w:val="1"/>
                <w:bCs w:val="1"/>
                <w:color w:val="auto"/>
                <w:w w:val="99"/>
              </w:rPr>
              <w:t>CONSOLIDATED STATEMENTS OF CASH FLOWS</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1000" w:type="dxa"/>
            <w:vAlign w:val="bottom"/>
          </w:tcPr>
          <w:p>
            <w:pPr>
              <w:spacing w:after="0"/>
              <w:rPr>
                <w:sz w:val="19"/>
                <w:szCs w:val="19"/>
                <w:color w:val="auto"/>
              </w:rPr>
            </w:pPr>
          </w:p>
        </w:tc>
        <w:tc>
          <w:tcPr>
            <w:tcW w:w="7220" w:type="dxa"/>
            <w:vAlign w:val="bottom"/>
          </w:tcPr>
          <w:p>
            <w:pPr>
              <w:jc w:val="center"/>
              <w:ind w:left="1989"/>
              <w:spacing w:after="0"/>
              <w:rPr>
                <w:sz w:val="20"/>
                <w:szCs w:val="20"/>
                <w:color w:val="auto"/>
              </w:rPr>
            </w:pPr>
            <w:r>
              <w:rPr>
                <w:rFonts w:ascii="Arial" w:cs="Arial" w:eastAsia="Arial" w:hAnsi="Arial"/>
                <w:sz w:val="14"/>
                <w:szCs w:val="14"/>
                <w:b w:val="1"/>
                <w:bCs w:val="1"/>
                <w:color w:val="auto"/>
                <w:w w:val="91"/>
              </w:rPr>
              <w:t>Six Months Ended June 30, 2022 and 2021</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1000" w:type="dxa"/>
            <w:vAlign w:val="bottom"/>
          </w:tcPr>
          <w:p>
            <w:pPr>
              <w:spacing w:after="0"/>
              <w:rPr>
                <w:sz w:val="19"/>
                <w:szCs w:val="19"/>
                <w:color w:val="auto"/>
              </w:rPr>
            </w:pPr>
          </w:p>
        </w:tc>
        <w:tc>
          <w:tcPr>
            <w:tcW w:w="7220" w:type="dxa"/>
            <w:vAlign w:val="bottom"/>
          </w:tcPr>
          <w:p>
            <w:pPr>
              <w:jc w:val="center"/>
              <w:ind w:left="1989"/>
              <w:spacing w:after="0"/>
              <w:rPr>
                <w:sz w:val="20"/>
                <w:szCs w:val="20"/>
                <w:color w:val="auto"/>
              </w:rPr>
            </w:pPr>
            <w:r>
              <w:rPr>
                <w:rFonts w:ascii="Arial" w:cs="Arial" w:eastAsia="Arial" w:hAnsi="Arial"/>
                <w:sz w:val="14"/>
                <w:szCs w:val="14"/>
                <w:b w:val="1"/>
                <w:bCs w:val="1"/>
                <w:color w:val="auto"/>
                <w:w w:val="91"/>
              </w:rPr>
              <w:t>(In thousands-Unaudited)</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50"/>
        </w:trPr>
        <w:tc>
          <w:tcPr>
            <w:tcW w:w="10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48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24"/>
                <w:szCs w:val="24"/>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7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r>
      <w:tr>
        <w:trPr>
          <w:trHeight w:val="16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ind w:right="72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(133,055)</w:t>
            </w:r>
          </w:p>
        </w:tc>
        <w:tc>
          <w:tcPr>
            <w:tcW w:w="80" w:type="dxa"/>
            <w:vAlign w:val="bottom"/>
          </w:tcPr>
          <w:p>
            <w:pPr>
              <w:spacing w:after="0"/>
              <w:rPr>
                <w:sz w:val="15"/>
                <w:szCs w:val="15"/>
                <w:color w:val="auto"/>
              </w:rPr>
            </w:pPr>
          </w:p>
        </w:tc>
        <w:tc>
          <w:tcPr>
            <w:tcW w:w="900" w:type="dxa"/>
            <w:vAlign w:val="bottom"/>
          </w:tcPr>
          <w:p>
            <w:pPr>
              <w:jc w:val="right"/>
              <w:ind w:right="74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0"/>
              </w:rPr>
              <w:t>(107,482)</w:t>
            </w: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652</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377</w:t>
            </w:r>
          </w:p>
        </w:tc>
      </w:tr>
      <w:tr>
        <w:trPr>
          <w:trHeight w:val="181"/>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13,111</w:t>
            </w:r>
          </w:p>
        </w:tc>
      </w:tr>
      <w:tr>
        <w:trPr>
          <w:trHeight w:val="180"/>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Non-cash interest expense on royalty financing obligations and secured term loan and amortization of debt issuance costs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36,725</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22,664</w:t>
            </w:r>
          </w:p>
        </w:tc>
      </w:tr>
      <w:tr>
        <w:trPr>
          <w:trHeight w:val="181"/>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Amortization of premium/discount on investments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Receivables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(12,343)</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(18,976)</w:t>
            </w:r>
          </w:p>
        </w:tc>
      </w:tr>
      <w:tr>
        <w:trPr>
          <w:trHeight w:val="180"/>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Inventory</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(7,589)</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(2,809)</w:t>
            </w:r>
          </w:p>
        </w:tc>
      </w:tr>
      <w:tr>
        <w:trPr>
          <w:trHeight w:val="181"/>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Prepaid expenses and other assets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80"/>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Accounts payable and accrued expenses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(8,463)</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2,743</w:t>
            </w:r>
          </w:p>
        </w:tc>
      </w:tr>
      <w:tr>
        <w:trPr>
          <w:trHeight w:val="181"/>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payable</w:t>
            </w:r>
          </w:p>
        </w:tc>
        <w:tc>
          <w:tcPr>
            <w:tcW w:w="9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3,547</w:t>
            </w:r>
          </w:p>
        </w:tc>
      </w:tr>
      <w:tr>
        <w:trPr>
          <w:trHeight w:val="180"/>
        </w:trPr>
        <w:tc>
          <w:tcPr>
            <w:tcW w:w="8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Deferred revenue</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r>
      <w:tr>
        <w:trPr>
          <w:trHeight w:val="171"/>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cash used in operating activities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(105,557)</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(86,422)</w:t>
            </w:r>
          </w:p>
        </w:tc>
      </w:tr>
      <w:tr>
        <w:trPr>
          <w:trHeight w:val="180"/>
        </w:trPr>
        <w:tc>
          <w:tcPr>
            <w:tcW w:w="822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Acquisitions of property and equipment</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(650)</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(912)</w:t>
            </w: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 of investments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(139,260)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Sales and maturities of investments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20,089</w:t>
            </w:r>
          </w:p>
        </w:tc>
      </w:tr>
      <w:tr>
        <w:trPr>
          <w:trHeight w:val="171"/>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(135,910)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19,177</w:t>
            </w:r>
          </w:p>
        </w:tc>
      </w:tr>
      <w:tr>
        <w:trPr>
          <w:trHeight w:val="180"/>
        </w:trPr>
        <w:tc>
          <w:tcPr>
            <w:tcW w:w="822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proceeds from common stock issued under stock-based compensation plans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7,503</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7,474</w:t>
            </w:r>
          </w:p>
        </w:tc>
      </w:tr>
      <w:tr>
        <w:trPr>
          <w:trHeight w:val="171"/>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cash provided by financing activities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7,503</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7,474</w:t>
            </w:r>
          </w:p>
        </w:tc>
      </w:tr>
      <w:tr>
        <w:trPr>
          <w:trHeight w:val="18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Effect of exchange rate on cash, cash equivalents, and restricted cash</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r>
      <w:tr>
        <w:trPr>
          <w:trHeight w:val="171"/>
        </w:trPr>
        <w:tc>
          <w:tcPr>
            <w:tcW w:w="1000" w:type="dxa"/>
            <w:vAlign w:val="bottom"/>
            <w:shd w:val="clear" w:color="auto" w:fill="CCEEFF"/>
          </w:tcPr>
          <w:p>
            <w:pPr>
              <w:spacing w:after="0"/>
              <w:rPr>
                <w:sz w:val="14"/>
                <w:szCs w:val="14"/>
                <w:color w:val="auto"/>
              </w:rPr>
            </w:pPr>
          </w:p>
        </w:tc>
        <w:tc>
          <w:tcPr>
            <w:tcW w:w="7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Decrease in cash, cash equivalents and restricted cash</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(233,715)</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(59,686)</w:t>
            </w: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507,734</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274,348</w:t>
            </w:r>
          </w:p>
        </w:tc>
      </w:tr>
      <w:tr>
        <w:trPr>
          <w:trHeight w:val="171"/>
        </w:trPr>
        <w:tc>
          <w:tcPr>
            <w:tcW w:w="822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0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274,019</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214,662</w:t>
            </w:r>
          </w:p>
        </w:tc>
      </w:tr>
      <w:tr>
        <w:trPr>
          <w:trHeight w:val="20"/>
        </w:trPr>
        <w:tc>
          <w:tcPr>
            <w:tcW w:w="10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324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1"/>
        </w:trPr>
        <w:tc>
          <w:tcPr>
            <w:tcW w:w="100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40" w:type="dxa"/>
            <w:vAlign w:val="bottom"/>
            <w:gridSpan w:val="7"/>
          </w:tcPr>
          <w:p>
            <w:pPr>
              <w:jc w:val="center"/>
              <w:spacing w:after="0"/>
              <w:rPr>
                <w:sz w:val="20"/>
                <w:szCs w:val="20"/>
                <w:color w:val="auto"/>
              </w:rPr>
            </w:pPr>
            <w:r>
              <w:rPr>
                <w:rFonts w:ascii="Arial" w:cs="Arial" w:eastAsia="Arial" w:hAnsi="Arial"/>
                <w:sz w:val="14"/>
                <w:szCs w:val="14"/>
                <w:b w:val="1"/>
                <w:bCs w:val="1"/>
                <w:color w:val="auto"/>
              </w:rPr>
              <w:t>BIOCRYST PHARMACEUTICALS, INC.</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40" w:type="dxa"/>
            <w:vAlign w:val="bottom"/>
            <w:gridSpan w:val="8"/>
          </w:tcPr>
          <w:p>
            <w:pPr>
              <w:jc w:val="center"/>
              <w:ind w:left="189"/>
              <w:spacing w:after="0"/>
              <w:rPr>
                <w:sz w:val="20"/>
                <w:szCs w:val="20"/>
                <w:color w:val="auto"/>
              </w:rPr>
            </w:pPr>
            <w:r>
              <w:rPr>
                <w:rFonts w:ascii="Arial" w:cs="Arial" w:eastAsia="Arial" w:hAnsi="Arial"/>
                <w:sz w:val="14"/>
                <w:szCs w:val="14"/>
                <w:b w:val="1"/>
                <w:bCs w:val="1"/>
                <w:color w:val="auto"/>
              </w:rPr>
              <w:t>CONSOLIDATED STATEMENTS OF STOCKHOLDERS</w:t>
            </w:r>
            <w:r>
              <w:rPr>
                <w:rFonts w:ascii="Arial" w:cs="Arial" w:eastAsia="Arial" w:hAnsi="Arial"/>
                <w:sz w:val="14"/>
                <w:szCs w:val="14"/>
                <w:color w:val="auto"/>
              </w:rPr>
              <w:t>’</w:t>
            </w:r>
            <w:r>
              <w:rPr>
                <w:rFonts w:ascii="Arial" w:cs="Arial" w:eastAsia="Arial" w:hAnsi="Arial"/>
                <w:sz w:val="14"/>
                <w:szCs w:val="14"/>
                <w:b w:val="1"/>
                <w:bCs w:val="1"/>
                <w:color w:val="auto"/>
              </w:rPr>
              <w:t xml:space="preserve"> DEFICIT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Three and Six Months Ended June 30, 2022 and 2021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0"/>
              </w:rPr>
              <w:t>(In thousands, except per share amounts-Unaudited)</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340" w:type="dxa"/>
            <w:vAlign w:val="bottom"/>
          </w:tcPr>
          <w:p>
            <w:pPr>
              <w:jc w:val="center"/>
              <w:ind w:left="269"/>
              <w:spacing w:after="0"/>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vMerge w:val="restart"/>
          </w:tcPr>
          <w:p>
            <w:pPr>
              <w:jc w:val="center"/>
              <w:ind w:right="12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center"/>
              <w:ind w:left="329"/>
              <w:spacing w:after="0"/>
              <w:rPr>
                <w:sz w:val="20"/>
                <w:szCs w:val="20"/>
                <w:color w:val="auto"/>
              </w:rPr>
            </w:pPr>
            <w:r>
              <w:rPr>
                <w:rFonts w:ascii="Arial" w:cs="Arial" w:eastAsia="Arial" w:hAnsi="Arial"/>
                <w:sz w:val="14"/>
                <w:szCs w:val="14"/>
                <w:b w:val="1"/>
                <w:bCs w:val="1"/>
                <w:color w:val="auto"/>
                <w:w w:val="92"/>
              </w:rPr>
              <w:t>Common</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40" w:type="dxa"/>
            <w:vAlign w:val="bottom"/>
          </w:tcPr>
          <w:p>
            <w:pPr>
              <w:jc w:val="center"/>
              <w:ind w:left="269"/>
              <w:spacing w:after="0" w:line="138"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00"/>
              <w:spacing w:after="0" w:line="138" w:lineRule="exact"/>
              <w:rPr>
                <w:sz w:val="20"/>
                <w:szCs w:val="20"/>
                <w:color w:val="auto"/>
              </w:rPr>
            </w:pPr>
            <w:r>
              <w:rPr>
                <w:rFonts w:ascii="Arial" w:cs="Arial" w:eastAsia="Arial" w:hAnsi="Arial"/>
                <w:sz w:val="14"/>
                <w:szCs w:val="14"/>
                <w:b w:val="1"/>
                <w:bCs w:val="1"/>
                <w:color w:val="auto"/>
                <w:w w:val="98"/>
              </w:rPr>
              <w:t>Paid-In</w:t>
            </w:r>
          </w:p>
        </w:tc>
        <w:tc>
          <w:tcPr>
            <w:tcW w:w="1340" w:type="dxa"/>
            <w:vAlign w:val="bottom"/>
          </w:tcPr>
          <w:p>
            <w:pPr>
              <w:jc w:val="center"/>
              <w:ind w:left="289"/>
              <w:spacing w:after="0" w:line="138" w:lineRule="exact"/>
              <w:rPr>
                <w:sz w:val="20"/>
                <w:szCs w:val="20"/>
                <w:color w:val="auto"/>
              </w:rPr>
            </w:pPr>
            <w:r>
              <w:rPr>
                <w:rFonts w:ascii="Arial" w:cs="Arial" w:eastAsia="Arial" w:hAnsi="Arial"/>
                <w:sz w:val="14"/>
                <w:szCs w:val="14"/>
                <w:b w:val="1"/>
                <w:bCs w:val="1"/>
                <w:color w:val="auto"/>
                <w:w w:val="89"/>
              </w:rPr>
              <w:t>Comprehensive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29"/>
              <w:spacing w:after="0" w:line="13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center"/>
              <w:ind w:left="309"/>
              <w:spacing w:after="0"/>
              <w:rPr>
                <w:sz w:val="20"/>
                <w:szCs w:val="20"/>
                <w:color w:val="auto"/>
              </w:rPr>
            </w:pPr>
            <w:r>
              <w:rPr>
                <w:rFonts w:ascii="Arial" w:cs="Arial" w:eastAsia="Arial" w:hAnsi="Arial"/>
                <w:sz w:val="14"/>
                <w:szCs w:val="14"/>
                <w:b w:val="1"/>
                <w:bCs w:val="1"/>
                <w:color w:val="auto"/>
                <w:w w:val="89"/>
              </w:rPr>
              <w:t>Stock</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340" w:type="dxa"/>
            <w:vAlign w:val="bottom"/>
          </w:tcPr>
          <w:p>
            <w:pPr>
              <w:jc w:val="center"/>
              <w:ind w:left="289"/>
              <w:spacing w:after="0"/>
              <w:rPr>
                <w:sz w:val="20"/>
                <w:szCs w:val="20"/>
                <w:color w:val="auto"/>
              </w:rPr>
            </w:pPr>
            <w:r>
              <w:rPr>
                <w:rFonts w:ascii="Arial" w:cs="Arial" w:eastAsia="Arial" w:hAnsi="Arial"/>
                <w:sz w:val="14"/>
                <w:szCs w:val="14"/>
                <w:b w:val="1"/>
                <w:bCs w:val="1"/>
                <w:color w:val="auto"/>
                <w:w w:val="93"/>
              </w:rPr>
              <w:t>Income</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5"/>
                <w:szCs w:val="15"/>
                <w:color w:val="auto"/>
              </w:rPr>
            </w:pPr>
          </w:p>
        </w:tc>
        <w:tc>
          <w:tcPr>
            <w:tcW w:w="1280" w:type="dxa"/>
            <w:vAlign w:val="bottom"/>
          </w:tcPr>
          <w:p>
            <w:pPr>
              <w:jc w:val="center"/>
              <w:ind w:right="129"/>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71"/>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3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1,843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1,098,498</w:t>
            </w: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(1,207,504)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(106,986)</w:t>
            </w:r>
          </w:p>
        </w:tc>
        <w:tc>
          <w:tcPr>
            <w:tcW w:w="0" w:type="dxa"/>
            <w:vAlign w:val="bottom"/>
          </w:tcPr>
          <w:p>
            <w:pPr>
              <w:spacing w:after="0"/>
              <w:rPr>
                <w:sz w:val="1"/>
                <w:szCs w:val="1"/>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(74,196)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(74,196)</w:t>
            </w: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w w:val="96"/>
              </w:rPr>
              <w:t>Employee stock purchase plan sales, 115 shares, net</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1,503</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of stock options, 1,108 shares, net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5,841</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5,853</w:t>
            </w:r>
          </w:p>
        </w:tc>
        <w:tc>
          <w:tcPr>
            <w:tcW w:w="0" w:type="dxa"/>
            <w:vAlign w:val="bottom"/>
          </w:tcPr>
          <w:p>
            <w:pPr>
              <w:spacing w:after="0"/>
              <w:rPr>
                <w:sz w:val="1"/>
                <w:szCs w:val="1"/>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9,601</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9,601</w:t>
            </w:r>
          </w:p>
        </w:tc>
        <w:tc>
          <w:tcPr>
            <w:tcW w:w="0" w:type="dxa"/>
            <w:vAlign w:val="bottom"/>
          </w:tcPr>
          <w:p>
            <w:pPr>
              <w:spacing w:after="0"/>
              <w:rPr>
                <w:sz w:val="1"/>
                <w:szCs w:val="1"/>
                <w:color w:val="auto"/>
              </w:rPr>
            </w:pPr>
          </w:p>
        </w:tc>
      </w:tr>
      <w:tr>
        <w:trPr>
          <w:trHeight w:val="171"/>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3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1,856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1,115,443</w:t>
            </w: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(1,281,700)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(164,215)</w:t>
            </w:r>
          </w:p>
        </w:tc>
        <w:tc>
          <w:tcPr>
            <w:tcW w:w="0" w:type="dxa"/>
            <w:vAlign w:val="bottom"/>
          </w:tcPr>
          <w:p>
            <w:pPr>
              <w:spacing w:after="0"/>
              <w:rPr>
                <w:sz w:val="1"/>
                <w:szCs w:val="1"/>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(58,859)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(58,859)</w:t>
            </w: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(171)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Exercise of warrants, 253 shares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of stock options, 51 shares, net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9,865</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9,865</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1,859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1,125,453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(1,340,559)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(213,232)</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340" w:type="dxa"/>
            <w:vAlign w:val="bottom"/>
          </w:tcPr>
          <w:p>
            <w:pPr>
              <w:jc w:val="center"/>
              <w:ind w:left="269"/>
              <w:spacing w:after="0"/>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vMerge w:val="restart"/>
          </w:tcPr>
          <w:p>
            <w:pPr>
              <w:jc w:val="center"/>
              <w:ind w:right="16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center"/>
              <w:ind w:left="329"/>
              <w:spacing w:after="0"/>
              <w:rPr>
                <w:sz w:val="20"/>
                <w:szCs w:val="20"/>
                <w:color w:val="auto"/>
              </w:rPr>
            </w:pPr>
            <w:r>
              <w:rPr>
                <w:rFonts w:ascii="Arial" w:cs="Arial" w:eastAsia="Arial" w:hAnsi="Arial"/>
                <w:sz w:val="14"/>
                <w:szCs w:val="14"/>
                <w:b w:val="1"/>
                <w:bCs w:val="1"/>
                <w:color w:val="auto"/>
                <w:w w:val="92"/>
              </w:rPr>
              <w:t>Common</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40" w:type="dxa"/>
            <w:vAlign w:val="bottom"/>
          </w:tcPr>
          <w:p>
            <w:pPr>
              <w:jc w:val="center"/>
              <w:ind w:left="269"/>
              <w:spacing w:after="0" w:line="138"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00"/>
              <w:spacing w:after="0" w:line="138" w:lineRule="exact"/>
              <w:rPr>
                <w:sz w:val="20"/>
                <w:szCs w:val="20"/>
                <w:color w:val="auto"/>
              </w:rPr>
            </w:pPr>
            <w:r>
              <w:rPr>
                <w:rFonts w:ascii="Arial" w:cs="Arial" w:eastAsia="Arial" w:hAnsi="Arial"/>
                <w:sz w:val="14"/>
                <w:szCs w:val="14"/>
                <w:b w:val="1"/>
                <w:bCs w:val="1"/>
                <w:color w:val="auto"/>
                <w:w w:val="98"/>
              </w:rPr>
              <w:t>Paid-In</w:t>
            </w:r>
          </w:p>
        </w:tc>
        <w:tc>
          <w:tcPr>
            <w:tcW w:w="1340" w:type="dxa"/>
            <w:vAlign w:val="bottom"/>
          </w:tcPr>
          <w:p>
            <w:pPr>
              <w:jc w:val="center"/>
              <w:ind w:left="289"/>
              <w:spacing w:after="0" w:line="138" w:lineRule="exact"/>
              <w:rPr>
                <w:sz w:val="20"/>
                <w:szCs w:val="20"/>
                <w:color w:val="auto"/>
              </w:rPr>
            </w:pPr>
            <w:r>
              <w:rPr>
                <w:rFonts w:ascii="Arial" w:cs="Arial" w:eastAsia="Arial" w:hAnsi="Arial"/>
                <w:sz w:val="14"/>
                <w:szCs w:val="14"/>
                <w:b w:val="1"/>
                <w:bCs w:val="1"/>
                <w:color w:val="auto"/>
                <w:w w:val="89"/>
              </w:rPr>
              <w:t>Comprehensive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29"/>
              <w:spacing w:after="0" w:line="13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center"/>
              <w:ind w:left="309"/>
              <w:spacing w:after="0"/>
              <w:rPr>
                <w:sz w:val="20"/>
                <w:szCs w:val="20"/>
                <w:color w:val="auto"/>
              </w:rPr>
            </w:pPr>
            <w:r>
              <w:rPr>
                <w:rFonts w:ascii="Arial" w:cs="Arial" w:eastAsia="Arial" w:hAnsi="Arial"/>
                <w:sz w:val="14"/>
                <w:szCs w:val="14"/>
                <w:b w:val="1"/>
                <w:bCs w:val="1"/>
                <w:color w:val="auto"/>
                <w:w w:val="89"/>
              </w:rPr>
              <w:t>Stock</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340" w:type="dxa"/>
            <w:vAlign w:val="bottom"/>
          </w:tcPr>
          <w:p>
            <w:pPr>
              <w:jc w:val="center"/>
              <w:ind w:left="289"/>
              <w:spacing w:after="0"/>
              <w:rPr>
                <w:sz w:val="20"/>
                <w:szCs w:val="20"/>
                <w:color w:val="auto"/>
              </w:rPr>
            </w:pPr>
            <w:r>
              <w:rPr>
                <w:rFonts w:ascii="Arial" w:cs="Arial" w:eastAsia="Arial" w:hAnsi="Arial"/>
                <w:sz w:val="14"/>
                <w:szCs w:val="14"/>
                <w:b w:val="1"/>
                <w:bCs w:val="1"/>
                <w:color w:val="auto"/>
                <w:w w:val="93"/>
              </w:rPr>
              <w:t>Income</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5"/>
                <w:szCs w:val="15"/>
                <w:color w:val="auto"/>
              </w:rPr>
            </w:pPr>
          </w:p>
        </w:tc>
        <w:tc>
          <w:tcPr>
            <w:tcW w:w="1280" w:type="dxa"/>
            <w:vAlign w:val="bottom"/>
          </w:tcPr>
          <w:p>
            <w:pPr>
              <w:jc w:val="center"/>
              <w:ind w:right="129"/>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71"/>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3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1,769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1,002,408</w:t>
            </w: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(1,023,442)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(19,262)</w:t>
            </w:r>
          </w:p>
        </w:tc>
        <w:tc>
          <w:tcPr>
            <w:tcW w:w="0" w:type="dxa"/>
            <w:vAlign w:val="bottom"/>
          </w:tcPr>
          <w:p>
            <w:pPr>
              <w:spacing w:after="0"/>
              <w:rPr>
                <w:sz w:val="1"/>
                <w:szCs w:val="1"/>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(64,284)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(64,284)</w:t>
            </w: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w w:val="96"/>
              </w:rPr>
              <w:t>Employee stock purchase plan sales, 193 shares, net</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of stock options, 593 shares, net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w:t>
            </w:r>
          </w:p>
        </w:tc>
        <w:tc>
          <w:tcPr>
            <w:tcW w:w="0" w:type="dxa"/>
            <w:vAlign w:val="bottom"/>
          </w:tcPr>
          <w:p>
            <w:pPr>
              <w:spacing w:after="0"/>
              <w:rPr>
                <w:sz w:val="1"/>
                <w:szCs w:val="1"/>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5,479</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5,479</w:t>
            </w:r>
          </w:p>
        </w:tc>
        <w:tc>
          <w:tcPr>
            <w:tcW w:w="0" w:type="dxa"/>
            <w:vAlign w:val="bottom"/>
          </w:tcPr>
          <w:p>
            <w:pPr>
              <w:spacing w:after="0"/>
              <w:rPr>
                <w:sz w:val="1"/>
                <w:szCs w:val="1"/>
                <w:color w:val="auto"/>
              </w:rPr>
            </w:pPr>
          </w:p>
        </w:tc>
      </w:tr>
      <w:tr>
        <w:trPr>
          <w:trHeight w:val="171"/>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3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1,777</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1,010,779</w:t>
            </w: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(1,087,726)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(74,988)</w:t>
            </w:r>
          </w:p>
        </w:tc>
        <w:tc>
          <w:tcPr>
            <w:tcW w:w="0" w:type="dxa"/>
            <w:vAlign w:val="bottom"/>
          </w:tcPr>
          <w:p>
            <w:pPr>
              <w:spacing w:after="0"/>
              <w:rPr>
                <w:sz w:val="1"/>
                <w:szCs w:val="1"/>
                <w:color w:val="auto"/>
              </w:rPr>
            </w:pPr>
          </w:p>
        </w:tc>
      </w:tr>
      <w:tr>
        <w:trPr>
          <w:trHeight w:val="171"/>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(43,198)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(43,198)</w:t>
            </w: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0"/>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 1,056 shares, net</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4,564</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4,574</w:t>
            </w: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7,632</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7,632</w:t>
            </w:r>
          </w:p>
        </w:tc>
        <w:tc>
          <w:tcPr>
            <w:tcW w:w="0" w:type="dxa"/>
            <w:vAlign w:val="bottom"/>
          </w:tcPr>
          <w:p>
            <w:pPr>
              <w:spacing w:after="0"/>
              <w:rPr>
                <w:sz w:val="1"/>
                <w:szCs w:val="1"/>
                <w:color w:val="auto"/>
              </w:rPr>
            </w:pPr>
          </w:p>
        </w:tc>
      </w:tr>
      <w:tr>
        <w:trPr>
          <w:trHeight w:val="171"/>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3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1,787</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1,022,975</w:t>
            </w:r>
          </w:p>
        </w:tc>
        <w:tc>
          <w:tcPr>
            <w:tcW w:w="10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right"/>
              <w:ind w:right="1189"/>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(1,130,924)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(106,075)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BIOCRYST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 </w:t>
      </w:r>
      <w:r>
        <w:rPr>
          <w:rFonts w:ascii="Arial" w:cs="Arial" w:eastAsia="Arial" w:hAnsi="Arial"/>
          <w:sz w:val="14"/>
          <w:szCs w:val="14"/>
          <w:color w:val="auto"/>
        </w:rPr>
        <w:t>—</w:t>
      </w:r>
      <w:r>
        <w:rPr>
          <w:rFonts w:ascii="Arial" w:cs="Arial" w:eastAsia="Arial" w:hAnsi="Arial"/>
          <w:sz w:val="14"/>
          <w:szCs w:val="14"/>
          <w:b w:val="1"/>
          <w:bCs w:val="1"/>
          <w:color w:val="auto"/>
        </w:rPr>
        <w:t xml:space="preserve"> Significant Accounting Policies and Concentrations of Risk</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w:t>
      </w:r>
    </w:p>
    <w:p>
      <w:pPr>
        <w:spacing w:after="0" w:line="147"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BioCryst Pharmaceuticals, Inc. (the “Company”) is a commercial-stage biotechnology company that discovers novel, oral, small-molecule medicines. The Company focuses on the treatment of rare diseases in which significant unmet medical needs exist and an enzyme plays the key role in the biological pathway of the disease. The Company was founded in 1986 and incorporated in Delaware in 1991, and its headquarters is located in Durham, North Carolina. The Company integrates the disciplines of biology, crystallography, medicinal chemistry and computer modeling to discover and develop small molecule pharmaceuticals through the process known as structure-guided drug design.</w:t>
      </w:r>
    </w:p>
    <w:p>
      <w:pPr>
        <w:spacing w:after="0" w:line="125" w:lineRule="exact"/>
        <w:rPr>
          <w:sz w:val="20"/>
          <w:szCs w:val="20"/>
          <w:color w:val="auto"/>
        </w:rPr>
      </w:pPr>
    </w:p>
    <w:p>
      <w:pPr>
        <w:ind w:right="60" w:firstLine="382"/>
        <w:spacing w:after="0" w:line="284" w:lineRule="auto"/>
        <w:rPr>
          <w:sz w:val="20"/>
          <w:szCs w:val="20"/>
          <w:color w:val="auto"/>
        </w:rPr>
      </w:pPr>
      <w:r>
        <w:rPr>
          <w:rFonts w:ascii="Arial" w:cs="Arial" w:eastAsia="Arial" w:hAnsi="Arial"/>
          <w:sz w:val="13"/>
          <w:szCs w:val="13"/>
          <w:color w:val="auto"/>
        </w:rPr>
        <w:t>The Company’s marketed products include oral, once-daily ORLADEYO® for the prevention of hereditary angioedema (“HAE”) attacks and RAPIVAB® (peramivir injection) for the treatment of acute uncomplicated influenza in the United States. ORLADEYO received regulatory approval in the United States in December 2020. ORLADEYO has also received regulatory approvals in multiple global markets. The Company is commercializing ORLADEYO in each of these territories directly or through distributors, except in Japan where Torii, the Company’s collaborative partner, has the exclusive right to commercialize ORLADEYO for the prevention of HAE attacks in exchange for certain milestone and royalty payments to the Company. In addition to its approval in the United States, peramivir injection has received regulatory approvals in Canada, Australia, Japan, Taiwan and Korea.</w:t>
      </w:r>
    </w:p>
    <w:p>
      <w:pPr>
        <w:spacing w:after="0" w:line="102" w:lineRule="exact"/>
        <w:rPr>
          <w:sz w:val="20"/>
          <w:szCs w:val="20"/>
          <w:color w:val="auto"/>
        </w:rPr>
      </w:pPr>
    </w:p>
    <w:p>
      <w:pPr>
        <w:ind w:right="20" w:firstLine="382"/>
        <w:spacing w:after="0" w:line="277" w:lineRule="auto"/>
        <w:rPr>
          <w:sz w:val="20"/>
          <w:szCs w:val="20"/>
          <w:color w:val="auto"/>
        </w:rPr>
      </w:pPr>
      <w:r>
        <w:rPr>
          <w:rFonts w:ascii="Arial" w:cs="Arial" w:eastAsia="Arial" w:hAnsi="Arial"/>
          <w:sz w:val="13"/>
          <w:szCs w:val="13"/>
          <w:color w:val="auto"/>
        </w:rPr>
        <w:t>Based on the Company’s expectations for revenue and operating expenses, the Company believes its financial resources available at June 30, 2022 will be sufficient to fund its operations for at least the next 12 months. The Company has sustained operating losses for the majority of its corporate history and expects that its 2022 expenses will exceed its 2022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regularly evaluates other opportunities to fund future operations, including: (1) securing or increasing U.S. Government funding of its programs, including obtaining procurement contracts; (2) out-licensing rights to certain of its products or product candidates, pursuant to which the Company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its overhead structure. The Company may issue securities, including common stock, preferred stock, depositary shares, purchase contracts, warrants, debt securities and units, through private placement transactions or registered public offerings in the future.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57" w:lineRule="exact"/>
        <w:rPr>
          <w:sz w:val="20"/>
          <w:szCs w:val="20"/>
          <w:color w:val="auto"/>
        </w:rPr>
      </w:pPr>
    </w:p>
    <w:p>
      <w:pPr>
        <w:ind w:right="540" w:firstLine="382"/>
        <w:spacing w:after="0" w:line="281" w:lineRule="auto"/>
        <w:rPr>
          <w:sz w:val="20"/>
          <w:szCs w:val="20"/>
          <w:color w:val="auto"/>
        </w:rPr>
      </w:pPr>
      <w:r>
        <w:rPr>
          <w:rFonts w:ascii="Arial" w:cs="Arial" w:eastAsia="Arial" w:hAnsi="Arial"/>
          <w:sz w:val="14"/>
          <w:szCs w:val="14"/>
          <w:color w:val="auto"/>
        </w:rPr>
        <w:t>The consolidated financial statements include the accounts of the Company and its subsidiaries. All intercompany transactions and balances among the consolidated entities have been eliminated from the consolidated financial statements.</w:t>
      </w:r>
    </w:p>
    <w:p>
      <w:pPr>
        <w:spacing w:after="0" w:line="100" w:lineRule="exact"/>
        <w:rPr>
          <w:sz w:val="20"/>
          <w:szCs w:val="20"/>
          <w:color w:val="auto"/>
        </w:rPr>
      </w:pPr>
    </w:p>
    <w:p>
      <w:pPr>
        <w:ind w:right="40" w:firstLine="382"/>
        <w:spacing w:after="0" w:line="262" w:lineRule="auto"/>
        <w:rPr>
          <w:sz w:val="20"/>
          <w:szCs w:val="20"/>
          <w:color w:val="auto"/>
        </w:rPr>
      </w:pPr>
      <w:r>
        <w:rPr>
          <w:rFonts w:ascii="Arial" w:cs="Arial" w:eastAsia="Arial" w:hAnsi="Arial"/>
          <w:sz w:val="14"/>
          <w:szCs w:val="14"/>
          <w:color w:val="auto"/>
        </w:rPr>
        <w:t>The Company’s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consolidated financial position, results of operations, and cash flows. There were no adjustments other than normal recurring adjustments.</w:t>
      </w:r>
    </w:p>
    <w:p>
      <w:pPr>
        <w:spacing w:after="0" w:line="114" w:lineRule="exact"/>
        <w:rPr>
          <w:sz w:val="20"/>
          <w:szCs w:val="20"/>
          <w:color w:val="auto"/>
        </w:rPr>
      </w:pPr>
    </w:p>
    <w:p>
      <w:pPr>
        <w:ind w:right="280" w:firstLine="382"/>
        <w:spacing w:after="0" w:line="281" w:lineRule="auto"/>
        <w:rPr>
          <w:sz w:val="20"/>
          <w:szCs w:val="20"/>
          <w:color w:val="auto"/>
        </w:rPr>
      </w:pPr>
      <w:r>
        <w:rPr>
          <w:rFonts w:ascii="Arial" w:cs="Arial" w:eastAsia="Arial" w:hAnsi="Arial"/>
          <w:sz w:val="14"/>
          <w:szCs w:val="14"/>
          <w:color w:val="auto"/>
        </w:rPr>
        <w:t>These financial statements should be read in conjunction with the financial statements for the year ended December 31, 2021 and the notes thereto included in the Company’s 2021 Annual Report on Form 10-K. Interim operating</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results are not necessarily indicative of operating results for the full year. The balance sheet as of December 31, 2021 has been derived from the audited consolidated financial statements included in the Company’s most recent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47" w:lineRule="exact"/>
        <w:rPr>
          <w:sz w:val="20"/>
          <w:szCs w:val="20"/>
          <w:color w:val="auto"/>
        </w:rPr>
      </w:pPr>
    </w:p>
    <w:p>
      <w:pPr>
        <w:ind w:firstLine="382"/>
        <w:spacing w:after="0" w:line="284"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The most significant estimates in the Company’s consolidated financial statements relate to the valuation of stock options, the ORLADEYO and Factor D inhibitors royalty financing obligations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57"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14" w:lineRule="exact"/>
        <w:rPr>
          <w:sz w:val="20"/>
          <w:szCs w:val="20"/>
          <w:color w:val="auto"/>
        </w:rPr>
      </w:pPr>
    </w:p>
    <w:p>
      <w:pPr>
        <w:ind w:right="200" w:firstLine="382"/>
        <w:spacing w:after="0" w:line="267" w:lineRule="auto"/>
        <w:rPr>
          <w:sz w:val="20"/>
          <w:szCs w:val="20"/>
          <w:color w:val="auto"/>
        </w:rPr>
      </w:pPr>
      <w:r>
        <w:rPr>
          <w:rFonts w:ascii="Arial" w:cs="Arial" w:eastAsia="Arial" w:hAnsi="Arial"/>
          <w:sz w:val="14"/>
          <w:szCs w:val="14"/>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Sales, Net</w:t>
      </w:r>
    </w:p>
    <w:p>
      <w:pPr>
        <w:spacing w:after="0" w:line="157" w:lineRule="exact"/>
        <w:rPr>
          <w:sz w:val="20"/>
          <w:szCs w:val="20"/>
          <w:color w:val="auto"/>
        </w:rPr>
      </w:pPr>
    </w:p>
    <w:p>
      <w:pPr>
        <w:ind w:right="40" w:firstLine="382"/>
        <w:spacing w:after="0" w:line="262" w:lineRule="auto"/>
        <w:rPr>
          <w:sz w:val="20"/>
          <w:szCs w:val="20"/>
          <w:color w:val="auto"/>
        </w:rPr>
      </w:pPr>
      <w:r>
        <w:rPr>
          <w:rFonts w:ascii="Arial" w:cs="Arial" w:eastAsia="Arial" w:hAnsi="Arial"/>
          <w:sz w:val="14"/>
          <w:szCs w:val="14"/>
          <w:color w:val="auto"/>
        </w:rPr>
        <w:t>The Company’s principal sources of product sales are sales of ORLADEYO, which the Company began shipping to patients in December 2020, sales of peramivir to the Company’s licensing partners and sales of RAPIVAB to the U.S. Department of Health and Human Services (“HHS”) under the Company’s procurement contract. In the United States, the Company ships ORLADEYO directly to patients through a single specialty pharmacy, which is considered its customer. In the European Union, United Kingdom and elsewhere, the Company sells ORLADEYO to specialty distributors as well as hospitals and pharmacies, which collectively are considered its customers.</w:t>
      </w:r>
    </w:p>
    <w:p>
      <w:pPr>
        <w:spacing w:after="0" w:line="114" w:lineRule="exact"/>
        <w:rPr>
          <w:sz w:val="20"/>
          <w:szCs w:val="20"/>
          <w:color w:val="auto"/>
        </w:rPr>
      </w:pPr>
    </w:p>
    <w:p>
      <w:pPr>
        <w:jc w:val="both"/>
        <w:ind w:right="60" w:firstLine="382"/>
        <w:spacing w:after="0" w:line="267" w:lineRule="auto"/>
        <w:rPr>
          <w:sz w:val="20"/>
          <w:szCs w:val="20"/>
          <w:color w:val="auto"/>
        </w:rPr>
      </w:pPr>
      <w:r>
        <w:rPr>
          <w:rFonts w:ascii="Arial" w:cs="Arial" w:eastAsia="Arial" w:hAnsi="Arial"/>
          <w:sz w:val="14"/>
          <w:szCs w:val="14"/>
          <w:color w:val="auto"/>
        </w:rPr>
        <w:t>The Company recognizes revenue for sales when its customers obtain control of the product, which generally occurs upon delivery. For ORLADEYO, the Company classifies payments to its specialty pharmacy customer for certain services provided by its customer as selling, general and administrative expenses to the extent such services provided are determined to be distinct from the sale of its product.</w:t>
      </w:r>
    </w:p>
    <w:p>
      <w:pPr>
        <w:spacing w:after="0" w:line="110"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16"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i w:val="1"/>
          <w:iCs w:val="1"/>
          <w:color w:val="auto"/>
        </w:rPr>
        <w:t>Government and Managed Care Rebates</w:t>
      </w:r>
      <w:r>
        <w:rPr>
          <w:rFonts w:ascii="Arial" w:cs="Arial" w:eastAsia="Arial" w:hAnsi="Arial"/>
          <w:sz w:val="14"/>
          <w:szCs w:val="14"/>
          <w:color w:val="auto"/>
        </w:rPr>
        <w:t>. The Company contracts with government agencies and managed care organizations or, collectively, third-party payors, so that ORLADEYO will be</w:t>
      </w:r>
      <w:r>
        <w:rPr>
          <w:rFonts w:ascii="Arial" w:cs="Arial" w:eastAsia="Arial" w:hAnsi="Arial"/>
          <w:sz w:val="14"/>
          <w:szCs w:val="14"/>
          <w:i w:val="1"/>
          <w:iCs w:val="1"/>
          <w:color w:val="auto"/>
        </w:rPr>
        <w:t xml:space="preserve"> </w:t>
      </w:r>
      <w:r>
        <w:rPr>
          <w:rFonts w:ascii="Arial" w:cs="Arial" w:eastAsia="Arial" w:hAnsi="Arial"/>
          <w:sz w:val="14"/>
          <w:szCs w:val="14"/>
          <w:color w:val="auto"/>
        </w:rPr>
        <w:t>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w:t>
      </w: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spacing w:after="0" w:line="120"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i w:val="1"/>
          <w:iCs w:val="1"/>
          <w:color w:val="auto"/>
        </w:rPr>
        <w:t>Chargebacks</w:t>
      </w:r>
      <w:r>
        <w:rPr>
          <w:rFonts w:ascii="Arial" w:cs="Arial" w:eastAsia="Arial" w:hAnsi="Arial"/>
          <w:sz w:val="14"/>
          <w:szCs w:val="14"/>
          <w:color w:val="auto"/>
        </w:rPr>
        <w:t>. Chargebacks are discounts that occur when certain contracted customers, pharmacy benefit managers, insurance companies, and government programs purchase directly from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specialty pharmacy. These customers purchase the Company’s product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spacing w:after="0" w:line="115" w:lineRule="exact"/>
        <w:rPr>
          <w:sz w:val="20"/>
          <w:szCs w:val="20"/>
          <w:color w:val="auto"/>
        </w:rPr>
      </w:pPr>
    </w:p>
    <w:p>
      <w:pPr>
        <w:ind w:right="20" w:firstLine="382"/>
        <w:spacing w:after="0" w:line="284" w:lineRule="auto"/>
        <w:rPr>
          <w:sz w:val="20"/>
          <w:szCs w:val="20"/>
          <w:color w:val="auto"/>
        </w:rPr>
      </w:pPr>
      <w:r>
        <w:rPr>
          <w:rFonts w:ascii="Arial" w:cs="Arial" w:eastAsia="Arial" w:hAnsi="Arial"/>
          <w:sz w:val="13"/>
          <w:szCs w:val="13"/>
          <w:i w:val="1"/>
          <w:iCs w:val="1"/>
          <w:color w:val="auto"/>
        </w:rPr>
        <w:t>Co-payment assistance and patient assistance programs</w:t>
      </w:r>
      <w:r>
        <w:rPr>
          <w:rFonts w:ascii="Arial" w:cs="Arial" w:eastAsia="Arial" w:hAnsi="Arial"/>
          <w:sz w:val="13"/>
          <w:szCs w:val="13"/>
          <w:color w:val="auto"/>
        </w:rPr>
        <w:t>. Patients who have commercial insurance and meet certain eligibility requirements may receive co-payment assistance. Based upon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02"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i w:val="1"/>
          <w:iCs w:val="1"/>
          <w:color w:val="auto"/>
        </w:rPr>
        <w:t>Product returns</w:t>
      </w:r>
      <w:r>
        <w:rPr>
          <w:rFonts w:ascii="Arial" w:cs="Arial" w:eastAsia="Arial" w:hAnsi="Arial"/>
          <w:sz w:val="14"/>
          <w:szCs w:val="14"/>
          <w:color w:val="auto"/>
        </w:rPr>
        <w:t>. The Company does not provide contractual return rights to its customers, except in instances where the product is damaged or defective. Non-acceptance by the patient of</w:t>
      </w:r>
      <w:r>
        <w:rPr>
          <w:rFonts w:ascii="Arial" w:cs="Arial" w:eastAsia="Arial" w:hAnsi="Arial"/>
          <w:sz w:val="14"/>
          <w:szCs w:val="14"/>
          <w:i w:val="1"/>
          <w:iCs w:val="1"/>
          <w:color w:val="auto"/>
        </w:rPr>
        <w:t xml:space="preserve"> </w:t>
      </w:r>
      <w:r>
        <w:rPr>
          <w:rFonts w:ascii="Arial" w:cs="Arial" w:eastAsia="Arial" w:hAnsi="Arial"/>
          <w:sz w:val="14"/>
          <w:szCs w:val="14"/>
          <w:color w:val="auto"/>
        </w:rPr>
        <w:t>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Collaborative and Other Research and Development Arrangements and Royalties</w:t>
      </w:r>
    </w:p>
    <w:p>
      <w:pPr>
        <w:spacing w:after="0" w:line="147" w:lineRule="exact"/>
        <w:rPr>
          <w:sz w:val="20"/>
          <w:szCs w:val="20"/>
          <w:color w:val="auto"/>
        </w:rPr>
      </w:pPr>
    </w:p>
    <w:p>
      <w:pPr>
        <w:ind w:right="360" w:firstLine="382"/>
        <w:spacing w:after="0" w:line="281" w:lineRule="auto"/>
        <w:rPr>
          <w:sz w:val="20"/>
          <w:szCs w:val="20"/>
          <w:color w:val="auto"/>
        </w:rPr>
      </w:pPr>
      <w:r>
        <w:rPr>
          <w:rFonts w:ascii="Arial" w:cs="Arial" w:eastAsia="Arial" w:hAnsi="Arial"/>
          <w:sz w:val="14"/>
          <w:szCs w:val="14"/>
          <w:color w:val="auto"/>
        </w:rPr>
        <w:t>The Company has collaboration and license agreements with a number of third parties, as well as research and development agreements with certain government entities. The Company’s primary sources of revenue from these collaborative and other research and development arrangements are license, service and royalty revenues.</w:t>
      </w:r>
    </w:p>
    <w:p>
      <w:pPr>
        <w:spacing w:after="0" w:line="100"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11" w:lineRule="exact"/>
        <w:rPr>
          <w:sz w:val="20"/>
          <w:szCs w:val="20"/>
          <w:color w:val="auto"/>
        </w:rPr>
      </w:pPr>
    </w:p>
    <w:p>
      <w:pPr>
        <w:ind w:right="20" w:firstLine="382"/>
        <w:spacing w:after="0" w:line="302" w:lineRule="auto"/>
        <w:rPr>
          <w:sz w:val="20"/>
          <w:szCs w:val="20"/>
          <w:color w:val="auto"/>
        </w:rPr>
      </w:pPr>
      <w:r>
        <w:rPr>
          <w:rFonts w:ascii="Arial" w:cs="Arial" w:eastAsia="Arial" w:hAnsi="Arial"/>
          <w:sz w:val="12"/>
          <w:szCs w:val="12"/>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95"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Milestone payments are recognized as licensing revenue upon the achievement of specified milestones if (i) the milestone is substantive in nature and the achievement of the milestone was not probable at the inception of the agreement;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and (ii) the Company has a right to payment. Any milestone payments received prior to satisfying these revenue recognition criteria are recorded as deferred revenue.</w:t>
      </w:r>
    </w:p>
    <w:p>
      <w:pPr>
        <w:spacing w:after="0" w:line="157"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Reimbursements received for direct out-of-pocket expenses related to research and development costs are recorded as revenue in the Consolidated Statements of Comprehensive Loss rather than as a reduction in expenses. Under the Company’s contracts with the Biomedical Advanced Research and Development Authority within the HHS (“BARDA/HHS”) and the National Institute of Allergy and Infectious Diseases (“NIAID/HHS”), revenue is recognized as reimbursable direct and indirect costs are incurred.</w:t>
      </w:r>
    </w:p>
    <w:p>
      <w:pPr>
        <w:spacing w:after="0" w:line="110" w:lineRule="exact"/>
        <w:rPr>
          <w:sz w:val="20"/>
          <w:szCs w:val="20"/>
          <w:color w:val="auto"/>
        </w:rPr>
      </w:pPr>
    </w:p>
    <w:p>
      <w:pPr>
        <w:ind w:right="260" w:firstLine="382"/>
        <w:spacing w:after="0" w:line="321" w:lineRule="auto"/>
        <w:rPr>
          <w:sz w:val="20"/>
          <w:szCs w:val="20"/>
          <w:color w:val="auto"/>
        </w:rPr>
      </w:pPr>
      <w:r>
        <w:rPr>
          <w:rFonts w:ascii="Arial" w:cs="Arial" w:eastAsia="Arial" w:hAnsi="Arial"/>
          <w:sz w:val="13"/>
          <w:szCs w:val="13"/>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57" w:lineRule="exact"/>
        <w:rPr>
          <w:sz w:val="20"/>
          <w:szCs w:val="20"/>
          <w:color w:val="auto"/>
        </w:rPr>
      </w:pPr>
    </w:p>
    <w:p>
      <w:pPr>
        <w:ind w:right="40" w:firstLine="382"/>
        <w:spacing w:after="0" w:line="321" w:lineRule="auto"/>
        <w:rPr>
          <w:sz w:val="20"/>
          <w:szCs w:val="20"/>
          <w:color w:val="auto"/>
        </w:rPr>
      </w:pPr>
      <w:r>
        <w:rPr>
          <w:rFonts w:ascii="Arial" w:cs="Arial" w:eastAsia="Arial" w:hAnsi="Arial"/>
          <w:sz w:val="13"/>
          <w:szCs w:val="13"/>
          <w:color w:val="auto"/>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Cash</w:t>
      </w:r>
    </w:p>
    <w:p>
      <w:pPr>
        <w:spacing w:after="0" w:line="147"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Restricted cash of $24 and $1,924 as of June 30, 2022 and December 31, 2021, respectively, reflects royalty revenue paid by Shionogi designated for interest on the PhaRMA Notes (defined in Note 6). Additionally, restricted cash of $1,424 and $1,421 as of June 30, 2022 and December 31, 2021, respectively, reflects collateral for a letter of credit the Company is required to maintain associated with the lease execution and build-out of its Birmingham research facilities.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w:t>
      </w:r>
    </w:p>
    <w:p>
      <w:pPr>
        <w:spacing w:after="0" w:line="147" w:lineRule="exact"/>
        <w:rPr>
          <w:sz w:val="20"/>
          <w:szCs w:val="20"/>
          <w:color w:val="auto"/>
        </w:rPr>
      </w:pPr>
    </w:p>
    <w:p>
      <w:pPr>
        <w:ind w:right="20" w:firstLine="382"/>
        <w:spacing w:after="0" w:line="278" w:lineRule="auto"/>
        <w:rPr>
          <w:sz w:val="20"/>
          <w:szCs w:val="20"/>
          <w:color w:val="auto"/>
        </w:rPr>
      </w:pPr>
      <w:r>
        <w:rPr>
          <w:rFonts w:ascii="Arial" w:cs="Arial" w:eastAsia="Arial" w:hAnsi="Arial"/>
          <w:sz w:val="13"/>
          <w:szCs w:val="13"/>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07"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At June 30, 2022, the Company believes that the cost of its investments is recoverable in all material respects.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 Receivables</w:t>
      </w:r>
    </w:p>
    <w:p>
      <w:pPr>
        <w:spacing w:after="0" w:line="157" w:lineRule="exact"/>
        <w:rPr>
          <w:sz w:val="20"/>
          <w:szCs w:val="20"/>
          <w:color w:val="auto"/>
        </w:rPr>
      </w:pPr>
    </w:p>
    <w:p>
      <w:pPr>
        <w:ind w:right="120" w:firstLine="382"/>
        <w:spacing w:after="0" w:line="321" w:lineRule="auto"/>
        <w:rPr>
          <w:sz w:val="20"/>
          <w:szCs w:val="20"/>
          <w:color w:val="auto"/>
        </w:rPr>
      </w:pPr>
      <w:r>
        <w:rPr>
          <w:rFonts w:ascii="Arial" w:cs="Arial" w:eastAsia="Arial" w:hAnsi="Arial"/>
          <w:sz w:val="13"/>
          <w:szCs w:val="13"/>
          <w:color w:val="auto"/>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spacing w:after="0" w:line="78" w:lineRule="exact"/>
        <w:rPr>
          <w:sz w:val="20"/>
          <w:szCs w:val="20"/>
          <w:color w:val="auto"/>
        </w:rPr>
      </w:pPr>
    </w:p>
    <w:p>
      <w:pPr>
        <w:ind w:right="520" w:firstLine="382"/>
        <w:spacing w:after="0" w:line="281" w:lineRule="auto"/>
        <w:rPr>
          <w:sz w:val="20"/>
          <w:szCs w:val="20"/>
          <w:color w:val="auto"/>
        </w:rPr>
      </w:pPr>
      <w:r>
        <w:rPr>
          <w:rFonts w:ascii="Arial" w:cs="Arial" w:eastAsia="Arial" w:hAnsi="Arial"/>
          <w:sz w:val="14"/>
          <w:szCs w:val="14"/>
          <w:color w:val="auto"/>
        </w:rPr>
        <w:t>Receivables from collaborations are recorded for amounts due to the Company related to reimbursable research and development costs from the HHS, and royalty receivables from the Company’s partners, including Shionogi, Green Cross, and Torii.</w:t>
      </w:r>
    </w:p>
    <w:p>
      <w:pPr>
        <w:spacing w:after="0" w:line="100" w:lineRule="exact"/>
        <w:rPr>
          <w:sz w:val="20"/>
          <w:szCs w:val="20"/>
          <w:color w:val="auto"/>
        </w:rPr>
      </w:pPr>
    </w:p>
    <w:p>
      <w:pPr>
        <w:ind w:right="420" w:firstLine="382"/>
        <w:spacing w:after="0" w:line="281" w:lineRule="auto"/>
        <w:rPr>
          <w:sz w:val="20"/>
          <w:szCs w:val="20"/>
          <w:color w:val="auto"/>
        </w:rPr>
      </w:pPr>
      <w:r>
        <w:rPr>
          <w:rFonts w:ascii="Arial" w:cs="Arial" w:eastAsia="Arial" w:hAnsi="Arial"/>
          <w:sz w:val="14"/>
          <w:szCs w:val="14"/>
          <w:color w:val="auto"/>
        </w:rPr>
        <w:t>Monthly invoices are submitted to HHS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Company does not adjust its receivables for the effects of a significant financing component at contract inception if it expects to collect the receivables in one year or less from the time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sale.</w:t>
      </w:r>
    </w:p>
    <w:p>
      <w:pPr>
        <w:spacing w:after="0" w:line="136" w:lineRule="exact"/>
        <w:rPr>
          <w:sz w:val="20"/>
          <w:szCs w:val="20"/>
          <w:color w:val="auto"/>
        </w:rPr>
      </w:pPr>
    </w:p>
    <w:p>
      <w:pPr>
        <w:ind w:right="300" w:firstLine="382"/>
        <w:spacing w:after="0" w:line="267" w:lineRule="auto"/>
        <w:rPr>
          <w:sz w:val="20"/>
          <w:szCs w:val="20"/>
          <w:color w:val="auto"/>
        </w:rPr>
      </w:pPr>
      <w:r>
        <w:rPr>
          <w:rFonts w:ascii="Arial" w:cs="Arial" w:eastAsia="Arial" w:hAnsi="Arial"/>
          <w:sz w:val="14"/>
          <w:szCs w:val="14"/>
          <w:color w:val="auto"/>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Inventory</w:t>
      </w:r>
    </w:p>
    <w:p>
      <w:pPr>
        <w:spacing w:after="0" w:line="157" w:lineRule="exact"/>
        <w:rPr>
          <w:sz w:val="20"/>
          <w:szCs w:val="20"/>
          <w:color w:val="auto"/>
        </w:rPr>
      </w:pPr>
    </w:p>
    <w:p>
      <w:pPr>
        <w:jc w:val="both"/>
        <w:ind w:right="240" w:firstLine="382"/>
        <w:spacing w:after="0" w:line="267" w:lineRule="auto"/>
        <w:rPr>
          <w:sz w:val="20"/>
          <w:szCs w:val="20"/>
          <w:color w:val="auto"/>
        </w:rPr>
      </w:pPr>
      <w:r>
        <w:rPr>
          <w:rFonts w:ascii="Arial" w:cs="Arial" w:eastAsia="Arial" w:hAnsi="Arial"/>
          <w:sz w:val="14"/>
          <w:szCs w:val="14"/>
          <w:color w:val="auto"/>
        </w:rPr>
        <w:t>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labelling, including raw material, active product ingredient, and the drug product. Finished goods include packaged and labelled products.</w:t>
      </w:r>
    </w:p>
    <w:p>
      <w:pPr>
        <w:spacing w:after="0" w:line="110" w:lineRule="exact"/>
        <w:rPr>
          <w:sz w:val="20"/>
          <w:szCs w:val="20"/>
          <w:color w:val="auto"/>
        </w:rPr>
      </w:pPr>
    </w:p>
    <w:p>
      <w:pPr>
        <w:ind w:right="140" w:firstLine="382"/>
        <w:spacing w:after="0" w:line="267" w:lineRule="auto"/>
        <w:rPr>
          <w:sz w:val="20"/>
          <w:szCs w:val="20"/>
          <w:color w:val="auto"/>
        </w:rPr>
      </w:pPr>
      <w:r>
        <w:rPr>
          <w:rFonts w:ascii="Arial" w:cs="Arial" w:eastAsia="Arial" w:hAnsi="Arial"/>
          <w:sz w:val="14"/>
          <w:szCs w:val="14"/>
          <w:color w:val="auto"/>
        </w:rPr>
        <w:t>The Company’s inventories are subject to expiration dating. The Company regularly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w:t>
      </w:r>
    </w:p>
    <w:p>
      <w:pPr>
        <w:spacing w:after="0" w:line="110" w:lineRule="exact"/>
        <w:rPr>
          <w:sz w:val="20"/>
          <w:szCs w:val="20"/>
          <w:color w:val="auto"/>
        </w:rPr>
      </w:pPr>
    </w:p>
    <w:p>
      <w:pPr>
        <w:jc w:val="both"/>
        <w:ind w:firstLine="382"/>
        <w:spacing w:after="0" w:line="368" w:lineRule="auto"/>
        <w:rPr>
          <w:sz w:val="20"/>
          <w:szCs w:val="20"/>
          <w:color w:val="auto"/>
        </w:rPr>
      </w:pPr>
      <w:r>
        <w:rPr>
          <w:rFonts w:ascii="Arial" w:cs="Arial" w:eastAsia="Arial" w:hAnsi="Arial"/>
          <w:sz w:val="12"/>
          <w:szCs w:val="12"/>
          <w:color w:val="auto"/>
        </w:rPr>
        <w:t>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inventories.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147" w:lineRule="exact"/>
        <w:rPr>
          <w:sz w:val="20"/>
          <w:szCs w:val="20"/>
          <w:color w:val="auto"/>
        </w:rPr>
      </w:pPr>
    </w:p>
    <w:p>
      <w:pPr>
        <w:ind w:right="200" w:firstLine="382"/>
        <w:spacing w:after="0" w:line="267" w:lineRule="auto"/>
        <w:rPr>
          <w:sz w:val="20"/>
          <w:szCs w:val="20"/>
          <w:color w:val="auto"/>
        </w:rPr>
      </w:pPr>
      <w:r>
        <w:rPr>
          <w:rFonts w:ascii="Arial" w:cs="Arial" w:eastAsia="Arial" w:hAnsi="Arial"/>
          <w:sz w:val="14"/>
          <w:szCs w:val="14"/>
          <w:color w:val="auto"/>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spacing w:after="0" w:line="110" w:lineRule="exact"/>
        <w:rPr>
          <w:sz w:val="20"/>
          <w:szCs w:val="20"/>
          <w:color w:val="auto"/>
        </w:rPr>
      </w:pPr>
    </w:p>
    <w:p>
      <w:pPr>
        <w:ind w:right="220" w:firstLine="382"/>
        <w:spacing w:after="0" w:line="262" w:lineRule="auto"/>
        <w:rPr>
          <w:sz w:val="20"/>
          <w:szCs w:val="20"/>
          <w:color w:val="auto"/>
        </w:rPr>
      </w:pPr>
      <w:r>
        <w:rPr>
          <w:rFonts w:ascii="Arial" w:cs="Arial" w:eastAsia="Arial" w:hAnsi="Arial"/>
          <w:sz w:val="14"/>
          <w:szCs w:val="14"/>
          <w:color w:val="auto"/>
        </w:rPr>
        <w:t>In accordance with U.S. GAAP, 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Accrued Expenses</w:t>
      </w:r>
    </w:p>
    <w:p>
      <w:pPr>
        <w:spacing w:after="0" w:line="157" w:lineRule="exact"/>
        <w:rPr>
          <w:sz w:val="20"/>
          <w:szCs w:val="20"/>
          <w:color w:val="auto"/>
        </w:rPr>
      </w:pPr>
    </w:p>
    <w:p>
      <w:pPr>
        <w:ind w:right="60" w:firstLine="382"/>
        <w:spacing w:after="0" w:line="278" w:lineRule="auto"/>
        <w:rPr>
          <w:sz w:val="20"/>
          <w:szCs w:val="20"/>
          <w:color w:val="auto"/>
        </w:rPr>
      </w:pPr>
      <w:r>
        <w:rPr>
          <w:rFonts w:ascii="Arial" w:cs="Arial" w:eastAsia="Arial" w:hAnsi="Arial"/>
          <w:sz w:val="13"/>
          <w:szCs w:val="13"/>
          <w:color w:val="auto"/>
        </w:rPr>
        <w:t>The Company generally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spacing w:after="0" w:line="107"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As of June 30, 2022 and December 31, 2021, the carrying value of accrued expenses approximates their fair value due to their short-term settlement.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Product Sales</w:t>
      </w:r>
    </w:p>
    <w:p>
      <w:pPr>
        <w:spacing w:after="0" w:line="157" w:lineRule="exact"/>
        <w:rPr>
          <w:sz w:val="20"/>
          <w:szCs w:val="20"/>
          <w:color w:val="auto"/>
        </w:rPr>
      </w:pPr>
    </w:p>
    <w:p>
      <w:pPr>
        <w:ind w:right="260" w:firstLine="382"/>
        <w:spacing w:after="0" w:line="321" w:lineRule="auto"/>
        <w:rPr>
          <w:sz w:val="20"/>
          <w:szCs w:val="20"/>
          <w:color w:val="auto"/>
        </w:rPr>
      </w:pPr>
      <w:r>
        <w:rPr>
          <w:rFonts w:ascii="Arial" w:cs="Arial" w:eastAsia="Arial" w:hAnsi="Arial"/>
          <w:sz w:val="13"/>
          <w:szCs w:val="13"/>
          <w:color w:val="auto"/>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47" w:lineRule="exact"/>
        <w:rPr>
          <w:sz w:val="20"/>
          <w:szCs w:val="20"/>
          <w:color w:val="auto"/>
        </w:rPr>
      </w:pPr>
    </w:p>
    <w:p>
      <w:pPr>
        <w:ind w:right="20" w:firstLine="382"/>
        <w:spacing w:after="0" w:line="257" w:lineRule="auto"/>
        <w:rPr>
          <w:sz w:val="20"/>
          <w:szCs w:val="20"/>
          <w:color w:val="auto"/>
        </w:rPr>
      </w:pPr>
      <w:r>
        <w:rPr>
          <w:rFonts w:ascii="Arial" w:cs="Arial" w:eastAsia="Arial" w:hAnsi="Arial"/>
          <w:sz w:val="14"/>
          <w:szCs w:val="14"/>
          <w:color w:val="auto"/>
        </w:rPr>
        <w:t>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spacing w:after="0" w:line="130"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Additionally, the Company has license agreements with third parties, such as Albert Einstein College of Medicine of Yeshiva University (“AECOM”), Industrial Research, Ltd. (“IRL”), and the University of Alabama at Birmingham (“UAB”),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spacing w:after="0" w:line="114" w:lineRule="exact"/>
        <w:rPr>
          <w:sz w:val="20"/>
          <w:szCs w:val="20"/>
          <w:color w:val="auto"/>
        </w:rPr>
      </w:pPr>
    </w:p>
    <w:p>
      <w:pPr>
        <w:ind w:right="180" w:firstLine="382"/>
        <w:spacing w:after="0" w:line="262" w:lineRule="auto"/>
        <w:rPr>
          <w:sz w:val="20"/>
          <w:szCs w:val="20"/>
          <w:color w:val="auto"/>
        </w:rPr>
      </w:pPr>
      <w:r>
        <w:rPr>
          <w:rFonts w:ascii="Arial" w:cs="Arial" w:eastAsia="Arial" w:hAnsi="Arial"/>
          <w:sz w:val="14"/>
          <w:szCs w:val="14"/>
          <w:color w:val="auto"/>
        </w:rPr>
        <w:t>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157"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Selling, general and administrative expense is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spacing w:after="0" w:line="110" w:lineRule="exact"/>
        <w:rPr>
          <w:sz w:val="20"/>
          <w:szCs w:val="20"/>
          <w:color w:val="auto"/>
        </w:rPr>
      </w:pPr>
    </w:p>
    <w:p>
      <w:pPr>
        <w:ind w:right="340" w:firstLine="382"/>
        <w:spacing w:after="0" w:line="281" w:lineRule="auto"/>
        <w:rPr>
          <w:sz w:val="20"/>
          <w:szCs w:val="20"/>
          <w:color w:val="auto"/>
        </w:rPr>
      </w:pPr>
      <w:r>
        <w:rPr>
          <w:rFonts w:ascii="Arial" w:cs="Arial" w:eastAsia="Arial" w:hAnsi="Arial"/>
          <w:sz w:val="14"/>
          <w:szCs w:val="14"/>
          <w:color w:val="auto"/>
        </w:rPr>
        <w:t>Advertising expenses related to ORLADEYO were $4,095 and $8,079 for the three and six months ended June 30, 2022, respectively, and $1,800 and $3,204 for the three and six months ended June 30, 2021, respectively.</w:t>
      </w:r>
    </w:p>
    <w:p>
      <w:pPr>
        <w:spacing w:after="0" w:line="100"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The Company seeks patent protection on all internally developed processes and products. All patent related costs are expensed to selling, general and administrative expenses when incurred as recoverability of such expenditures is uncertain.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47" w:lineRule="exact"/>
        <w:rPr>
          <w:sz w:val="20"/>
          <w:szCs w:val="20"/>
          <w:color w:val="auto"/>
        </w:rPr>
      </w:pPr>
    </w:p>
    <w:p>
      <w:pPr>
        <w:jc w:val="both"/>
        <w:ind w:right="220" w:firstLine="382"/>
        <w:spacing w:after="0" w:line="267" w:lineRule="auto"/>
        <w:rPr>
          <w:sz w:val="20"/>
          <w:szCs w:val="20"/>
          <w:color w:val="auto"/>
        </w:rPr>
      </w:pPr>
      <w:r>
        <w:rPr>
          <w:rFonts w:ascii="Arial" w:cs="Arial" w:eastAsia="Arial" w:hAnsi="Arial"/>
          <w:sz w:val="14"/>
          <w:szCs w:val="14"/>
          <w:color w:val="auto"/>
        </w:rPr>
        <w:t xml:space="preserve">The Company leases certain assets under operating leases, which primarily consisted of real estate leases, laboratory equipment leases and office equipment leases as of June 30, 2022. The Company accounts for lease obligations in accordance with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which requires a lessee to recognize a right-of-use asset and a lease liability on its balance sheet for most operating leases.</w:t>
      </w:r>
    </w:p>
    <w:p>
      <w:pPr>
        <w:spacing w:after="0" w:line="110" w:lineRule="exact"/>
        <w:rPr>
          <w:sz w:val="20"/>
          <w:szCs w:val="20"/>
          <w:color w:val="auto"/>
        </w:rPr>
      </w:pPr>
    </w:p>
    <w:p>
      <w:pPr>
        <w:ind w:right="20" w:firstLine="382"/>
        <w:spacing w:after="0" w:line="319" w:lineRule="auto"/>
        <w:rPr>
          <w:sz w:val="20"/>
          <w:szCs w:val="20"/>
          <w:color w:val="auto"/>
        </w:rPr>
      </w:pPr>
      <w:r>
        <w:rPr>
          <w:rFonts w:ascii="Arial" w:cs="Arial" w:eastAsia="Arial" w:hAnsi="Arial"/>
          <w:sz w:val="12"/>
          <w:szCs w:val="12"/>
          <w:color w:val="auto"/>
        </w:rPr>
        <w:t>Certain of the Company’s operating leases provide for renewal options, which can vary by lease. The right-of-use asset and lease liabilities on the Company’s Consolidated Balance Sheet represent payments over the lease term, which includes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spacing w:after="0" w:line="94"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The discount rate used in the calculation of the Company’s right-of-use asset and lease liability was determined based on the stated rate within each contract when available, or the Company’s collateralized borrowing rate from lending institutions.</w:t>
      </w:r>
    </w:p>
    <w:p>
      <w:pPr>
        <w:spacing w:after="0" w:line="100" w:lineRule="exact"/>
        <w:rPr>
          <w:sz w:val="20"/>
          <w:szCs w:val="20"/>
          <w:color w:val="auto"/>
        </w:rPr>
      </w:pPr>
    </w:p>
    <w:p>
      <w:pPr>
        <w:ind w:right="180" w:firstLine="382"/>
        <w:spacing w:after="0" w:line="466" w:lineRule="auto"/>
        <w:rPr>
          <w:sz w:val="20"/>
          <w:szCs w:val="20"/>
          <w:color w:val="auto"/>
        </w:rPr>
      </w:pPr>
      <w:r>
        <w:rPr>
          <w:rFonts w:ascii="Arial" w:cs="Arial" w:eastAsia="Arial" w:hAnsi="Arial"/>
          <w:sz w:val="14"/>
          <w:szCs w:val="14"/>
          <w:color w:val="auto"/>
        </w:rPr>
        <w:t xml:space="preserve">The Company has not made any residual value guarantees related to its operating leases; therefore, the Company has no corresponding liability recorded on its Consolidated Balance Sheets. </w:t>
      </w:r>
      <w:r>
        <w:rPr>
          <w:rFonts w:ascii="Arial" w:cs="Arial" w:eastAsia="Arial" w:hAnsi="Arial"/>
          <w:sz w:val="14"/>
          <w:szCs w:val="14"/>
          <w:b w:val="1"/>
          <w:bCs w:val="1"/>
          <w:i w:val="1"/>
          <w:iCs w:val="1"/>
          <w:color w:val="auto"/>
        </w:rPr>
        <w:t>Stock-Based Compensation</w:t>
      </w:r>
    </w:p>
    <w:p>
      <w:pPr>
        <w:spacing w:after="0" w:line="1" w:lineRule="exact"/>
        <w:rPr>
          <w:sz w:val="20"/>
          <w:szCs w:val="20"/>
          <w:color w:val="auto"/>
        </w:rPr>
      </w:pPr>
    </w:p>
    <w:p>
      <w:pPr>
        <w:ind w:firstLine="382"/>
        <w:spacing w:after="0" w:line="288" w:lineRule="auto"/>
        <w:rPr>
          <w:sz w:val="20"/>
          <w:szCs w:val="20"/>
          <w:color w:val="auto"/>
        </w:rPr>
      </w:pPr>
      <w:r>
        <w:rPr>
          <w:rFonts w:ascii="Arial" w:cs="Arial" w:eastAsia="Arial" w:hAnsi="Arial"/>
          <w:sz w:val="13"/>
          <w:szCs w:val="13"/>
          <w:color w:val="auto"/>
        </w:rPr>
        <w:t xml:space="preserve">All share-based payments, including grants of stock option awards and restricted stock unit awards, are recognized in the Company’s Consolidated Statements of Comprehensive Loss based on their fair values. The fair value of stock option awards is estimated using the Black-Scholes option pricing model. The fair value of restricted stock unit awards is based on the grant date closing price of the common stock. Stock-based compensation cost is recognized as expense on a straight-line basis over the requisite service period of the award. In addition, the Company has outstanding performance-based stock options for which </w:t>
      </w:r>
      <w:r>
        <w:rPr>
          <w:rFonts w:ascii="Arial" w:cs="Arial" w:eastAsia="Arial" w:hAnsi="Arial"/>
          <w:sz w:val="13"/>
          <w:szCs w:val="13"/>
          <w:i w:val="1"/>
          <w:iCs w:val="1"/>
          <w:color w:val="auto"/>
        </w:rPr>
        <w:t>no</w:t>
      </w:r>
      <w:r>
        <w:rPr>
          <w:rFonts w:ascii="Arial" w:cs="Arial" w:eastAsia="Arial" w:hAnsi="Arial"/>
          <w:sz w:val="13"/>
          <w:szCs w:val="13"/>
          <w:color w:val="auto"/>
        </w:rPr>
        <w:t xml:space="preserve"> compensation expense is recognized until “performance” is deemed to have occurred.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 and Deferred Financing Costs</w:t>
      </w:r>
    </w:p>
    <w:p>
      <w:pPr>
        <w:spacing w:after="0" w:line="147" w:lineRule="exact"/>
        <w:rPr>
          <w:sz w:val="20"/>
          <w:szCs w:val="20"/>
          <w:color w:val="auto"/>
        </w:rPr>
      </w:pPr>
    </w:p>
    <w:p>
      <w:pPr>
        <w:ind w:right="60" w:firstLine="382"/>
        <w:spacing w:after="0" w:line="284" w:lineRule="auto"/>
        <w:rPr>
          <w:sz w:val="20"/>
          <w:szCs w:val="20"/>
          <w:color w:val="auto"/>
        </w:rPr>
      </w:pPr>
      <w:r>
        <w:rPr>
          <w:rFonts w:ascii="Arial" w:cs="Arial" w:eastAsia="Arial" w:hAnsi="Arial"/>
          <w:sz w:val="13"/>
          <w:szCs w:val="13"/>
          <w:color w:val="auto"/>
        </w:rPr>
        <w:t>Interest expense for the three and six months ended June 30, 2022 was $24,022 and $47,859, respectively, and $13,495 and $26,399 for the three and six months ended June 30, 2021, respectively, and primarily relates to the royalty financing obligations (Note 6), the secured term loan borrowing from the Credit Agreement (Note 7) and the PhaRMA Notes (Note 6). Costs directly associated with the borrowings have been capitalized and are netted against the corresponding debt liabilities on the Consolidated Balance Sheets. These costs are being amortized to interest expense over the terms of the corresponding borrowings using the effective interest rate method. Amortization of deferred financing costs included in interest expense was $(172) and $(339) for the three and six months ended June 30, 2022, respectively, and $(154) and $(211) for the three and six months ended June 30, 2021, respectively.</w:t>
      </w:r>
    </w:p>
    <w:p>
      <w:pPr>
        <w:spacing w:after="0" w:line="113" w:lineRule="exact"/>
        <w:rPr>
          <w:sz w:val="20"/>
          <w:szCs w:val="20"/>
          <w:color w:val="auto"/>
        </w:rPr>
      </w:pPr>
    </w:p>
    <w:p>
      <w:pPr>
        <w:ind w:right="420" w:firstLine="382"/>
        <w:spacing w:after="0" w:line="281" w:lineRule="auto"/>
        <w:rPr>
          <w:sz w:val="20"/>
          <w:szCs w:val="20"/>
          <w:color w:val="auto"/>
        </w:rPr>
      </w:pPr>
      <w:r>
        <w:rPr>
          <w:rFonts w:ascii="Arial" w:cs="Arial" w:eastAsia="Arial" w:hAnsi="Arial"/>
          <w:sz w:val="14"/>
          <w:szCs w:val="14"/>
          <w:color w:val="auto"/>
        </w:rPr>
        <w:t>In December 2021, the PhaRMA Notes and associated accrued interest payable was written-off into other income as a debt extinguishment (Refer to “Note 6—Royalty Monetizations— RAPIACTA—Non-Recourse Notes Payable – Debt Extinguishment” for additional information regarding the debt extinguishment).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 and Royalty Financing Obligations</w:t>
      </w:r>
    </w:p>
    <w:p>
      <w:pPr>
        <w:spacing w:after="0" w:line="157" w:lineRule="exact"/>
        <w:rPr>
          <w:sz w:val="20"/>
          <w:szCs w:val="20"/>
          <w:color w:val="auto"/>
        </w:rPr>
      </w:pPr>
    </w:p>
    <w:p>
      <w:pPr>
        <w:ind w:right="40" w:firstLine="382"/>
        <w:spacing w:after="0" w:line="280" w:lineRule="auto"/>
        <w:rPr>
          <w:sz w:val="20"/>
          <w:szCs w:val="20"/>
          <w:color w:val="auto"/>
        </w:rPr>
      </w:pPr>
      <w:r>
        <w:rPr>
          <w:rFonts w:ascii="Arial" w:cs="Arial" w:eastAsia="Arial" w:hAnsi="Arial"/>
          <w:sz w:val="13"/>
          <w:szCs w:val="13"/>
          <w:color w:val="auto"/>
        </w:rPr>
        <w:t>The royalty financing obligations are eligible to be repaid based on royalties from net sales of ORLADEYO, BCX9930, and another earlier stage Factor D inhibitor.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47" w:lineRule="exact"/>
        <w:rPr>
          <w:sz w:val="20"/>
          <w:szCs w:val="20"/>
          <w:color w:val="auto"/>
        </w:rPr>
      </w:pPr>
    </w:p>
    <w:p>
      <w:pPr>
        <w:ind w:right="500" w:firstLine="382"/>
        <w:spacing w:after="0" w:line="368" w:lineRule="auto"/>
        <w:rPr>
          <w:sz w:val="20"/>
          <w:szCs w:val="20"/>
          <w:color w:val="auto"/>
        </w:rPr>
      </w:pPr>
      <w:r>
        <w:rPr>
          <w:rFonts w:ascii="Arial" w:cs="Arial" w:eastAsia="Arial" w:hAnsi="Arial"/>
          <w:sz w:val="12"/>
          <w:szCs w:val="12"/>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65" w:lineRule="exact"/>
        <w:rPr>
          <w:sz w:val="20"/>
          <w:szCs w:val="20"/>
          <w:color w:val="auto"/>
        </w:rPr>
      </w:pPr>
    </w:p>
    <w:p>
      <w:pPr>
        <w:ind w:right="260" w:firstLine="382"/>
        <w:spacing w:after="0" w:line="281" w:lineRule="auto"/>
        <w:rPr>
          <w:sz w:val="20"/>
          <w:szCs w:val="20"/>
          <w:color w:val="auto"/>
        </w:rPr>
      </w:pPr>
      <w:r>
        <w:rPr>
          <w:rFonts w:ascii="Arial" w:cs="Arial" w:eastAsia="Arial" w:hAnsi="Arial"/>
          <w:sz w:val="14"/>
          <w:szCs w:val="14"/>
          <w:color w:val="auto"/>
        </w:rPr>
        <w:t>Beginning in fiscal year 2021, the Company began accruing U.S. state income taxes and foreign income taxes as a result of increased sales of ORLADEYO and increased nexus in multiple states and foreign jurisdictions where historically the Company had no presence.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Per Share</w:t>
      </w:r>
    </w:p>
    <w:p>
      <w:pPr>
        <w:spacing w:after="0" w:line="147" w:lineRule="exact"/>
        <w:rPr>
          <w:sz w:val="20"/>
          <w:szCs w:val="20"/>
          <w:color w:val="auto"/>
        </w:rPr>
      </w:pPr>
    </w:p>
    <w:p>
      <w:pPr>
        <w:ind w:firstLine="382"/>
        <w:spacing w:after="0" w:line="288" w:lineRule="auto"/>
        <w:rPr>
          <w:sz w:val="20"/>
          <w:szCs w:val="20"/>
          <w:color w:val="auto"/>
        </w:rPr>
      </w:pPr>
      <w:r>
        <w:rPr>
          <w:rFonts w:ascii="Arial" w:cs="Arial" w:eastAsia="Arial" w:hAnsi="Arial"/>
          <w:sz w:val="13"/>
          <w:szCs w:val="13"/>
          <w:color w:val="auto"/>
        </w:rPr>
        <w:t>Net loss per share is based upon the weighted average number of common shares outstanding during the period. Diluted loss per share is equivalent to basic net loss per share for all periods presented herein because common equivalent shares from unexercised stock options, warrants and common shares expected to be issued under the Company’s equity compensation plans were anti-dilutive. The calculation of diluted earnings per share does not include 23,090 and 25,877 shares of potential common stock for the three and six months ended June 30, 2022, respectively, and 27,419 and 25,871 shares of potential common stock for the three and six months ended June 30, 2021, respectively, as their impact would be anti-dilutive.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Accumulated Other Comprehensive Income</w:t>
      </w:r>
    </w:p>
    <w:p>
      <w:pPr>
        <w:spacing w:after="0" w:line="147" w:lineRule="exact"/>
        <w:rPr>
          <w:sz w:val="20"/>
          <w:szCs w:val="20"/>
          <w:color w:val="auto"/>
        </w:rPr>
      </w:pPr>
    </w:p>
    <w:p>
      <w:pPr>
        <w:ind w:right="60" w:firstLine="382"/>
        <w:spacing w:after="0" w:line="288" w:lineRule="auto"/>
        <w:rPr>
          <w:sz w:val="20"/>
          <w:szCs w:val="20"/>
          <w:color w:val="auto"/>
        </w:rPr>
      </w:pPr>
      <w:r>
        <w:rPr>
          <w:rFonts w:ascii="Arial" w:cs="Arial" w:eastAsia="Arial" w:hAnsi="Arial"/>
          <w:sz w:val="13"/>
          <w:szCs w:val="13"/>
          <w:color w:val="auto"/>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Consolidated Statements of Comprehensive Loss. There were no realized gains or losses reclassified out of accumulated other comprehensive income for the six months ended June 30, 2022. For the six months ended June 30, 2021, realized gains of $1 were reclassified out of accumulated other comprehensive loss.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Customers and Other Risks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Significant Customers</w:t>
      </w:r>
    </w:p>
    <w:p>
      <w:pPr>
        <w:spacing w:after="0" w:line="147" w:lineRule="exact"/>
        <w:rPr>
          <w:sz w:val="20"/>
          <w:szCs w:val="20"/>
          <w:color w:val="auto"/>
        </w:rPr>
      </w:pPr>
    </w:p>
    <w:p>
      <w:pPr>
        <w:jc w:val="both"/>
        <w:ind w:right="80" w:firstLine="382"/>
        <w:spacing w:after="0" w:line="267" w:lineRule="auto"/>
        <w:rPr>
          <w:sz w:val="20"/>
          <w:szCs w:val="20"/>
          <w:color w:val="auto"/>
        </w:rPr>
      </w:pPr>
      <w:r>
        <w:rPr>
          <w:rFonts w:ascii="Arial" w:cs="Arial" w:eastAsia="Arial" w:hAnsi="Arial"/>
          <w:sz w:val="14"/>
          <w:szCs w:val="14"/>
          <w:color w:val="auto"/>
        </w:rPr>
        <w:t>The Company’s primary sources of revenue and cash flow are the sales of ORLADEYO to a specialty pharmacy, the reimbursement of galidesivir (formerly BCX4430) development expenses earned under cost-plus-fixed-fee contracts with BARDA/HHS and NIAID/HHS and sales of RAPIVAB (peramivir injection) under the Company's procurement contract with the Assistant Secretary for Preparedness and Response within HHS.</w:t>
      </w:r>
    </w:p>
    <w:p>
      <w:pPr>
        <w:spacing w:after="0" w:line="110" w:lineRule="exact"/>
        <w:rPr>
          <w:sz w:val="20"/>
          <w:szCs w:val="20"/>
          <w:color w:val="auto"/>
        </w:rPr>
      </w:pPr>
    </w:p>
    <w:p>
      <w:pPr>
        <w:jc w:val="both"/>
        <w:ind w:right="60" w:firstLine="382"/>
        <w:spacing w:after="0" w:line="267" w:lineRule="auto"/>
        <w:rPr>
          <w:sz w:val="20"/>
          <w:szCs w:val="20"/>
          <w:color w:val="auto"/>
        </w:rPr>
      </w:pPr>
      <w:r>
        <w:rPr>
          <w:rFonts w:ascii="Arial" w:cs="Arial" w:eastAsia="Arial" w:hAnsi="Arial"/>
          <w:sz w:val="14"/>
          <w:szCs w:val="14"/>
          <w:color w:val="auto"/>
        </w:rPr>
        <w:t>ORLADEYO is distributed through an arrangement with a single specialty pharmacy in the United States.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firstLine="382"/>
        <w:spacing w:after="0" w:line="262" w:lineRule="auto"/>
        <w:rPr>
          <w:sz w:val="20"/>
          <w:szCs w:val="20"/>
          <w:color w:val="auto"/>
        </w:rPr>
      </w:pPr>
      <w:r>
        <w:rPr>
          <w:rFonts w:ascii="Arial" w:cs="Arial" w:eastAsia="Arial" w:hAnsi="Arial"/>
          <w:sz w:val="14"/>
          <w:szCs w:val="14"/>
          <w:color w:val="auto"/>
        </w:rPr>
        <w:t>The Company relies on BARDA/HHS and NIAID/HHS to reimburse predominantly all of the development costs for its galidesivir program and stockpiling sales of RAPIVAB to HHS. Accordingly, reimbursement of these expenses represents a significant portion of the Company’s collaborative and other research and development revenues. Additionally, HHS is the primary customer for RABIVAB. The completion or termination of the NIAID/HHS and BARDA/HHS galidesivir contracts or the reduction or stoppage of purchases of RAPIVAB by HHS could adversely impact the Company’s business, results of operations and financial condition.</w:t>
      </w:r>
    </w:p>
    <w:p>
      <w:pPr>
        <w:spacing w:after="0" w:line="125"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Risks from Third-Party Manufacturing and Distribution Concentration</w:t>
      </w:r>
    </w:p>
    <w:p>
      <w:pPr>
        <w:spacing w:after="0" w:line="147"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The Company relies on single source manufacturers for active pharmaceutical ingredient and finished drug product manufacturing of product candidates in development and on a single specialty pharmacy for distribution of approved drug product in the United States. Delays in the manufacture or distribution of any product could adversely impact the commercial revenue and future procurement stockpiling of the Company’s product candidates.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Risk</w:t>
      </w:r>
    </w:p>
    <w:p>
      <w:pPr>
        <w:spacing w:after="0" w:line="147"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Cash equivalents and investments are financial instruments that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spacing w:after="0" w:line="114" w:lineRule="exact"/>
        <w:rPr>
          <w:sz w:val="20"/>
          <w:szCs w:val="20"/>
          <w:color w:val="auto"/>
        </w:rPr>
      </w:pPr>
    </w:p>
    <w:p>
      <w:pPr>
        <w:ind w:right="300" w:firstLine="382"/>
        <w:spacing w:after="0" w:line="267" w:lineRule="auto"/>
        <w:rPr>
          <w:sz w:val="20"/>
          <w:szCs w:val="20"/>
          <w:color w:val="auto"/>
        </w:rPr>
      </w:pPr>
      <w:r>
        <w:rPr>
          <w:rFonts w:ascii="Arial" w:cs="Arial" w:eastAsia="Arial" w:hAnsi="Arial"/>
          <w:sz w:val="14"/>
          <w:szCs w:val="14"/>
          <w:color w:val="auto"/>
        </w:rPr>
        <w:t>The Company’s receivables from sales of ORLADEYO are primarily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majority of the Company’s receivables from collaborations are due from the U.S. Government, for which there is no assumed credit risk.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47" w:lineRule="exact"/>
        <w:rPr>
          <w:sz w:val="20"/>
          <w:szCs w:val="20"/>
          <w:color w:val="auto"/>
        </w:rPr>
      </w:pPr>
    </w:p>
    <w:p>
      <w:pPr>
        <w:ind w:right="100" w:firstLine="382"/>
        <w:spacing w:after="0" w:line="267" w:lineRule="auto"/>
        <w:rPr>
          <w:sz w:val="20"/>
          <w:szCs w:val="20"/>
          <w:color w:val="auto"/>
        </w:rPr>
      </w:pPr>
      <w:r>
        <w:rPr>
          <w:rFonts w:ascii="Arial" w:cs="Arial" w:eastAsia="Arial" w:hAnsi="Arial"/>
          <w:sz w:val="14"/>
          <w:szCs w:val="14"/>
          <w:color w:val="auto"/>
        </w:rPr>
        <w:t>There have been no new accounting pronouncements adopted by the Company or new accounting pronouncements issued by the Financial Accounting Standards Board during the six months ended June 30, 2022, as compared to the recent accounting pronouncements described in Note 1 of the Company’s Annual Report on Form 10-K for the year ended December 31, 2021, that the Company believes are of significance or potential significance to the Company.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08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786"/>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Note 2 </w:t>
            </w:r>
            <w:r>
              <w:rPr>
                <w:rFonts w:ascii="Arial" w:cs="Arial" w:eastAsia="Arial" w:hAnsi="Arial"/>
                <w:sz w:val="14"/>
                <w:szCs w:val="14"/>
                <w:color w:val="auto"/>
              </w:rPr>
              <w:t>—</w:t>
            </w:r>
            <w:r>
              <w:rPr>
                <w:rFonts w:ascii="Arial" w:cs="Arial" w:eastAsia="Arial" w:hAnsi="Arial"/>
                <w:sz w:val="14"/>
                <w:szCs w:val="14"/>
                <w:b w:val="1"/>
                <w:bCs w:val="1"/>
                <w:color w:val="auto"/>
              </w:rPr>
              <w:t xml:space="preserve"> Revenue</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8"/>
        </w:trPr>
        <w:tc>
          <w:tcPr>
            <w:tcW w:w="5080" w:type="dxa"/>
            <w:vAlign w:val="bottom"/>
            <w:gridSpan w:val="2"/>
          </w:tcPr>
          <w:p>
            <w:pPr>
              <w:ind w:left="380"/>
              <w:spacing w:after="0"/>
              <w:rPr>
                <w:sz w:val="20"/>
                <w:szCs w:val="20"/>
                <w:color w:val="auto"/>
              </w:rPr>
            </w:pPr>
            <w:r>
              <w:rPr>
                <w:rFonts w:ascii="Arial" w:cs="Arial" w:eastAsia="Arial" w:hAnsi="Arial"/>
                <w:sz w:val="14"/>
                <w:szCs w:val="14"/>
                <w:color w:val="auto"/>
              </w:rPr>
              <w:t>The Company recorded the following revenues (in thousands):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0"/>
        </w:trPr>
        <w:tc>
          <w:tcPr>
            <w:tcW w:w="1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649"/>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1000" w:type="dxa"/>
            <w:vAlign w:val="bottom"/>
            <w:tcBorders>
              <w:bottom w:val="single" w:sz="8" w:color="CCEEFF"/>
            </w:tcBorders>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r>
      <w:tr>
        <w:trPr>
          <w:trHeight w:val="16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 sales, net:</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ORLADEYO</w:t>
            </w:r>
          </w:p>
        </w:tc>
        <w:tc>
          <w:tcPr>
            <w:tcW w:w="980" w:type="dxa"/>
            <w:vAlign w:val="bottom"/>
          </w:tcPr>
          <w:p>
            <w:pPr>
              <w:jc w:val="right"/>
              <w:ind w:right="80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64,711</w:t>
            </w:r>
          </w:p>
        </w:tc>
        <w:tc>
          <w:tcPr>
            <w:tcW w:w="80" w:type="dxa"/>
            <w:vAlign w:val="bottom"/>
          </w:tcPr>
          <w:p>
            <w:pPr>
              <w:spacing w:after="0"/>
              <w:rPr>
                <w:sz w:val="15"/>
                <w:szCs w:val="15"/>
                <w:color w:val="auto"/>
              </w:rPr>
            </w:pP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28,374</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114,097</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39,312</w:t>
            </w:r>
          </w:p>
        </w:tc>
      </w:tr>
      <w:tr>
        <w:trPr>
          <w:trHeight w:val="181"/>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RAPIVAB</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4,622</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4,735</w:t>
            </w:r>
          </w:p>
        </w:tc>
      </w:tr>
      <w:tr>
        <w:trPr>
          <w:trHeight w:val="180"/>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Peramivir</w:t>
            </w:r>
          </w:p>
        </w:tc>
        <w:tc>
          <w:tcPr>
            <w:tcW w:w="9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434</w:t>
            </w:r>
          </w:p>
        </w:tc>
        <w:tc>
          <w:tcPr>
            <w:tcW w:w="3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7,254</w:t>
            </w:r>
          </w:p>
        </w:tc>
      </w:tr>
      <w:tr>
        <w:trPr>
          <w:trHeight w:val="171"/>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product sales, net</w:t>
            </w: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64,888</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33,430</w:t>
            </w: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114,434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51,301</w:t>
            </w:r>
          </w:p>
        </w:tc>
      </w:tr>
      <w:tr>
        <w:trPr>
          <w:trHeight w:val="171"/>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Royalty revenue</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540</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128</w:t>
            </w: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(769)</w:t>
            </w:r>
          </w:p>
        </w:tc>
      </w:tr>
      <w:tr>
        <w:trPr>
          <w:trHeight w:val="181"/>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Milestone revenue</w:t>
            </w:r>
          </w:p>
        </w:tc>
        <w:tc>
          <w:tcPr>
            <w:tcW w:w="9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3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r>
      <w:tr>
        <w:trPr>
          <w:trHeight w:val="180"/>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Collaborative and other research and development revenues:</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U.S. Department of Health and Human Services</w:t>
            </w: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w:t>
            </w:r>
          </w:p>
        </w:tc>
      </w:tr>
      <w:tr>
        <w:trPr>
          <w:trHeight w:val="171"/>
        </w:trPr>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collaborative and other research and development revenues</w:t>
            </w: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3,486</w:t>
            </w:r>
          </w:p>
        </w:tc>
      </w:tr>
      <w:tr>
        <w:trPr>
          <w:trHeight w:val="196"/>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65,532</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49,959</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115,455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69,018</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3 </w:t>
      </w:r>
      <w:r>
        <w:rPr>
          <w:rFonts w:ascii="Arial" w:cs="Arial" w:eastAsia="Arial" w:hAnsi="Arial"/>
          <w:sz w:val="14"/>
          <w:szCs w:val="14"/>
          <w:color w:val="auto"/>
        </w:rPr>
        <w:t>—</w:t>
      </w:r>
      <w:r>
        <w:rPr>
          <w:rFonts w:ascii="Arial" w:cs="Arial" w:eastAsia="Arial" w:hAnsi="Arial"/>
          <w:sz w:val="14"/>
          <w:szCs w:val="14"/>
          <w:b w:val="1"/>
          <w:bCs w:val="1"/>
          <w:color w:val="auto"/>
        </w:rPr>
        <w:t xml:space="preserve"> Investments</w:t>
      </w:r>
    </w:p>
    <w:p>
      <w:pPr>
        <w:spacing w:after="0" w:line="151" w:lineRule="exact"/>
        <w:rPr>
          <w:sz w:val="20"/>
          <w:szCs w:val="20"/>
          <w:color w:val="auto"/>
        </w:rPr>
      </w:pPr>
    </w:p>
    <w:p>
      <w:pPr>
        <w:ind w:right="80" w:firstLine="382"/>
        <w:spacing w:after="0" w:line="297" w:lineRule="auto"/>
        <w:rPr>
          <w:sz w:val="20"/>
          <w:szCs w:val="20"/>
          <w:color w:val="auto"/>
        </w:rPr>
      </w:pPr>
      <w:r>
        <w:rPr>
          <w:rFonts w:ascii="Arial" w:cs="Arial" w:eastAsia="Arial" w:hAnsi="Arial"/>
          <w:sz w:val="13"/>
          <w:szCs w:val="13"/>
          <w:color w:val="auto"/>
        </w:rPr>
        <w:t>The following tables summarize the fair value of the Company’s investments by type. The estimated fair values of the Company’s fixed income investments are classified as Level 2 in the fair value hierarchy as defined in U.S. GAAP.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which utilize Level 2 inputs.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June 30, 2022</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1"/>
                <w:szCs w:val="11"/>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Accrued</w:t>
            </w: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3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38"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1"/>
                <w:szCs w:val="11"/>
                <w:color w:val="auto"/>
              </w:rPr>
            </w:pPr>
          </w:p>
        </w:tc>
        <w:tc>
          <w:tcPr>
            <w:tcW w:w="132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260" w:type="dxa"/>
            <w:vAlign w:val="bottom"/>
          </w:tcPr>
          <w:p>
            <w:pPr>
              <w:spacing w:after="0"/>
              <w:rPr>
                <w:sz w:val="15"/>
                <w:szCs w:val="15"/>
                <w:color w:val="auto"/>
              </w:rPr>
            </w:pP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Obligations of U.S. Government and its agencies</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137,222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136,966</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Arial" w:cs="Arial" w:eastAsia="Arial" w:hAnsi="Arial"/>
                <w:sz w:val="14"/>
                <w:szCs w:val="14"/>
                <w:color w:val="auto"/>
              </w:rPr>
              <w:t>Corporate debt securities</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6,299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6,308</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Certificates of deposit</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71"/>
        </w:trPr>
        <w:tc>
          <w:tcPr>
            <w:tcW w:w="3520" w:type="dxa"/>
            <w:vAlign w:val="bottom"/>
          </w:tcPr>
          <w:p>
            <w:pPr>
              <w:ind w:left="20"/>
              <w:spacing w:after="0"/>
              <w:rPr>
                <w:sz w:val="20"/>
                <w:szCs w:val="20"/>
                <w:color w:val="auto"/>
              </w:rPr>
            </w:pPr>
            <w:r>
              <w:rPr>
                <w:rFonts w:ascii="Arial" w:cs="Arial" w:eastAsia="Arial" w:hAnsi="Arial"/>
                <w:sz w:val="14"/>
                <w:szCs w:val="14"/>
                <w:color w:val="auto"/>
              </w:rPr>
              <w:t>Total investments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145,165</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144,912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December 31, 2021</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1"/>
                <w:szCs w:val="11"/>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Accrued</w:t>
            </w: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3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38"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1"/>
                <w:szCs w:val="11"/>
                <w:color w:val="auto"/>
              </w:rPr>
            </w:pPr>
          </w:p>
        </w:tc>
        <w:tc>
          <w:tcPr>
            <w:tcW w:w="132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260" w:type="dxa"/>
            <w:vAlign w:val="bottom"/>
          </w:tcPr>
          <w:p>
            <w:pPr>
              <w:spacing w:after="0"/>
              <w:rPr>
                <w:sz w:val="15"/>
                <w:szCs w:val="15"/>
                <w:color w:val="auto"/>
              </w:rPr>
            </w:pP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Obligations of U.S. Government and its agencies</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4,053</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Arial" w:cs="Arial" w:eastAsia="Arial" w:hAnsi="Arial"/>
                <w:sz w:val="14"/>
                <w:szCs w:val="14"/>
                <w:color w:val="auto"/>
              </w:rPr>
              <w:t>Corporate debt securities</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4,294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4,329</w:t>
            </w: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Certificates of deposit</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171"/>
        </w:trPr>
        <w:tc>
          <w:tcPr>
            <w:tcW w:w="3520" w:type="dxa"/>
            <w:vAlign w:val="bottom"/>
          </w:tcPr>
          <w:p>
            <w:pPr>
              <w:ind w:left="20"/>
              <w:spacing w:after="0"/>
              <w:rPr>
                <w:sz w:val="20"/>
                <w:szCs w:val="20"/>
                <w:color w:val="auto"/>
              </w:rPr>
            </w:pPr>
            <w:r>
              <w:rPr>
                <w:rFonts w:ascii="Arial" w:cs="Arial" w:eastAsia="Arial" w:hAnsi="Arial"/>
                <w:sz w:val="14"/>
                <w:szCs w:val="14"/>
                <w:color w:val="auto"/>
              </w:rPr>
              <w:t>Total investments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9,989</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10,041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789"/>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5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scheduled maturity for the Company’s investments at June 30, 2022 and 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December 31, 2021</w:t>
            </w:r>
          </w:p>
        </w:tc>
      </w:tr>
      <w:tr>
        <w:trPr>
          <w:trHeight w:val="171"/>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Maturing in one year or less</w:t>
            </w:r>
          </w:p>
        </w:tc>
        <w:tc>
          <w:tcPr>
            <w:tcW w:w="1420" w:type="dxa"/>
            <w:vAlign w:val="bottom"/>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144,912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3,212</w:t>
            </w:r>
          </w:p>
        </w:tc>
      </w:tr>
      <w:tr>
        <w:trPr>
          <w:trHeight w:val="180"/>
        </w:trPr>
        <w:tc>
          <w:tcPr>
            <w:tcW w:w="7240" w:type="dxa"/>
            <w:vAlign w:val="bottom"/>
          </w:tcPr>
          <w:p>
            <w:pPr>
              <w:ind w:left="20"/>
              <w:spacing w:after="0"/>
              <w:rPr>
                <w:sz w:val="20"/>
                <w:szCs w:val="20"/>
                <w:color w:val="auto"/>
              </w:rPr>
            </w:pPr>
            <w:r>
              <w:rPr>
                <w:rFonts w:ascii="Arial" w:cs="Arial" w:eastAsia="Arial" w:hAnsi="Arial"/>
                <w:sz w:val="14"/>
                <w:szCs w:val="14"/>
                <w:color w:val="auto"/>
              </w:rPr>
              <w:t>Maturing after one year through two years</w:t>
            </w:r>
          </w:p>
        </w:tc>
        <w:tc>
          <w:tcPr>
            <w:tcW w:w="14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6,829</w:t>
            </w:r>
          </w:p>
        </w:tc>
      </w:tr>
      <w:tr>
        <w:trPr>
          <w:trHeight w:val="196"/>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investments</w:t>
            </w:r>
          </w:p>
        </w:tc>
        <w:tc>
          <w:tcPr>
            <w:tcW w:w="1420" w:type="dxa"/>
            <w:vAlign w:val="bottom"/>
            <w:tcBorders>
              <w:top w:val="single" w:sz="8" w:color="auto"/>
              <w:bottom w:val="single" w:sz="8" w:color="auto"/>
            </w:tcBorders>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144,912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4 </w:t>
      </w:r>
      <w:r>
        <w:rPr>
          <w:rFonts w:ascii="Arial" w:cs="Arial" w:eastAsia="Arial" w:hAnsi="Arial"/>
          <w:sz w:val="14"/>
          <w:szCs w:val="14"/>
          <w:color w:val="auto"/>
        </w:rPr>
        <w:t>—</w:t>
      </w:r>
      <w:r>
        <w:rPr>
          <w:rFonts w:ascii="Arial" w:cs="Arial" w:eastAsia="Arial" w:hAnsi="Arial"/>
          <w:sz w:val="14"/>
          <w:szCs w:val="14"/>
          <w:b w:val="1"/>
          <w:bCs w:val="1"/>
          <w:color w:val="auto"/>
        </w:rPr>
        <w:t xml:space="preserve"> Trade Receivables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Sales</w:t>
      </w:r>
    </w:p>
    <w:p>
      <w:pPr>
        <w:spacing w:after="0" w:line="147"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Receivables from product sales are recorded for amounts due to the Company related to sales of ORLADEYO and RAPIVAB. At June 30, 2022 and December 31, 2021, receivables related to sales of ORLADEYO were $39,587 and $27,384, respectively. At June 30, 2022 and December 31, 2021, receivables related to sales of RAPIVAB were $61 and $49, respectively. No reserve or allowance amounts were recorded as of June 30, 2022 and December 31, 2021, respectively.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60" w:type="dxa"/>
            <w:vAlign w:val="bottom"/>
          </w:tcPr>
          <w:p>
            <w:pPr>
              <w:spacing w:after="0"/>
              <w:rPr>
                <w:sz w:val="20"/>
                <w:szCs w:val="20"/>
                <w:color w:val="auto"/>
              </w:rPr>
            </w:pPr>
            <w:r>
              <w:rPr>
                <w:rFonts w:ascii="Arial" w:cs="Arial" w:eastAsia="Arial" w:hAnsi="Arial"/>
                <w:sz w:val="14"/>
                <w:szCs w:val="14"/>
                <w:b w:val="1"/>
                <w:bCs w:val="1"/>
                <w:i w:val="1"/>
                <w:iCs w:val="1"/>
                <w:color w:val="auto"/>
              </w:rPr>
              <w:t>Collaborations</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18"/>
        </w:trPr>
        <w:tc>
          <w:tcPr>
            <w:tcW w:w="6660" w:type="dxa"/>
            <w:vAlign w:val="bottom"/>
          </w:tcPr>
          <w:p>
            <w:pPr>
              <w:ind w:left="380"/>
              <w:spacing w:after="0"/>
              <w:rPr>
                <w:sz w:val="20"/>
                <w:szCs w:val="20"/>
                <w:color w:val="auto"/>
              </w:rPr>
            </w:pPr>
            <w:r>
              <w:rPr>
                <w:rFonts w:ascii="Arial" w:cs="Arial" w:eastAsia="Arial" w:hAnsi="Arial"/>
                <w:sz w:val="14"/>
                <w:szCs w:val="14"/>
                <w:color w:val="auto"/>
              </w:rPr>
              <w:t>Receivables from collaborations were as follows (in thousands):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0"/>
        </w:trPr>
        <w:tc>
          <w:tcPr>
            <w:tcW w:w="66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2022</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1"/>
        </w:trPr>
        <w:tc>
          <w:tcPr>
            <w:tcW w:w="666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auto"/>
              </w:rPr>
              <w:t>Billed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Unbilled</w:t>
            </w:r>
          </w:p>
        </w:tc>
        <w:tc>
          <w:tcPr>
            <w:tcW w:w="340" w:type="dxa"/>
            <w:vAlign w:val="bottom"/>
          </w:tcPr>
          <w:p>
            <w:pPr>
              <w:spacing w:after="0"/>
              <w:rPr>
                <w:sz w:val="14"/>
                <w:szCs w:val="14"/>
                <w:color w:val="auto"/>
              </w:rPr>
            </w:pPr>
          </w:p>
        </w:tc>
        <w:tc>
          <w:tcPr>
            <w:tcW w:w="1140" w:type="dxa"/>
            <w:vAlign w:val="bottom"/>
          </w:tcPr>
          <w:p>
            <w:pPr>
              <w:jc w:val="right"/>
              <w:ind w:right="509"/>
              <w:spacing w:after="0"/>
              <w:rPr>
                <w:sz w:val="20"/>
                <w:szCs w:val="20"/>
                <w:color w:val="auto"/>
              </w:rPr>
            </w:pPr>
            <w:r>
              <w:rPr>
                <w:rFonts w:ascii="Arial" w:cs="Arial" w:eastAsia="Arial" w:hAnsi="Arial"/>
                <w:sz w:val="14"/>
                <w:szCs w:val="14"/>
                <w:b w:val="1"/>
                <w:bCs w:val="1"/>
                <w:color w:val="auto"/>
              </w:rPr>
              <w:t>Total</w:t>
            </w:r>
          </w:p>
        </w:tc>
      </w:tr>
      <w:tr>
        <w:trPr>
          <w:trHeight w:val="171"/>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Department of Health and Human Services</w:t>
            </w:r>
          </w:p>
        </w:tc>
        <w:tc>
          <w:tcPr>
            <w:tcW w:w="1060" w:type="dxa"/>
            <w:vAlign w:val="bottom"/>
            <w:tcBorders>
              <w:top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Royalty receivables from partners</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540</w:t>
            </w:r>
          </w:p>
        </w:tc>
      </w:tr>
      <w:tr>
        <w:trPr>
          <w:trHeight w:val="196"/>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receivables</w:t>
            </w:r>
          </w:p>
        </w:tc>
        <w:tc>
          <w:tcPr>
            <w:tcW w:w="106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76"/>
        </w:trPr>
        <w:tc>
          <w:tcPr>
            <w:tcW w:w="66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 2021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1"/>
        </w:trPr>
        <w:tc>
          <w:tcPr>
            <w:tcW w:w="666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auto"/>
              </w:rPr>
              <w:t>Billed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Unbilled</w:t>
            </w:r>
          </w:p>
        </w:tc>
        <w:tc>
          <w:tcPr>
            <w:tcW w:w="340" w:type="dxa"/>
            <w:vAlign w:val="bottom"/>
          </w:tcPr>
          <w:p>
            <w:pPr>
              <w:spacing w:after="0"/>
              <w:rPr>
                <w:sz w:val="14"/>
                <w:szCs w:val="14"/>
                <w:color w:val="auto"/>
              </w:rPr>
            </w:pPr>
          </w:p>
        </w:tc>
        <w:tc>
          <w:tcPr>
            <w:tcW w:w="1140" w:type="dxa"/>
            <w:vAlign w:val="bottom"/>
          </w:tcPr>
          <w:p>
            <w:pPr>
              <w:jc w:val="right"/>
              <w:ind w:right="509"/>
              <w:spacing w:after="0"/>
              <w:rPr>
                <w:sz w:val="20"/>
                <w:szCs w:val="20"/>
                <w:color w:val="auto"/>
              </w:rPr>
            </w:pPr>
            <w:r>
              <w:rPr>
                <w:rFonts w:ascii="Arial" w:cs="Arial" w:eastAsia="Arial" w:hAnsi="Arial"/>
                <w:sz w:val="14"/>
                <w:szCs w:val="14"/>
                <w:b w:val="1"/>
                <w:bCs w:val="1"/>
                <w:color w:val="auto"/>
              </w:rPr>
              <w:t>Total</w:t>
            </w:r>
          </w:p>
        </w:tc>
      </w:tr>
      <w:tr>
        <w:trPr>
          <w:trHeight w:val="171"/>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Department of Health and Human Services</w:t>
            </w:r>
          </w:p>
        </w:tc>
        <w:tc>
          <w:tcPr>
            <w:tcW w:w="1060" w:type="dxa"/>
            <w:vAlign w:val="bottom"/>
            <w:tcBorders>
              <w:top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Royalty receivables from partners</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305</w:t>
            </w:r>
          </w:p>
        </w:tc>
      </w:tr>
      <w:tr>
        <w:trPr>
          <w:trHeight w:val="196"/>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receivables</w:t>
            </w:r>
          </w:p>
        </w:tc>
        <w:tc>
          <w:tcPr>
            <w:tcW w:w="106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both June 30, 2022 and December 31, 2021, the Company maintained a reserve of $701 related to royalties associated with Green Cross.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5 </w:t>
      </w:r>
      <w:r>
        <w:rPr>
          <w:rFonts w:ascii="Arial" w:cs="Arial" w:eastAsia="Arial" w:hAnsi="Arial"/>
          <w:sz w:val="14"/>
          <w:szCs w:val="14"/>
          <w:color w:val="auto"/>
        </w:rPr>
        <w:t>—</w:t>
      </w:r>
      <w:r>
        <w:rPr>
          <w:rFonts w:ascii="Arial" w:cs="Arial" w:eastAsia="Arial" w:hAnsi="Arial"/>
          <w:sz w:val="14"/>
          <w:szCs w:val="14"/>
          <w:b w:val="1"/>
          <w:bCs w:val="1"/>
          <w:color w:val="auto"/>
        </w:rPr>
        <w:t xml:space="preserve"> Inventory</w:t>
      </w:r>
    </w:p>
    <w:p>
      <w:pPr>
        <w:spacing w:after="0" w:line="161" w:lineRule="exact"/>
        <w:rPr>
          <w:sz w:val="20"/>
          <w:szCs w:val="20"/>
          <w:color w:val="auto"/>
        </w:rPr>
      </w:pPr>
    </w:p>
    <w:p>
      <w:pPr>
        <w:ind w:right="180" w:firstLine="382"/>
        <w:spacing w:after="0" w:line="281" w:lineRule="auto"/>
        <w:rPr>
          <w:sz w:val="20"/>
          <w:szCs w:val="20"/>
          <w:color w:val="auto"/>
        </w:rPr>
      </w:pPr>
      <w:r>
        <w:rPr>
          <w:rFonts w:ascii="Arial" w:cs="Arial" w:eastAsia="Arial" w:hAnsi="Arial"/>
          <w:sz w:val="14"/>
          <w:szCs w:val="14"/>
          <w:color w:val="auto"/>
        </w:rPr>
        <w:t>At June 30, 2022 and December 31, 2021, the Company’s inventory primarily related to ORLADEYO. Additionally, inventory included RAPIVAB and peramivir, which is manufactured for the Company’s partners.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60" w:type="dxa"/>
            <w:vAlign w:val="bottom"/>
          </w:tcPr>
          <w:p>
            <w:pPr>
              <w:ind w:left="380"/>
              <w:spacing w:after="0"/>
              <w:rPr>
                <w:sz w:val="20"/>
                <w:szCs w:val="20"/>
                <w:color w:val="auto"/>
              </w:rPr>
            </w:pPr>
            <w:r>
              <w:rPr>
                <w:rFonts w:ascii="Arial" w:cs="Arial" w:eastAsia="Arial" w:hAnsi="Arial"/>
                <w:sz w:val="14"/>
                <w:szCs w:val="14"/>
                <w:color w:val="auto"/>
              </w:rPr>
              <w:t>The Company’s inventories consisted of the following (in thousands):</w:t>
            </w:r>
          </w:p>
        </w:tc>
        <w:tc>
          <w:tcPr>
            <w:tcW w:w="2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496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June 30, 2022</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2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3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5,658</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2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15,616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9,669</w:t>
            </w:r>
          </w:p>
        </w:tc>
        <w:tc>
          <w:tcPr>
            <w:tcW w:w="0" w:type="dxa"/>
            <w:vAlign w:val="bottom"/>
          </w:tcPr>
          <w:p>
            <w:pPr>
              <w:spacing w:after="0"/>
              <w:rPr>
                <w:sz w:val="1"/>
                <w:szCs w:val="1"/>
                <w:color w:val="auto"/>
              </w:rPr>
            </w:pPr>
          </w:p>
        </w:tc>
      </w:tr>
      <w:tr>
        <w:trPr>
          <w:trHeight w:val="18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214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inventory</w:t>
            </w:r>
          </w:p>
        </w:tc>
        <w:tc>
          <w:tcPr>
            <w:tcW w:w="214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13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23,631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16,036</w:t>
            </w:r>
          </w:p>
        </w:tc>
        <w:tc>
          <w:tcPr>
            <w:tcW w:w="0" w:type="dxa"/>
            <w:vAlign w:val="bottom"/>
          </w:tcPr>
          <w:p>
            <w:pPr>
              <w:spacing w:after="0"/>
              <w:rPr>
                <w:sz w:val="1"/>
                <w:szCs w:val="1"/>
                <w:color w:val="auto"/>
              </w:rPr>
            </w:pP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Reserves</w:t>
            </w:r>
          </w:p>
        </w:tc>
        <w:tc>
          <w:tcPr>
            <w:tcW w:w="214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71"/>
        </w:trPr>
        <w:tc>
          <w:tcPr>
            <w:tcW w:w="4960" w:type="dxa"/>
            <w:vAlign w:val="bottom"/>
          </w:tcPr>
          <w:p>
            <w:pPr>
              <w:ind w:left="140"/>
              <w:spacing w:after="0"/>
              <w:rPr>
                <w:sz w:val="20"/>
                <w:szCs w:val="20"/>
                <w:color w:val="auto"/>
              </w:rPr>
            </w:pPr>
            <w:r>
              <w:rPr>
                <w:rFonts w:ascii="Arial" w:cs="Arial" w:eastAsia="Arial" w:hAnsi="Arial"/>
                <w:sz w:val="14"/>
                <w:szCs w:val="14"/>
                <w:color w:val="auto"/>
              </w:rPr>
              <w:t>Total inventory, net</w:t>
            </w:r>
          </w:p>
        </w:tc>
        <w:tc>
          <w:tcPr>
            <w:tcW w:w="2140" w:type="dxa"/>
            <w:vAlign w:val="bottom"/>
          </w:tcPr>
          <w:p>
            <w:pPr>
              <w:spacing w:after="0"/>
              <w:rPr>
                <w:sz w:val="14"/>
                <w:szCs w:val="14"/>
                <w:color w:val="auto"/>
              </w:rPr>
            </w:pPr>
          </w:p>
        </w:tc>
        <w:tc>
          <w:tcPr>
            <w:tcW w:w="1520" w:type="dxa"/>
            <w:vAlign w:val="bottom"/>
            <w:tcBorders>
              <w:bottom w:val="single" w:sz="8" w:color="auto"/>
            </w:tcBorders>
          </w:tcPr>
          <w:p>
            <w:pPr>
              <w:jc w:val="right"/>
              <w:ind w:right="13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23,378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15,791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140" w:type="dxa"/>
            <w:vAlign w:val="bottom"/>
            <w:vMerge w:val="restart"/>
          </w:tcPr>
          <w:p>
            <w:pPr>
              <w:jc w:val="right"/>
              <w:ind w:right="1309"/>
              <w:spacing w:after="0"/>
              <w:rPr>
                <w:sz w:val="20"/>
                <w:szCs w:val="20"/>
                <w:color w:val="auto"/>
              </w:rPr>
            </w:pPr>
            <w:r>
              <w:rPr>
                <w:rFonts w:ascii="Arial" w:cs="Arial" w:eastAsia="Arial" w:hAnsi="Arial"/>
                <w:sz w:val="14"/>
                <w:szCs w:val="14"/>
                <w:color w:val="auto"/>
              </w:rPr>
              <w:t>15</w:t>
            </w: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9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960" w:type="dxa"/>
            <w:vAlign w:val="bottom"/>
            <w:tcBorders>
              <w:bottom w:val="single" w:sz="8" w:color="9A9A9A"/>
            </w:tcBorders>
          </w:tcPr>
          <w:p>
            <w:pPr>
              <w:spacing w:after="0"/>
              <w:rPr>
                <w:sz w:val="6"/>
                <w:szCs w:val="6"/>
                <w:color w:val="auto"/>
              </w:rPr>
            </w:pPr>
          </w:p>
        </w:tc>
        <w:tc>
          <w:tcPr>
            <w:tcW w:w="214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7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6 </w:t>
      </w:r>
      <w:r>
        <w:rPr>
          <w:rFonts w:ascii="Arial" w:cs="Arial" w:eastAsia="Arial" w:hAnsi="Arial"/>
          <w:sz w:val="14"/>
          <w:szCs w:val="14"/>
          <w:color w:val="auto"/>
        </w:rPr>
        <w:t>—</w:t>
      </w:r>
      <w:r>
        <w:rPr>
          <w:rFonts w:ascii="Arial" w:cs="Arial" w:eastAsia="Arial" w:hAnsi="Arial"/>
          <w:sz w:val="14"/>
          <w:szCs w:val="14"/>
          <w:b w:val="1"/>
          <w:bCs w:val="1"/>
          <w:color w:val="auto"/>
        </w:rPr>
        <w:t xml:space="preserve"> Royalty Monetizations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RAPIACTA</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Overview</w:t>
      </w:r>
    </w:p>
    <w:p>
      <w:pPr>
        <w:spacing w:after="0" w:line="147" w:lineRule="exact"/>
        <w:rPr>
          <w:sz w:val="20"/>
          <w:szCs w:val="20"/>
          <w:color w:val="auto"/>
        </w:rPr>
      </w:pPr>
    </w:p>
    <w:p>
      <w:pPr>
        <w:ind w:right="300" w:firstLine="382"/>
        <w:spacing w:after="0" w:line="288" w:lineRule="auto"/>
        <w:rPr>
          <w:sz w:val="20"/>
          <w:szCs w:val="20"/>
          <w:color w:val="auto"/>
        </w:rPr>
      </w:pPr>
      <w:r>
        <w:rPr>
          <w:rFonts w:ascii="Arial" w:cs="Arial" w:eastAsia="Arial" w:hAnsi="Arial"/>
          <w:sz w:val="13"/>
          <w:szCs w:val="13"/>
          <w:color w:val="auto"/>
        </w:rPr>
        <w:t>On March 9, 2011, the Company completed a $30,000 financing transaction to monetize certain future royalty and milestone payments under the Company’s agreement with Shionogi (the “Shionogi Agreement”), pursuant to which Shionogi licensed from the Company the rights to market RAPIACTA in Japan and Taiwan. The Company received net proceeds of $22,691 from the transaction after transaction costs of $4,309 and the establishment of a $3,000 interest reserve account by JPR Royalty Sub LLC, a wholly-owned subsidiary of the Company (“Royalty Sub”), available to help cover interest shortfalls in the future. All of the interest reserve account has been fully utilized with the September 2012 interest payment.</w:t>
      </w:r>
    </w:p>
    <w:p>
      <w:pPr>
        <w:spacing w:after="0" w:line="110" w:lineRule="exact"/>
        <w:rPr>
          <w:sz w:val="20"/>
          <w:szCs w:val="20"/>
          <w:color w:val="auto"/>
        </w:rPr>
      </w:pPr>
    </w:p>
    <w:p>
      <w:pPr>
        <w:ind w:firstLine="382"/>
        <w:spacing w:after="0" w:line="288" w:lineRule="auto"/>
        <w:rPr>
          <w:sz w:val="20"/>
          <w:szCs w:val="20"/>
          <w:color w:val="auto"/>
        </w:rPr>
      </w:pPr>
      <w:r>
        <w:rPr>
          <w:rFonts w:ascii="Arial" w:cs="Arial" w:eastAsia="Arial" w:hAnsi="Arial"/>
          <w:sz w:val="13"/>
          <w:szCs w:val="13"/>
          <w:color w:val="auto"/>
        </w:rPr>
        <w:t>As part of the transaction, the Company entered into a purchase and sale agreement dated as of March 9, 2011 with Royalty Sub, whereby the Company transferred to Royalty Sub, among other things, (i) its rights to receive certain royalty and milestone payments from Shionogi arising under the Shionogi Agreement, and (ii) the right to receive payments under a Japanese yen/US dollar foreign currency hedge arrangement (as further described below, the “Currency Hedge Agreement”) put into place by the Company in connection with the transaction. Royalty payments are paid by Shionogi in Japanese yen, and any milestone payments will be paid in U.S. dollars. The Company’s collaboration with Shionogi was not impacted as a result of this transaction.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Non-Recourse Notes Payable</w:t>
      </w:r>
    </w:p>
    <w:p>
      <w:pPr>
        <w:spacing w:after="0" w:line="147" w:lineRule="exact"/>
        <w:rPr>
          <w:sz w:val="20"/>
          <w:szCs w:val="20"/>
          <w:color w:val="auto"/>
        </w:rPr>
      </w:pPr>
    </w:p>
    <w:p>
      <w:pPr>
        <w:ind w:right="40" w:firstLine="382"/>
        <w:spacing w:after="0" w:line="258" w:lineRule="auto"/>
        <w:rPr>
          <w:sz w:val="20"/>
          <w:szCs w:val="20"/>
          <w:color w:val="auto"/>
        </w:rPr>
      </w:pPr>
      <w:r>
        <w:rPr>
          <w:rFonts w:ascii="Arial" w:cs="Arial" w:eastAsia="Arial" w:hAnsi="Arial"/>
          <w:sz w:val="14"/>
          <w:szCs w:val="14"/>
          <w:color w:val="auto"/>
        </w:rPr>
        <w:t>On March 9, 2011, Royalty Sub completed a private placement to institutional investors of $30,000 in aggregate principal amount of its PhaRMA Senior Secured 14.0% Notes due on December 1, 2020 (the “PhaRMA Notes”). The PhaRMA Notes were issued by Royalty Sub under an Indenture, dated as of March 9, 2011 (the “Indenture”), by and between Royalty Sub and U.S. Bank National Association, as Trustee. Principal and interest on the PhaRMA Notes are payable from, and are secured by, the rights to royalty and milestone payments under the Shionogi Agreement transferred by the Company to Royalty Sub and payments, if any, made to Royalty Sub under the Currency Hedge Agreement. The PhaRMA Notes bear interest at 14% per annum, payable annually in arrears on September 1st of each year. The Company remains entitled to receive any royalties and milestone payments related to sales of peramivir by Shionogi following repayment of the PhaRMA Notes.</w:t>
      </w:r>
    </w:p>
    <w:p>
      <w:pPr>
        <w:spacing w:after="0" w:line="129"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The Company may, but is not obligated to, make capital contributions to a capital account that may be used to redeem, or on up to one occasion pay any interest shortfall on, the PhaRMA Notes.</w:t>
      </w:r>
    </w:p>
    <w:p>
      <w:pPr>
        <w:spacing w:after="0" w:line="110" w:lineRule="exact"/>
        <w:rPr>
          <w:sz w:val="20"/>
          <w:szCs w:val="20"/>
          <w:color w:val="auto"/>
        </w:rPr>
      </w:pPr>
    </w:p>
    <w:p>
      <w:pPr>
        <w:ind w:right="60" w:firstLine="382"/>
        <w:spacing w:after="0" w:line="279" w:lineRule="auto"/>
        <w:rPr>
          <w:sz w:val="20"/>
          <w:szCs w:val="20"/>
          <w:color w:val="auto"/>
        </w:rPr>
      </w:pPr>
      <w:r>
        <w:rPr>
          <w:rFonts w:ascii="Arial" w:cs="Arial" w:eastAsia="Arial" w:hAnsi="Arial"/>
          <w:sz w:val="13"/>
          <w:szCs w:val="13"/>
          <w:color w:val="auto"/>
        </w:rPr>
        <w:t>In September 2014, Royalty Sub was unable to pay the accrued interest obligation due September 3, 2013. Under the terms of the Indenture, Royalty Sub’s inability to pay the full amount of interest payable in September 2013 by the next succeeding payment date for the PhaRMA Notes, which was September 1, 2014, constituted an event of default. Accordingly, the PhaRMA Notes and related accrued interest have been classified as current liabilities on the December 31, 2014 balance sheet and thereafter. As a result of the event of default under the PhaRMA Notes, the holders of the PhaRMA Notes may foreclose on the collateral securing the PhaRMA Notes and the equity interest in Royalty Sub and exercise other remedies available to them under the Indenture in respect of the PhaRMA Notes. In such event, the Company may not realize the benefit of future royalty payments that might otherwise accrue to it following repayment of the PhaRMA Notes and it might otherwise be adversely affected. Due to the non-recourse nature of the PhaRMA Notes, in the event of any potential foreclosure, the primary impact to the Company would be the loss of future royalty payments, if any, from Shionogi and legal costs associated with retiring the PhaRMA Notes. The PhaRMA Notes had a final legal maturity date of December 1, 2020, at which time the outstanding principal amount of the PhaRMA Notes of $30,000, together with accrued and unpaid interest of $20,614, was due in full.</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Non-Recourse Notes Payable – Debt Extinguishment</w:t>
      </w:r>
    </w:p>
    <w:p>
      <w:pPr>
        <w:spacing w:after="0" w:line="157"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During 2021, the royalty-bearing patents associated with RAPIACTA in Japan expired. Accordingly, the Company evaluated the current circumstances of the PhaRMA Notes, including (i) their non-recourse nature relative to the Company, (ii) the current state of default since September 1, 2014 and the legal maturity on December 1, 2020 and (iii) the loss of patent protection relative to RAPIACTA in Japan, upon which any significant repayment of the PhaRMA Notes is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predicated. As a result, the Company determined that it was no longer the financial obligor, and as a result, the principal balance of $30,000 and associated accrued interest payable balance of $25,838 were written off, resulting in a gain on extinguishment recorded in other income (expense) for the year ended December 31, 2021.</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ORLADEYO and Factor D Inhibitors</w:t>
      </w:r>
    </w:p>
    <w:p>
      <w:pPr>
        <w:spacing w:after="0" w:line="147" w:lineRule="exact"/>
        <w:rPr>
          <w:sz w:val="20"/>
          <w:szCs w:val="20"/>
          <w:color w:val="auto"/>
        </w:rPr>
      </w:pPr>
    </w:p>
    <w:p>
      <w:pPr>
        <w:ind w:right="40" w:firstLine="382"/>
        <w:spacing w:after="0" w:line="282" w:lineRule="auto"/>
        <w:rPr>
          <w:sz w:val="20"/>
          <w:szCs w:val="20"/>
          <w:color w:val="auto"/>
        </w:rPr>
      </w:pPr>
      <w:r>
        <w:rPr>
          <w:rFonts w:ascii="Arial" w:cs="Arial" w:eastAsia="Arial" w:hAnsi="Arial"/>
          <w:sz w:val="13"/>
          <w:szCs w:val="13"/>
          <w:color w:val="auto"/>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 In addition, RPI will be entitled to receive 1.0% of global net sales, if any, of BCX9930.</w:t>
      </w:r>
    </w:p>
    <w:p>
      <w:pPr>
        <w:spacing w:after="0" w:line="103" w:lineRule="exact"/>
        <w:rPr>
          <w:sz w:val="20"/>
          <w:szCs w:val="20"/>
          <w:color w:val="auto"/>
        </w:rPr>
      </w:pPr>
    </w:p>
    <w:p>
      <w:pPr>
        <w:ind w:right="120" w:firstLine="382"/>
        <w:spacing w:after="0" w:line="262" w:lineRule="auto"/>
        <w:rPr>
          <w:sz w:val="20"/>
          <w:szCs w:val="20"/>
          <w:color w:val="auto"/>
        </w:rPr>
      </w:pPr>
      <w:r>
        <w:rPr>
          <w:rFonts w:ascii="Arial" w:cs="Arial" w:eastAsia="Arial" w:hAnsi="Arial"/>
          <w:sz w:val="14"/>
          <w:szCs w:val="14"/>
          <w:color w:val="auto"/>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spacing w:after="0" w:line="125"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spacing w:after="0" w:line="115" w:lineRule="exact"/>
        <w:rPr>
          <w:sz w:val="20"/>
          <w:szCs w:val="20"/>
          <w:color w:val="auto"/>
        </w:rPr>
      </w:pPr>
    </w:p>
    <w:p>
      <w:pPr>
        <w:ind w:right="60" w:firstLine="382"/>
        <w:spacing w:after="0" w:line="284" w:lineRule="auto"/>
        <w:rPr>
          <w:sz w:val="20"/>
          <w:szCs w:val="20"/>
          <w:color w:val="auto"/>
        </w:rPr>
      </w:pPr>
      <w:r>
        <w:rPr>
          <w:rFonts w:ascii="Arial" w:cs="Arial" w:eastAsia="Arial" w:hAnsi="Arial"/>
          <w:sz w:val="13"/>
          <w:szCs w:val="13"/>
          <w:color w:val="auto"/>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3.0% of proceeds received by the Company on annual net sales of up to $150,000 in the Other Markets, and (iii) 2.0% of proceeds received by the Company on annual net sales between $150,000 and $230,000 in the Other Markets. No royalty payments are payable on annual net sales above $230,000 in the Other Markets.</w:t>
      </w:r>
    </w:p>
    <w:p>
      <w:pPr>
        <w:spacing w:after="0" w:line="102" w:lineRule="exact"/>
        <w:rPr>
          <w:sz w:val="20"/>
          <w:szCs w:val="20"/>
          <w:color w:val="auto"/>
        </w:rPr>
      </w:pPr>
    </w:p>
    <w:p>
      <w:pPr>
        <w:jc w:val="both"/>
        <w:ind w:right="20" w:firstLine="382"/>
        <w:spacing w:after="0" w:line="297" w:lineRule="auto"/>
        <w:rPr>
          <w:sz w:val="20"/>
          <w:szCs w:val="20"/>
          <w:color w:val="auto"/>
        </w:rPr>
      </w:pPr>
      <w:r>
        <w:rPr>
          <w:rFonts w:ascii="Arial" w:cs="Arial" w:eastAsia="Arial" w:hAnsi="Arial"/>
          <w:sz w:val="13"/>
          <w:szCs w:val="13"/>
          <w:color w:val="auto"/>
        </w:rPr>
        <w:t>Under the 2021 RPI Royalty Purchase Agreement, RPI is also entitled to receive tiered, sales-based royalties on net product sales of BCX9930 and another earlier stage Factor D inhibitor in an amount equal to: (i) 3.0% of worldwide aggregate annual net sales up to $1.5 billion and (ii) 2.0% of worldwide aggregate annual net sales between $1.5 billion and $3.0 billion. No royalty payments are payable on annual net sales above $3.0 billion. RPI is also entitled to receive tiered profit share amounts of up to 3.0% from certain other permitted sales in certain other markets.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royalties payable under the 2021 RPI Royalty Purchase Agreement are in addition to the royalties payable to RPI under the 2020 RPI Royalty Purchase Agreement.</w:t>
      </w:r>
    </w:p>
    <w:p>
      <w:pPr>
        <w:spacing w:after="0" w:line="147" w:lineRule="exact"/>
        <w:rPr>
          <w:sz w:val="20"/>
          <w:szCs w:val="20"/>
          <w:color w:val="auto"/>
        </w:rPr>
      </w:pPr>
    </w:p>
    <w:p>
      <w:pPr>
        <w:ind w:right="60" w:firstLine="382"/>
        <w:spacing w:after="0" w:line="282" w:lineRule="auto"/>
        <w:rPr>
          <w:sz w:val="20"/>
          <w:szCs w:val="20"/>
          <w:color w:val="auto"/>
        </w:rPr>
      </w:pPr>
      <w:r>
        <w:rPr>
          <w:rFonts w:ascii="Arial" w:cs="Arial" w:eastAsia="Arial" w:hAnsi="Arial"/>
          <w:sz w:val="13"/>
          <w:szCs w:val="13"/>
          <w:color w:val="auto"/>
        </w:rPr>
        <w:t>Under the OMERS Royalty Purchase Agreement, commencing with the calendar quarter beginning October 1, 2023, OMERS will be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(the “Regime A Royalty Rate”). If annual Direct Sales for calendar year 2023 reach a specified amount set forth in the OMERS Royalty Purchase Agreement, then for each calendar quarter beginning on or after January 1, 2024, OMERS will be entitled to receive the Regime A Royalty Rate. If annual Direct Sales for calendar year 2023 are less than the specified amount, OMERS will be entitled to receive tiered, sales-based royalties on Direct Sales in an amount equal to: (i) 10.0% of aggregate annual net sales of ORLADEYO for annual net sales up to $350,000 and (ii) 3.0% of annual net sales of</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ORLADEYO for annual net sales between $350,000 and $550,000 (with no royalty payments payable on annual Direct Sales over $550,000) (the “Regime B Royalty Rate”).</w:t>
      </w:r>
    </w:p>
    <w:p>
      <w:pPr>
        <w:spacing w:after="0" w:line="157"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spacing w:after="0" w:line="115" w:lineRule="exact"/>
        <w:rPr>
          <w:sz w:val="20"/>
          <w:szCs w:val="20"/>
          <w:color w:val="auto"/>
        </w:rPr>
      </w:pPr>
    </w:p>
    <w:p>
      <w:pPr>
        <w:ind w:right="60" w:firstLine="382"/>
        <w:spacing w:after="0" w:line="260" w:lineRule="auto"/>
        <w:rPr>
          <w:sz w:val="20"/>
          <w:szCs w:val="20"/>
          <w:color w:val="auto"/>
        </w:rPr>
      </w:pPr>
      <w:r>
        <w:rPr>
          <w:rFonts w:ascii="Arial" w:cs="Arial" w:eastAsia="Arial" w:hAnsi="Arial"/>
          <w:sz w:val="14"/>
          <w:szCs w:val="14"/>
          <w:color w:val="auto"/>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will be required to make payments to OMERS is respect of net sales or sublicense revenue in each calendar quarter from and after October 1, 2023. OMERS will no longer be entitled to receive any payments on the date in which aggregate payments actually received by OMERS equals either 142.5% or 155.0% of the $150,000 purchase price, depending on sales levels in calendar year 2023.</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transactions contemplated by each of the Royalty Purchase Agreements are referred to herein as the “Royalty Sales”.</w:t>
      </w:r>
    </w:p>
    <w:p>
      <w:pPr>
        <w:spacing w:after="0" w:line="157" w:lineRule="exact"/>
        <w:rPr>
          <w:sz w:val="20"/>
          <w:szCs w:val="20"/>
          <w:color w:val="auto"/>
        </w:rPr>
      </w:pPr>
    </w:p>
    <w:p>
      <w:pPr>
        <w:ind w:right="160" w:firstLine="382"/>
        <w:spacing w:after="0" w:line="260" w:lineRule="auto"/>
        <w:rPr>
          <w:sz w:val="20"/>
          <w:szCs w:val="20"/>
          <w:color w:val="auto"/>
        </w:rPr>
      </w:pPr>
      <w:r>
        <w:rPr>
          <w:rFonts w:ascii="Arial" w:cs="Arial" w:eastAsia="Arial" w:hAnsi="Arial"/>
          <w:sz w:val="14"/>
          <w:szCs w:val="14"/>
          <w:color w:val="auto"/>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is permitted to be incurred under the terms of the Company’s Credit Agreement with Athyrium Opportunities III Co-Invest 1 LP. Refer to Note 7 for further details on the Credit Agreement. The restrictions on the ability of the Company or any of its subsidiaries to incur indebtedness are eliminated after the achievement of certain specified milestones in the Royalty Purchase Agreements.</w:t>
      </w:r>
    </w:p>
    <w:p>
      <w:pPr>
        <w:spacing w:after="0" w:line="115" w:lineRule="exact"/>
        <w:rPr>
          <w:sz w:val="20"/>
          <w:szCs w:val="20"/>
          <w:color w:val="auto"/>
        </w:rPr>
      </w:pPr>
    </w:p>
    <w:p>
      <w:pPr>
        <w:ind w:right="40" w:firstLine="382"/>
        <w:spacing w:after="0" w:line="278" w:lineRule="auto"/>
        <w:rPr>
          <w:sz w:val="20"/>
          <w:szCs w:val="20"/>
          <w:color w:val="auto"/>
        </w:rPr>
      </w:pPr>
      <w:r>
        <w:rPr>
          <w:rFonts w:ascii="Arial" w:cs="Arial" w:eastAsia="Arial" w:hAnsi="Arial"/>
          <w:sz w:val="13"/>
          <w:szCs w:val="13"/>
          <w:color w:val="auto"/>
        </w:rPr>
        <w:t>The cash consideration obtained pursuant to the Royalty Purchase Agreements is recorded in “Royalty financing obligations” on the Company’s consolidated balance sheet. The fair value for the royalty financing obligations at the time of the transactions was based on the Company’s estimates of future royalties expected to be paid to the counterparty over the life of the arrangement. The Company subsequently records the obligations at its carrying value using the effective interest method. In order to amortize the royalty financing obligations,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w:t>
      </w:r>
    </w:p>
    <w:p>
      <w:pPr>
        <w:spacing w:after="0" w:line="107"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During the three months ended June 30, 2022, the Company adjusted its forecasts related to its Factor D program. Accordingly, this impacted the amount and timing of expected royalties to be made under the RPI Royalty Purchase Agreements. As a result, the effective interest rate related to the 2020 RPI Royalty Purchase Agreement decreased from 27.3% to 25.5%, and the effective interest rate related to the 2021 RPI Royalty Purchase Agreement decreased from 16.5% to 12.1%.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shows the activity within the Royalty financing obligations account (in thousands) as well as the effective interest rate as of June 30,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2020 RPI</w:t>
            </w:r>
          </w:p>
        </w:tc>
        <w:tc>
          <w:tcPr>
            <w:tcW w:w="2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2021 RPI</w:t>
            </w:r>
          </w:p>
        </w:tc>
        <w:tc>
          <w:tcPr>
            <w:tcW w:w="28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OMERS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Royalty</w:t>
            </w:r>
          </w:p>
        </w:tc>
        <w:tc>
          <w:tcPr>
            <w:tcW w:w="2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Royalty</w:t>
            </w:r>
          </w:p>
        </w:tc>
        <w:tc>
          <w:tcPr>
            <w:tcW w:w="28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Royalty</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5"/>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Agreement</w:t>
            </w:r>
          </w:p>
        </w:tc>
        <w:tc>
          <w:tcPr>
            <w:tcW w:w="26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Agreement</w:t>
            </w:r>
          </w:p>
        </w:tc>
        <w:tc>
          <w:tcPr>
            <w:tcW w:w="28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Agreement</w:t>
            </w:r>
          </w:p>
        </w:tc>
        <w:tc>
          <w:tcPr>
            <w:tcW w:w="340" w:type="dxa"/>
            <w:vAlign w:val="bottom"/>
          </w:tcPr>
          <w:p>
            <w:pPr>
              <w:spacing w:after="0"/>
              <w:rPr>
                <w:sz w:val="17"/>
                <w:szCs w:val="17"/>
                <w:color w:val="auto"/>
              </w:rPr>
            </w:pPr>
          </w:p>
        </w:tc>
        <w:tc>
          <w:tcPr>
            <w:tcW w:w="1120" w:type="dxa"/>
            <w:vAlign w:val="bottom"/>
          </w:tcPr>
          <w:p>
            <w:pPr>
              <w:jc w:val="right"/>
              <w:ind w:right="489"/>
              <w:spacing w:after="0"/>
              <w:rPr>
                <w:sz w:val="20"/>
                <w:szCs w:val="20"/>
                <w:color w:val="auto"/>
              </w:rPr>
            </w:pPr>
            <w:r>
              <w:rPr>
                <w:rFonts w:ascii="Arial" w:cs="Arial" w:eastAsia="Arial" w:hAnsi="Arial"/>
                <w:sz w:val="14"/>
                <w:szCs w:val="14"/>
                <w:b w:val="1"/>
                <w:bCs w:val="1"/>
                <w:color w:val="auto"/>
              </w:rPr>
              <w:t>Total</w:t>
            </w: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147,224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153,377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148,774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449,375</w:t>
            </w:r>
          </w:p>
        </w:tc>
      </w:tr>
      <w:tr>
        <w:trPr>
          <w:trHeight w:val="171"/>
        </w:trPr>
        <w:tc>
          <w:tcPr>
            <w:tcW w:w="490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260" w:type="dxa"/>
            <w:vAlign w:val="bottom"/>
          </w:tcPr>
          <w:p>
            <w:pPr>
              <w:spacing w:after="0"/>
              <w:rPr>
                <w:sz w:val="14"/>
                <w:szCs w:val="14"/>
                <w:color w:val="auto"/>
              </w:rPr>
            </w:pPr>
          </w:p>
        </w:tc>
        <w:tc>
          <w:tcPr>
            <w:tcW w:w="13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69"/>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81"/>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Interest expense on Royalty financing obligations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10,165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6,327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3,157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19,649</w:t>
            </w:r>
          </w:p>
        </w:tc>
      </w:tr>
      <w:tr>
        <w:trPr>
          <w:trHeight w:val="180"/>
        </w:trPr>
        <w:tc>
          <w:tcPr>
            <w:tcW w:w="4900" w:type="dxa"/>
            <w:vAlign w:val="bottom"/>
          </w:tcPr>
          <w:p>
            <w:pPr>
              <w:ind w:left="20"/>
              <w:spacing w:after="0"/>
              <w:rPr>
                <w:sz w:val="20"/>
                <w:szCs w:val="20"/>
                <w:color w:val="auto"/>
              </w:rPr>
            </w:pPr>
            <w:r>
              <w:rPr>
                <w:rFonts w:ascii="Arial" w:cs="Arial" w:eastAsia="Arial" w:hAnsi="Arial"/>
                <w:sz w:val="14"/>
                <w:szCs w:val="14"/>
                <w:color w:val="auto"/>
              </w:rPr>
              <w:t>Royalty revenues paid and payable</w:t>
            </w:r>
          </w:p>
        </w:tc>
        <w:tc>
          <w:tcPr>
            <w:tcW w:w="260" w:type="dxa"/>
            <w:vAlign w:val="bottom"/>
          </w:tcPr>
          <w:p>
            <w:pPr>
              <w:spacing w:after="0"/>
              <w:rPr>
                <w:sz w:val="15"/>
                <w:szCs w:val="15"/>
                <w:color w:val="auto"/>
              </w:rPr>
            </w:pPr>
          </w:p>
        </w:tc>
        <w:tc>
          <w:tcPr>
            <w:tcW w:w="1300" w:type="dxa"/>
            <w:vAlign w:val="bottom"/>
          </w:tcPr>
          <w:p>
            <w:pPr>
              <w:jc w:val="right"/>
              <w:ind w:right="69"/>
              <w:spacing w:after="0"/>
              <w:rPr>
                <w:sz w:val="20"/>
                <w:szCs w:val="20"/>
                <w:color w:val="auto"/>
              </w:rPr>
            </w:pPr>
            <w:r>
              <w:rPr>
                <w:rFonts w:ascii="Arial" w:cs="Arial" w:eastAsia="Arial" w:hAnsi="Arial"/>
                <w:sz w:val="14"/>
                <w:szCs w:val="14"/>
                <w:color w:val="auto"/>
              </w:rPr>
              <w:t>(4,385)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ind w:right="69"/>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(4,765)</w:t>
            </w: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2022</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153,004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159,290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151,931</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464,225</w:t>
            </w:r>
          </w:p>
        </w:tc>
      </w:tr>
      <w:tr>
        <w:trPr>
          <w:trHeight w:val="180"/>
        </w:trPr>
        <w:tc>
          <w:tcPr>
            <w:tcW w:w="4900" w:type="dxa"/>
            <w:vAlign w:val="bottom"/>
          </w:tcPr>
          <w:p>
            <w:pPr>
              <w:ind w:left="20"/>
              <w:spacing w:after="0"/>
              <w:rPr>
                <w:sz w:val="20"/>
                <w:szCs w:val="20"/>
                <w:color w:val="auto"/>
              </w:rPr>
            </w:pPr>
            <w:r>
              <w:rPr>
                <w:rFonts w:ascii="Arial" w:cs="Arial" w:eastAsia="Arial" w:hAnsi="Arial"/>
                <w:sz w:val="14"/>
                <w:szCs w:val="14"/>
                <w:color w:val="auto"/>
              </w:rPr>
              <w:t>Non-cash Interest expense on Royalty financing obligations</w:t>
            </w:r>
          </w:p>
        </w:tc>
        <w:tc>
          <w:tcPr>
            <w:tcW w:w="260" w:type="dxa"/>
            <w:vAlign w:val="bottom"/>
          </w:tcPr>
          <w:p>
            <w:pPr>
              <w:spacing w:after="0"/>
              <w:rPr>
                <w:sz w:val="15"/>
                <w:szCs w:val="15"/>
                <w:color w:val="auto"/>
              </w:rPr>
            </w:pPr>
          </w:p>
        </w:tc>
        <w:tc>
          <w:tcPr>
            <w:tcW w:w="1300" w:type="dxa"/>
            <w:vAlign w:val="bottom"/>
          </w:tcPr>
          <w:p>
            <w:pPr>
              <w:jc w:val="right"/>
              <w:ind w:right="109"/>
              <w:spacing w:after="0"/>
              <w:rPr>
                <w:sz w:val="20"/>
                <w:szCs w:val="20"/>
                <w:color w:val="auto"/>
              </w:rPr>
            </w:pPr>
            <w:r>
              <w:rPr>
                <w:rFonts w:ascii="Arial" w:cs="Arial" w:eastAsia="Arial" w:hAnsi="Arial"/>
                <w:sz w:val="14"/>
                <w:szCs w:val="14"/>
                <w:color w:val="auto"/>
              </w:rPr>
              <w:t>10,462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ind w:right="109"/>
              <w:spacing w:after="0"/>
              <w:rPr>
                <w:sz w:val="20"/>
                <w:szCs w:val="20"/>
                <w:color w:val="auto"/>
              </w:rPr>
            </w:pPr>
            <w:r>
              <w:rPr>
                <w:rFonts w:ascii="Arial" w:cs="Arial" w:eastAsia="Arial" w:hAnsi="Arial"/>
                <w:sz w:val="14"/>
                <w:szCs w:val="14"/>
                <w:color w:val="auto"/>
              </w:rPr>
              <w:t>6,020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89"/>
              <w:spacing w:after="0"/>
              <w:rPr>
                <w:sz w:val="20"/>
                <w:szCs w:val="20"/>
                <w:color w:val="auto"/>
              </w:rPr>
            </w:pPr>
            <w:r>
              <w:rPr>
                <w:rFonts w:ascii="Arial" w:cs="Arial" w:eastAsia="Arial" w:hAnsi="Arial"/>
                <w:sz w:val="14"/>
                <w:szCs w:val="14"/>
                <w:color w:val="auto"/>
              </w:rPr>
              <w:t>3,224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19,706</w:t>
            </w:r>
          </w:p>
        </w:tc>
      </w:tr>
      <w:tr>
        <w:trPr>
          <w:trHeight w:val="180"/>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Royalty revenues paid and payable</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(5,764)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(501)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(6,265)</w:t>
            </w:r>
          </w:p>
        </w:tc>
      </w:tr>
      <w:tr>
        <w:trPr>
          <w:trHeight w:val="171"/>
        </w:trPr>
        <w:tc>
          <w:tcPr>
            <w:tcW w:w="4900" w:type="dxa"/>
            <w:vAlign w:val="bottom"/>
          </w:tcPr>
          <w:p>
            <w:pPr>
              <w:ind w:left="20"/>
              <w:spacing w:after="0"/>
              <w:rPr>
                <w:sz w:val="20"/>
                <w:szCs w:val="20"/>
                <w:color w:val="auto"/>
              </w:rPr>
            </w:pPr>
            <w:r>
              <w:rPr>
                <w:rFonts w:ascii="Arial" w:cs="Arial" w:eastAsia="Arial" w:hAnsi="Arial"/>
                <w:sz w:val="14"/>
                <w:szCs w:val="14"/>
                <w:color w:val="auto"/>
              </w:rPr>
              <w:t>Balance as of June 30, 2022</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157,702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164,809</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155,155</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477,666</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3"/>
        </w:trPr>
        <w:tc>
          <w:tcPr>
            <w:tcW w:w="4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4"/>
                <w:szCs w:val="14"/>
                <w:color w:val="auto"/>
              </w:rPr>
              <w:t>Effective interest rate</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25.5 %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8.5 %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202" w:lineRule="exact"/>
        <w:rPr>
          <w:sz w:val="20"/>
          <w:szCs w:val="20"/>
          <w:color w:val="auto"/>
        </w:rPr>
      </w:pPr>
    </w:p>
    <w:p>
      <w:pPr>
        <w:ind w:right="60" w:firstLine="382"/>
        <w:spacing w:after="0" w:line="321" w:lineRule="auto"/>
        <w:rPr>
          <w:sz w:val="20"/>
          <w:szCs w:val="20"/>
          <w:color w:val="auto"/>
        </w:rPr>
      </w:pPr>
      <w:r>
        <w:rPr>
          <w:rFonts w:ascii="Arial" w:cs="Arial" w:eastAsia="Arial" w:hAnsi="Arial"/>
          <w:sz w:val="13"/>
          <w:szCs w:val="13"/>
          <w:color w:val="auto"/>
        </w:rPr>
        <w:t>Deferred issuance costs pursuant to the Royalty financing obligations, which consist primarily of advisory and legal fees, totaled $8,531 as of June 30, 2022. The Royalty financing obligations liabilities and the associated deferred issuance costs are amortized using the effective interest method over the term of the arrangement, in accordance with the respective guidance.</w:t>
      </w:r>
    </w:p>
    <w:p>
      <w:pPr>
        <w:spacing w:after="0" w:line="78" w:lineRule="exact"/>
        <w:rPr>
          <w:sz w:val="20"/>
          <w:szCs w:val="20"/>
          <w:color w:val="auto"/>
        </w:rPr>
      </w:pPr>
    </w:p>
    <w:p>
      <w:pPr>
        <w:ind w:right="520" w:firstLine="382"/>
        <w:spacing w:after="0" w:line="297" w:lineRule="auto"/>
        <w:rPr>
          <w:sz w:val="20"/>
          <w:szCs w:val="20"/>
          <w:color w:val="auto"/>
        </w:rPr>
      </w:pPr>
      <w:r>
        <w:rPr>
          <w:rFonts w:ascii="Arial" w:cs="Arial" w:eastAsia="Arial" w:hAnsi="Arial"/>
          <w:sz w:val="13"/>
          <w:szCs w:val="13"/>
          <w:color w:val="auto"/>
        </w:rPr>
        <w:t>Concurrent with entering into the 2021 RPI Royalty Purchase Agreement, the Company and RPI entered into a Common Stock Purchase Agreement (the “Common Stock Purchase Agreement”), pursuant to which the Company sold common stock to RPI for a premium of $4,269. This premium has been deferred and is being amortized through interest expense using the effective interest method over the term of the applicable arrangement. Refer to Note 9 for further details on the common stock sale premium.</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7 </w:t>
      </w:r>
      <w:r>
        <w:rPr>
          <w:rFonts w:ascii="Arial" w:cs="Arial" w:eastAsia="Arial" w:hAnsi="Arial"/>
          <w:sz w:val="14"/>
          <w:szCs w:val="14"/>
          <w:color w:val="auto"/>
        </w:rPr>
        <w:t>—</w:t>
      </w:r>
      <w:r>
        <w:rPr>
          <w:rFonts w:ascii="Arial" w:cs="Arial" w:eastAsia="Arial" w:hAnsi="Arial"/>
          <w:sz w:val="14"/>
          <w:szCs w:val="14"/>
          <w:b w:val="1"/>
          <w:bCs w:val="1"/>
          <w:color w:val="auto"/>
        </w:rPr>
        <w:t xml:space="preserve"> Debt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w:t>
      </w:r>
    </w:p>
    <w:p>
      <w:pPr>
        <w:spacing w:after="0" w:line="147" w:lineRule="exact"/>
        <w:rPr>
          <w:sz w:val="20"/>
          <w:szCs w:val="20"/>
          <w:color w:val="auto"/>
        </w:rPr>
      </w:pPr>
    </w:p>
    <w:p>
      <w:pPr>
        <w:ind w:right="60" w:firstLine="382"/>
        <w:spacing w:after="0" w:line="260" w:lineRule="auto"/>
        <w:rPr>
          <w:sz w:val="20"/>
          <w:szCs w:val="20"/>
          <w:color w:val="auto"/>
        </w:rPr>
      </w:pPr>
      <w:r>
        <w:rPr>
          <w:rFonts w:ascii="Arial" w:cs="Arial" w:eastAsia="Arial" w:hAnsi="Arial"/>
          <w:sz w:val="14"/>
          <w:szCs w:val="14"/>
          <w:color w:val="auto"/>
        </w:rPr>
        <w:t>On December 7, 2020, the Company entered into a $200,000 Credit Agreement (the “Credit Agreement”) with Athyrium Opportunities III Co-Invest 1 LP (“Athyrium”), as lender and as administrative agent for the lenders. Certain of the Company's direct and indirect subsidiaries are guarantors to the Credit Agreement. The Credit Agreement provides for an initial term loan in the principal amount of $125,000 (the “Term A Loan”), which was received by the Company on December 7, 2020 and is recorded in “Secured term loan” on the Company’s balance sheet as of June 30, 2022. The Company used a portion of the proceeds from the Term A Loan to repay $43,298 of outstanding indebtedness, including accrued interest, under its prior credit facility with MidCap Financial Trust.</w:t>
      </w:r>
    </w:p>
    <w:p>
      <w:pPr>
        <w:spacing w:after="0" w:line="115" w:lineRule="exact"/>
        <w:rPr>
          <w:sz w:val="20"/>
          <w:szCs w:val="20"/>
          <w:color w:val="auto"/>
        </w:rPr>
      </w:pPr>
    </w:p>
    <w:p>
      <w:pPr>
        <w:ind w:right="80" w:firstLine="382"/>
        <w:spacing w:after="0" w:line="297" w:lineRule="auto"/>
        <w:rPr>
          <w:sz w:val="20"/>
          <w:szCs w:val="20"/>
          <w:color w:val="auto"/>
        </w:rPr>
      </w:pPr>
      <w:r>
        <w:rPr>
          <w:rFonts w:ascii="Arial" w:cs="Arial" w:eastAsia="Arial" w:hAnsi="Arial"/>
          <w:sz w:val="13"/>
          <w:szCs w:val="13"/>
          <w:color w:val="auto"/>
        </w:rPr>
        <w:t>The Credit Agreement also provides for two additional term loans, at the Company’s option, in the respective principal amounts of $25,000 (the “Term B Loan”) and $50,000 (the “Term C Loan” and, collectively with the Term A Loan and the Term B Loan, the “Term Loans”). Both the Term B Loan and the Term C Loan were funded on July 29, 2022 in the aggregate principal amount of $75,000. Refer to Note 12 for further details on the funding of the Term B Loan and the Term C Loan. The maturity date of the Credit Agreement is December 7, 2025.</w:t>
      </w:r>
    </w:p>
    <w:p>
      <w:pPr>
        <w:spacing w:after="0" w:line="103" w:lineRule="exact"/>
        <w:rPr>
          <w:sz w:val="20"/>
          <w:szCs w:val="20"/>
          <w:color w:val="auto"/>
        </w:rPr>
      </w:pPr>
    </w:p>
    <w:p>
      <w:pPr>
        <w:ind w:right="80" w:firstLine="382"/>
        <w:spacing w:after="0" w:line="258" w:lineRule="auto"/>
        <w:rPr>
          <w:sz w:val="20"/>
          <w:szCs w:val="20"/>
          <w:color w:val="auto"/>
        </w:rPr>
      </w:pPr>
      <w:r>
        <w:rPr>
          <w:rFonts w:ascii="Arial" w:cs="Arial" w:eastAsia="Arial" w:hAnsi="Arial"/>
          <w:sz w:val="14"/>
          <w:szCs w:val="14"/>
          <w:color w:val="auto"/>
        </w:rPr>
        <w:t>On November 19, 2021, the Company entered into an amendment to the Credit Agreement (i) to permit the Company to enter into the 2021 RPI Royalty Purchase Agreement, the OMERS Royalty Purchase Agreement, and the other definitive documentation related thereto and to perform its obligations thereunder; (ii) to require the Company to pay to Athyrium, for the account of the lenders, a make-whole premium plus certain fees set forth in the Credit Agreement in the event that the Company did not draw the Term B Loan or the Term C Loan, as applicable, by the end of the applicable period available to draw the Term B Loan or the Term C Loan, subject to certain exceptions set forth in the Credit Agreement; and (iii) to require the Company to pay to Athyrium, for the account of the lenders, a make-whole premium plus certain fees set forth in the Credit Agreement in the event that the Company either (x) terminated the commitments in respect of the Term B Loan or the Term C Loan, as applicable, on or prior to the end of the applicable period available to</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draw the Term B Loan or the Term C Loan, or (y) prepays or repays, or is required to prepay or repay, voluntarily or pursuant to mandatory prepayment obligation under the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Term Loans, in each case, subject to certain exceptions set forth in the Credit Agreement.</w:t>
      </w:r>
    </w:p>
    <w:p>
      <w:pPr>
        <w:spacing w:after="0" w:line="125"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The Credit Agreement provides for quarterly interest-only payments until the maturity date, with the unpaid principal amount of the outstanding Term Loans due and payable on the maturity date. For each of the first eight full fiscal quarters following December 7, 2020, the Company has the option to make the applicable interest payment in-kind (a “PIK Interest Payment”) by capitalizing the entire amount of interest accrued during the applicable interest period with the unpaid original principal amount outstanding on the last day of such period. The Term Loans will bear interest at a rate equal to the three-month LIBOR rate, which shall be no less than 1.75% and no more than 3.50% (“LIBOR”), plus 8.25%, or for each interest period in which a PIK Interest Payment is made, LIBOR plus 10.25%.</w:t>
      </w:r>
    </w:p>
    <w:p>
      <w:pPr>
        <w:spacing w:after="0" w:line="115" w:lineRule="exact"/>
        <w:rPr>
          <w:sz w:val="20"/>
          <w:szCs w:val="20"/>
          <w:color w:val="auto"/>
        </w:rPr>
      </w:pPr>
    </w:p>
    <w:p>
      <w:pPr>
        <w:ind w:right="460" w:firstLine="382"/>
        <w:spacing w:after="0" w:line="281" w:lineRule="auto"/>
        <w:rPr>
          <w:sz w:val="20"/>
          <w:szCs w:val="20"/>
          <w:color w:val="auto"/>
        </w:rPr>
      </w:pPr>
      <w:r>
        <w:rPr>
          <w:rFonts w:ascii="Arial" w:cs="Arial" w:eastAsia="Arial" w:hAnsi="Arial"/>
          <w:sz w:val="14"/>
          <w:szCs w:val="14"/>
          <w:color w:val="auto"/>
        </w:rPr>
        <w:t>The three-month LIBOR was 2.3125% as of June 28, 2022, the LIBOR measurement date for the three-month interest period beginning July 1, 2022. Accordingly, this LIBOR rate plus 10.25% will be used to record interest expense for the three-month interest period beginning July 1, 2022.</w:t>
      </w:r>
    </w:p>
    <w:p>
      <w:pPr>
        <w:spacing w:after="0" w:line="100" w:lineRule="exact"/>
        <w:rPr>
          <w:sz w:val="20"/>
          <w:szCs w:val="20"/>
          <w:color w:val="auto"/>
        </w:rPr>
      </w:pPr>
    </w:p>
    <w:p>
      <w:pPr>
        <w:ind w:firstLine="382"/>
        <w:spacing w:after="0" w:line="255" w:lineRule="auto"/>
        <w:rPr>
          <w:sz w:val="20"/>
          <w:szCs w:val="20"/>
          <w:color w:val="auto"/>
        </w:rPr>
      </w:pPr>
      <w:r>
        <w:rPr>
          <w:rFonts w:ascii="Arial" w:cs="Arial" w:eastAsia="Arial" w:hAnsi="Arial"/>
          <w:sz w:val="14"/>
          <w:szCs w:val="14"/>
          <w:color w:val="auto"/>
        </w:rPr>
        <w:t>Subject to certain exceptions, the Company is required to make mandatory prepayments of the Term Loans with the proceeds of certain asset sales, certain ORLADEYO out-licensing or royalty monetization transactions (excluding the Royalty Sales), extraordinary receipts, debt issuances, or upon a change of control of the Company and specified other events, subject to certain exceptions. The Company may make voluntary prepayments in whole or in part. Prepayments are subject to a premium equal to, (i) with respect to any voluntary prepayment and certain mandatory prepayments paid on or prior to the second anniversary of the applicable Term Loan borrowing date, the amount, if any, by which (a) the sum of (1) 102.00% of the principal amount of the Term Loan being prepaid plus (2) the present value of all interest that would have accrued on the principal amount of the Term Loan being prepaid through and including the second anniversary of the date of the borrowing of such Term Loan, plus 0.50%, exceeds (b) the principal amount of the Term Loan being prepaid; (ii) with respect to any prepayment made between the second and third anniversaries of the applicable Term Loan borrowing date, 2.00% of the principal amount of the Term Loan being prepaid; (iii) with respect to any prepayment made between the third and fourth anniversaries of the applicable Term Loan borrowing date, 1.00% of the principal amount of the Term Loan being prepaid; and (iv) with respect to any prepayment made after the fourth anniversary of the applicable Term Loan borrowing date, 0.00% of the principal amount of the Term Loan being prepaid. Upon the prepayment or repayment, including at maturity, of all or any of the Term Loans, the Company is obligated to pay an exit fee in an amount equal to 2.00% of the principal amount of the Term Loans prepaid or repaid. In addition, each Term Loan is subject to a 1.00% commitment fee at its respective borrowing date.</w:t>
      </w:r>
    </w:p>
    <w:p>
      <w:pPr>
        <w:spacing w:after="0" w:line="134" w:lineRule="exact"/>
        <w:rPr>
          <w:sz w:val="20"/>
          <w:szCs w:val="20"/>
          <w:color w:val="auto"/>
        </w:rPr>
      </w:pPr>
    </w:p>
    <w:p>
      <w:pPr>
        <w:ind w:right="20" w:firstLine="382"/>
        <w:spacing w:after="0" w:line="277" w:lineRule="auto"/>
        <w:rPr>
          <w:sz w:val="20"/>
          <w:szCs w:val="20"/>
          <w:color w:val="auto"/>
        </w:rPr>
      </w:pPr>
      <w:r>
        <w:rPr>
          <w:rFonts w:ascii="Arial" w:cs="Arial" w:eastAsia="Arial" w:hAnsi="Arial"/>
          <w:sz w:val="13"/>
          <w:szCs w:val="13"/>
          <w:color w:val="auto"/>
        </w:rPr>
        <w:t>The Credit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grant liens, make investments, incur additional indebtedness, engage in mergers, acquisitions, and similar transactions, dispose of assets, license certain property, distribute dividends, make certain restricted payments, change the nature of the Company’s business, engage in transactions with affiliates and insiders, prepay other indebtedness, or engage in sale and leaseback transactions, subject to certain exceptions. Additionally, as of the last day of each fiscal quarter (a “Test Date”), beginning with the first Test Date occurring immediately after the Term C Loan is drawn, if applicable, the Company may not permit consolidated net revenues from ORLADEYO sales in the United States for the four-fiscal quarter period ending on such Test Date to be less than the specified amounts set forth in the Credit Agreement (collectively, the “Revenue Tests”). If the Company fails to satisfy the Revenue Tests as of any Test Date, it will have a one-time right (the “Cure Right”) to repay in full the entire amount of the Term C Loan outstanding at such time together with all accrued and unpaid interest thereon plus the prepayment premium, exit fee, and any other fees or amounts payable under the Credit Agreement at such time. In addition, the Credit Agreement contains a minimum liquidity covenant requiring the Company to maintain at all times, as applicable, at least $15,000 of unrestricted cash and cash equivalents if only the Term A Loan has been drawn; at least $20,000 of unrestricted cash and cash equivalents if the Term B Loan has been drawn but the Term C Loan has not been drawn; and at least $15,000 (or, if the Cure Right has been exercised, $20,000) of unrestricted cash and cash equivalents if the Term C Loan has been drawn, subject to certain exceptions.</w:t>
      </w:r>
    </w:p>
    <w:p>
      <w:pPr>
        <w:spacing w:after="0" w:line="107"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A failure to comply with the covenants in the Credit Agreement could permit the Lenders under the Credit Agreement to declare the outstanding principal as well as accrued interest and fees, to be immediately due and payable.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Company's obligations under the Credit Agreement are secured by a security interest in, subject to certain exceptions, substantially all of the Company's assets.</w:t>
      </w:r>
    </w:p>
    <w:p>
      <w:pPr>
        <w:spacing w:after="0" w:line="157" w:lineRule="exact"/>
        <w:rPr>
          <w:sz w:val="20"/>
          <w:szCs w:val="20"/>
          <w:color w:val="auto"/>
        </w:rPr>
      </w:pPr>
    </w:p>
    <w:p>
      <w:pPr>
        <w:ind w:right="120" w:firstLine="382"/>
        <w:spacing w:after="0" w:line="288" w:lineRule="auto"/>
        <w:rPr>
          <w:sz w:val="20"/>
          <w:szCs w:val="20"/>
          <w:color w:val="auto"/>
        </w:rPr>
      </w:pPr>
      <w:r>
        <w:rPr>
          <w:rFonts w:ascii="Arial" w:cs="Arial" w:eastAsia="Arial" w:hAnsi="Arial"/>
          <w:sz w:val="13"/>
          <w:szCs w:val="13"/>
          <w:color w:val="auto"/>
        </w:rPr>
        <w:t>As of June 30, 2022, the Company had borrowings of $125,000 under the Credit Agreement. Quarterly interest payments under the Credit Agreement for the six months ended June 30, 2022 and 2021 totaled $8,774 and $7,745, respectively, and have been designated and accounted for as PIK Interest Payments and added to the outstanding principal balance of the borrowing. As of June 30, 2022, borrowings, including the PIK Interest Payments, totaled $150,839. The principal balance of the borrowing, including PIK amounts, are accruing interest at a rate of 12.17%. The fair value of the debt approximates its carrying value based on prevailing interest rates as of the balance sheet date and is considered as Level 2 in the fair value hierarchy.</w:t>
      </w:r>
    </w:p>
    <w:p>
      <w:pPr>
        <w:spacing w:after="0" w:line="99" w:lineRule="exact"/>
        <w:rPr>
          <w:sz w:val="20"/>
          <w:szCs w:val="20"/>
          <w:color w:val="auto"/>
        </w:rPr>
      </w:pPr>
    </w:p>
    <w:p>
      <w:pPr>
        <w:ind w:right="80" w:firstLine="382"/>
        <w:spacing w:after="0" w:line="331" w:lineRule="auto"/>
        <w:rPr>
          <w:sz w:val="20"/>
          <w:szCs w:val="20"/>
          <w:color w:val="auto"/>
        </w:rPr>
      </w:pPr>
      <w:r>
        <w:rPr>
          <w:rFonts w:ascii="Arial" w:cs="Arial" w:eastAsia="Arial" w:hAnsi="Arial"/>
          <w:sz w:val="12"/>
          <w:szCs w:val="12"/>
          <w:color w:val="auto"/>
        </w:rPr>
        <w:t>As of June 30, 2022, deferred debt fees and issuance costs totaled $8,822 and are being amortized as interest expense on an effective interest rate method over the term of the Term A Loan. When utilizing the effective interest method, in periods in which PIK interest is designated and those amounts are added to the outstanding principal balance of the borrowing, the amortization of the deferred debt fees and issuance costs is accretive. Deferred financing amortization of $(339) and $(211), was recognized for the six months ended June 30, 2022 and 2021, respectively.</w:t>
      </w:r>
    </w:p>
    <w:p>
      <w:pPr>
        <w:spacing w:after="0" w:line="76" w:lineRule="exact"/>
        <w:rPr>
          <w:sz w:val="20"/>
          <w:szCs w:val="20"/>
          <w:color w:val="auto"/>
        </w:rPr>
      </w:pPr>
    </w:p>
    <w:p>
      <w:pPr>
        <w:ind w:right="380" w:firstLine="382"/>
        <w:spacing w:after="0" w:line="281" w:lineRule="auto"/>
        <w:rPr>
          <w:sz w:val="20"/>
          <w:szCs w:val="20"/>
          <w:color w:val="auto"/>
        </w:rPr>
      </w:pPr>
      <w:r>
        <w:rPr>
          <w:rFonts w:ascii="Arial" w:cs="Arial" w:eastAsia="Arial" w:hAnsi="Arial"/>
          <w:sz w:val="14"/>
          <w:szCs w:val="14"/>
          <w:color w:val="auto"/>
        </w:rPr>
        <w:t>The Credit Agreement contains two provisions that, if deemed probable, would create the recognition of an embedded feature; however, at this time, the Company does not believe either provision is probable.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8 </w:t>
      </w:r>
      <w:r>
        <w:rPr>
          <w:rFonts w:ascii="Arial" w:cs="Arial" w:eastAsia="Arial" w:hAnsi="Arial"/>
          <w:sz w:val="14"/>
          <w:szCs w:val="14"/>
          <w:color w:val="auto"/>
        </w:rPr>
        <w:t>—</w:t>
      </w:r>
      <w:r>
        <w:rPr>
          <w:rFonts w:ascii="Arial" w:cs="Arial" w:eastAsia="Arial" w:hAnsi="Arial"/>
          <w:sz w:val="14"/>
          <w:szCs w:val="14"/>
          <w:b w:val="1"/>
          <w:bCs w:val="1"/>
          <w:color w:val="auto"/>
        </w:rPr>
        <w:t xml:space="preserve"> Lease Obligations</w:t>
      </w:r>
    </w:p>
    <w:p>
      <w:pPr>
        <w:spacing w:after="0" w:line="151"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The Company leases certain assets under operating leases, which primarily consisted of real estate leases, laboratory equipment leases and office equipment leases as of June 30, 2022. Renewal options for the Company's leases range from 1 to 5 years in length and begin from 2023 through 2026.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60" w:type="dxa"/>
            <w:vAlign w:val="bottom"/>
            <w:gridSpan w:val="2"/>
          </w:tcPr>
          <w:p>
            <w:pPr>
              <w:ind w:left="380"/>
              <w:spacing w:after="0"/>
              <w:rPr>
                <w:sz w:val="20"/>
                <w:szCs w:val="20"/>
                <w:color w:val="auto"/>
              </w:rPr>
            </w:pPr>
            <w:r>
              <w:rPr>
                <w:rFonts w:ascii="Arial" w:cs="Arial" w:eastAsia="Arial" w:hAnsi="Arial"/>
                <w:sz w:val="14"/>
                <w:szCs w:val="14"/>
                <w:color w:val="auto"/>
                <w:w w:val="89"/>
              </w:rPr>
              <w:t>Aggregate lease expense under operating leases was as follows (in thousands):</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50"/>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jc w:val="right"/>
              <w:ind w:right="689"/>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71"/>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Aggregate lease expense</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626</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4"/>
                <w:szCs w:val="14"/>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913</w:t>
            </w:r>
          </w:p>
        </w:tc>
      </w:tr>
      <w:tr>
        <w:trPr>
          <w:trHeight w:val="711"/>
        </w:trPr>
        <w:tc>
          <w:tcPr>
            <w:tcW w:w="4860" w:type="dxa"/>
            <w:vAlign w:val="bottom"/>
            <w:gridSpan w:val="2"/>
          </w:tcPr>
          <w:p>
            <w:pPr>
              <w:ind w:left="380"/>
              <w:spacing w:after="0"/>
              <w:rPr>
                <w:sz w:val="20"/>
                <w:szCs w:val="20"/>
                <w:color w:val="auto"/>
              </w:rPr>
            </w:pPr>
            <w:r>
              <w:rPr>
                <w:rFonts w:ascii="Arial" w:cs="Arial" w:eastAsia="Arial" w:hAnsi="Arial"/>
                <w:sz w:val="14"/>
                <w:szCs w:val="14"/>
                <w:color w:val="auto"/>
              </w:rPr>
              <w:t>Other supplemental information related to leases was as follows: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0"/>
        </w:trPr>
        <w:tc>
          <w:tcPr>
            <w:tcW w:w="4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As of June 30, 2022</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As of December 31, 2021</w:t>
            </w:r>
          </w:p>
        </w:tc>
      </w:tr>
      <w:tr>
        <w:trPr>
          <w:trHeight w:val="171"/>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0"/>
              </w:rPr>
              <w:t>8.5 years</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9.2 years</w:t>
            </w:r>
          </w:p>
        </w:tc>
        <w:tc>
          <w:tcPr>
            <w:tcW w:w="980" w:type="dxa"/>
            <w:vAlign w:val="bottom"/>
            <w:shd w:val="clear" w:color="auto" w:fill="CCEEFF"/>
          </w:tcPr>
          <w:p>
            <w:pPr>
              <w:spacing w:after="0"/>
              <w:rPr>
                <w:sz w:val="14"/>
                <w:szCs w:val="14"/>
                <w:color w:val="auto"/>
              </w:rPr>
            </w:pP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Weighted average discount rate</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29"/>
              <w:spacing w:after="0"/>
              <w:rPr>
                <w:sz w:val="20"/>
                <w:szCs w:val="20"/>
                <w:color w:val="auto"/>
              </w:rPr>
            </w:pPr>
            <w:r>
              <w:rPr>
                <w:rFonts w:ascii="Arial" w:cs="Arial" w:eastAsia="Arial" w:hAnsi="Arial"/>
                <w:sz w:val="14"/>
                <w:szCs w:val="14"/>
                <w:color w:val="auto"/>
                <w:w w:val="90"/>
              </w:rPr>
              <w:t>10.9%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0"/>
              </w:rPr>
              <w:t>11.2%</w:t>
            </w:r>
          </w:p>
        </w:tc>
        <w:tc>
          <w:tcPr>
            <w:tcW w:w="980" w:type="dxa"/>
            <w:vAlign w:val="bottom"/>
          </w:tcPr>
          <w:p>
            <w:pPr>
              <w:spacing w:after="0"/>
              <w:rPr>
                <w:sz w:val="15"/>
                <w:szCs w:val="15"/>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All of the Company’s leases qualify as operating leases. The following table summarizes the presentation in the consolidated balance sheets of the Company’s operating leases: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4640" w:type="dxa"/>
            <w:vAlign w:val="bottom"/>
            <w:gridSpan w:val="2"/>
          </w:tcPr>
          <w:p>
            <w:pPr>
              <w:ind w:left="800"/>
              <w:spacing w:after="0"/>
              <w:rPr>
                <w:sz w:val="20"/>
                <w:szCs w:val="20"/>
                <w:color w:val="auto"/>
              </w:rPr>
            </w:pPr>
            <w:r>
              <w:rPr>
                <w:rFonts w:ascii="Arial" w:cs="Arial" w:eastAsia="Arial" w:hAnsi="Arial"/>
                <w:sz w:val="14"/>
                <w:szCs w:val="14"/>
                <w:color w:val="auto"/>
              </w:rPr>
              <w:t>Balance Sheet Location</w:t>
            </w:r>
          </w:p>
        </w:tc>
        <w:tc>
          <w:tcPr>
            <w:tcW w:w="20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June 30, 2022</w:t>
            </w:r>
          </w:p>
        </w:tc>
        <w:tc>
          <w:tcPr>
            <w:tcW w:w="100" w:type="dxa"/>
            <w:vAlign w:val="bottom"/>
          </w:tcPr>
          <w:p>
            <w:pPr>
              <w:spacing w:after="0"/>
              <w:rPr>
                <w:sz w:val="16"/>
                <w:szCs w:val="16"/>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b w:val="1"/>
                <w:bCs w:val="1"/>
                <w:color w:val="auto"/>
                <w:w w:val="90"/>
              </w:rPr>
              <w:t>As of December 31, 2021</w:t>
            </w:r>
          </w:p>
        </w:tc>
      </w:tr>
      <w:tr>
        <w:trPr>
          <w:trHeight w:val="171"/>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4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r>
      <w:tr>
        <w:trPr>
          <w:trHeight w:val="180"/>
        </w:trPr>
        <w:tc>
          <w:tcPr>
            <w:tcW w:w="2960" w:type="dxa"/>
            <w:vAlign w:val="bottom"/>
          </w:tcPr>
          <w:p>
            <w:pPr>
              <w:ind w:left="20"/>
              <w:spacing w:after="0"/>
              <w:rPr>
                <w:sz w:val="20"/>
                <w:szCs w:val="20"/>
                <w:color w:val="auto"/>
              </w:rPr>
            </w:pPr>
            <w:r>
              <w:rPr>
                <w:rFonts w:ascii="Arial" w:cs="Arial" w:eastAsia="Arial" w:hAnsi="Arial"/>
                <w:sz w:val="14"/>
                <w:szCs w:val="14"/>
                <w:color w:val="auto"/>
              </w:rPr>
              <w:t>Operating lease assets, net</w:t>
            </w:r>
          </w:p>
        </w:tc>
        <w:tc>
          <w:tcPr>
            <w:tcW w:w="4640" w:type="dxa"/>
            <w:vAlign w:val="bottom"/>
            <w:gridSpan w:val="2"/>
          </w:tcPr>
          <w:p>
            <w:pPr>
              <w:ind w:left="800"/>
              <w:spacing w:after="0"/>
              <w:rPr>
                <w:sz w:val="20"/>
                <w:szCs w:val="20"/>
                <w:color w:val="auto"/>
              </w:rPr>
            </w:pPr>
            <w:r>
              <w:rPr>
                <w:rFonts w:ascii="Arial" w:cs="Arial" w:eastAsia="Arial" w:hAnsi="Arial"/>
                <w:sz w:val="14"/>
                <w:szCs w:val="14"/>
                <w:i w:val="1"/>
                <w:iCs w:val="1"/>
                <w:color w:val="auto"/>
              </w:rPr>
              <w:t>Other Assets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6,983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6,472</w:t>
            </w:r>
          </w:p>
        </w:tc>
      </w:tr>
      <w:tr>
        <w:trPr>
          <w:trHeight w:val="181"/>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4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80"/>
        </w:trPr>
        <w:tc>
          <w:tcPr>
            <w:tcW w:w="2960" w:type="dxa"/>
            <w:vAlign w:val="bottom"/>
          </w:tcPr>
          <w:p>
            <w:pPr>
              <w:ind w:left="20"/>
              <w:spacing w:after="0"/>
              <w:rPr>
                <w:sz w:val="20"/>
                <w:szCs w:val="20"/>
                <w:color w:val="auto"/>
              </w:rPr>
            </w:pPr>
            <w:r>
              <w:rPr>
                <w:rFonts w:ascii="Arial" w:cs="Arial" w:eastAsia="Arial" w:hAnsi="Arial"/>
                <w:sz w:val="14"/>
                <w:szCs w:val="14"/>
                <w:color w:val="auto"/>
              </w:rPr>
              <w:t>Current operating lease liabilities</w:t>
            </w:r>
          </w:p>
        </w:tc>
        <w:tc>
          <w:tcPr>
            <w:tcW w:w="4640" w:type="dxa"/>
            <w:vAlign w:val="bottom"/>
            <w:gridSpan w:val="2"/>
          </w:tcPr>
          <w:p>
            <w:pPr>
              <w:ind w:left="800"/>
              <w:spacing w:after="0"/>
              <w:rPr>
                <w:sz w:val="20"/>
                <w:szCs w:val="20"/>
                <w:color w:val="auto"/>
              </w:rPr>
            </w:pPr>
            <w:r>
              <w:rPr>
                <w:rFonts w:ascii="Arial" w:cs="Arial" w:eastAsia="Arial" w:hAnsi="Arial"/>
                <w:sz w:val="14"/>
                <w:szCs w:val="14"/>
                <w:i w:val="1"/>
                <w:iCs w:val="1"/>
                <w:color w:val="auto"/>
              </w:rPr>
              <w:t>Lease financing obligation – current liabilities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2,134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1,819</w:t>
            </w:r>
          </w:p>
        </w:tc>
      </w:tr>
      <w:tr>
        <w:trPr>
          <w:trHeight w:val="18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4640" w:type="dxa"/>
            <w:vAlign w:val="bottom"/>
            <w:gridSpan w:val="2"/>
            <w:shd w:val="clear" w:color="auto" w:fill="CCEEFF"/>
          </w:tcPr>
          <w:p>
            <w:pPr>
              <w:ind w:left="800"/>
              <w:spacing w:after="0"/>
              <w:rPr>
                <w:sz w:val="20"/>
                <w:szCs w:val="20"/>
                <w:color w:val="auto"/>
              </w:rPr>
            </w:pPr>
            <w:r>
              <w:rPr>
                <w:rFonts w:ascii="Arial" w:cs="Arial" w:eastAsia="Arial" w:hAnsi="Arial"/>
                <w:sz w:val="14"/>
                <w:szCs w:val="14"/>
                <w:i w:val="1"/>
                <w:iCs w:val="1"/>
                <w:color w:val="auto"/>
              </w:rPr>
              <w:t>Lease financing obligation – long-term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5,962</w:t>
            </w:r>
          </w:p>
        </w:tc>
      </w:tr>
      <w:tr>
        <w:trPr>
          <w:trHeight w:val="171"/>
        </w:trPr>
        <w:tc>
          <w:tcPr>
            <w:tcW w:w="2960" w:type="dxa"/>
            <w:vAlign w:val="bottom"/>
          </w:tcPr>
          <w:p>
            <w:pPr>
              <w:ind w:left="20"/>
              <w:spacing w:after="0"/>
              <w:rPr>
                <w:sz w:val="20"/>
                <w:szCs w:val="20"/>
                <w:color w:val="auto"/>
              </w:rPr>
            </w:pPr>
            <w:r>
              <w:rPr>
                <w:rFonts w:ascii="Arial" w:cs="Arial" w:eastAsia="Arial" w:hAnsi="Arial"/>
                <w:sz w:val="14"/>
                <w:szCs w:val="14"/>
                <w:i w:val="1"/>
                <w:iCs w:val="1"/>
                <w:color w:val="auto"/>
              </w:rPr>
              <w:t>Total operating lease liabilities</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7,781</w:t>
            </w:r>
          </w:p>
        </w:tc>
      </w:tr>
      <w:tr>
        <w:trPr>
          <w:trHeight w:val="20"/>
        </w:trPr>
        <w:tc>
          <w:tcPr>
            <w:tcW w:w="29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lease assets are recorded net of accumulated amortization of $3,440 and $2,626 as of June 30, 2022 and December 31, 2021,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Cash paid for amounts included in the measurement of lease liabilities was $607 and $1,181 for the three and six months ended June 30, 2022, respectively, and $379 and $819 for the three and six months ended June 30, 2021,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00" w:type="dxa"/>
            <w:vAlign w:val="bottom"/>
          </w:tcPr>
          <w:p>
            <w:pPr>
              <w:ind w:left="380"/>
              <w:spacing w:after="0"/>
              <w:rPr>
                <w:sz w:val="20"/>
                <w:szCs w:val="20"/>
                <w:color w:val="auto"/>
              </w:rPr>
            </w:pPr>
            <w:r>
              <w:rPr>
                <w:rFonts w:ascii="Arial" w:cs="Arial" w:eastAsia="Arial" w:hAnsi="Arial"/>
                <w:sz w:val="14"/>
                <w:szCs w:val="14"/>
                <w:color w:val="auto"/>
              </w:rPr>
              <w:t>Maturities of operating lease liabilities as of June 30, 2022, are as follows (in thousands):</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0"/>
        </w:trPr>
        <w:tc>
          <w:tcPr>
            <w:tcW w:w="9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0"/>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(remaining)</w:t>
            </w: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w:t>
            </w:r>
          </w:p>
        </w:tc>
      </w:tr>
      <w:tr>
        <w:trPr>
          <w:trHeight w:val="180"/>
        </w:trPr>
        <w:tc>
          <w:tcPr>
            <w:tcW w:w="9800" w:type="dxa"/>
            <w:vAlign w:val="bottom"/>
          </w:tcPr>
          <w:p>
            <w:pPr>
              <w:ind w:left="20"/>
              <w:spacing w:after="0"/>
              <w:rPr>
                <w:sz w:val="20"/>
                <w:szCs w:val="20"/>
                <w:color w:val="auto"/>
              </w:rPr>
            </w:pPr>
            <w:r>
              <w:rPr>
                <w:rFonts w:ascii="Arial" w:cs="Arial" w:eastAsia="Arial" w:hAnsi="Arial"/>
                <w:sz w:val="14"/>
                <w:szCs w:val="14"/>
                <w:color w:val="auto"/>
              </w:rPr>
              <w:t>2023</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2,266</w:t>
            </w:r>
          </w:p>
        </w:tc>
      </w:tr>
      <w:tr>
        <w:trPr>
          <w:trHeight w:val="181"/>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w:t>
            </w:r>
          </w:p>
        </w:tc>
      </w:tr>
      <w:tr>
        <w:trPr>
          <w:trHeight w:val="180"/>
        </w:trPr>
        <w:tc>
          <w:tcPr>
            <w:tcW w:w="9800" w:type="dxa"/>
            <w:vAlign w:val="bottom"/>
          </w:tcPr>
          <w:p>
            <w:pPr>
              <w:ind w:left="20"/>
              <w:spacing w:after="0"/>
              <w:rPr>
                <w:sz w:val="20"/>
                <w:szCs w:val="20"/>
                <w:color w:val="auto"/>
              </w:rPr>
            </w:pPr>
            <w:r>
              <w:rPr>
                <w:rFonts w:ascii="Arial" w:cs="Arial" w:eastAsia="Arial" w:hAnsi="Arial"/>
                <w:sz w:val="14"/>
                <w:szCs w:val="14"/>
                <w:color w:val="auto"/>
              </w:rPr>
              <w:t>2025</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1,373</w:t>
            </w:r>
          </w:p>
        </w:tc>
      </w:tr>
      <w:tr>
        <w:trPr>
          <w:trHeight w:val="181"/>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r>
      <w:tr>
        <w:trPr>
          <w:trHeight w:val="18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6,734</w:t>
            </w:r>
          </w:p>
        </w:tc>
      </w:tr>
      <w:tr>
        <w:trPr>
          <w:trHeight w:val="171"/>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lease payments</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13,972</w:t>
            </w:r>
          </w:p>
        </w:tc>
      </w:tr>
      <w:tr>
        <w:trPr>
          <w:trHeight w:val="18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(5,640)</w:t>
            </w:r>
          </w:p>
        </w:tc>
      </w:tr>
      <w:tr>
        <w:trPr>
          <w:trHeight w:val="196"/>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9 </w:t>
      </w:r>
      <w:r>
        <w:rPr>
          <w:rFonts w:ascii="Arial" w:cs="Arial" w:eastAsia="Arial" w:hAnsi="Arial"/>
          <w:sz w:val="14"/>
          <w:szCs w:val="14"/>
          <w:color w:val="auto"/>
        </w:rPr>
        <w:t>—</w:t>
      </w:r>
      <w:r>
        <w:rPr>
          <w:rFonts w:ascii="Arial" w:cs="Arial" w:eastAsia="Arial" w:hAnsi="Arial"/>
          <w:sz w:val="14"/>
          <w:szCs w:val="14"/>
          <w:b w:val="1"/>
          <w:bCs w:val="1"/>
          <w:color w:val="auto"/>
        </w:rPr>
        <w:t xml:space="preserve"> Stockholders</w:t>
      </w:r>
      <w:r>
        <w:rPr>
          <w:rFonts w:ascii="Arial" w:cs="Arial" w:eastAsia="Arial" w:hAnsi="Arial"/>
          <w:sz w:val="14"/>
          <w:szCs w:val="14"/>
          <w:color w:val="auto"/>
        </w:rPr>
        <w:t>’</w:t>
      </w:r>
      <w:r>
        <w:rPr>
          <w:rFonts w:ascii="Arial" w:cs="Arial" w:eastAsia="Arial" w:hAnsi="Arial"/>
          <w:sz w:val="14"/>
          <w:szCs w:val="14"/>
          <w:b w:val="1"/>
          <w:bCs w:val="1"/>
          <w:color w:val="auto"/>
        </w:rPr>
        <w:t xml:space="preserve"> Equity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Common Stock</w:t>
      </w:r>
    </w:p>
    <w:p>
      <w:pPr>
        <w:spacing w:after="0" w:line="157"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On April 24, 2020, the Company filed a shelf registration statement on Form S-3 with the SEC. This shelf registration statement became effective on May 14, 2020 and allows the Company to sell up to $500,000 in securities, including common stock, preferred stock, depositary shares, purchase contracts, warrants, debt securities, and units, from time to time at prices and on terms to be determined at the time of sale.</w:t>
      </w:r>
    </w:p>
    <w:p>
      <w:pPr>
        <w:spacing w:after="0" w:line="110" w:lineRule="exact"/>
        <w:rPr>
          <w:sz w:val="20"/>
          <w:szCs w:val="20"/>
          <w:color w:val="auto"/>
        </w:rPr>
      </w:pPr>
    </w:p>
    <w:p>
      <w:pPr>
        <w:ind w:right="200" w:firstLine="382"/>
        <w:spacing w:after="0" w:line="267" w:lineRule="auto"/>
        <w:rPr>
          <w:sz w:val="20"/>
          <w:szCs w:val="20"/>
          <w:color w:val="auto"/>
        </w:rPr>
      </w:pPr>
      <w:r>
        <w:rPr>
          <w:rFonts w:ascii="Arial" w:cs="Arial" w:eastAsia="Arial" w:hAnsi="Arial"/>
          <w:sz w:val="14"/>
          <w:szCs w:val="14"/>
          <w:color w:val="auto"/>
        </w:rPr>
        <w:t>On March 1, 2021,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spacing w:after="0" w:line="110"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On November 19, 2021, concurrent with the Company entering into the 2021 RPI Royalty Purchase Agreement, the Company and RPI entered into the Common Stock Purchase Agreement, pursuant to which the Company issued 3,846,154 shares of the Company’s common stock to RPI for an aggregate purchase price of $50,000, at a price of $13.00 per share, calculated based on the 20-day volume weighted average price. The $13.00 per share price represents a premium of $1.11 over the closing price of $11.89 of the Company’s common stock on November 17, 2021, the last trading day prior to the execution of the Common Stock Purchase Agreement. The premium of $4,269 paid by RPI on the purchase of the Company’s common stock has been deferred and is being amortized as a component of interest expense of the 2021 RPI royalty financing obligation.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10 </w:t>
      </w:r>
      <w:r>
        <w:rPr>
          <w:rFonts w:ascii="Arial" w:cs="Arial" w:eastAsia="Arial" w:hAnsi="Arial"/>
          <w:sz w:val="14"/>
          <w:szCs w:val="14"/>
          <w:color w:val="auto"/>
        </w:rPr>
        <w:t>—</w:t>
      </w:r>
      <w:r>
        <w:rPr>
          <w:rFonts w:ascii="Arial" w:cs="Arial" w:eastAsia="Arial" w:hAnsi="Arial"/>
          <w:sz w:val="14"/>
          <w:szCs w:val="14"/>
          <w:b w:val="1"/>
          <w:bCs w:val="1"/>
          <w:color w:val="auto"/>
        </w:rPr>
        <w:t xml:space="preserve"> Stock-Based Compensation</w:t>
      </w:r>
    </w:p>
    <w:p>
      <w:pPr>
        <w:spacing w:after="0" w:line="151"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As of June 30, 2022,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18, 2022 and approved by the Company’s stockholders on June 7, 2022. The Inducement Plan was most recently amended and restated by the Board of Directors on July 23, 2021. The ESPP was most recently amended and restated on April 1, 2021 and approved by the Company’s stockholders on May 25, 2021.</w:t>
      </w:r>
    </w:p>
    <w:p>
      <w:pPr>
        <w:spacing w:after="0" w:line="114" w:lineRule="exact"/>
        <w:rPr>
          <w:sz w:val="20"/>
          <w:szCs w:val="20"/>
          <w:color w:val="auto"/>
        </w:rPr>
      </w:pPr>
    </w:p>
    <w:p>
      <w:pPr>
        <w:jc w:val="both"/>
        <w:ind w:right="160" w:firstLine="382"/>
        <w:spacing w:after="0" w:line="267" w:lineRule="auto"/>
        <w:rPr>
          <w:sz w:val="20"/>
          <w:szCs w:val="20"/>
          <w:color w:val="auto"/>
        </w:rPr>
      </w:pPr>
      <w:r>
        <w:rPr>
          <w:rFonts w:ascii="Arial" w:cs="Arial" w:eastAsia="Arial" w:hAnsi="Arial"/>
          <w:sz w:val="14"/>
          <w:szCs w:val="14"/>
          <w:color w:val="auto"/>
        </w:rPr>
        <w:t>Stock-based compensation expense of $19,468 ($15,867 of expense related to the Incentive Plan, $2,965 of expense related to the Inducement Plan, and $636 of expense related to the ESPP) was recognized during the six months ended June 30, 2022, while $13,111 ($11,073 of expense related to the Incentive Plan, $1,274 of expense related to the Inducement Plan and $764 of expense related to the ESPP) was recognized during the six months ended June 30, 2021.</w:t>
      </w:r>
    </w:p>
    <w:p>
      <w:pPr>
        <w:spacing w:after="0" w:line="120" w:lineRule="exact"/>
        <w:rPr>
          <w:sz w:val="20"/>
          <w:szCs w:val="20"/>
          <w:color w:val="auto"/>
        </w:rPr>
      </w:pPr>
    </w:p>
    <w:p>
      <w:pPr>
        <w:ind w:right="320" w:firstLine="382"/>
        <w:spacing w:after="0" w:line="321" w:lineRule="auto"/>
        <w:rPr>
          <w:sz w:val="20"/>
          <w:szCs w:val="20"/>
          <w:color w:val="auto"/>
        </w:rPr>
      </w:pPr>
      <w:r>
        <w:rPr>
          <w:rFonts w:ascii="Arial" w:cs="Arial" w:eastAsia="Arial" w:hAnsi="Arial"/>
          <w:sz w:val="13"/>
          <w:szCs w:val="13"/>
          <w:color w:val="auto"/>
        </w:rPr>
        <w:t>There was approximately $104,406 of total unrecognized compensation expense related to non-vested stock option and restricted stock unit awards granted by the Company as of June 30, 2022. As of June 30, 2022, the Company expected to recognize that expense as follows: $20,395 during the remainder of 2022, $34,794 in 2023, $30,343 in 2024, $18,002 in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60"/>
        <w:spacing w:after="0" w:line="281" w:lineRule="auto"/>
        <w:rPr>
          <w:sz w:val="20"/>
          <w:szCs w:val="20"/>
          <w:color w:val="auto"/>
        </w:rPr>
      </w:pPr>
      <w:r>
        <w:rPr>
          <w:rFonts w:ascii="Arial" w:cs="Arial" w:eastAsia="Arial" w:hAnsi="Arial"/>
          <w:sz w:val="14"/>
          <w:szCs w:val="14"/>
          <w:color w:val="auto"/>
        </w:rPr>
        <w:t>2025 and $872 in 2026. In addition, the Company has outstanding performance-based stock options and restricted stock unit awards for which no compensation expense is recognized until “performance” has occurred and the award vests.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Incentive Plan</w:t>
      </w:r>
    </w:p>
    <w:p>
      <w:pPr>
        <w:spacing w:after="0" w:line="147"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The Company grants stock option awards, restricted stock and restricted stock units to its employees, directors, and consultants under the Incentive Plan. Under the Incentive Plan, stock option awards are granted with an exercise price equal to the market price of the Company’s common stock at the date of grant. Commencing March 1, 2011, stock option awards and restricted stock units granted to employees generally vest 25% each year until fully vested after four years.</w:t>
      </w:r>
    </w:p>
    <w:p>
      <w:pPr>
        <w:spacing w:after="0" w:line="110"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In December 2014, the Company issued 1,250 performance-based stock options. These awards vest upon successful completion of specific development milestones. As of June 30, 2022, 85% of these grants have vested.</w:t>
      </w:r>
    </w:p>
    <w:p>
      <w:pPr>
        <w:spacing w:after="0" w:line="111" w:lineRule="exact"/>
        <w:rPr>
          <w:sz w:val="20"/>
          <w:szCs w:val="20"/>
          <w:color w:val="auto"/>
        </w:rPr>
      </w:pPr>
    </w:p>
    <w:p>
      <w:pPr>
        <w:ind w:right="160" w:firstLine="382"/>
        <w:spacing w:after="0" w:line="368" w:lineRule="auto"/>
        <w:rPr>
          <w:sz w:val="20"/>
          <w:szCs w:val="20"/>
          <w:color w:val="auto"/>
        </w:rPr>
      </w:pPr>
      <w:r>
        <w:rPr>
          <w:rFonts w:ascii="Arial" w:cs="Arial" w:eastAsia="Arial" w:hAnsi="Arial"/>
          <w:sz w:val="12"/>
          <w:szCs w:val="12"/>
          <w:color w:val="auto"/>
        </w:rPr>
        <w:t>In January 2022, the Company issued 221 performance-based restricted stock unit awards. Contingent upon successful achievement of specific commercial or operational objectives in 2022, the awards become eligible for vesting at 50% on the first anniversary of the grant date and 25% on each of the second and third anniversaries of the grant date, until fully vested after three years.</w:t>
      </w:r>
    </w:p>
    <w:p>
      <w:pPr>
        <w:spacing w:after="0" w:line="54" w:lineRule="exact"/>
        <w:rPr>
          <w:sz w:val="20"/>
          <w:szCs w:val="20"/>
          <w:color w:val="auto"/>
        </w:rPr>
      </w:pPr>
    </w:p>
    <w:p>
      <w:pPr>
        <w:ind w:right="40" w:firstLine="382"/>
        <w:spacing w:after="0" w:line="313" w:lineRule="auto"/>
        <w:rPr>
          <w:sz w:val="20"/>
          <w:szCs w:val="20"/>
          <w:color w:val="auto"/>
        </w:rPr>
      </w:pPr>
      <w:r>
        <w:rPr>
          <w:rFonts w:ascii="Arial" w:cs="Arial" w:eastAsia="Arial" w:hAnsi="Arial"/>
          <w:sz w:val="12"/>
          <w:szCs w:val="12"/>
          <w:color w:val="auto"/>
        </w:rPr>
        <w:t>Stock option awards and restricted stock unit awards granted to non-employee directors of the Company generally vest over one year. Stock option awards granted to new non-employee directors when they first join the Company’s Board of Directors generally vest, subject to the terms of the Incentive Plan, in 36 equal monthly installments over a three-year period measured from the grant date. All stock option awards have contractual terms of 10 years. Restricted stock unit awards granted to new non-employee directors when they first join the Company's Board of Directors generally vest, subject to the terms of the Incentive Plan, in three equal annual installments beginning on the first anniversary of the grant date. The vesting and exercise provisions of all awards granted under the Incentive Plan are subject to acceleration in the event of certain stockholder-approved transactions, or upon the occurrence of a change in control as defined in the Incentive Plan.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80" w:type="dxa"/>
            <w:vAlign w:val="bottom"/>
            <w:gridSpan w:val="2"/>
          </w:tcPr>
          <w:p>
            <w:pPr>
              <w:ind w:left="380"/>
              <w:spacing w:after="0"/>
              <w:rPr>
                <w:sz w:val="20"/>
                <w:szCs w:val="20"/>
                <w:color w:val="auto"/>
              </w:rPr>
            </w:pPr>
            <w:r>
              <w:rPr>
                <w:rFonts w:ascii="Arial" w:cs="Arial" w:eastAsia="Arial" w:hAnsi="Arial"/>
                <w:sz w:val="14"/>
                <w:szCs w:val="14"/>
                <w:color w:val="auto"/>
              </w:rPr>
              <w:t>Related activity under the Incentive Plan is as follows: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46"/>
        </w:trPr>
        <w:tc>
          <w:tcPr>
            <w:tcW w:w="6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89"/>
              <w:spacing w:after="0"/>
              <w:rPr>
                <w:sz w:val="20"/>
                <w:szCs w:val="20"/>
                <w:color w:val="auto"/>
              </w:rPr>
            </w:pPr>
            <w:r>
              <w:rPr>
                <w:rFonts w:ascii="Arial" w:cs="Arial" w:eastAsia="Arial" w:hAnsi="Arial"/>
                <w:sz w:val="14"/>
                <w:szCs w:val="14"/>
                <w:b w:val="1"/>
                <w:bCs w:val="1"/>
                <w:color w:val="auto"/>
                <w:w w:val="88"/>
              </w:rPr>
              <w:t>Weighted</w:t>
            </w:r>
          </w:p>
        </w:tc>
      </w:tr>
      <w:tr>
        <w:trPr>
          <w:trHeight w:val="170"/>
        </w:trPr>
        <w:tc>
          <w:tcPr>
            <w:tcW w:w="6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9"/>
              <w:spacing w:after="0"/>
              <w:rPr>
                <w:sz w:val="20"/>
                <w:szCs w:val="20"/>
                <w:color w:val="auto"/>
              </w:rPr>
            </w:pPr>
            <w:r>
              <w:rPr>
                <w:rFonts w:ascii="Arial" w:cs="Arial" w:eastAsia="Arial" w:hAnsi="Arial"/>
                <w:sz w:val="14"/>
                <w:szCs w:val="14"/>
                <w:b w:val="1"/>
                <w:bCs w:val="1"/>
                <w:color w:val="auto"/>
                <w:w w:val="86"/>
              </w:rPr>
              <w:t>Average</w:t>
            </w:r>
          </w:p>
        </w:tc>
      </w:tr>
      <w:tr>
        <w:trPr>
          <w:trHeight w:val="170"/>
        </w:trPr>
        <w:tc>
          <w:tcPr>
            <w:tcW w:w="6660" w:type="dxa"/>
            <w:vAlign w:val="bottom"/>
          </w:tcPr>
          <w:p>
            <w:pPr>
              <w:spacing w:after="0"/>
              <w:rPr>
                <w:sz w:val="14"/>
                <w:szCs w:val="14"/>
                <w:color w:val="auto"/>
              </w:rPr>
            </w:pPr>
          </w:p>
        </w:tc>
        <w:tc>
          <w:tcPr>
            <w:tcW w:w="1020" w:type="dxa"/>
            <w:vAlign w:val="bottom"/>
          </w:tcPr>
          <w:p>
            <w:pPr>
              <w:jc w:val="center"/>
              <w:ind w:left="389"/>
              <w:spacing w:after="0"/>
              <w:rPr>
                <w:sz w:val="20"/>
                <w:szCs w:val="20"/>
                <w:color w:val="auto"/>
              </w:rPr>
            </w:pPr>
            <w:r>
              <w:rPr>
                <w:rFonts w:ascii="Arial" w:cs="Arial" w:eastAsia="Arial" w:hAnsi="Arial"/>
                <w:sz w:val="14"/>
                <w:szCs w:val="14"/>
                <w:b w:val="1"/>
                <w:bCs w:val="1"/>
                <w:color w:val="auto"/>
                <w:w w:val="94"/>
              </w:rPr>
              <w:t>Awards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9"/>
              <w:spacing w:after="0"/>
              <w:rPr>
                <w:sz w:val="20"/>
                <w:szCs w:val="20"/>
                <w:color w:val="auto"/>
              </w:rPr>
            </w:pPr>
            <w:r>
              <w:rPr>
                <w:rFonts w:ascii="Arial" w:cs="Arial" w:eastAsia="Arial" w:hAnsi="Arial"/>
                <w:sz w:val="14"/>
                <w:szCs w:val="14"/>
                <w:b w:val="1"/>
                <w:bCs w:val="1"/>
                <w:color w:val="auto"/>
                <w:w w:val="90"/>
              </w:rPr>
              <w:t>Exercise</w:t>
            </w:r>
          </w:p>
        </w:tc>
      </w:tr>
      <w:tr>
        <w:trPr>
          <w:trHeight w:val="184"/>
        </w:trPr>
        <w:tc>
          <w:tcPr>
            <w:tcW w:w="6660" w:type="dxa"/>
            <w:vAlign w:val="bottom"/>
          </w:tcPr>
          <w:p>
            <w:pPr>
              <w:spacing w:after="0"/>
              <w:rPr>
                <w:sz w:val="16"/>
                <w:szCs w:val="16"/>
                <w:color w:val="auto"/>
              </w:rPr>
            </w:pPr>
          </w:p>
        </w:tc>
        <w:tc>
          <w:tcPr>
            <w:tcW w:w="1020" w:type="dxa"/>
            <w:vAlign w:val="bottom"/>
          </w:tcPr>
          <w:p>
            <w:pPr>
              <w:jc w:val="center"/>
              <w:ind w:left="389"/>
              <w:spacing w:after="0"/>
              <w:rPr>
                <w:sz w:val="20"/>
                <w:szCs w:val="20"/>
                <w:color w:val="auto"/>
              </w:rPr>
            </w:pPr>
            <w:r>
              <w:rPr>
                <w:rFonts w:ascii="Arial" w:cs="Arial" w:eastAsia="Arial" w:hAnsi="Arial"/>
                <w:sz w:val="14"/>
                <w:szCs w:val="14"/>
                <w:b w:val="1"/>
                <w:bCs w:val="1"/>
                <w:color w:val="auto"/>
                <w:w w:val="91"/>
              </w:rPr>
              <w:t>Available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right"/>
              <w:ind w:right="309"/>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89"/>
              <w:spacing w:after="0"/>
              <w:rPr>
                <w:sz w:val="20"/>
                <w:szCs w:val="20"/>
                <w:color w:val="auto"/>
              </w:rPr>
            </w:pPr>
            <w:r>
              <w:rPr>
                <w:rFonts w:ascii="Arial" w:cs="Arial" w:eastAsia="Arial" w:hAnsi="Arial"/>
                <w:sz w:val="14"/>
                <w:szCs w:val="14"/>
                <w:b w:val="1"/>
                <w:bCs w:val="1"/>
                <w:color w:val="auto"/>
                <w:w w:val="93"/>
              </w:rPr>
              <w:t>Price</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3,651</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28,685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r>
      <w:tr>
        <w:trPr>
          <w:trHeight w:val="180"/>
        </w:trPr>
        <w:tc>
          <w:tcPr>
            <w:tcW w:w="7680" w:type="dxa"/>
            <w:vAlign w:val="bottom"/>
            <w:gridSpan w:val="2"/>
          </w:tcPr>
          <w:p>
            <w:pPr>
              <w:ind w:left="140"/>
              <w:spacing w:after="0"/>
              <w:rPr>
                <w:sz w:val="20"/>
                <w:szCs w:val="20"/>
                <w:color w:val="auto"/>
              </w:rPr>
            </w:pPr>
            <w:r>
              <w:rPr>
                <w:rFonts w:ascii="Arial" w:cs="Arial" w:eastAsia="Arial" w:hAnsi="Arial"/>
                <w:sz w:val="14"/>
                <w:szCs w:val="14"/>
                <w:color w:val="auto"/>
              </w:rPr>
              <w:t>Plan amendment</w:t>
            </w:r>
          </w:p>
        </w:tc>
        <w:tc>
          <w:tcPr>
            <w:tcW w:w="460" w:type="dxa"/>
            <w:vAlign w:val="bottom"/>
          </w:tcPr>
          <w:p>
            <w:pPr>
              <w:jc w:val="right"/>
              <w:spacing w:after="0"/>
              <w:rPr>
                <w:sz w:val="20"/>
                <w:szCs w:val="20"/>
                <w:color w:val="auto"/>
              </w:rPr>
            </w:pPr>
            <w:r>
              <w:rPr>
                <w:rFonts w:ascii="Arial" w:cs="Arial" w:eastAsia="Arial" w:hAnsi="Arial"/>
                <w:sz w:val="14"/>
                <w:szCs w:val="14"/>
                <w:color w:val="auto"/>
              </w:rPr>
              <w:t>8,000</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Restricted stock unit awards granted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680" w:type="dxa"/>
            <w:vAlign w:val="bottom"/>
            <w:gridSpan w:val="2"/>
          </w:tcPr>
          <w:p>
            <w:pPr>
              <w:ind w:left="140"/>
              <w:spacing w:after="0"/>
              <w:rPr>
                <w:sz w:val="20"/>
                <w:szCs w:val="20"/>
                <w:color w:val="auto"/>
              </w:rPr>
            </w:pPr>
            <w:r>
              <w:rPr>
                <w:rFonts w:ascii="Arial" w:cs="Arial" w:eastAsia="Arial" w:hAnsi="Arial"/>
                <w:sz w:val="14"/>
                <w:szCs w:val="14"/>
                <w:color w:val="auto"/>
              </w:rPr>
              <w:t>Restricted stock unit awards cancelled</w:t>
            </w:r>
          </w:p>
        </w:tc>
        <w:tc>
          <w:tcPr>
            <w:tcW w:w="46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Stock option awards granted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r>
      <w:tr>
        <w:trPr>
          <w:trHeight w:val="180"/>
        </w:trPr>
        <w:tc>
          <w:tcPr>
            <w:tcW w:w="7680" w:type="dxa"/>
            <w:vAlign w:val="bottom"/>
            <w:gridSpan w:val="2"/>
          </w:tcPr>
          <w:p>
            <w:pPr>
              <w:ind w:left="140"/>
              <w:spacing w:after="0"/>
              <w:rPr>
                <w:sz w:val="20"/>
                <w:szCs w:val="20"/>
                <w:color w:val="auto"/>
              </w:rPr>
            </w:pPr>
            <w:r>
              <w:rPr>
                <w:rFonts w:ascii="Arial" w:cs="Arial" w:eastAsia="Arial" w:hAnsi="Arial"/>
                <w:sz w:val="14"/>
                <w:szCs w:val="14"/>
                <w:color w:val="auto"/>
              </w:rPr>
              <w:t>Stock option awards exercised</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(1,086)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5.72</w:t>
            </w:r>
          </w:p>
        </w:tc>
      </w:tr>
      <w:tr>
        <w:trPr>
          <w:trHeight w:val="180"/>
        </w:trPr>
        <w:tc>
          <w:tcPr>
            <w:tcW w:w="6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 awards cancelled</w:t>
            </w:r>
          </w:p>
        </w:tc>
        <w:tc>
          <w:tcPr>
            <w:tcW w:w="10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r>
      <w:tr>
        <w:trPr>
          <w:trHeight w:val="171"/>
        </w:trPr>
        <w:tc>
          <w:tcPr>
            <w:tcW w:w="7680" w:type="dxa"/>
            <w:vAlign w:val="bottom"/>
            <w:gridSpan w:val="2"/>
          </w:tcPr>
          <w:p>
            <w:pPr>
              <w:ind w:left="20"/>
              <w:spacing w:after="0"/>
              <w:rPr>
                <w:sz w:val="20"/>
                <w:szCs w:val="20"/>
                <w:color w:val="auto"/>
              </w:rPr>
            </w:pPr>
            <w:r>
              <w:rPr>
                <w:rFonts w:ascii="Arial" w:cs="Arial" w:eastAsia="Arial" w:hAnsi="Arial"/>
                <w:sz w:val="14"/>
                <w:szCs w:val="14"/>
                <w:color w:val="auto"/>
              </w:rPr>
              <w:t>Balance June 30, 2022</w:t>
            </w:r>
          </w:p>
        </w:tc>
        <w:tc>
          <w:tcPr>
            <w:tcW w:w="460" w:type="dxa"/>
            <w:vAlign w:val="bottom"/>
          </w:tcPr>
          <w:p>
            <w:pPr>
              <w:jc w:val="right"/>
              <w:spacing w:after="0"/>
              <w:rPr>
                <w:sz w:val="20"/>
                <w:szCs w:val="20"/>
                <w:color w:val="auto"/>
              </w:rPr>
            </w:pPr>
            <w:r>
              <w:rPr>
                <w:rFonts w:ascii="Arial" w:cs="Arial" w:eastAsia="Arial" w:hAnsi="Arial"/>
                <w:sz w:val="14"/>
                <w:szCs w:val="14"/>
                <w:color w:val="auto"/>
                <w:w w:val="88"/>
              </w:rPr>
              <w:t>10,736</w:t>
            </w:r>
          </w:p>
        </w:tc>
        <w:tc>
          <w:tcPr>
            <w:tcW w:w="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27,903</w:t>
            </w:r>
          </w:p>
        </w:tc>
        <w:tc>
          <w:tcPr>
            <w:tcW w:w="3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8.03</w:t>
            </w:r>
          </w:p>
        </w:tc>
      </w:tr>
      <w:tr>
        <w:trPr>
          <w:trHeight w:val="20"/>
        </w:trPr>
        <w:tc>
          <w:tcPr>
            <w:tcW w:w="6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color w:val="auto"/>
        </w:rPr>
        <w:t>For stock option awards granted under the Incentive Plan during the first six months of 2022 and 2021, the fair value was estimated on the date of grant using a Black-Scholes option pricing model and the assumptions noted in the table following the next subsection. The weighted average grant date fair value of these awards granted during the first six months of 2022 and 2021 was $7.78 and $7.84, respectively. The fair value of the stock option awards is amortized to expense over the vesting periods using a straight-line expense attribution method. For restricted stock units granted under the Incentive Plan, the fair value of the awards was determined based on the market value of the Company’s shares on the grant date. The weighted average grant date fair value of these awards granted during the first six months of 2022 and 2021 was $13.25 and $10.17, respectively. The fair value of the restricted stock unit awards is amortized to expense over the vesting periods using a straight-line expense attribution method.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Inducement Equity Incentive Plan</w:t>
      </w:r>
    </w:p>
    <w:p>
      <w:pPr>
        <w:spacing w:after="0" w:line="147" w:lineRule="exact"/>
        <w:rPr>
          <w:sz w:val="20"/>
          <w:szCs w:val="20"/>
          <w:color w:val="auto"/>
        </w:rPr>
      </w:pPr>
    </w:p>
    <w:p>
      <w:pPr>
        <w:ind w:right="560" w:firstLine="382"/>
        <w:spacing w:after="0" w:line="281" w:lineRule="auto"/>
        <w:rPr>
          <w:sz w:val="20"/>
          <w:szCs w:val="20"/>
          <w:color w:val="auto"/>
        </w:rPr>
      </w:pPr>
      <w:r>
        <w:rPr>
          <w:rFonts w:ascii="Arial" w:cs="Arial" w:eastAsia="Arial" w:hAnsi="Arial"/>
          <w:sz w:val="14"/>
          <w:szCs w:val="14"/>
          <w:color w:val="auto"/>
        </w:rPr>
        <w:t>The Company has the ability to grant stock option and restricted stock unit awards to newly-hired employees as inducements material to each employee entering employment with the Company. Awards granted to newly hired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80"/>
        <w:spacing w:after="0" w:line="267" w:lineRule="auto"/>
        <w:rPr>
          <w:sz w:val="20"/>
          <w:szCs w:val="20"/>
          <w:color w:val="auto"/>
        </w:rPr>
      </w:pPr>
      <w:r>
        <w:rPr>
          <w:rFonts w:ascii="Arial" w:cs="Arial" w:eastAsia="Arial" w:hAnsi="Arial"/>
          <w:sz w:val="14"/>
          <w:szCs w:val="14"/>
          <w:color w:val="auto"/>
        </w:rPr>
        <w:t>employees generally vest 25% each year until fully vested after four years and are subject to the terms and conditions of the Inducement Plan. Each stock option has a term of 10 years. The vesting and exercise provisions of all awards granted under the Inducement Plan are subject to acceleration in the event of certain stockholder-approved transactions, or upon the occurrence of a change in control as defined in the Inducement Plan.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740" w:type="dxa"/>
            <w:vAlign w:val="bottom"/>
            <w:gridSpan w:val="2"/>
          </w:tcPr>
          <w:p>
            <w:pPr>
              <w:ind w:left="380"/>
              <w:spacing w:after="0"/>
              <w:rPr>
                <w:sz w:val="20"/>
                <w:szCs w:val="20"/>
                <w:color w:val="auto"/>
              </w:rPr>
            </w:pPr>
            <w:r>
              <w:rPr>
                <w:rFonts w:ascii="Arial" w:cs="Arial" w:eastAsia="Arial" w:hAnsi="Arial"/>
                <w:sz w:val="14"/>
                <w:szCs w:val="14"/>
                <w:color w:val="auto"/>
              </w:rPr>
              <w:t>Related activity under the Inducement Plan is as follows: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36"/>
        </w:trPr>
        <w:tc>
          <w:tcPr>
            <w:tcW w:w="6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89"/>
              <w:spacing w:after="0"/>
              <w:rPr>
                <w:sz w:val="20"/>
                <w:szCs w:val="20"/>
                <w:color w:val="auto"/>
              </w:rPr>
            </w:pPr>
            <w:r>
              <w:rPr>
                <w:rFonts w:ascii="Arial" w:cs="Arial" w:eastAsia="Arial" w:hAnsi="Arial"/>
                <w:sz w:val="14"/>
                <w:szCs w:val="14"/>
                <w:b w:val="1"/>
                <w:bCs w:val="1"/>
                <w:color w:val="auto"/>
                <w:w w:val="88"/>
              </w:rPr>
              <w:t>Weighted</w:t>
            </w:r>
          </w:p>
        </w:tc>
      </w:tr>
      <w:tr>
        <w:trPr>
          <w:trHeight w:val="170"/>
        </w:trPr>
        <w:tc>
          <w:tcPr>
            <w:tcW w:w="6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9"/>
              <w:spacing w:after="0"/>
              <w:rPr>
                <w:sz w:val="20"/>
                <w:szCs w:val="20"/>
                <w:color w:val="auto"/>
              </w:rPr>
            </w:pPr>
            <w:r>
              <w:rPr>
                <w:rFonts w:ascii="Arial" w:cs="Arial" w:eastAsia="Arial" w:hAnsi="Arial"/>
                <w:sz w:val="14"/>
                <w:szCs w:val="14"/>
                <w:b w:val="1"/>
                <w:bCs w:val="1"/>
                <w:color w:val="auto"/>
                <w:w w:val="86"/>
              </w:rPr>
              <w:t>Average</w:t>
            </w:r>
          </w:p>
        </w:tc>
      </w:tr>
      <w:tr>
        <w:trPr>
          <w:trHeight w:val="170"/>
        </w:trPr>
        <w:tc>
          <w:tcPr>
            <w:tcW w:w="6660" w:type="dxa"/>
            <w:vAlign w:val="bottom"/>
          </w:tcPr>
          <w:p>
            <w:pPr>
              <w:spacing w:after="0"/>
              <w:rPr>
                <w:sz w:val="14"/>
                <w:szCs w:val="14"/>
                <w:color w:val="auto"/>
              </w:rPr>
            </w:pPr>
          </w:p>
        </w:tc>
        <w:tc>
          <w:tcPr>
            <w:tcW w:w="1080" w:type="dxa"/>
            <w:vAlign w:val="bottom"/>
          </w:tcPr>
          <w:p>
            <w:pPr>
              <w:jc w:val="center"/>
              <w:ind w:left="329"/>
              <w:spacing w:after="0"/>
              <w:rPr>
                <w:sz w:val="20"/>
                <w:szCs w:val="20"/>
                <w:color w:val="auto"/>
              </w:rPr>
            </w:pPr>
            <w:r>
              <w:rPr>
                <w:rFonts w:ascii="Arial" w:cs="Arial" w:eastAsia="Arial" w:hAnsi="Arial"/>
                <w:sz w:val="14"/>
                <w:szCs w:val="14"/>
                <w:b w:val="1"/>
                <w:bCs w:val="1"/>
                <w:color w:val="auto"/>
                <w:w w:val="94"/>
              </w:rPr>
              <w:t>Awards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9"/>
              <w:spacing w:after="0"/>
              <w:rPr>
                <w:sz w:val="20"/>
                <w:szCs w:val="20"/>
                <w:color w:val="auto"/>
              </w:rPr>
            </w:pPr>
            <w:r>
              <w:rPr>
                <w:rFonts w:ascii="Arial" w:cs="Arial" w:eastAsia="Arial" w:hAnsi="Arial"/>
                <w:sz w:val="14"/>
                <w:szCs w:val="14"/>
                <w:b w:val="1"/>
                <w:bCs w:val="1"/>
                <w:color w:val="auto"/>
                <w:w w:val="90"/>
              </w:rPr>
              <w:t>Exercise</w:t>
            </w:r>
          </w:p>
        </w:tc>
      </w:tr>
      <w:tr>
        <w:trPr>
          <w:trHeight w:val="184"/>
        </w:trPr>
        <w:tc>
          <w:tcPr>
            <w:tcW w:w="6660" w:type="dxa"/>
            <w:vAlign w:val="bottom"/>
          </w:tcPr>
          <w:p>
            <w:pPr>
              <w:spacing w:after="0"/>
              <w:rPr>
                <w:sz w:val="16"/>
                <w:szCs w:val="16"/>
                <w:color w:val="auto"/>
              </w:rPr>
            </w:pPr>
          </w:p>
        </w:tc>
        <w:tc>
          <w:tcPr>
            <w:tcW w:w="1080" w:type="dxa"/>
            <w:vAlign w:val="bottom"/>
          </w:tcPr>
          <w:p>
            <w:pPr>
              <w:jc w:val="center"/>
              <w:ind w:left="329"/>
              <w:spacing w:after="0"/>
              <w:rPr>
                <w:sz w:val="20"/>
                <w:szCs w:val="20"/>
                <w:color w:val="auto"/>
              </w:rPr>
            </w:pPr>
            <w:r>
              <w:rPr>
                <w:rFonts w:ascii="Arial" w:cs="Arial" w:eastAsia="Arial" w:hAnsi="Arial"/>
                <w:sz w:val="14"/>
                <w:szCs w:val="14"/>
                <w:b w:val="1"/>
                <w:bCs w:val="1"/>
                <w:color w:val="auto"/>
                <w:w w:val="91"/>
              </w:rPr>
              <w:t>Available</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right"/>
              <w:ind w:right="309"/>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89"/>
              <w:spacing w:after="0"/>
              <w:rPr>
                <w:sz w:val="20"/>
                <w:szCs w:val="20"/>
                <w:color w:val="auto"/>
              </w:rPr>
            </w:pPr>
            <w:r>
              <w:rPr>
                <w:rFonts w:ascii="Arial" w:cs="Arial" w:eastAsia="Arial" w:hAnsi="Arial"/>
                <w:sz w:val="14"/>
                <w:szCs w:val="14"/>
                <w:b w:val="1"/>
                <w:bCs w:val="1"/>
                <w:color w:val="auto"/>
                <w:w w:val="93"/>
              </w:rPr>
              <w:t>Price</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r>
      <w:tr>
        <w:trPr>
          <w:trHeight w:val="180"/>
        </w:trPr>
        <w:tc>
          <w:tcPr>
            <w:tcW w:w="7740" w:type="dxa"/>
            <w:vAlign w:val="bottom"/>
            <w:gridSpan w:val="2"/>
          </w:tcPr>
          <w:p>
            <w:pPr>
              <w:ind w:left="140"/>
              <w:spacing w:after="0"/>
              <w:rPr>
                <w:sz w:val="20"/>
                <w:szCs w:val="20"/>
                <w:color w:val="auto"/>
              </w:rPr>
            </w:pPr>
            <w:r>
              <w:rPr>
                <w:rFonts w:ascii="Arial" w:cs="Arial" w:eastAsia="Arial" w:hAnsi="Arial"/>
                <w:sz w:val="14"/>
                <w:szCs w:val="14"/>
                <w:color w:val="auto"/>
              </w:rPr>
              <w:t>Restricted stock unit awards granted</w:t>
            </w:r>
          </w:p>
        </w:tc>
        <w:tc>
          <w:tcPr>
            <w:tcW w:w="400" w:type="dxa"/>
            <w:vAlign w:val="bottom"/>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Restricted stock unit awards cancelled</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740" w:type="dxa"/>
            <w:vAlign w:val="bottom"/>
            <w:gridSpan w:val="2"/>
          </w:tcPr>
          <w:p>
            <w:pPr>
              <w:ind w:left="140"/>
              <w:spacing w:after="0"/>
              <w:rPr>
                <w:sz w:val="20"/>
                <w:szCs w:val="20"/>
                <w:color w:val="auto"/>
              </w:rPr>
            </w:pPr>
            <w:r>
              <w:rPr>
                <w:rFonts w:ascii="Arial" w:cs="Arial" w:eastAsia="Arial" w:hAnsi="Arial"/>
                <w:sz w:val="14"/>
                <w:szCs w:val="14"/>
                <w:color w:val="auto"/>
              </w:rPr>
              <w:t>Stock option awards granted</w:t>
            </w:r>
          </w:p>
        </w:tc>
        <w:tc>
          <w:tcPr>
            <w:tcW w:w="400" w:type="dxa"/>
            <w:vAlign w:val="bottom"/>
          </w:tcPr>
          <w:p>
            <w:pPr>
              <w:jc w:val="right"/>
              <w:spacing w:after="0"/>
              <w:rPr>
                <w:sz w:val="20"/>
                <w:szCs w:val="20"/>
                <w:color w:val="auto"/>
              </w:rPr>
            </w:pPr>
            <w:r>
              <w:rPr>
                <w:rFonts w:ascii="Arial" w:cs="Arial" w:eastAsia="Arial" w:hAnsi="Arial"/>
                <w:sz w:val="14"/>
                <w:szCs w:val="14"/>
                <w:color w:val="auto"/>
              </w:rPr>
              <w:t>(697)</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697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14.75</w:t>
            </w:r>
          </w:p>
        </w:tc>
      </w:tr>
      <w:tr>
        <w:trPr>
          <w:trHeight w:val="181"/>
        </w:trPr>
        <w:tc>
          <w:tcPr>
            <w:tcW w:w="7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Stock option awards exercised</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r>
      <w:tr>
        <w:trPr>
          <w:trHeight w:val="18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Stock option awards cancelled</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8.18</w:t>
            </w:r>
          </w:p>
        </w:tc>
      </w:tr>
      <w:tr>
        <w:trPr>
          <w:trHeight w:val="191"/>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June 30, 2022</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w:t>
            </w:r>
          </w:p>
        </w:tc>
        <w:tc>
          <w:tcPr>
            <w:tcW w:w="3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60" w:firstLine="382"/>
        <w:spacing w:after="0" w:line="282" w:lineRule="auto"/>
        <w:rPr>
          <w:sz w:val="20"/>
          <w:szCs w:val="20"/>
          <w:color w:val="auto"/>
        </w:rPr>
      </w:pPr>
      <w:r>
        <w:rPr>
          <w:rFonts w:ascii="Arial" w:cs="Arial" w:eastAsia="Arial" w:hAnsi="Arial"/>
          <w:sz w:val="13"/>
          <w:szCs w:val="13"/>
          <w:color w:val="auto"/>
        </w:rPr>
        <w:t>For stock option awards granted under the Inducement Plan during the first six months of 2022 and 2021, the fair value was estimated on the date of grant using a Black-Scholes option pricing model and the assumptions noted in the table below. The weighted average grant date fair value of these awards granted during the first six months of 2022 and 2021 was $10.28 and $5.86, respectively. The fair value of the stock option awards is amortized to expense over the vesting periods using a straight-line expense attribution method. For restricted stock units granted under the Inducement Plan, the fair value of the awards was determined based on the market value of the Company’s shares on the grant date. The weighted average grant date fair value of these awards granted during the first six months of 2022 was $13.88. The fair value of the restricted stock unit awards is amortized to expense over the vesting periods using a straight-line expense attribution method. No restricted stock unit awards were granted under the Inducement Plan during the first six months of 2021.</w:t>
      </w:r>
    </w:p>
    <w:p>
      <w:pPr>
        <w:spacing w:after="0" w:line="103" w:lineRule="exact"/>
        <w:rPr>
          <w:sz w:val="20"/>
          <w:szCs w:val="20"/>
          <w:color w:val="auto"/>
        </w:rPr>
      </w:pPr>
    </w:p>
    <w:p>
      <w:pPr>
        <w:ind w:right="100" w:firstLine="382"/>
        <w:spacing w:after="0" w:line="313" w:lineRule="auto"/>
        <w:rPr>
          <w:sz w:val="20"/>
          <w:szCs w:val="20"/>
          <w:color w:val="auto"/>
        </w:rPr>
      </w:pPr>
      <w:r>
        <w:rPr>
          <w:rFonts w:ascii="Arial" w:cs="Arial" w:eastAsia="Arial" w:hAnsi="Arial"/>
          <w:sz w:val="12"/>
          <w:szCs w:val="12"/>
          <w:color w:val="auto"/>
        </w:rPr>
        <w:t>The following table summarizes the key assumptions used by the Company to value the stock option awards granted under all plans during the first six months of 2022 and 2021, respectively.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the historical volatility on the Company’s publicly 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Weighted Average Assumptions for Stock Option Awards Granted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Employees and Directors under the Plans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gridSpan w:val="2"/>
          </w:tcPr>
          <w:p>
            <w:pPr>
              <w:ind w:left="866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69"/>
              <w:spacing w:after="0"/>
              <w:rPr>
                <w:sz w:val="20"/>
                <w:szCs w:val="20"/>
                <w:color w:val="auto"/>
              </w:rPr>
            </w:pPr>
            <w:r>
              <w:rPr>
                <w:rFonts w:ascii="Arial" w:cs="Arial" w:eastAsia="Arial" w:hAnsi="Arial"/>
                <w:sz w:val="14"/>
                <w:szCs w:val="14"/>
                <w:b w:val="1"/>
                <w:bCs w:val="1"/>
                <w:color w:val="auto"/>
              </w:rPr>
              <w:t>2021</w:t>
            </w:r>
          </w:p>
        </w:tc>
      </w:tr>
      <w:tr>
        <w:trPr>
          <w:trHeight w:val="17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Life in Years</w:t>
            </w:r>
          </w:p>
        </w:tc>
        <w:tc>
          <w:tcPr>
            <w:tcW w:w="10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80"/>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Expected Volatility</w:t>
            </w:r>
          </w:p>
        </w:tc>
        <w:tc>
          <w:tcPr>
            <w:tcW w:w="540" w:type="dxa"/>
            <w:vAlign w:val="bottom"/>
          </w:tcPr>
          <w:p>
            <w:pPr>
              <w:jc w:val="right"/>
              <w:spacing w:after="0"/>
              <w:rPr>
                <w:sz w:val="20"/>
                <w:szCs w:val="20"/>
                <w:color w:val="auto"/>
              </w:rPr>
            </w:pPr>
            <w:r>
              <w:rPr>
                <w:rFonts w:ascii="Arial" w:cs="Arial" w:eastAsia="Arial" w:hAnsi="Arial"/>
                <w:sz w:val="14"/>
                <w:szCs w:val="14"/>
                <w:color w:val="auto"/>
              </w:rPr>
              <w:t>84.1 %</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84.2 %</w:t>
            </w:r>
          </w:p>
        </w:tc>
      </w:tr>
      <w:tr>
        <w:trPr>
          <w:trHeight w:val="181"/>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r>
      <w:tr>
        <w:trPr>
          <w:trHeight w:val="180"/>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4"/>
                <w:szCs w:val="14"/>
                <w:color w:val="auto"/>
              </w:rPr>
              <w:t>2.5 %</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0.8 %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147" w:lineRule="exact"/>
        <w:rPr>
          <w:sz w:val="20"/>
          <w:szCs w:val="20"/>
          <w:color w:val="auto"/>
        </w:rPr>
      </w:pPr>
    </w:p>
    <w:p>
      <w:pPr>
        <w:ind w:right="40" w:firstLine="382"/>
        <w:spacing w:after="0" w:line="288" w:lineRule="auto"/>
        <w:rPr>
          <w:sz w:val="20"/>
          <w:szCs w:val="20"/>
          <w:color w:val="auto"/>
        </w:rPr>
      </w:pPr>
      <w:r>
        <w:rPr>
          <w:rFonts w:ascii="Arial" w:cs="Arial" w:eastAsia="Arial" w:hAnsi="Arial"/>
          <w:sz w:val="13"/>
          <w:szCs w:val="13"/>
          <w:color w:val="auto"/>
        </w:rPr>
        <w:t>The Company has reserved a total of 7,975 shares of common stock to be purchased under the ESPP, of which 5,937 shares remain available for purchase as of June 30, 2022. Eligible employees may authorize up to 15% of their salary to purchase common stock at the lower of 85% of the beginning or 85% of the ending price during six-month purchase intervals. No more than 3 shares may be purchased by any one employee at the six-month purchase dates, and no employee may purchase stock having a fair market value at the commencement date of $25 or more in any one calendar year. During the six months ended June 30, 2022, and 2021, the Company issued 115 and 193 shares under the ESPP, respectively.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Compensation expense for shares purchased under the ESPP related to the purchase discount and the “look-back” option were determined using a Black-Scholes option pricing model.</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w:t>
      </w:r>
      <w:r>
        <w:rPr>
          <w:rFonts w:ascii="Arial" w:cs="Arial" w:eastAsia="Arial" w:hAnsi="Arial"/>
          <w:sz w:val="14"/>
          <w:szCs w:val="14"/>
          <w:color w:val="auto"/>
        </w:rPr>
        <w:t>—</w:t>
      </w:r>
      <w:r>
        <w:rPr>
          <w:rFonts w:ascii="Arial" w:cs="Arial" w:eastAsia="Arial" w:hAnsi="Arial"/>
          <w:sz w:val="14"/>
          <w:szCs w:val="14"/>
          <w:b w:val="1"/>
          <w:bCs w:val="1"/>
          <w:color w:val="auto"/>
        </w:rPr>
        <w:t xml:space="preserve"> Collaborative and Other Relationships</w:t>
      </w:r>
    </w:p>
    <w:p>
      <w:pPr>
        <w:spacing w:after="0" w:line="151"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i w:val="1"/>
          <w:iCs w:val="1"/>
          <w:color w:val="auto"/>
        </w:rPr>
        <w:t>National Institute of Allergy and Infectious Diseases</w:t>
      </w:r>
      <w:r>
        <w:rPr>
          <w:rFonts w:ascii="Arial" w:cs="Arial" w:eastAsia="Arial" w:hAnsi="Arial"/>
          <w:sz w:val="14"/>
          <w:szCs w:val="14"/>
          <w:color w:val="auto"/>
        </w:rPr>
        <w:t>. In September 2013, NIAID/HHS contracted with the Company for the development of galidesivir as a treatment for Marburg virus disease</w:t>
      </w:r>
      <w:r>
        <w:rPr>
          <w:rFonts w:ascii="Arial" w:cs="Arial" w:eastAsia="Arial" w:hAnsi="Arial"/>
          <w:sz w:val="14"/>
          <w:szCs w:val="14"/>
          <w:i w:val="1"/>
          <w:iCs w:val="1"/>
          <w:color w:val="auto"/>
        </w:rPr>
        <w:t xml:space="preserve"> </w:t>
      </w:r>
      <w:r>
        <w:rPr>
          <w:rFonts w:ascii="Arial" w:cs="Arial" w:eastAsia="Arial" w:hAnsi="Arial"/>
          <w:sz w:val="14"/>
          <w:szCs w:val="14"/>
          <w:color w:val="auto"/>
        </w:rPr>
        <w:t>and subsequently, Yellow Fever and Ebola virus disease. On September 15, 2021, the Company entered into an amendment to pay for certain additional costs, including additional manufacturing development costs and overhead, and to change the total value of the contract, as amended, to $47,315 from $45,931. This is the commencement of closing out the contract. All options under the contract have been awarded.</w:t>
      </w:r>
    </w:p>
    <w:p>
      <w:pPr>
        <w:spacing w:after="0" w:line="114"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In August 2020, NIAID/HHS awarded the Company a contract, with potential aggregate funding of up to $43,908 if all contract options are exercised, to manufacture and evaluate the safety, efficacy and tolerability of galidesivir. NIAID/HHS made an initial award of $6,326 to the Company under this contract.</w:t>
      </w:r>
    </w:p>
    <w:p>
      <w:pPr>
        <w:spacing w:after="0" w:line="111" w:lineRule="exact"/>
        <w:rPr>
          <w:sz w:val="20"/>
          <w:szCs w:val="20"/>
          <w:color w:val="auto"/>
        </w:rPr>
      </w:pPr>
    </w:p>
    <w:p>
      <w:pPr>
        <w:ind w:right="40" w:firstLine="382"/>
        <w:spacing w:after="0" w:line="262" w:lineRule="auto"/>
        <w:rPr>
          <w:sz w:val="20"/>
          <w:szCs w:val="20"/>
          <w:color w:val="auto"/>
        </w:rPr>
      </w:pPr>
      <w:r>
        <w:rPr>
          <w:rFonts w:ascii="Arial" w:cs="Arial" w:eastAsia="Arial" w:hAnsi="Arial"/>
          <w:sz w:val="14"/>
          <w:szCs w:val="14"/>
          <w:i w:val="1"/>
          <w:iCs w:val="1"/>
          <w:color w:val="auto"/>
        </w:rPr>
        <w:t>Biomedical Advanced Research and Development Authority</w:t>
      </w:r>
      <w:r>
        <w:rPr>
          <w:rFonts w:ascii="Arial" w:cs="Arial" w:eastAsia="Arial" w:hAnsi="Arial"/>
          <w:sz w:val="14"/>
          <w:szCs w:val="14"/>
          <w:color w:val="auto"/>
        </w:rPr>
        <w:t>. In March 2015, BARDA/HHS awarded the Company a contract for the continued development of galidesivir as a potential</w:t>
      </w:r>
      <w:r>
        <w:rPr>
          <w:rFonts w:ascii="Arial" w:cs="Arial" w:eastAsia="Arial" w:hAnsi="Arial"/>
          <w:sz w:val="14"/>
          <w:szCs w:val="14"/>
          <w:i w:val="1"/>
          <w:iCs w:val="1"/>
          <w:color w:val="auto"/>
        </w:rPr>
        <w:t xml:space="preserve"> </w:t>
      </w:r>
      <w:r>
        <w:rPr>
          <w:rFonts w:ascii="Arial" w:cs="Arial" w:eastAsia="Arial" w:hAnsi="Arial"/>
          <w:sz w:val="14"/>
          <w:szCs w:val="14"/>
          <w:color w:val="auto"/>
        </w:rPr>
        <w:t>treatment for diseases caused by RNA pathogens, including filoviruses. This BARDA/HHS contract includes a base contract of $16,265 to support galidesivir drug manufacturing, as well as $22,855 in additional development options that can be exercised by the government, bringing the potential value of the contract to $39,120. As of June 30, 2022, a total of $20,574 has been awarded under exercised options within this contract. The most recent development option was completed as of June 30, 2022.</w:t>
      </w:r>
    </w:p>
    <w:p>
      <w:pPr>
        <w:spacing w:after="0" w:line="114" w:lineRule="exact"/>
        <w:rPr>
          <w:sz w:val="20"/>
          <w:szCs w:val="20"/>
          <w:color w:val="auto"/>
        </w:rPr>
      </w:pPr>
    </w:p>
    <w:p>
      <w:pPr>
        <w:ind w:right="120" w:firstLine="382"/>
        <w:spacing w:after="0" w:line="262" w:lineRule="auto"/>
        <w:rPr>
          <w:sz w:val="20"/>
          <w:szCs w:val="20"/>
          <w:color w:val="auto"/>
        </w:rPr>
      </w:pPr>
      <w:r>
        <w:rPr>
          <w:rFonts w:ascii="Arial" w:cs="Arial" w:eastAsia="Arial" w:hAnsi="Arial"/>
          <w:sz w:val="14"/>
          <w:szCs w:val="14"/>
          <w:color w:val="auto"/>
        </w:rPr>
        <w:t>The contracts with NIAID/HHS and BARDA/HHS are cost-plus-fixed-fee contracts. The Company is entitled to receive reimbursement for all costs incurred in accordance with the contract provisions that are related to the development of galidesivir plus a fixed fee, or profit. BARDA/HHS and NIAID/HHS will make periodic assessments of progress, and the continuation of the contracts is based on the Company’s performance, the timeliness and quality of deliverables, and other factors. The government has rights under certain contract clauses to terminate these contracts. These contracts are terminable by the government at any time for breach or without cause.</w:t>
      </w:r>
    </w:p>
    <w:p>
      <w:pPr>
        <w:spacing w:after="0" w:line="114"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i w:val="1"/>
          <w:iCs w:val="1"/>
          <w:color w:val="auto"/>
        </w:rPr>
        <w:t>U.S. Department of Health and Human Services</w:t>
      </w:r>
      <w:r>
        <w:rPr>
          <w:rFonts w:ascii="Arial" w:cs="Arial" w:eastAsia="Arial" w:hAnsi="Arial"/>
          <w:sz w:val="14"/>
          <w:szCs w:val="14"/>
          <w:color w:val="auto"/>
        </w:rPr>
        <w:t>. In September 2018, HHS awarded the Company a $34,660 contract for the procurement of up to 50,000 doses of RAPIVAB (peramivir</w:t>
      </w:r>
      <w:r>
        <w:rPr>
          <w:rFonts w:ascii="Arial" w:cs="Arial" w:eastAsia="Arial" w:hAnsi="Arial"/>
          <w:sz w:val="14"/>
          <w:szCs w:val="14"/>
          <w:i w:val="1"/>
          <w:iCs w:val="1"/>
          <w:color w:val="auto"/>
        </w:rPr>
        <w:t xml:space="preserve"> </w:t>
      </w:r>
      <w:r>
        <w:rPr>
          <w:rFonts w:ascii="Arial" w:cs="Arial" w:eastAsia="Arial" w:hAnsi="Arial"/>
          <w:sz w:val="14"/>
          <w:szCs w:val="14"/>
          <w:color w:val="auto"/>
        </w:rPr>
        <w:t>injection) over a five-year period. As of June 30, 2022, the Company has delivered a total of 29,980 RAPIVAB doses of the 50,000 RAPIVAB doses available under the contract with HHS for a total of $20,782.</w:t>
      </w:r>
    </w:p>
    <w:p>
      <w:pPr>
        <w:spacing w:after="0" w:line="120"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i w:val="1"/>
          <w:iCs w:val="1"/>
          <w:color w:val="auto"/>
        </w:rPr>
        <w:t>Torii Pharmaceutical Co., Ltd</w:t>
      </w:r>
      <w:r>
        <w:rPr>
          <w:rFonts w:ascii="Arial" w:cs="Arial" w:eastAsia="Arial" w:hAnsi="Arial"/>
          <w:sz w:val="14"/>
          <w:szCs w:val="14"/>
          <w:color w:val="auto"/>
        </w:rPr>
        <w:t>. On November 5, 2019, the Company entered into a Commercialization and License Agreement with Torii (the “Torii Agreement”), granting Torii the exclusive</w:t>
      </w:r>
      <w:r>
        <w:rPr>
          <w:rFonts w:ascii="Arial" w:cs="Arial" w:eastAsia="Arial" w:hAnsi="Arial"/>
          <w:sz w:val="14"/>
          <w:szCs w:val="14"/>
          <w:i w:val="1"/>
          <w:iCs w:val="1"/>
          <w:color w:val="auto"/>
        </w:rPr>
        <w:t xml:space="preserve"> </w:t>
      </w:r>
      <w:r>
        <w:rPr>
          <w:rFonts w:ascii="Arial" w:cs="Arial" w:eastAsia="Arial" w:hAnsi="Arial"/>
          <w:sz w:val="14"/>
          <w:szCs w:val="14"/>
          <w:color w:val="auto"/>
        </w:rPr>
        <w:t>right to commercialize ORLADEYO for the prevention of HAE attacks in Japan.</w:t>
      </w:r>
    </w:p>
    <w:p>
      <w:pPr>
        <w:spacing w:after="0" w:line="100" w:lineRule="exact"/>
        <w:rPr>
          <w:sz w:val="20"/>
          <w:szCs w:val="20"/>
          <w:color w:val="auto"/>
        </w:rPr>
      </w:pPr>
    </w:p>
    <w:p>
      <w:pPr>
        <w:ind w:right="320" w:firstLine="382"/>
        <w:spacing w:after="0" w:line="281" w:lineRule="auto"/>
        <w:rPr>
          <w:sz w:val="20"/>
          <w:szCs w:val="20"/>
          <w:color w:val="auto"/>
        </w:rPr>
      </w:pPr>
      <w:r>
        <w:rPr>
          <w:rFonts w:ascii="Arial" w:cs="Arial" w:eastAsia="Arial" w:hAnsi="Arial"/>
          <w:sz w:val="14"/>
          <w:szCs w:val="14"/>
          <w:color w:val="auto"/>
        </w:rPr>
        <w:t>Under the Torii Agreement, the Company received an upfront, non-refundable payment of $22,000. The Japanese National Health Insurance System’s (“NHI”) approval of the addition of ORLADEYO to the NHI drug price list in April 2021 triggered a $15,000 milestone payment from Torii to the Company, which was received in May 2021.</w:t>
      </w:r>
    </w:p>
    <w:p>
      <w:pPr>
        <w:spacing w:after="0" w:line="100"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In addition, under the Torii Agreement, the Company is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the Company in the applicable calendar quarter. Torii’s royalty payment obligations commenced upon the first commercial sale of ORLADEYO in Japan and expire upon the later of (i) the tenth anniversary of the date of first commercial sale of ORLADEYO in Japan, (ii) the expiration of the Company’s patents covering ORLADEYO, and (iii) the expiration of regulatory exclusivity for ORLADEYO in Japan. The Company is responsible for supplying Torii with its required amounts of ORLADEYO. The activities of the parties pursuant to the Torii Agreement are overseen by a joint steering committee, composed of an equal number of representatives from each party to coordinate the development and commercialization of ORLADEYO in Japan. Torii launched ORLADEYO in Japan on April 23, 2021.</w:t>
      </w:r>
    </w:p>
    <w:p>
      <w:pPr>
        <w:spacing w:after="0" w:line="130" w:lineRule="exact"/>
        <w:rPr>
          <w:sz w:val="20"/>
          <w:szCs w:val="20"/>
          <w:color w:val="auto"/>
        </w:rPr>
      </w:pPr>
    </w:p>
    <w:p>
      <w:pPr>
        <w:ind w:right="200" w:firstLine="382"/>
        <w:spacing w:after="0" w:line="331" w:lineRule="auto"/>
        <w:rPr>
          <w:sz w:val="20"/>
          <w:szCs w:val="20"/>
          <w:color w:val="auto"/>
        </w:rPr>
      </w:pPr>
      <w:r>
        <w:rPr>
          <w:rFonts w:ascii="Arial" w:cs="Arial" w:eastAsia="Arial" w:hAnsi="Arial"/>
          <w:sz w:val="12"/>
          <w:szCs w:val="12"/>
          <w:color w:val="auto"/>
        </w:rPr>
        <w:t>The Company identified performance obligations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risk adjusted discounted cash flow projections was used, and an expected cost plus margin approach was utilized for the other performance obligations.</w:t>
      </w:r>
    </w:p>
    <w:p>
      <w:pPr>
        <w:spacing w:after="0" w:line="157"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i w:val="1"/>
          <w:iCs w:val="1"/>
          <w:color w:val="auto"/>
        </w:rPr>
        <w:t>Shionogi &amp; Co., Ltd</w:t>
      </w:r>
      <w:r>
        <w:rPr>
          <w:rFonts w:ascii="Arial" w:cs="Arial" w:eastAsia="Arial" w:hAnsi="Arial"/>
          <w:sz w:val="14"/>
          <w:szCs w:val="14"/>
          <w:color w:val="auto"/>
        </w:rPr>
        <w:t>. In February 2007, the Company entered into an exclusive license agreement with Shionogi to develop and commercialize peramivir in Japan for the treatment of seasonal</w:t>
      </w:r>
      <w:r>
        <w:rPr>
          <w:rFonts w:ascii="Arial" w:cs="Arial" w:eastAsia="Arial" w:hAnsi="Arial"/>
          <w:sz w:val="14"/>
          <w:szCs w:val="14"/>
          <w:i w:val="1"/>
          <w:iCs w:val="1"/>
          <w:color w:val="auto"/>
        </w:rPr>
        <w:t xml:space="preserve"> </w:t>
      </w:r>
      <w:r>
        <w:rPr>
          <w:rFonts w:ascii="Arial" w:cs="Arial" w:eastAsia="Arial" w:hAnsi="Arial"/>
          <w:sz w:val="14"/>
          <w:szCs w:val="14"/>
          <w:color w:val="auto"/>
        </w:rPr>
        <w:t>and potentially life-threatening human influenza. Under the terms of the agreement, Shionogi obtained rights to injectable formulations of peramivir in Japan. The Company developed peramivir under a license from UAB and will owe sublicense payments to UAB on any future milestone payments and/or royalties received by the Company from Shionogi. In October 2008, the Company and Shionogi amended the license agreement to expand the territory covered by the agreement to include Taiwan. Shionogi has commercially launched peramivir under the commercial name RAPIACTA in Japan and Taiwan.</w:t>
      </w:r>
    </w:p>
    <w:p>
      <w:pPr>
        <w:spacing w:after="0" w:line="115" w:lineRule="exact"/>
        <w:rPr>
          <w:sz w:val="20"/>
          <w:szCs w:val="20"/>
          <w:color w:val="auto"/>
        </w:rPr>
      </w:pPr>
    </w:p>
    <w:p>
      <w:pPr>
        <w:ind w:right="60" w:firstLine="382"/>
        <w:spacing w:after="0" w:line="262" w:lineRule="auto"/>
        <w:rPr>
          <w:sz w:val="20"/>
          <w:szCs w:val="20"/>
          <w:color w:val="auto"/>
        </w:rPr>
      </w:pPr>
      <w:r>
        <w:rPr>
          <w:rFonts w:ascii="Arial" w:cs="Arial" w:eastAsia="Arial" w:hAnsi="Arial"/>
          <w:sz w:val="14"/>
          <w:szCs w:val="14"/>
          <w:i w:val="1"/>
          <w:iCs w:val="1"/>
          <w:color w:val="auto"/>
        </w:rPr>
        <w:t>Green Cross Corporation</w:t>
      </w:r>
      <w:r>
        <w:rPr>
          <w:rFonts w:ascii="Arial" w:cs="Arial" w:eastAsia="Arial" w:hAnsi="Arial"/>
          <w:sz w:val="14"/>
          <w:szCs w:val="14"/>
          <w:color w:val="auto"/>
        </w:rPr>
        <w:t>. In June 2006, the Company entered into an agreement with Green Cross to develop and commercialize peramivir in Korea. Under the terms of the agreement, Green</w:t>
      </w:r>
      <w:r>
        <w:rPr>
          <w:rFonts w:ascii="Arial" w:cs="Arial" w:eastAsia="Arial" w:hAnsi="Arial"/>
          <w:sz w:val="14"/>
          <w:szCs w:val="14"/>
          <w:i w:val="1"/>
          <w:iCs w:val="1"/>
          <w:color w:val="auto"/>
        </w:rPr>
        <w:t xml:space="preserve"> </w:t>
      </w:r>
      <w:r>
        <w:rPr>
          <w:rFonts w:ascii="Arial" w:cs="Arial" w:eastAsia="Arial" w:hAnsi="Arial"/>
          <w:sz w:val="14"/>
          <w:szCs w:val="14"/>
          <w:color w:val="auto"/>
        </w:rPr>
        <w:t>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14"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i w:val="1"/>
          <w:iCs w:val="1"/>
          <w:color w:val="auto"/>
        </w:rPr>
        <w:t>Albert Einstein College of Medicine of Yeshiva University and Industrial Research, Ltd</w:t>
      </w:r>
      <w:r>
        <w:rPr>
          <w:rFonts w:ascii="Arial" w:cs="Arial" w:eastAsia="Arial" w:hAnsi="Arial"/>
          <w:sz w:val="14"/>
          <w:szCs w:val="14"/>
          <w:color w:val="auto"/>
        </w:rPr>
        <w:t>. In June 2000, the Company licensed a series of potent inhibitors of Purine Nucleoside Phosphorylase</w:t>
      </w:r>
      <w:r>
        <w:rPr>
          <w:rFonts w:ascii="Arial" w:cs="Arial" w:eastAsia="Arial" w:hAnsi="Arial"/>
          <w:sz w:val="14"/>
          <w:szCs w:val="14"/>
          <w:i w:val="1"/>
          <w:iCs w:val="1"/>
          <w:color w:val="auto"/>
        </w:rPr>
        <w:t xml:space="preserve"> </w:t>
      </w:r>
      <w:r>
        <w:rPr>
          <w:rFonts w:ascii="Arial" w:cs="Arial" w:eastAsia="Arial" w:hAnsi="Arial"/>
          <w:sz w:val="14"/>
          <w:szCs w:val="14"/>
          <w:color w:val="auto"/>
        </w:rPr>
        <w:t>from AECOM and IRL (together, the “Licensors”). The lead product candidate from this collaboration is forodesine. The Company has obtained worldwide exclusive rights to develop and ultimately distribute this, or any other, product candidate that might arise from research on these inhibitors. The Company has the option to expand the agreement to include other inventions in the field made by the investigators or employees of the Licensors. Under this agreement, as amended and restated, the Company has agreed to use commercially reasonable efforts to develop these drugs, to pay certain milestone payments for each licensed product (which range in the aggregate from $1,400 to almost $4,000 per indication) for future development and single digit royalties on net sales of any resulting product made by the Company, and to share a portion of future payments received from other third-party partners, if any. In addition, the Company has agreed to pay annual license fees, which can range from $150 to $500, that are creditable against actual royalties and other payments due to the Licensors. The Licensors have also granted the Company an exclusive worldwide license of galidesivir for any antiviral use.</w:t>
      </w:r>
    </w:p>
    <w:p>
      <w:pPr>
        <w:spacing w:after="0" w:line="127" w:lineRule="exact"/>
        <w:rPr>
          <w:sz w:val="20"/>
          <w:szCs w:val="20"/>
          <w:color w:val="auto"/>
        </w:rPr>
      </w:pPr>
    </w:p>
    <w:p>
      <w:pPr>
        <w:ind w:right="60" w:firstLine="382"/>
        <w:spacing w:after="0" w:line="279" w:lineRule="auto"/>
        <w:rPr>
          <w:sz w:val="20"/>
          <w:szCs w:val="20"/>
          <w:color w:val="auto"/>
        </w:rPr>
      </w:pPr>
      <w:r>
        <w:rPr>
          <w:rFonts w:ascii="Arial" w:cs="Arial" w:eastAsia="Arial" w:hAnsi="Arial"/>
          <w:sz w:val="13"/>
          <w:szCs w:val="13"/>
          <w:i w:val="1"/>
          <w:iCs w:val="1"/>
          <w:color w:val="auto"/>
        </w:rPr>
        <w:t>The University of Alabama at Birmingham</w:t>
      </w:r>
      <w:r>
        <w:rPr>
          <w:rFonts w:ascii="Arial" w:cs="Arial" w:eastAsia="Arial" w:hAnsi="Arial"/>
          <w:sz w:val="13"/>
          <w:szCs w:val="13"/>
          <w:color w:val="auto"/>
        </w:rPr>
        <w:t>. The Company currently has agreements with UAB for influenza neuraminidase and complement inhibitors. Under the terms of these agreements,</w:t>
      </w:r>
      <w:r>
        <w:rPr>
          <w:rFonts w:ascii="Arial" w:cs="Arial" w:eastAsia="Arial" w:hAnsi="Arial"/>
          <w:sz w:val="13"/>
          <w:szCs w:val="13"/>
          <w:i w:val="1"/>
          <w:iCs w:val="1"/>
          <w:color w:val="auto"/>
        </w:rPr>
        <w:t xml:space="preserve"> </w:t>
      </w:r>
      <w:r>
        <w:rPr>
          <w:rFonts w:ascii="Arial" w:cs="Arial" w:eastAsia="Arial" w:hAnsi="Arial"/>
          <w:sz w:val="13"/>
          <w:szCs w:val="13"/>
          <w:color w:val="auto"/>
        </w:rPr>
        <w:t>UAB performed specific research for the Company in return for research payments and license fees. UAB has granted the Company certain rights to any discoveries in these areas resulting from research developed by UAB or jointly developed by UAB with the Company. The Company has agreed to pay single digit royalties on sales of any resulting product and to share in future payments received from other third-party partners. The Company has completed the research under the UAB agreements. These two agreements each have an initial 25-year term, are automatically renewable for five-year terms throughout the life of the last patent and are terminable by the Company upon three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no activity between the Company and UAB on these agreements, but when the Company licenses this technology, such as in the case of the Shionogi and Green Cross collaborations, or commercializes products related to these programs, the Company will owe sublicense fees or royalties on amounts received.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12 </w:t>
      </w:r>
      <w:r>
        <w:rPr>
          <w:rFonts w:ascii="Arial" w:cs="Arial" w:eastAsia="Arial" w:hAnsi="Arial"/>
          <w:sz w:val="14"/>
          <w:szCs w:val="14"/>
          <w:color w:val="auto"/>
        </w:rPr>
        <w:t>—</w:t>
      </w:r>
      <w:r>
        <w:rPr>
          <w:rFonts w:ascii="Arial" w:cs="Arial" w:eastAsia="Arial" w:hAnsi="Arial"/>
          <w:sz w:val="14"/>
          <w:szCs w:val="14"/>
          <w:b w:val="1"/>
          <w:bCs w:val="1"/>
          <w:color w:val="auto"/>
        </w:rPr>
        <w:t xml:space="preserve"> Subsequent Event</w:t>
      </w:r>
    </w:p>
    <w:p>
      <w:pPr>
        <w:spacing w:after="0" w:line="151" w:lineRule="exact"/>
        <w:rPr>
          <w:sz w:val="20"/>
          <w:szCs w:val="20"/>
          <w:color w:val="auto"/>
        </w:rPr>
      </w:pPr>
    </w:p>
    <w:p>
      <w:pPr>
        <w:ind w:right="160" w:firstLine="382"/>
        <w:spacing w:after="0" w:line="262" w:lineRule="auto"/>
        <w:rPr>
          <w:sz w:val="20"/>
          <w:szCs w:val="20"/>
          <w:color w:val="auto"/>
        </w:rPr>
      </w:pPr>
      <w:r>
        <w:rPr>
          <w:rFonts w:ascii="Arial" w:cs="Arial" w:eastAsia="Arial" w:hAnsi="Arial"/>
          <w:sz w:val="14"/>
          <w:szCs w:val="14"/>
          <w:color w:val="auto"/>
        </w:rPr>
        <w:t>Having achieved all required revenue-based milestones, the Company exercised its option to draw upon the additional funding available under the Credit Agreement, borrowing the principal amounts of $25,000 under the Term B Loan and $50,000 under the Term C Loan. Both the Term B Loan and the Term C Loan were funded on July 29, 2022 in the aggregate principal amount of $75,000. The Term B Loan and the Term C Loan were subject to a 1% commitment fee, resulting in net proceeds to the Company of $74,250. The Term B Loan and the Term C Loan are subject to the same provisions under the Credit Agreement, including the maturity date of December 7, 2025.</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161" w:lineRule="exact"/>
        <w:rPr>
          <w:sz w:val="20"/>
          <w:szCs w:val="20"/>
          <w:color w:val="auto"/>
        </w:rPr>
      </w:pPr>
    </w:p>
    <w:p>
      <w:pPr>
        <w:ind w:right="60" w:firstLine="382"/>
        <w:spacing w:after="0" w:line="297" w:lineRule="auto"/>
        <w:rPr>
          <w:sz w:val="20"/>
          <w:szCs w:val="20"/>
          <w:color w:val="auto"/>
        </w:rPr>
      </w:pPr>
      <w:r>
        <w:rPr>
          <w:rFonts w:ascii="Arial" w:cs="Arial" w:eastAsia="Arial" w:hAnsi="Arial"/>
          <w:sz w:val="13"/>
          <w:szCs w:val="13"/>
          <w:i w:val="1"/>
          <w:iCs w:val="1"/>
          <w:color w:val="auto"/>
        </w:rPr>
        <w:t>The following Management</w:t>
      </w:r>
      <w:r>
        <w:rPr>
          <w:rFonts w:ascii="Arial" w:cs="Arial" w:eastAsia="Arial" w:hAnsi="Arial"/>
          <w:sz w:val="13"/>
          <w:szCs w:val="13"/>
          <w:color w:val="auto"/>
        </w:rPr>
        <w:t>’</w:t>
      </w:r>
      <w:r>
        <w:rPr>
          <w:rFonts w:ascii="Arial" w:cs="Arial" w:eastAsia="Arial" w:hAnsi="Arial"/>
          <w:sz w:val="13"/>
          <w:szCs w:val="13"/>
          <w:i w:val="1"/>
          <w:iCs w:val="1"/>
          <w:color w:val="auto"/>
        </w:rPr>
        <w:t>s Discussion and Analysis (</w:t>
      </w:r>
      <w:r>
        <w:rPr>
          <w:rFonts w:ascii="Arial" w:cs="Arial" w:eastAsia="Arial" w:hAnsi="Arial"/>
          <w:sz w:val="13"/>
          <w:szCs w:val="13"/>
          <w:color w:val="auto"/>
        </w:rPr>
        <w:t>“</w:t>
      </w:r>
      <w:r>
        <w:rPr>
          <w:rFonts w:ascii="Arial" w:cs="Arial" w:eastAsia="Arial" w:hAnsi="Arial"/>
          <w:sz w:val="13"/>
          <w:szCs w:val="13"/>
          <w:i w:val="1"/>
          <w:iCs w:val="1"/>
          <w:color w:val="auto"/>
        </w:rPr>
        <w:t>MD&amp;A</w:t>
      </w:r>
      <w:r>
        <w:rPr>
          <w:rFonts w:ascii="Arial" w:cs="Arial" w:eastAsia="Arial" w:hAnsi="Arial"/>
          <w:sz w:val="13"/>
          <w:szCs w:val="13"/>
          <w:color w:val="auto"/>
        </w:rPr>
        <w:t>”</w:t>
      </w:r>
      <w:r>
        <w:rPr>
          <w:rFonts w:ascii="Arial" w:cs="Arial" w:eastAsia="Arial" w:hAnsi="Arial"/>
          <w:sz w:val="13"/>
          <w:szCs w:val="13"/>
          <w:i w:val="1"/>
          <w:iCs w:val="1"/>
          <w:color w:val="auto"/>
        </w:rPr>
        <w:t xml:space="preserve">) is intended to help the reader understand our results of operations and financial condition. MD&amp;A is provided as a supplement to, and should be read in conjunction with, our unaudited consolidated financial statements and the accompanying notes to the financial statements and other disclosures included in this report (including the </w:t>
      </w:r>
      <w:r>
        <w:rPr>
          <w:rFonts w:ascii="Arial" w:cs="Arial" w:eastAsia="Arial" w:hAnsi="Arial"/>
          <w:sz w:val="13"/>
          <w:szCs w:val="13"/>
          <w:color w:val="auto"/>
        </w:rPr>
        <w:t>“</w:t>
      </w:r>
      <w:r>
        <w:rPr>
          <w:rFonts w:ascii="Arial" w:cs="Arial" w:eastAsia="Arial" w:hAnsi="Arial"/>
          <w:sz w:val="13"/>
          <w:szCs w:val="13"/>
          <w:i w:val="1"/>
          <w:iCs w:val="1"/>
          <w:color w:val="auto"/>
        </w:rPr>
        <w:t>Cautionary Note Regarding Forward-Looking Statements</w:t>
      </w:r>
      <w:r>
        <w:rPr>
          <w:rFonts w:ascii="Arial" w:cs="Arial" w:eastAsia="Arial" w:hAnsi="Arial"/>
          <w:sz w:val="13"/>
          <w:szCs w:val="13"/>
          <w:color w:val="auto"/>
        </w:rPr>
        <w:t>”</w:t>
      </w:r>
      <w:r>
        <w:rPr>
          <w:rFonts w:ascii="Arial" w:cs="Arial" w:eastAsia="Arial" w:hAnsi="Arial"/>
          <w:sz w:val="13"/>
          <w:szCs w:val="13"/>
          <w:i w:val="1"/>
          <w:iCs w:val="1"/>
          <w:color w:val="auto"/>
        </w:rPr>
        <w:t xml:space="preserve"> at the beginning of this report and the </w:t>
      </w:r>
      <w:r>
        <w:rPr>
          <w:rFonts w:ascii="Arial" w:cs="Arial" w:eastAsia="Arial" w:hAnsi="Arial"/>
          <w:sz w:val="13"/>
          <w:szCs w:val="13"/>
          <w:color w:val="auto"/>
        </w:rPr>
        <w:t>“</w:t>
      </w:r>
      <w:r>
        <w:rPr>
          <w:rFonts w:ascii="Arial" w:cs="Arial" w:eastAsia="Arial" w:hAnsi="Arial"/>
          <w:sz w:val="13"/>
          <w:szCs w:val="13"/>
          <w:i w:val="1"/>
          <w:iCs w:val="1"/>
          <w:color w:val="auto"/>
        </w:rPr>
        <w:t>Risk Factors</w:t>
      </w:r>
      <w:r>
        <w:rPr>
          <w:rFonts w:ascii="Arial" w:cs="Arial" w:eastAsia="Arial" w:hAnsi="Arial"/>
          <w:sz w:val="13"/>
          <w:szCs w:val="13"/>
          <w:color w:val="auto"/>
        </w:rPr>
        <w:t>”</w:t>
      </w:r>
      <w:r>
        <w:rPr>
          <w:rFonts w:ascii="Arial" w:cs="Arial" w:eastAsia="Arial" w:hAnsi="Arial"/>
          <w:sz w:val="13"/>
          <w:szCs w:val="13"/>
          <w:i w:val="1"/>
          <w:iCs w:val="1"/>
          <w:color w:val="auto"/>
        </w:rPr>
        <w:t xml:space="preserve"> section in Part II, Item 1A of this report).</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51" w:lineRule="exact"/>
        <w:rPr>
          <w:sz w:val="20"/>
          <w:szCs w:val="20"/>
          <w:color w:val="auto"/>
        </w:rPr>
      </w:pPr>
    </w:p>
    <w:p>
      <w:pPr>
        <w:ind w:right="300" w:firstLine="382"/>
        <w:spacing w:after="0" w:line="284" w:lineRule="auto"/>
        <w:rPr>
          <w:sz w:val="20"/>
          <w:szCs w:val="20"/>
          <w:color w:val="auto"/>
        </w:rPr>
      </w:pPr>
      <w:r>
        <w:rPr>
          <w:rFonts w:ascii="Arial" w:cs="Arial" w:eastAsia="Arial" w:hAnsi="Arial"/>
          <w:sz w:val="13"/>
          <w:szCs w:val="13"/>
          <w:color w:val="auto"/>
        </w:rPr>
        <w:t>We are a commercial-stage biotechnology company that discovers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Products and Product Candidates</w:t>
      </w:r>
    </w:p>
    <w:p>
      <w:pPr>
        <w:spacing w:after="0" w:line="147" w:lineRule="exact"/>
        <w:rPr>
          <w:sz w:val="20"/>
          <w:szCs w:val="20"/>
          <w:color w:val="auto"/>
        </w:rPr>
      </w:pPr>
    </w:p>
    <w:p>
      <w:pPr>
        <w:ind w:right="400" w:firstLine="382"/>
        <w:spacing w:after="0" w:line="281" w:lineRule="auto"/>
        <w:rPr>
          <w:sz w:val="20"/>
          <w:szCs w:val="20"/>
          <w:color w:val="auto"/>
        </w:rPr>
      </w:pPr>
      <w:r>
        <w:rPr>
          <w:rFonts w:ascii="Arial" w:cs="Arial" w:eastAsia="Arial" w:hAnsi="Arial"/>
          <w:sz w:val="14"/>
          <w:szCs w:val="14"/>
          <w:i w:val="1"/>
          <w:iCs w:val="1"/>
          <w:color w:val="auto"/>
        </w:rPr>
        <w:t>ORLADEYO</w:t>
      </w:r>
      <w:r>
        <w:rPr>
          <w:rFonts w:ascii="Arial" w:cs="Arial" w:eastAsia="Arial" w:hAnsi="Arial"/>
          <w:sz w:val="14"/>
          <w:szCs w:val="14"/>
          <w:color w:val="auto"/>
        </w:rPr>
        <w:t>®</w:t>
      </w:r>
      <w:r>
        <w:rPr>
          <w:rFonts w:ascii="Arial" w:cs="Arial" w:eastAsia="Arial" w:hAnsi="Arial"/>
          <w:sz w:val="14"/>
          <w:szCs w:val="14"/>
          <w:i w:val="1"/>
          <w:iCs w:val="1"/>
          <w:color w:val="auto"/>
        </w:rPr>
        <w:t xml:space="preserve"> (berotralstat)</w:t>
      </w:r>
      <w:r>
        <w:rPr>
          <w:rFonts w:ascii="Arial" w:cs="Arial" w:eastAsia="Arial" w:hAnsi="Arial"/>
          <w:sz w:val="14"/>
          <w:szCs w:val="14"/>
          <w:color w:val="auto"/>
        </w:rPr>
        <w:t>. ORLADEYO is an oral, once-daily therapy discovered and developed by us for the prevention of hereditary angioedema (“HAE”) attacks. ORLADEYO is</w:t>
      </w:r>
      <w:r>
        <w:rPr>
          <w:rFonts w:ascii="Arial" w:cs="Arial" w:eastAsia="Arial" w:hAnsi="Arial"/>
          <w:sz w:val="14"/>
          <w:szCs w:val="14"/>
          <w:i w:val="1"/>
          <w:iCs w:val="1"/>
          <w:color w:val="auto"/>
        </w:rPr>
        <w:t xml:space="preserve"> </w:t>
      </w:r>
      <w:r>
        <w:rPr>
          <w:rFonts w:ascii="Arial" w:cs="Arial" w:eastAsia="Arial" w:hAnsi="Arial"/>
          <w:sz w:val="14"/>
          <w:szCs w:val="14"/>
          <w:color w:val="auto"/>
        </w:rPr>
        <w:t>approved in the United States and multiple global markets for the prevention of HAE attacks in adults and pediatric patients 12 years and older.</w:t>
      </w:r>
    </w:p>
    <w:p>
      <w:pPr>
        <w:spacing w:after="0" w:line="100" w:lineRule="exact"/>
        <w:rPr>
          <w:sz w:val="20"/>
          <w:szCs w:val="20"/>
          <w:color w:val="auto"/>
        </w:rPr>
      </w:pPr>
    </w:p>
    <w:p>
      <w:pPr>
        <w:ind w:right="40" w:firstLine="382"/>
        <w:spacing w:after="0" w:line="279" w:lineRule="auto"/>
        <w:rPr>
          <w:sz w:val="20"/>
          <w:szCs w:val="20"/>
          <w:color w:val="auto"/>
        </w:rPr>
      </w:pPr>
      <w:r>
        <w:rPr>
          <w:rFonts w:ascii="Arial" w:cs="Arial" w:eastAsia="Arial" w:hAnsi="Arial"/>
          <w:sz w:val="13"/>
          <w:szCs w:val="13"/>
          <w:color w:val="auto"/>
        </w:rPr>
        <w:t>We built out our U.S. commercial infrastructure in 2020 to support the launch of ORLADEYO in the United States and are continuing to build our commercial infrastructure to support additional launches in Europe and elsewhere. Based on proprietary analyses of HAE prevalence and market research studies with HAE patients, physicians, and payors in the United States and Europe, and our first full year of experience with the ORLADEYO launch in 2021, we anticipate the commercial market for ORLADEYO has the potential to reach no less than $250 million in net ORLADEYO revenues in 2022 and a global peak of $1 billion in annual net ORLADEYO revenues. We expect at least 70 to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 Risks Relating to Drug Development and Commercialization—There can be no assurance that our commercialization efforts, methods, and strategies for our products or technologies will succeed, and our future revenue generation is uncertain” in Part II, Item 1A of this report for further discussion of these risks.</w:t>
      </w:r>
    </w:p>
    <w:p>
      <w:pPr>
        <w:spacing w:after="0" w:line="116"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Revenue from sales of ORLADEYO for the three and six months ended June 30, 2022 is discussed under “Results of Operations”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our pricing strategy, and market trends. We are continuing to monitor and analyze this data as we continue to commercialize ORLADEYO.</w:t>
      </w:r>
    </w:p>
    <w:p>
      <w:pPr>
        <w:spacing w:after="0" w:line="104" w:lineRule="exact"/>
        <w:rPr>
          <w:sz w:val="20"/>
          <w:szCs w:val="20"/>
          <w:color w:val="auto"/>
        </w:rPr>
      </w:pPr>
    </w:p>
    <w:p>
      <w:pPr>
        <w:ind w:right="80" w:firstLine="382"/>
        <w:spacing w:after="0" w:line="245" w:lineRule="auto"/>
        <w:rPr>
          <w:sz w:val="20"/>
          <w:szCs w:val="20"/>
          <w:color w:val="auto"/>
        </w:rPr>
      </w:pPr>
      <w:r>
        <w:rPr>
          <w:rFonts w:ascii="Arial" w:cs="Arial" w:eastAsia="Arial" w:hAnsi="Arial"/>
          <w:sz w:val="13"/>
          <w:szCs w:val="13"/>
          <w:i w:val="1"/>
          <w:iCs w:val="1"/>
          <w:color w:val="auto"/>
        </w:rPr>
        <w:t>BCX9930</w:t>
      </w:r>
      <w:r>
        <w:rPr>
          <w:rFonts w:ascii="Arial" w:cs="Arial" w:eastAsia="Arial" w:hAnsi="Arial"/>
          <w:sz w:val="13"/>
          <w:szCs w:val="13"/>
          <w:color w:val="auto"/>
        </w:rPr>
        <w:t>. BCX9930 is a novel, oral, potent, and selective small molecule inhibitor of Factor D discovered by us and in clinical development for the treatment of complement-mediated</w:t>
      </w:r>
      <w:r>
        <w:rPr>
          <w:rFonts w:ascii="Arial" w:cs="Arial" w:eastAsia="Arial" w:hAnsi="Arial"/>
          <w:sz w:val="13"/>
          <w:szCs w:val="13"/>
          <w:i w:val="1"/>
          <w:iCs w:val="1"/>
          <w:color w:val="auto"/>
        </w:rPr>
        <w:t xml:space="preserve"> </w:t>
      </w:r>
      <w:r>
        <w:rPr>
          <w:rFonts w:ascii="Arial" w:cs="Arial" w:eastAsia="Arial" w:hAnsi="Arial"/>
          <w:sz w:val="13"/>
          <w:szCs w:val="13"/>
          <w:color w:val="auto"/>
        </w:rPr>
        <w:t>diseases. Based on the safety and proof-of-concept data generated in patients with paroxysmal nocturnal hemoglobinuria (“PNH”), the program has advanced to pivotal studies of oral BCX9930 in PNH and to a proof-of-concept trial of oral BCX9930 in three renal complement-mediated diseases, C3 glomerulopathy (“C3G”), IgA nephropathy (“IgAN”), and primary membranous nephropathy (“PMN”). We are also actively evaluating potential clinical development opportunities across a broad set of additional indications. The goal of the program is to develop oral BCX9930 as a monotherapy for complement-mediated diseases. Refer to the “Recent Developments” section below for updates on the BCX9930 program, including with respect to our plans to resume enrollment of new patients in clinical trials with BCX9930 following our announcement on August 4, 2022 that the FDA has lifted the partial clinical hold on the program. Refer also to “Risk Factors—Risks Relating to Drug Development and Commercialization—Our success depends upon our ability to advance our product candidates through the various stages of development, especially through the clinical trial process, and to receive regulatory approval for the commercial sale of our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49" w:lineRule="auto"/>
        <w:rPr>
          <w:sz w:val="20"/>
          <w:szCs w:val="20"/>
          <w:color w:val="auto"/>
        </w:rPr>
      </w:pPr>
      <w:r>
        <w:rPr>
          <w:rFonts w:ascii="Arial" w:cs="Arial" w:eastAsia="Arial" w:hAnsi="Arial"/>
          <w:sz w:val="14"/>
          <w:szCs w:val="14"/>
          <w:color w:val="auto"/>
        </w:rPr>
        <w:t>product candidates” in Part II, Item 1A of this report for a discussion of certain risks and uncertainties associated with our BCX9930 program. There can be no assurance that our development plan for the program will succeed.</w:t>
      </w:r>
    </w:p>
    <w:p>
      <w:pPr>
        <w:spacing w:after="0" w:line="122" w:lineRule="exact"/>
        <w:rPr>
          <w:sz w:val="20"/>
          <w:szCs w:val="20"/>
          <w:color w:val="auto"/>
        </w:rPr>
      </w:pPr>
    </w:p>
    <w:p>
      <w:pPr>
        <w:ind w:right="260" w:firstLine="382"/>
        <w:spacing w:after="0" w:line="288" w:lineRule="auto"/>
        <w:rPr>
          <w:sz w:val="20"/>
          <w:szCs w:val="20"/>
          <w:color w:val="auto"/>
        </w:rPr>
      </w:pPr>
      <w:r>
        <w:rPr>
          <w:rFonts w:ascii="Arial" w:cs="Arial" w:eastAsia="Arial" w:hAnsi="Arial"/>
          <w:sz w:val="13"/>
          <w:szCs w:val="13"/>
          <w:i w:val="1"/>
          <w:iCs w:val="1"/>
          <w:color w:val="auto"/>
        </w:rPr>
        <w:t>Galidesivir</w:t>
      </w:r>
      <w:r>
        <w:rPr>
          <w:rFonts w:ascii="Arial" w:cs="Arial" w:eastAsia="Arial" w:hAnsi="Arial"/>
          <w:sz w:val="13"/>
          <w:szCs w:val="13"/>
          <w:color w:val="auto"/>
        </w:rPr>
        <w:t>. Galidesivir is a broad-spectrum antiviral (“BSAV”) that has been shown to be active against more than 20 RNA viruses in nine different families. The objective of our BSAV</w:t>
      </w:r>
      <w:r>
        <w:rPr>
          <w:rFonts w:ascii="Arial" w:cs="Arial" w:eastAsia="Arial" w:hAnsi="Arial"/>
          <w:sz w:val="13"/>
          <w:szCs w:val="13"/>
          <w:i w:val="1"/>
          <w:iCs w:val="1"/>
          <w:color w:val="auto"/>
        </w:rPr>
        <w:t xml:space="preserve"> </w:t>
      </w:r>
      <w:r>
        <w:rPr>
          <w:rFonts w:ascii="Arial" w:cs="Arial" w:eastAsia="Arial" w:hAnsi="Arial"/>
          <w:sz w:val="13"/>
          <w:szCs w:val="13"/>
          <w:color w:val="auto"/>
        </w:rPr>
        <w:t>program is to develop galidesivir as a broad-spectrum therapeutic for viruses that pose a threat to national health and security. The primary focus of the program is treatment of hemorrhagic fever viruses. The galidesivir program has been substantially funded with federal funds from the National Institute of Allergy and Infectious Diseases within the U.S. Department of Health and Human Services (“NIAID/HHS”) and by the Biomedical Advanced Research and Development Authority within the HHS (“BARDA/HHS”).</w:t>
      </w:r>
    </w:p>
    <w:p>
      <w:pPr>
        <w:spacing w:after="0" w:line="99" w:lineRule="exact"/>
        <w:rPr>
          <w:sz w:val="20"/>
          <w:szCs w:val="20"/>
          <w:color w:val="auto"/>
        </w:rPr>
      </w:pPr>
    </w:p>
    <w:p>
      <w:pPr>
        <w:jc w:val="both"/>
        <w:ind w:right="140" w:firstLine="382"/>
        <w:spacing w:after="0" w:line="297" w:lineRule="auto"/>
        <w:rPr>
          <w:sz w:val="20"/>
          <w:szCs w:val="20"/>
          <w:color w:val="auto"/>
        </w:rPr>
      </w:pPr>
      <w:r>
        <w:rPr>
          <w:rFonts w:ascii="Arial" w:cs="Arial" w:eastAsia="Arial" w:hAnsi="Arial"/>
          <w:sz w:val="13"/>
          <w:szCs w:val="13"/>
          <w:i w:val="1"/>
          <w:iCs w:val="1"/>
          <w:color w:val="auto"/>
        </w:rPr>
        <w:t>BCX9250</w:t>
      </w:r>
      <w:r>
        <w:rPr>
          <w:rFonts w:ascii="Arial" w:cs="Arial" w:eastAsia="Arial" w:hAnsi="Arial"/>
          <w:sz w:val="13"/>
          <w:szCs w:val="13"/>
          <w:color w:val="auto"/>
        </w:rPr>
        <w:t>. The goal of our activin receptor-like kinase-2 inhibitor program is to discover and develop orally administered kinase inhibitor drug candidates that are able to slow or prevent the</w:t>
      </w:r>
      <w:r>
        <w:rPr>
          <w:rFonts w:ascii="Arial" w:cs="Arial" w:eastAsia="Arial" w:hAnsi="Arial"/>
          <w:sz w:val="13"/>
          <w:szCs w:val="13"/>
          <w:i w:val="1"/>
          <w:iCs w:val="1"/>
          <w:color w:val="auto"/>
        </w:rPr>
        <w:t xml:space="preserve"> </w:t>
      </w:r>
      <w:r>
        <w:rPr>
          <w:rFonts w:ascii="Arial" w:cs="Arial" w:eastAsia="Arial" w:hAnsi="Arial"/>
          <w:sz w:val="13"/>
          <w:szCs w:val="13"/>
          <w:color w:val="auto"/>
        </w:rPr>
        <w:t>irregular formation of bone outside the normal skeleton, also known as heterotopic ossification (“HO”), that affects patients with fibrodysplasia ossificans progressiva (“FOP”). In a phase 1 clinical trial in healthy volunteers, BCX9250 was safe and well tolerated at all doses studied, with linear and dose-proportional exposure supporting once-daily dosing.</w:t>
      </w:r>
    </w:p>
    <w:p>
      <w:pPr>
        <w:spacing w:after="0" w:line="92" w:lineRule="exact"/>
        <w:rPr>
          <w:sz w:val="20"/>
          <w:szCs w:val="20"/>
          <w:color w:val="auto"/>
        </w:rPr>
      </w:pPr>
    </w:p>
    <w:p>
      <w:pPr>
        <w:ind w:firstLine="382"/>
        <w:spacing w:after="0" w:line="321" w:lineRule="auto"/>
        <w:rPr>
          <w:sz w:val="20"/>
          <w:szCs w:val="20"/>
          <w:color w:val="auto"/>
        </w:rPr>
      </w:pPr>
      <w:r>
        <w:rPr>
          <w:rFonts w:ascii="Arial" w:cs="Arial" w:eastAsia="Arial" w:hAnsi="Arial"/>
          <w:sz w:val="13"/>
          <w:szCs w:val="13"/>
          <w:i w:val="1"/>
          <w:iCs w:val="1"/>
          <w:color w:val="auto"/>
        </w:rPr>
        <w:t>RAPIVAB</w:t>
      </w:r>
      <w:r>
        <w:rPr>
          <w:rFonts w:ascii="Arial" w:cs="Arial" w:eastAsia="Arial" w:hAnsi="Arial"/>
          <w:sz w:val="13"/>
          <w:szCs w:val="13"/>
          <w:color w:val="auto"/>
        </w:rPr>
        <w:t>®</w:t>
      </w:r>
      <w:r>
        <w:rPr>
          <w:rFonts w:ascii="Arial" w:cs="Arial" w:eastAsia="Arial" w:hAnsi="Arial"/>
          <w:sz w:val="13"/>
          <w:szCs w:val="13"/>
          <w:i w:val="1"/>
          <w:iCs w:val="1"/>
          <w:color w:val="auto"/>
        </w:rPr>
        <w:t>/RAPIACTA</w:t>
      </w:r>
      <w:r>
        <w:rPr>
          <w:rFonts w:ascii="Arial" w:cs="Arial" w:eastAsia="Arial" w:hAnsi="Arial"/>
          <w:sz w:val="13"/>
          <w:szCs w:val="13"/>
          <w:color w:val="auto"/>
        </w:rPr>
        <w:t>®</w:t>
      </w:r>
      <w:r>
        <w:rPr>
          <w:rFonts w:ascii="Arial" w:cs="Arial" w:eastAsia="Arial" w:hAnsi="Arial"/>
          <w:sz w:val="13"/>
          <w:szCs w:val="13"/>
          <w:i w:val="1"/>
          <w:iCs w:val="1"/>
          <w:color w:val="auto"/>
        </w:rPr>
        <w:t>/PERAMIFLU</w:t>
      </w:r>
      <w:r>
        <w:rPr>
          <w:rFonts w:ascii="Arial" w:cs="Arial" w:eastAsia="Arial" w:hAnsi="Arial"/>
          <w:sz w:val="13"/>
          <w:szCs w:val="13"/>
          <w:color w:val="auto"/>
        </w:rPr>
        <w:t>®</w:t>
      </w:r>
      <w:r>
        <w:rPr>
          <w:rFonts w:ascii="Arial" w:cs="Arial" w:eastAsia="Arial" w:hAnsi="Arial"/>
          <w:sz w:val="13"/>
          <w:szCs w:val="13"/>
          <w:i w:val="1"/>
          <w:iCs w:val="1"/>
          <w:color w:val="auto"/>
        </w:rPr>
        <w:t xml:space="preserve"> (peramivir injection). </w:t>
      </w:r>
      <w:r>
        <w:rPr>
          <w:rFonts w:ascii="Arial" w:cs="Arial" w:eastAsia="Arial" w:hAnsi="Arial"/>
          <w:sz w:val="13"/>
          <w:szCs w:val="13"/>
          <w:color w:val="auto"/>
        </w:rPr>
        <w:t>RAPIVAB (peramivir injection) is approved in the United States for the treatment of acute uncomplicated influenza for patients</w:t>
      </w:r>
      <w:r>
        <w:rPr>
          <w:rFonts w:ascii="Arial" w:cs="Arial" w:eastAsia="Arial" w:hAnsi="Arial"/>
          <w:sz w:val="13"/>
          <w:szCs w:val="13"/>
          <w:i w:val="1"/>
          <w:iCs w:val="1"/>
          <w:color w:val="auto"/>
        </w:rPr>
        <w:t xml:space="preserve"> </w:t>
      </w:r>
      <w:r>
        <w:rPr>
          <w:rFonts w:ascii="Arial" w:cs="Arial" w:eastAsia="Arial" w:hAnsi="Arial"/>
          <w:sz w:val="13"/>
          <w:szCs w:val="13"/>
          <w:color w:val="auto"/>
        </w:rPr>
        <w:t>six months and older. Peramivir injection is also approved in Canada (RAPIVAB), Australia (RAPIVAB), Japan (RAPIACTA), Taiwan (RAPIACTA), and Korea (PERAMIFLU).</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 and Expenses</w:t>
      </w:r>
    </w:p>
    <w:p>
      <w:pPr>
        <w:spacing w:after="0" w:line="147" w:lineRule="exact"/>
        <w:rPr>
          <w:sz w:val="20"/>
          <w:szCs w:val="20"/>
          <w:color w:val="auto"/>
        </w:rPr>
      </w:pPr>
    </w:p>
    <w:p>
      <w:pPr>
        <w:ind w:firstLine="382"/>
        <w:spacing w:after="0" w:line="284" w:lineRule="auto"/>
        <w:rPr>
          <w:sz w:val="20"/>
          <w:szCs w:val="20"/>
          <w:color w:val="auto"/>
        </w:rPr>
      </w:pPr>
      <w:r>
        <w:rPr>
          <w:rFonts w:ascii="Arial" w:cs="Arial" w:eastAsia="Arial" w:hAnsi="Arial"/>
          <w:sz w:val="13"/>
          <w:szCs w:val="13"/>
          <w:color w:val="auto"/>
        </w:rPr>
        <w:t>Our revenues are difficult to predict and depend on several factors, including those discussed in the “Risk Factors”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the resources dedicated to our products and product candidates by us and our collaborative partners, and ongoing discussions with government agencies regarding contract awards for development and procurement,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02" w:lineRule="exact"/>
        <w:rPr>
          <w:sz w:val="20"/>
          <w:szCs w:val="20"/>
          <w:color w:val="auto"/>
        </w:rPr>
      </w:pPr>
    </w:p>
    <w:p>
      <w:pPr>
        <w:ind w:right="160" w:firstLine="382"/>
        <w:spacing w:after="0" w:line="260" w:lineRule="auto"/>
        <w:rPr>
          <w:sz w:val="20"/>
          <w:szCs w:val="20"/>
          <w:color w:val="auto"/>
        </w:rPr>
      </w:pPr>
      <w:r>
        <w:rPr>
          <w:rFonts w:ascii="Arial" w:cs="Arial" w:eastAsia="Arial" w:hAnsi="Arial"/>
          <w:sz w:val="14"/>
          <w:szCs w:val="14"/>
          <w:color w:val="auto"/>
        </w:rPr>
        <w:t>Our operating expenses are also difficult to predict and depend on several factors, including research and development expenses (and whether these expenses are reimbursable under government contracts), drug manufacturing, clinical research activities, the ongoing requirements of our development programs, the costs of commercialization, the availability of capital and direction from regulatory agencies, which are difficult to predict, and the factors discussed in the “Risk Factors” 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spacing w:after="0" w:line="125" w:lineRule="exact"/>
        <w:rPr>
          <w:sz w:val="20"/>
          <w:szCs w:val="20"/>
          <w:color w:val="auto"/>
        </w:rPr>
      </w:pPr>
    </w:p>
    <w:p>
      <w:pPr>
        <w:jc w:val="both"/>
        <w:ind w:right="200" w:firstLine="382"/>
        <w:spacing w:after="0" w:line="267" w:lineRule="auto"/>
        <w:rPr>
          <w:sz w:val="20"/>
          <w:szCs w:val="20"/>
          <w:color w:val="auto"/>
        </w:rPr>
      </w:pPr>
      <w:r>
        <w:rPr>
          <w:rFonts w:ascii="Arial" w:cs="Arial" w:eastAsia="Arial" w:hAnsi="Arial"/>
          <w:sz w:val="14"/>
          <w:szCs w:val="14"/>
          <w:color w:val="auto"/>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Accounting Policies and Estimates</w:t>
      </w:r>
    </w:p>
    <w:p>
      <w:pPr>
        <w:spacing w:after="0" w:line="147" w:lineRule="exact"/>
        <w:rPr>
          <w:sz w:val="20"/>
          <w:szCs w:val="20"/>
          <w:color w:val="auto"/>
        </w:rPr>
      </w:pPr>
    </w:p>
    <w:p>
      <w:pPr>
        <w:ind w:right="80" w:firstLine="382"/>
        <w:spacing w:after="0" w:line="305" w:lineRule="auto"/>
        <w:rPr>
          <w:sz w:val="20"/>
          <w:szCs w:val="20"/>
          <w:color w:val="auto"/>
        </w:rPr>
      </w:pPr>
      <w:r>
        <w:rPr>
          <w:rFonts w:ascii="Arial" w:cs="Arial" w:eastAsia="Arial" w:hAnsi="Arial"/>
          <w:sz w:val="12"/>
          <w:szCs w:val="12"/>
          <w:color w:val="auto"/>
        </w:rPr>
        <w:t>The accompanying discussion and analysis of our financial condition and results of operations are based upon our consolidated financial statements and the related disclosures, which have been prepared in accordance with accounting principles generally accepted in the United States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In particular, we routinely evaluate our estimates and policies regarding revenue recognition, administration, inventory and manufacturing, taxes, stock-based compensation, research and development, consulting and other expenses and any associated liabilities.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 See “Critical Accounting Policies” at the end of this “Management’s Discussion and Analysis of Financial Condition and Results of Operations” for a description of accounting</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policies that we believe are the most critical to aid you in fully understanding and evaluating our reported financial results and that affect the more significant judgments and estimates that we use in the preparation of our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COVID-19</w:t>
      </w:r>
    </w:p>
    <w:p>
      <w:pPr>
        <w:spacing w:after="0" w:line="147"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The outbreak of COVID-19 has severely impacted global economic activity and caused significant volatility in financial markets. To date, our financial condition, results of operations, and liquidity have not been materially impacted by the direct effects of the COVID-19 pandemic. Please refer to “Risk Factors—Risks Relating to Our Business—Risks Relating to COVID-19” in Part II, Item 1A of this report for a discussion of COVID-19 risks as they relate to our business. We are continuing to monitor developments with respect to the COVID-19 pandemic and to make adjustments as needed to assist in protecting the safety of our employees and communities while continuing our business activities. Our remote working arrangements continue to be flexible where it is both practical and possible for the business. Business-related travel has resumed, and we will continue to monitor developments with respect to COVID-19 going forward. To date, implementation of specific COVID-19 measures has not required material expenditures or significantly impacted our ability to operate our business or our internal control over financial reporting and disclosure controls and procedures. We continue to monitor the potential impacts of COVID-19 on our operations and those of our partners, suppliers, customers, and regulators.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ORLADEYO</w:t>
      </w:r>
      <w:r>
        <w:rPr>
          <w:rFonts w:ascii="Arial" w:cs="Arial" w:eastAsia="Arial" w:hAnsi="Arial"/>
          <w:sz w:val="14"/>
          <w:szCs w:val="14"/>
          <w:color w:val="auto"/>
        </w:rPr>
        <w:t>®</w:t>
      </w:r>
      <w:r>
        <w:rPr>
          <w:rFonts w:ascii="Arial" w:cs="Arial" w:eastAsia="Arial" w:hAnsi="Arial"/>
          <w:sz w:val="14"/>
          <w:szCs w:val="14"/>
          <w:i w:val="1"/>
          <w:iCs w:val="1"/>
          <w:color w:val="auto"/>
        </w:rPr>
        <w:t xml:space="preserve"> (berotralstat)</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On June 6, 2022, we announced that Health Canada has approved ORLADEYO for the routine prevention of recurrent HAE attacks in patients 12 years and older in Canada.</w:t>
      </w:r>
    </w:p>
    <w:p>
      <w:pPr>
        <w:spacing w:after="0" w:line="147" w:lineRule="exact"/>
        <w:rPr>
          <w:sz w:val="20"/>
          <w:szCs w:val="20"/>
          <w:color w:val="auto"/>
        </w:rPr>
      </w:pPr>
    </w:p>
    <w:p>
      <w:pPr>
        <w:ind w:right="260" w:firstLine="382"/>
        <w:spacing w:after="0" w:line="281" w:lineRule="auto"/>
        <w:rPr>
          <w:sz w:val="20"/>
          <w:szCs w:val="20"/>
          <w:color w:val="auto"/>
        </w:rPr>
      </w:pPr>
      <w:r>
        <w:rPr>
          <w:rFonts w:ascii="Arial" w:cs="Arial" w:eastAsia="Arial" w:hAnsi="Arial"/>
          <w:sz w:val="14"/>
          <w:szCs w:val="14"/>
          <w:color w:val="auto"/>
        </w:rPr>
        <w:t>On June 7, 2022, we announced that Swissmedic has granted marketing authorization for ORLADEYO for the routine prevention of recurrent HAE attacks in patients 12 years and older in Switzerland.</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On June 9, 2022, we announced that the Company has entered into an exclusive collaboration with Pint Pharma GmbH to register and promote ORLADEYO in the pan-Latin America region.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Under the terms of our agreement, Pint Pharma will be responsible for obtaining and maintaining all marketing authorizations and for commercializing ORLADEYO in the region.</w:t>
      </w:r>
    </w:p>
    <w:p>
      <w:pPr>
        <w:spacing w:after="0" w:line="136" w:lineRule="exact"/>
        <w:rPr>
          <w:sz w:val="20"/>
          <w:szCs w:val="20"/>
          <w:color w:val="auto"/>
        </w:rPr>
      </w:pPr>
    </w:p>
    <w:p>
      <w:pPr>
        <w:ind w:right="180" w:firstLine="382"/>
        <w:spacing w:after="0" w:line="267" w:lineRule="auto"/>
        <w:rPr>
          <w:sz w:val="20"/>
          <w:szCs w:val="20"/>
          <w:color w:val="auto"/>
        </w:rPr>
      </w:pPr>
      <w:r>
        <w:rPr>
          <w:rFonts w:ascii="Arial" w:cs="Arial" w:eastAsia="Arial" w:hAnsi="Arial"/>
          <w:sz w:val="14"/>
          <w:szCs w:val="14"/>
          <w:color w:val="auto"/>
        </w:rPr>
        <w:t>On July 1, 2022, we announced new long-term efficacy and safety data from the APeX-2 and APeX-S clinical trials evaluating ORLADEYO for the prophylactic treatment of HAE showing sustained reductions in attack rates and improvement in quality of life among patients living with HAE, as well as improved management of symptoms after switching to ORLADEYO from an injectable long-term prophylactic treatment.</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On August 4, 2022, we announced that pricing for ORLADEYO was finalized in Germany, France, and Switzerland in the second quarter of 2022.</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Complement-Mediated Diseases</w:t>
      </w:r>
    </w:p>
    <w:p>
      <w:pPr>
        <w:spacing w:after="0" w:line="147"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On April 8, 2022, we announced that we had voluntarily paused enrollment in clinical trials with BCX9930 while we investigated observed elevations in serum creatinine seen in some patients at the 500 mg twice-daily dose. The FDA subsequently placed the program on a partial clinical hold. Patients already enrolled in the trials who were receiving clinical benefit from BCX9930 treatment, and had no other available treatment options, were able to continue on therapy.</w:t>
      </w:r>
    </w:p>
    <w:p>
      <w:pPr>
        <w:spacing w:after="0" w:line="110" w:lineRule="exact"/>
        <w:rPr>
          <w:sz w:val="20"/>
          <w:szCs w:val="20"/>
          <w:color w:val="auto"/>
        </w:rPr>
      </w:pPr>
    </w:p>
    <w:p>
      <w:pPr>
        <w:ind w:right="140" w:firstLine="382"/>
        <w:spacing w:after="0" w:line="280" w:lineRule="auto"/>
        <w:rPr>
          <w:sz w:val="20"/>
          <w:szCs w:val="20"/>
          <w:color w:val="auto"/>
        </w:rPr>
      </w:pPr>
      <w:r>
        <w:rPr>
          <w:rFonts w:ascii="Arial" w:cs="Arial" w:eastAsia="Arial" w:hAnsi="Arial"/>
          <w:sz w:val="13"/>
          <w:szCs w:val="13"/>
          <w:color w:val="auto"/>
        </w:rPr>
        <w:t>On August 4, 2022, we announced that the FDA has lifted its partial clinical hold on the BCX9930 program. We will resume enrollment in global clinical trials under revised protocols at a reduced dose of 400 mg twice-daily of BCX9930. This includes the REDEEM-1 and REDEEM-2 pivotal trials in patients with PNH and the RENEW proof-of-concept trial in patients with C3G, IgAN, and PMN. Clinical evidence and recent laboratory studies have informed our hypothesis that crystals form in the kidneys of some patients. We believe that lowering the dose to 400 mg and ensuring adequate hydration will dilute the concentration of drug in the urine below the threshold where crystals can form. Our goal is to find a safe and effective dose for BCX9930. We expect this can be accomplished in a reasonable timeframe after resuming enrollment, in a relatively small number of patients given the rate and timing of the serum creatinine rises in patients prior to the enrollment pause. If successful, we plan to invest more significantly in BCX9930 to tap the full potential of reaching many patients suffering from a number of alternative pathway diseases, and, if not successful, we will stop investment in BCX9930 and move on to other molecules in the pipeline.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Fibrodysplasia Ossificans Progressiva</w:t>
      </w:r>
    </w:p>
    <w:p>
      <w:pPr>
        <w:spacing w:after="0" w:line="157"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On April 27, 2022, we announced that the European Medicines Agency (“EMA”) has granted access to the Priority Medicines (“PRIME”) scheme for BCX9250. PRIME is a program launched by the EMA to enhance support for the development of medicines that target an unmet medical need. This voluntary program is based on enhanced interaction and early dialogue with developers of promising medicines and is designed to optimize development plans and speed up evaluation so these medicines can potentially reach patients earlier. According to the EMA, developers of medicines that are eligible for PRIME can expect additional opportunities for scientific advice and be eligible for accelerated assessment at the time of application for a marketing authorization. On August 4, 2022, we announced that the EMA also has recently granted Orphan Drug designation for BCX9250.</w:t>
      </w:r>
    </w:p>
    <w:p>
      <w:pPr>
        <w:spacing w:after="0" w:line="115" w:lineRule="exact"/>
        <w:rPr>
          <w:sz w:val="20"/>
          <w:szCs w:val="20"/>
          <w:color w:val="auto"/>
        </w:rPr>
      </w:pPr>
    </w:p>
    <w:p>
      <w:pPr>
        <w:ind w:right="180" w:firstLine="382"/>
        <w:spacing w:after="0" w:line="262" w:lineRule="auto"/>
        <w:rPr>
          <w:sz w:val="20"/>
          <w:szCs w:val="20"/>
          <w:color w:val="auto"/>
        </w:rPr>
      </w:pPr>
      <w:r>
        <w:rPr>
          <w:rFonts w:ascii="Arial" w:cs="Arial" w:eastAsia="Arial" w:hAnsi="Arial"/>
          <w:sz w:val="14"/>
          <w:szCs w:val="14"/>
          <w:color w:val="auto"/>
        </w:rPr>
        <w:t>On June 8, 2022, we announced that the FDA has granted Fast Track designation for BCX9250 for the prevention of HO in patients with FOP. According to the FDA, the purpose of the Fast Track designation is to get important new drugs to patients earlier by facilitating the development, and expediting the review, of drugs to treat serious conditions and fill an unmet medical need. Companies that receive this designation are eligible for benefits including more frequent meetings with and written communication from the FDA, eligibility for accelerated approval and priority review, if relevant criteria are met, and rolling review of the new drug application (“NDA”).</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(three months ended June 30, 2022 compared to the three months ended June 30, 2021)</w:t>
      </w:r>
    </w:p>
    <w:p>
      <w:pPr>
        <w:spacing w:after="0" w:line="161" w:lineRule="exact"/>
        <w:rPr>
          <w:sz w:val="20"/>
          <w:szCs w:val="20"/>
          <w:color w:val="auto"/>
        </w:rPr>
      </w:pPr>
    </w:p>
    <w:p>
      <w:pPr>
        <w:ind w:right="120" w:firstLine="382"/>
        <w:spacing w:after="0" w:line="260" w:lineRule="auto"/>
        <w:rPr>
          <w:sz w:val="20"/>
          <w:szCs w:val="20"/>
          <w:color w:val="auto"/>
        </w:rPr>
      </w:pPr>
      <w:r>
        <w:rPr>
          <w:rFonts w:ascii="Arial" w:cs="Arial" w:eastAsia="Arial" w:hAnsi="Arial"/>
          <w:sz w:val="14"/>
          <w:szCs w:val="14"/>
          <w:color w:val="auto"/>
        </w:rPr>
        <w:t>For the three months ended June 30, 2022, total revenues were $65.5 million as compared to $50.0 million for the three months ended June 30, 2021. The increase was primarily due to ORLADEYO net revenue, including royalties, of $65.2 million, an increase of $36.7 million. This increase was partially offset by a decrease in RAPIVAB revenue of $4.4 million primarily due to a stockpiling sale to HHS of $4.6 million in the prior year as well as a decrease in peramivir revenue of $0.4 million on a sale to our partner in the prior year. Additionally, a $15.0 million milestone payment related to the NHI approval of ORLADEYO in Japan was recognized in the prior year. Contract revenue for the three months ended June 30, 2022 decreased $1.3 million compared to the same period in the prior year as existing contracts continue to close out.</w:t>
      </w:r>
    </w:p>
    <w:p>
      <w:pPr>
        <w:spacing w:after="0" w:line="115" w:lineRule="exact"/>
        <w:rPr>
          <w:sz w:val="20"/>
          <w:szCs w:val="20"/>
          <w:color w:val="auto"/>
        </w:rPr>
      </w:pPr>
    </w:p>
    <w:p>
      <w:pPr>
        <w:ind w:right="200" w:firstLine="382"/>
        <w:spacing w:after="0" w:line="281" w:lineRule="auto"/>
        <w:rPr>
          <w:sz w:val="20"/>
          <w:szCs w:val="20"/>
          <w:color w:val="auto"/>
        </w:rPr>
      </w:pPr>
      <w:r>
        <w:rPr>
          <w:rFonts w:ascii="Arial" w:cs="Arial" w:eastAsia="Arial" w:hAnsi="Arial"/>
          <w:sz w:val="14"/>
          <w:szCs w:val="14"/>
          <w:color w:val="auto"/>
        </w:rPr>
        <w:t>Cost of product sales for the three months ended June 30, 2022 and 2021 was $0.2 million and $0.3 million, respectively. The cost of product sales in 2021 was primarily associated with the peramivir product sales to our partners whereas the cost of product sales in 2022 relates primarily to sales of ORLADEYO.</w:t>
      </w:r>
    </w:p>
    <w:p>
      <w:pPr>
        <w:spacing w:after="0" w:line="100" w:lineRule="exact"/>
        <w:rPr>
          <w:sz w:val="20"/>
          <w:szCs w:val="20"/>
          <w:color w:val="auto"/>
        </w:rPr>
      </w:pPr>
    </w:p>
    <w:p>
      <w:pPr>
        <w:ind w:right="60" w:firstLine="382"/>
        <w:spacing w:after="0" w:line="321" w:lineRule="auto"/>
        <w:rPr>
          <w:sz w:val="20"/>
          <w:szCs w:val="20"/>
          <w:color w:val="auto"/>
        </w:rPr>
      </w:pPr>
      <w:r>
        <w:rPr>
          <w:rFonts w:ascii="Arial" w:cs="Arial" w:eastAsia="Arial" w:hAnsi="Arial"/>
          <w:sz w:val="13"/>
          <w:szCs w:val="13"/>
          <w:color w:val="auto"/>
        </w:rPr>
        <w:t>Research and development (“R&amp;D”) expenses increased to $62.0 million for the three months ended June 30, 2022 from $52.9 million for the three months ended June 30, 2021, primarily due to increased investment in the development of our Factor D program, including BCX9930, our FOP program, as well as other research, preclinical and development costs.</w:t>
      </w:r>
    </w:p>
    <w:p>
      <w:pPr>
        <w:spacing w:after="0" w:line="88" w:lineRule="exact"/>
        <w:rPr>
          <w:sz w:val="20"/>
          <w:szCs w:val="20"/>
          <w:color w:val="auto"/>
        </w:rPr>
      </w:pPr>
    </w:p>
    <w:p>
      <w:pPr>
        <w:ind w:right="160" w:firstLine="382"/>
        <w:spacing w:after="0" w:line="281" w:lineRule="auto"/>
        <w:rPr>
          <w:sz w:val="20"/>
          <w:szCs w:val="20"/>
          <w:color w:val="auto"/>
        </w:rPr>
      </w:pPr>
      <w:r>
        <w:rPr>
          <w:rFonts w:ascii="Arial" w:cs="Arial" w:eastAsia="Arial" w:hAnsi="Arial"/>
          <w:sz w:val="14"/>
          <w:szCs w:val="14"/>
          <w:color w:val="auto"/>
        </w:rPr>
        <w:t>The following table summarizes our R&amp;D expenses for the periods indicated (amounts are in thousands). Certain prior period amounts have been reclassified for consistency with the current year presentation. These reclassifications had no effect on the total R&amp;D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40" w:type="dxa"/>
            <w:vAlign w:val="bottom"/>
          </w:tcPr>
          <w:p>
            <w:pPr>
              <w:spacing w:after="0"/>
              <w:rPr>
                <w:sz w:val="15"/>
                <w:szCs w:val="15"/>
                <w:color w:val="auto"/>
              </w:rPr>
            </w:pPr>
          </w:p>
        </w:tc>
        <w:tc>
          <w:tcPr>
            <w:tcW w:w="254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5"/>
                <w:szCs w:val="15"/>
                <w:color w:val="auto"/>
              </w:rPr>
            </w:pPr>
          </w:p>
        </w:tc>
      </w:tr>
      <w:tr>
        <w:trPr>
          <w:trHeight w:val="184"/>
        </w:trPr>
        <w:tc>
          <w:tcPr>
            <w:tcW w:w="8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16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R&amp;D expenses by program:</w:t>
            </w: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80"/>
        </w:trPr>
        <w:tc>
          <w:tcPr>
            <w:tcW w:w="8140" w:type="dxa"/>
            <w:vAlign w:val="bottom"/>
          </w:tcPr>
          <w:p>
            <w:pPr>
              <w:ind w:left="140"/>
              <w:spacing w:after="0"/>
              <w:rPr>
                <w:sz w:val="20"/>
                <w:szCs w:val="20"/>
                <w:color w:val="auto"/>
              </w:rPr>
            </w:pPr>
            <w:r>
              <w:rPr>
                <w:rFonts w:ascii="Arial" w:cs="Arial" w:eastAsia="Arial" w:hAnsi="Arial"/>
                <w:sz w:val="14"/>
                <w:szCs w:val="14"/>
                <w:color w:val="auto"/>
              </w:rPr>
              <w:t>Factor D program</w:t>
            </w:r>
          </w:p>
        </w:tc>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38,722</w:t>
            </w:r>
          </w:p>
        </w:tc>
        <w:tc>
          <w:tcPr>
            <w:tcW w:w="100" w:type="dxa"/>
            <w:vAlign w:val="bottom"/>
          </w:tcPr>
          <w:p>
            <w:pPr>
              <w:spacing w:after="0"/>
              <w:rPr>
                <w:sz w:val="15"/>
                <w:szCs w:val="15"/>
                <w:color w:val="auto"/>
              </w:rPr>
            </w:pPr>
          </w:p>
        </w:tc>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31,362</w:t>
            </w:r>
          </w:p>
        </w:tc>
      </w:tr>
      <w:tr>
        <w:trPr>
          <w:trHeight w:val="181"/>
        </w:trPr>
        <w:tc>
          <w:tcPr>
            <w:tcW w:w="8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Berotralstat</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9,729</w:t>
            </w:r>
          </w:p>
        </w:tc>
      </w:tr>
      <w:tr>
        <w:trPr>
          <w:trHeight w:val="180"/>
        </w:trPr>
        <w:tc>
          <w:tcPr>
            <w:tcW w:w="8140" w:type="dxa"/>
            <w:vAlign w:val="bottom"/>
          </w:tcPr>
          <w:p>
            <w:pPr>
              <w:ind w:left="140"/>
              <w:spacing w:after="0"/>
              <w:rPr>
                <w:sz w:val="20"/>
                <w:szCs w:val="20"/>
                <w:color w:val="auto"/>
              </w:rPr>
            </w:pPr>
            <w:r>
              <w:rPr>
                <w:rFonts w:ascii="Arial" w:cs="Arial" w:eastAsia="Arial" w:hAnsi="Arial"/>
                <w:sz w:val="14"/>
                <w:szCs w:val="14"/>
                <w:color w:val="auto"/>
              </w:rPr>
              <w:t>FOP</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5,023</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654</w:t>
            </w:r>
          </w:p>
        </w:tc>
      </w:tr>
      <w:tr>
        <w:trPr>
          <w:trHeight w:val="181"/>
        </w:trPr>
        <w:tc>
          <w:tcPr>
            <w:tcW w:w="8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Galidesivir</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w:t>
            </w:r>
          </w:p>
        </w:tc>
      </w:tr>
      <w:tr>
        <w:trPr>
          <w:trHeight w:val="180"/>
        </w:trPr>
        <w:tc>
          <w:tcPr>
            <w:tcW w:w="8140" w:type="dxa"/>
            <w:vAlign w:val="bottom"/>
          </w:tcPr>
          <w:p>
            <w:pPr>
              <w:ind w:left="140"/>
              <w:spacing w:after="0"/>
              <w:rPr>
                <w:sz w:val="20"/>
                <w:szCs w:val="20"/>
                <w:color w:val="auto"/>
              </w:rPr>
            </w:pPr>
            <w:r>
              <w:rPr>
                <w:rFonts w:ascii="Arial" w:cs="Arial" w:eastAsia="Arial" w:hAnsi="Arial"/>
                <w:sz w:val="14"/>
                <w:szCs w:val="14"/>
                <w:color w:val="auto"/>
              </w:rPr>
              <w:t>Peramivir</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180"/>
        </w:trPr>
        <w:tc>
          <w:tcPr>
            <w:tcW w:w="8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research, preclinical and development costs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11,453</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8,002</w:t>
            </w:r>
          </w:p>
        </w:tc>
      </w:tr>
      <w:tr>
        <w:trPr>
          <w:trHeight w:val="171"/>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Total R&amp;D expenses</w:t>
            </w:r>
          </w:p>
        </w:tc>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61,990</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52,873</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382"/>
        <w:spacing w:after="0" w:line="281" w:lineRule="auto"/>
        <w:rPr>
          <w:sz w:val="20"/>
          <w:szCs w:val="20"/>
          <w:color w:val="auto"/>
        </w:rPr>
      </w:pPr>
      <w:r>
        <w:rPr>
          <w:rFonts w:ascii="Arial" w:cs="Arial" w:eastAsia="Arial" w:hAnsi="Arial"/>
          <w:sz w:val="14"/>
          <w:szCs w:val="14"/>
          <w:color w:val="auto"/>
        </w:rPr>
        <w:t>Selling, general and administrative (“SG&amp;A”) expenses for the three months ended June 30, 2022 were $38.0 million compared to $26.3 million in the three months ended June 30, 2021. The increase was primarily due to increased investment to support the commercial launch of ORLADEYO and the expansion of international operations.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firstLine="382"/>
        <w:spacing w:after="0" w:line="284" w:lineRule="auto"/>
        <w:rPr>
          <w:sz w:val="20"/>
          <w:szCs w:val="20"/>
          <w:color w:val="auto"/>
        </w:rPr>
      </w:pPr>
      <w:r>
        <w:rPr>
          <w:rFonts w:ascii="Arial" w:cs="Arial" w:eastAsia="Arial" w:hAnsi="Arial"/>
          <w:sz w:val="13"/>
          <w:szCs w:val="13"/>
          <w:color w:val="auto"/>
        </w:rPr>
        <w:t>Interest expense for the three months ended June 30, 2022 was $24.0 million compared to $13.5 million for the three months ended June 30, 2021. The increase in interest expense was primarily associated with the sale of certain royalty payments under the 2021 RPI Royalty Purchase Agreement and the OMERS Royalty Purchase Agreement, which were entered into in November 2021. The nature of the royalty sales requires that we recognize a liability (the “Royalty Financing Obligations”) for the future sale of royalties under these agreements. These liabilities are amortized using the effective interest rate method, resulting in the recognition of non-cash interest expense over the estimated term of the Royalty Purchase Agreements (as defined in “Note 6—Royalty Monetizations—ORLADEYO and Factor D Inhibitors” in the Notes to Consolidated Financial Statements in Part I, Item 1 of this report).</w:t>
      </w:r>
    </w:p>
    <w:p>
      <w:pPr>
        <w:spacing w:after="0" w:line="113" w:lineRule="exact"/>
        <w:rPr>
          <w:sz w:val="20"/>
          <w:szCs w:val="20"/>
          <w:color w:val="auto"/>
        </w:rPr>
      </w:pPr>
    </w:p>
    <w:p>
      <w:pPr>
        <w:ind w:right="240" w:firstLine="382"/>
        <w:spacing w:after="0" w:line="284" w:lineRule="auto"/>
        <w:rPr>
          <w:sz w:val="20"/>
          <w:szCs w:val="20"/>
          <w:color w:val="auto"/>
        </w:rPr>
      </w:pPr>
      <w:r>
        <w:rPr>
          <w:rFonts w:ascii="Arial" w:cs="Arial" w:eastAsia="Arial" w:hAnsi="Arial"/>
          <w:sz w:val="13"/>
          <w:szCs w:val="13"/>
          <w:color w:val="auto"/>
        </w:rPr>
        <w:t>Interest expense for the three months ended June 30, 2022 included $19.7 million of non-cash interest expense due to the amortization of interest associated with the Royalty Financing Obligations and $4.3 million of interest expense, net of deferred financing amortization, associated with the Term A Loan under the Credit Agreement. Interest expense for the three months ended June 30, 2021 included $8.1 million of non-cash interest expense due to the amortization of interest associated with the Royalty Financing Obligation under the 2020 RPI Royalty Purchase Agreement and $3.8 million of interest expense, net of deferred financing amortization, associated with the Term A Loan under the Credit Agreement. Additionally, we recognized $1.6 million in interest expense on the non-recourse PhaRMA Notes issued in March 2011, which were written-off in December 2021.</w:t>
      </w:r>
    </w:p>
    <w:p>
      <w:pPr>
        <w:spacing w:after="0" w:line="102"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For the three months ended June 30, 2022, other income of $0.7 million was comprised of interest income of $0.6 million and net foreign currency gains of $0.1 million. Other expense for the three months ended June 30, 2021 was primarily related to net foreign currency losses of $0.1 million.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(six months ended June 30, 2022 compared to the six months ended June 30, 2021)</w:t>
      </w:r>
    </w:p>
    <w:p>
      <w:pPr>
        <w:spacing w:after="0" w:line="161" w:lineRule="exact"/>
        <w:rPr>
          <w:sz w:val="20"/>
          <w:szCs w:val="20"/>
          <w:color w:val="auto"/>
        </w:rPr>
      </w:pPr>
    </w:p>
    <w:p>
      <w:pPr>
        <w:ind w:right="20" w:firstLine="382"/>
        <w:spacing w:after="0" w:line="258" w:lineRule="auto"/>
        <w:rPr>
          <w:sz w:val="20"/>
          <w:szCs w:val="20"/>
          <w:color w:val="auto"/>
        </w:rPr>
      </w:pPr>
      <w:r>
        <w:rPr>
          <w:rFonts w:ascii="Arial" w:cs="Arial" w:eastAsia="Arial" w:hAnsi="Arial"/>
          <w:sz w:val="14"/>
          <w:szCs w:val="14"/>
          <w:color w:val="auto"/>
        </w:rPr>
        <w:t>For the six months ended June 30, 2022, total revenues were $115.5 million as compared to $69.0 million for the six months ended June 30, 2021. The increase was primarily due to ORLADEYO net revenue, including royalties, of $114.9 million, an increase of $75.5 million. Additionally, other royalties increased $0.9 million for the six months ended June 30, 2022 as compared to the six months ended June 30, 2021. These increases were partially offset by a decrease in peramivir revenue of $7.3 million on sales to our partners in the prior year as well as a decrease in RAPIVAB revenue of $4.4 million primarily due to a stockpiling sale to HHS of $4.6 million in the prior year. Additionally, a $15.0 million milestone payment related to the NHI approval of ORLADEYO in Japan was recognized in the prior year. Contract revenue for the six months ended June 30, 2022 decreased $3.4 million compared to the same period in the prior year as existing contracts continue to close out.</w:t>
      </w:r>
    </w:p>
    <w:p>
      <w:pPr>
        <w:spacing w:after="0" w:line="118" w:lineRule="exact"/>
        <w:rPr>
          <w:sz w:val="20"/>
          <w:szCs w:val="20"/>
          <w:color w:val="auto"/>
        </w:rPr>
      </w:pPr>
    </w:p>
    <w:p>
      <w:pPr>
        <w:ind w:right="320" w:firstLine="382"/>
        <w:spacing w:after="0" w:line="281" w:lineRule="auto"/>
        <w:rPr>
          <w:sz w:val="20"/>
          <w:szCs w:val="20"/>
          <w:color w:val="auto"/>
        </w:rPr>
      </w:pPr>
      <w:r>
        <w:rPr>
          <w:rFonts w:ascii="Arial" w:cs="Arial" w:eastAsia="Arial" w:hAnsi="Arial"/>
          <w:sz w:val="14"/>
          <w:szCs w:val="14"/>
          <w:color w:val="auto"/>
        </w:rPr>
        <w:t>Cost of product sales for the six months ended June 30, 2022 and 2021 was $0.5 million and $6.2 million, respectively. The cost of product sales in 2021 was primarily associated with the peramivir product sales to our partners whereas the cost of product sales in 2022 relates primarily to sales of ORLADEYO.</w:t>
      </w:r>
    </w:p>
    <w:p>
      <w:pPr>
        <w:spacing w:after="0" w:line="100" w:lineRule="exact"/>
        <w:rPr>
          <w:sz w:val="20"/>
          <w:szCs w:val="20"/>
          <w:color w:val="auto"/>
        </w:rPr>
      </w:pPr>
    </w:p>
    <w:p>
      <w:pPr>
        <w:ind w:right="280" w:firstLine="382"/>
        <w:spacing w:after="0" w:line="281" w:lineRule="auto"/>
        <w:rPr>
          <w:sz w:val="20"/>
          <w:szCs w:val="20"/>
          <w:color w:val="auto"/>
        </w:rPr>
      </w:pPr>
      <w:r>
        <w:rPr>
          <w:rFonts w:ascii="Arial" w:cs="Arial" w:eastAsia="Arial" w:hAnsi="Arial"/>
          <w:sz w:val="14"/>
          <w:szCs w:val="14"/>
          <w:color w:val="auto"/>
        </w:rPr>
        <w:t>R&amp;D expenses increased to $127.4 million for the six months ended June 30, 2022 from $95.3 million for the six months ended June 30, 2021, primarily due to increased investment in the development of our Factor D program, including BCX9930, our FOP program, as well as other research, preclinical and development costs.</w:t>
      </w:r>
    </w:p>
    <w:p>
      <w:pPr>
        <w:spacing w:after="0" w:line="111" w:lineRule="exact"/>
        <w:rPr>
          <w:sz w:val="20"/>
          <w:szCs w:val="20"/>
          <w:color w:val="auto"/>
        </w:rPr>
      </w:pPr>
    </w:p>
    <w:p>
      <w:pPr>
        <w:ind w:right="160" w:firstLine="382"/>
        <w:spacing w:after="0" w:line="281" w:lineRule="auto"/>
        <w:rPr>
          <w:sz w:val="20"/>
          <w:szCs w:val="20"/>
          <w:color w:val="auto"/>
        </w:rPr>
      </w:pPr>
      <w:r>
        <w:rPr>
          <w:rFonts w:ascii="Arial" w:cs="Arial" w:eastAsia="Arial" w:hAnsi="Arial"/>
          <w:sz w:val="14"/>
          <w:szCs w:val="14"/>
          <w:color w:val="auto"/>
        </w:rPr>
        <w:t>The following table summarizes our R&amp;D expenses for the periods indicated (amounts are in thousands). Certain prior period amounts have been reclassified for consistency with the current year presentation. These reclassifications had no effect on the total R&amp;D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54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60" w:type="dxa"/>
            <w:vAlign w:val="bottom"/>
          </w:tcPr>
          <w:p>
            <w:pPr>
              <w:spacing w:after="0"/>
              <w:rPr>
                <w:sz w:val="16"/>
                <w:szCs w:val="16"/>
                <w:color w:val="auto"/>
              </w:rPr>
            </w:pPr>
          </w:p>
        </w:tc>
        <w:tc>
          <w:tcPr>
            <w:tcW w:w="4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R&amp;D expenses by program:</w:t>
            </w:r>
          </w:p>
        </w:tc>
        <w:tc>
          <w:tcPr>
            <w:tcW w:w="39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140"/>
              <w:spacing w:after="0"/>
              <w:rPr>
                <w:sz w:val="20"/>
                <w:szCs w:val="20"/>
                <w:color w:val="auto"/>
              </w:rPr>
            </w:pPr>
            <w:r>
              <w:rPr>
                <w:rFonts w:ascii="Arial" w:cs="Arial" w:eastAsia="Arial" w:hAnsi="Arial"/>
                <w:sz w:val="14"/>
                <w:szCs w:val="14"/>
                <w:color w:val="auto"/>
              </w:rPr>
              <w:t>Factor D program</w:t>
            </w:r>
          </w:p>
        </w:tc>
        <w:tc>
          <w:tcPr>
            <w:tcW w:w="4900" w:type="dxa"/>
            <w:vAlign w:val="bottom"/>
            <w:gridSpan w:val="2"/>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80,691</w:t>
            </w:r>
          </w:p>
        </w:tc>
        <w:tc>
          <w:tcPr>
            <w:tcW w:w="80" w:type="dxa"/>
            <w:vAlign w:val="bottom"/>
          </w:tcPr>
          <w:p>
            <w:pPr>
              <w:spacing w:after="0"/>
              <w:rPr>
                <w:sz w:val="15"/>
                <w:szCs w:val="15"/>
                <w:color w:val="auto"/>
              </w:rPr>
            </w:pPr>
          </w:p>
        </w:tc>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57,331</w:t>
            </w:r>
          </w:p>
        </w:tc>
        <w:tc>
          <w:tcPr>
            <w:tcW w:w="0" w:type="dxa"/>
            <w:vAlign w:val="bottom"/>
          </w:tcPr>
          <w:p>
            <w:pPr>
              <w:spacing w:after="0"/>
              <w:rPr>
                <w:sz w:val="1"/>
                <w:szCs w:val="1"/>
                <w:color w:val="auto"/>
              </w:rPr>
            </w:pPr>
          </w:p>
        </w:tc>
      </w:tr>
      <w:tr>
        <w:trPr>
          <w:trHeight w:val="181"/>
        </w:trPr>
        <w:tc>
          <w:tcPr>
            <w:tcW w:w="4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Berotralstat</w:t>
            </w:r>
          </w:p>
        </w:tc>
        <w:tc>
          <w:tcPr>
            <w:tcW w:w="3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17,651</w:t>
            </w:r>
          </w:p>
        </w:tc>
        <w:tc>
          <w:tcPr>
            <w:tcW w:w="0" w:type="dxa"/>
            <w:vAlign w:val="bottom"/>
          </w:tcPr>
          <w:p>
            <w:pPr>
              <w:spacing w:after="0"/>
              <w:rPr>
                <w:sz w:val="1"/>
                <w:szCs w:val="1"/>
                <w:color w:val="auto"/>
              </w:rPr>
            </w:pPr>
          </w:p>
        </w:tc>
      </w:tr>
      <w:tr>
        <w:trPr>
          <w:trHeight w:val="180"/>
        </w:trPr>
        <w:tc>
          <w:tcPr>
            <w:tcW w:w="4260" w:type="dxa"/>
            <w:vAlign w:val="bottom"/>
          </w:tcPr>
          <w:p>
            <w:pPr>
              <w:ind w:left="140"/>
              <w:spacing w:after="0"/>
              <w:rPr>
                <w:sz w:val="20"/>
                <w:szCs w:val="20"/>
                <w:color w:val="auto"/>
              </w:rPr>
            </w:pPr>
            <w:r>
              <w:rPr>
                <w:rFonts w:ascii="Arial" w:cs="Arial" w:eastAsia="Arial" w:hAnsi="Arial"/>
                <w:sz w:val="14"/>
                <w:szCs w:val="14"/>
                <w:color w:val="auto"/>
              </w:rPr>
              <w:t>FOP</w:t>
            </w:r>
          </w:p>
        </w:tc>
        <w:tc>
          <w:tcPr>
            <w:tcW w:w="3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7,692</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81"/>
        </w:trPr>
        <w:tc>
          <w:tcPr>
            <w:tcW w:w="4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Galidesivir</w:t>
            </w:r>
          </w:p>
        </w:tc>
        <w:tc>
          <w:tcPr>
            <w:tcW w:w="3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3,919</w:t>
            </w:r>
          </w:p>
        </w:tc>
        <w:tc>
          <w:tcPr>
            <w:tcW w:w="0" w:type="dxa"/>
            <w:vAlign w:val="bottom"/>
          </w:tcPr>
          <w:p>
            <w:pPr>
              <w:spacing w:after="0"/>
              <w:rPr>
                <w:sz w:val="1"/>
                <w:szCs w:val="1"/>
                <w:color w:val="auto"/>
              </w:rPr>
            </w:pPr>
          </w:p>
        </w:tc>
      </w:tr>
      <w:tr>
        <w:trPr>
          <w:trHeight w:val="180"/>
        </w:trPr>
        <w:tc>
          <w:tcPr>
            <w:tcW w:w="4260" w:type="dxa"/>
            <w:vAlign w:val="bottom"/>
          </w:tcPr>
          <w:p>
            <w:pPr>
              <w:ind w:left="140"/>
              <w:spacing w:after="0"/>
              <w:rPr>
                <w:sz w:val="20"/>
                <w:szCs w:val="20"/>
                <w:color w:val="auto"/>
              </w:rPr>
            </w:pPr>
            <w:r>
              <w:rPr>
                <w:rFonts w:ascii="Arial" w:cs="Arial" w:eastAsia="Arial" w:hAnsi="Arial"/>
                <w:sz w:val="14"/>
                <w:szCs w:val="14"/>
                <w:color w:val="auto"/>
              </w:rPr>
              <w:t>Peramivir</w:t>
            </w:r>
          </w:p>
        </w:tc>
        <w:tc>
          <w:tcPr>
            <w:tcW w:w="3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81"/>
        </w:trPr>
        <w:tc>
          <w:tcPr>
            <w:tcW w:w="4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research, preclinical and development costs</w:t>
            </w:r>
          </w:p>
        </w:tc>
        <w:tc>
          <w:tcPr>
            <w:tcW w:w="396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23,837</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14,832</w:t>
            </w:r>
          </w:p>
        </w:tc>
        <w:tc>
          <w:tcPr>
            <w:tcW w:w="0" w:type="dxa"/>
            <w:vAlign w:val="bottom"/>
          </w:tcPr>
          <w:p>
            <w:pPr>
              <w:spacing w:after="0"/>
              <w:rPr>
                <w:sz w:val="1"/>
                <w:szCs w:val="1"/>
                <w:color w:val="auto"/>
              </w:rPr>
            </w:pPr>
          </w:p>
        </w:tc>
      </w:tr>
      <w:tr>
        <w:trPr>
          <w:trHeight w:val="171"/>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Total R&amp;D expenses</w:t>
            </w:r>
          </w:p>
        </w:tc>
        <w:tc>
          <w:tcPr>
            <w:tcW w:w="3960" w:type="dxa"/>
            <w:vAlign w:val="bottom"/>
          </w:tcPr>
          <w:p>
            <w:pPr>
              <w:spacing w:after="0"/>
              <w:rPr>
                <w:sz w:val="14"/>
                <w:szCs w:val="14"/>
                <w:color w:val="auto"/>
              </w:rPr>
            </w:pPr>
          </w:p>
        </w:tc>
        <w:tc>
          <w:tcPr>
            <w:tcW w:w="94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127,350</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95,308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960" w:type="dxa"/>
            <w:vAlign w:val="bottom"/>
            <w:vMerge w:val="restart"/>
          </w:tcPr>
          <w:p>
            <w:pPr>
              <w:jc w:val="right"/>
              <w:ind w:right="2429"/>
              <w:spacing w:after="0"/>
              <w:rPr>
                <w:sz w:val="20"/>
                <w:szCs w:val="20"/>
                <w:color w:val="auto"/>
              </w:rPr>
            </w:pPr>
            <w:r>
              <w:rPr>
                <w:rFonts w:ascii="Arial" w:cs="Arial" w:eastAsia="Arial" w:hAnsi="Arial"/>
                <w:sz w:val="14"/>
                <w:szCs w:val="14"/>
                <w:color w:val="auto"/>
              </w:rPr>
              <w:t>31</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2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260" w:type="dxa"/>
            <w:vAlign w:val="bottom"/>
            <w:tcBorders>
              <w:bottom w:val="single" w:sz="8" w:color="9A9A9A"/>
            </w:tcBorders>
          </w:tcPr>
          <w:p>
            <w:pPr>
              <w:spacing w:after="0"/>
              <w:rPr>
                <w:sz w:val="6"/>
                <w:szCs w:val="6"/>
                <w:color w:val="auto"/>
              </w:rPr>
            </w:pPr>
          </w:p>
        </w:tc>
        <w:tc>
          <w:tcPr>
            <w:tcW w:w="396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0" w:firstLine="382"/>
        <w:spacing w:after="0" w:line="281" w:lineRule="auto"/>
        <w:rPr>
          <w:sz w:val="20"/>
          <w:szCs w:val="20"/>
          <w:color w:val="auto"/>
        </w:rPr>
      </w:pPr>
      <w:r>
        <w:rPr>
          <w:rFonts w:ascii="Arial" w:cs="Arial" w:eastAsia="Arial" w:hAnsi="Arial"/>
          <w:sz w:val="14"/>
          <w:szCs w:val="14"/>
          <w:color w:val="auto"/>
        </w:rPr>
        <w:t>SG&amp;A expenses for the six months ended June 30, 2022 were $72.3 million compared to $48.4 million in the six months ended June 30, 2021. The increase was primarily due to increased investment to support the commercial launch of ORLADEYO and the expansion of international operations.</w:t>
      </w:r>
    </w:p>
    <w:p>
      <w:pPr>
        <w:spacing w:after="0" w:line="111" w:lineRule="exact"/>
        <w:rPr>
          <w:sz w:val="20"/>
          <w:szCs w:val="20"/>
          <w:color w:val="auto"/>
        </w:rPr>
      </w:pPr>
    </w:p>
    <w:p>
      <w:pPr>
        <w:ind w:right="20" w:firstLine="382"/>
        <w:spacing w:after="0" w:line="288" w:lineRule="auto"/>
        <w:rPr>
          <w:sz w:val="20"/>
          <w:szCs w:val="20"/>
          <w:color w:val="auto"/>
        </w:rPr>
      </w:pPr>
      <w:r>
        <w:rPr>
          <w:rFonts w:ascii="Arial" w:cs="Arial" w:eastAsia="Arial" w:hAnsi="Arial"/>
          <w:sz w:val="13"/>
          <w:szCs w:val="13"/>
          <w:color w:val="auto"/>
        </w:rPr>
        <w:t>Interest expense for the six months ended June 30, 2022 was $47.9 million compared to $26.4 million for the six months ended June 30, 2021. The increase in interest expense was primarily associated with the sale of certain royalty payments under the 2021 RPI Royalty Purchase Agreement and the OMERS Royalty Purchase Agreement, which were entered into in November 2021. The nature of the royalty sales requires that we recognize the Royalty Financing Obligations for the future sale of royalties under these agreements. These liabilities are amortized using the effective interest rate method, resulting in the recognition of non-cash interest expense over the estimated term of the Royalty Purchase Agreements.</w:t>
      </w:r>
    </w:p>
    <w:p>
      <w:pPr>
        <w:spacing w:after="0" w:line="99"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Interest expense for the six months ended June 30, 2022 included $39.4 million of non-cash interest expense due to the amortization of interest associated with the Royalty Financing Obligations and $8.4 million of interest expense, net of deferred financing amortization, associated with the Term A Loan under the Credit Agreement. Interest expense for the six months ended June 30, 2021 included $15.6 million of non-cash interest expense due to the amortization of interest associated with the Royalty Financing Obligation under the 2020 RPI Royalty Purchase Agreement and $7.5 million of interest expense, net of deferred financing amortization, associated with the Term A Loan under the Credit Agreement. Additionally, we recognized $3.2 million in interest expense on the non-recourse PhaRMA Notes issued in March 2011, which were written-off in December 2021.</w:t>
      </w:r>
    </w:p>
    <w:p>
      <w:pPr>
        <w:spacing w:after="0" w:line="115" w:lineRule="exact"/>
        <w:rPr>
          <w:sz w:val="20"/>
          <w:szCs w:val="20"/>
          <w:color w:val="auto"/>
        </w:rPr>
      </w:pPr>
    </w:p>
    <w:p>
      <w:pPr>
        <w:ind w:right="200" w:firstLine="382"/>
        <w:spacing w:after="0" w:line="281" w:lineRule="auto"/>
        <w:rPr>
          <w:sz w:val="20"/>
          <w:szCs w:val="20"/>
          <w:color w:val="auto"/>
        </w:rPr>
      </w:pPr>
      <w:r>
        <w:rPr>
          <w:rFonts w:ascii="Arial" w:cs="Arial" w:eastAsia="Arial" w:hAnsi="Arial"/>
          <w:sz w:val="14"/>
          <w:szCs w:val="14"/>
          <w:color w:val="auto"/>
        </w:rPr>
        <w:t>For the six months ended June 30, 2022, other income of $0.6 million was comprised of interest income of $0.7 million, partially offset by net foreign currency losses of $0.1 million. Other expense for the six months ended June 30, 2021 was primarily related to net foreign currency losses of $0.1 million.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1"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Our operations have principally been funded through public offerings and private placements of equity securities; cash from collaborative and other research and development agreements, including U.S. Government contracts for RAPIVAB and galidesivir; to a lesser extent, the PhaRMA Notes financing; our credit facilities; and more recently, the Royalty Sales and revenues from ORLADEYO. To date, we have been awarded a BARDA/HHS RAPIVAB development contract totaling $234.8 million, which expired on June 30, 2014; a NIAID/HHS galidesivir development contract totaling $47.3 million, which is in the process of being closed out; a second NIAID/HHS galidesivir development contract with a potential value totaling $43.9 million, which is ongoing; and a BARDA/HHS galidesivir development contract with a potential value totaling $39.1 million, which is also ongoing. The total amount of funding obligated under awarded options under the active NIAID/HHS and BARDA/HHS galidesivir contracts is $53.6 million and $20.6 million, respectively. In addition to the above, we have previously received funding from other sources, including other collaborative and other research and development agreements, government grants, equipment lease financing, facility leases, research grants, and interest income on our investments.</w:t>
      </w:r>
    </w:p>
    <w:p>
      <w:pPr>
        <w:spacing w:after="0" w:line="105" w:lineRule="exact"/>
        <w:rPr>
          <w:sz w:val="20"/>
          <w:szCs w:val="20"/>
          <w:color w:val="auto"/>
        </w:rPr>
      </w:pPr>
    </w:p>
    <w:p>
      <w:pPr>
        <w:ind w:right="100" w:firstLine="382"/>
        <w:spacing w:after="0" w:line="297" w:lineRule="auto"/>
        <w:rPr>
          <w:sz w:val="20"/>
          <w:szCs w:val="20"/>
          <w:color w:val="auto"/>
        </w:rPr>
      </w:pPr>
      <w:r>
        <w:rPr>
          <w:rFonts w:ascii="Arial" w:cs="Arial" w:eastAsia="Arial" w:hAnsi="Arial"/>
          <w:sz w:val="13"/>
          <w:szCs w:val="13"/>
          <w:color w:val="auto"/>
        </w:rPr>
        <w:t>Our Credit Agreement with Athyrium provides for three term loans. We received the proceeds from the $125.0 million Term A Loan in December 2020. The Term B Loan and the Term C Loan were both funded in the respective principal amounts of $25.0 million and $50.0 million on July 29, 2022. The maturity date of the Credit Agreement is December 7, 2025. See “Note 7—Debt —Credit Agreement” in the Notes to Consolidated Financial Statements in Part I, Item 1 of this report for additional information about the Credit Agreement.</w:t>
      </w:r>
    </w:p>
    <w:p>
      <w:pPr>
        <w:spacing w:after="0" w:line="103"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As of June 30, 2022, we had net working capital of $399.5 million, a decrease of approximately $62.9 million from $462.4 million at December 31, 2021. The decrease in working capital was primarily due to normal operating expenses associated with the development of our product candidates and commercialization of ORLADEYO. Our principal sources of liquidity at June 30, 2022 were approximately $272.6 million in cash and cash equivalents and approximately $144.9 million in investments considered available-for-sale.</w:t>
      </w:r>
    </w:p>
    <w:p>
      <w:pPr>
        <w:spacing w:after="0" w:line="110" w:lineRule="exact"/>
        <w:rPr>
          <w:sz w:val="20"/>
          <w:szCs w:val="20"/>
          <w:color w:val="auto"/>
        </w:rPr>
      </w:pPr>
    </w:p>
    <w:p>
      <w:pPr>
        <w:ind w:right="40" w:firstLine="382"/>
        <w:spacing w:after="0" w:line="313" w:lineRule="auto"/>
        <w:rPr>
          <w:sz w:val="20"/>
          <w:szCs w:val="20"/>
          <w:color w:val="auto"/>
        </w:rPr>
      </w:pPr>
      <w:r>
        <w:rPr>
          <w:rFonts w:ascii="Arial" w:cs="Arial" w:eastAsia="Arial" w:hAnsi="Arial"/>
          <w:sz w:val="12"/>
          <w:szCs w:val="12"/>
          <w:color w:val="auto"/>
        </w:rPr>
        <w:t>We intend to contain costs and cash flow requirements by closely managing our third-party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to maintain liquidity sufficient to meet cash flow requirements. We place our excess cash with high credit quality financial</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institutions, commercial companies, and government agencies in order to limit the amount of our credit exposure. We have not realized any significant losses on our investments.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plan to finance our needs in both the short-term and long-term principally from the following:</w:t>
      </w:r>
    </w:p>
    <w:p>
      <w:pPr>
        <w:spacing w:after="0" w:line="147" w:lineRule="exact"/>
        <w:rPr>
          <w:sz w:val="20"/>
          <w:szCs w:val="20"/>
          <w:color w:val="auto"/>
        </w:rPr>
      </w:pPr>
    </w:p>
    <w:p>
      <w:pPr>
        <w:ind w:left="900" w:hanging="259"/>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lease, royalty, or loan financing and future public or private equity and/or debt financing;</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existing capital resources and interest earned on that capital;</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revenues from product sales;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payments under existing, and executing new, contracts with the U.S. Government; and</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payments under current or future collaborative and licensing agreements with corporate partners.</w:t>
      </w:r>
    </w:p>
    <w:p>
      <w:pPr>
        <w:spacing w:after="0" w:line="136"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As our commercialization activities and research and development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will increase our expenses. Our expenses, revenues and cash utilization rate could vary significantly depending on many factors, including our ability to raise additional capital, the development progress of our collaborative agreements for our product candidates, the amount and timing of funding we receive from existing U.S. Government contracts for galidesivir, the amount of funding or assistance, if any, we receive from new U.S. Government contracts or other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The impact of the ongoing COVID-19 pandemic on one or more of the foregoing factors could negatively affect our expenses, revenues, and cash utilization rate.</w:t>
      </w:r>
    </w:p>
    <w:p>
      <w:pPr>
        <w:spacing w:after="0" w:line="116" w:lineRule="exact"/>
        <w:rPr>
          <w:sz w:val="20"/>
          <w:szCs w:val="20"/>
          <w:color w:val="auto"/>
        </w:rPr>
      </w:pPr>
    </w:p>
    <w:p>
      <w:pPr>
        <w:ind w:right="20" w:firstLine="382"/>
        <w:spacing w:after="0" w:line="277" w:lineRule="auto"/>
        <w:rPr>
          <w:sz w:val="20"/>
          <w:szCs w:val="20"/>
          <w:color w:val="auto"/>
        </w:rPr>
      </w:pPr>
      <w:r>
        <w:rPr>
          <w:rFonts w:ascii="Arial" w:cs="Arial" w:eastAsia="Arial" w:hAnsi="Arial"/>
          <w:sz w:val="13"/>
          <w:szCs w:val="13"/>
          <w:color w:val="auto"/>
        </w:rPr>
        <w:t>Based on our expectations for revenue and operating expenses, we believe our financial resources will be sufficient to fund our operations for at least the next 12 months. However, we have sustained operating losses for the majority of our corporate history and expect that our 2022 expenses will exceed our 2022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regularly evaluate other opportunities to fund future operations, including: (1) securing or increasing U.S. Government funding of our programs, including obtaining procurement contracts; (2) out-licensing rights to certain of our products or product candidates, pursuant to which we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our overhead structure. We may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long-term capital requirements and the adequacy of our available funds in both the short-term and long-term will depend upon many factors, including:</w:t>
      </w:r>
    </w:p>
    <w:p>
      <w:pPr>
        <w:spacing w:after="0" w:line="147" w:lineRule="exact"/>
        <w:rPr>
          <w:sz w:val="20"/>
          <w:szCs w:val="20"/>
          <w:color w:val="auto"/>
        </w:rPr>
      </w:pPr>
    </w:p>
    <w:p>
      <w:pPr>
        <w:ind w:left="900" w:hanging="259"/>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market acceptance of approved products and successful commercialization of such products by either us or our partners;</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ability to perform under our government contracts and to receive reimbursement and stockpiling procurement contracts;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magnitude of work under our government contracts;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progress and magnitude of our research, drug discovery and development programs;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existing collaborative relationships or government contracts;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ability to establish additional collaborative relationships with academic institutions, biotechnology or pharmaceutical companies and governmental agencies or other third parties;</w:t>
      </w:r>
    </w:p>
    <w:p>
      <w:pPr>
        <w:spacing w:after="0" w:line="31" w:lineRule="exact"/>
        <w:rPr>
          <w:rFonts w:ascii="Arial" w:cs="Arial" w:eastAsia="Arial" w:hAnsi="Arial"/>
          <w:sz w:val="12"/>
          <w:szCs w:val="12"/>
          <w:color w:val="auto"/>
        </w:rPr>
      </w:pPr>
    </w:p>
    <w:p>
      <w:pPr>
        <w:ind w:left="900" w:right="600" w:hanging="259"/>
        <w:spacing w:after="0" w:line="253" w:lineRule="auto"/>
        <w:tabs>
          <w:tab w:leader="none" w:pos="8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extent to which our partners, including governmental agencies, will share in the costs associated with the development of our programs or run the development programs themselves;</w:t>
      </w:r>
    </w:p>
    <w:p>
      <w:pPr>
        <w:ind w:left="900" w:hanging="259"/>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ability to negotiate favorable development and marketing strategic alliances for certain products and product candidates;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900" w:hanging="259"/>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any decision to build or expand internal development and commercial capabilities;</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scope and results of preclinical studies and clinical trials to identify and develop product candidates;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engage sites and enroll subjects in our clinical trials;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scope of manufacturing of our products to support our commercial operations and of our product candidates to support our preclinical research and clinical trials;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increases in personnel and related costs to support the development and commercialization of our products and product candidates;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scope of manufacturing of our drug substance and product candidates required for future NDA filings;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competitive and technological advances;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time and costs involved in obtaining regulatory approvals;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post-approval commitments for ORLADEYO, RAPIVAB, and other products that receive regulatory approval; and</w:t>
      </w:r>
    </w:p>
    <w:p>
      <w:pPr>
        <w:spacing w:after="0" w:line="8" w:lineRule="exact"/>
        <w:rPr>
          <w:rFonts w:ascii="Arial" w:cs="Arial" w:eastAsia="Arial" w:hAnsi="Arial"/>
          <w:sz w:val="14"/>
          <w:szCs w:val="14"/>
          <w:color w:val="auto"/>
        </w:rPr>
      </w:pPr>
    </w:p>
    <w:p>
      <w:pPr>
        <w:ind w:left="900" w:right="200" w:hanging="259"/>
        <w:spacing w:after="0" w:line="266" w:lineRule="auto"/>
        <w:tabs>
          <w:tab w:leader="none" w:pos="89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costs involved in all aspects of intellectual property strategy and protection, including the costs involved in preparing, filing, prosecuting, maintaining, defending, and enforcing patent claims.</w:t>
      </w:r>
    </w:p>
    <w:p>
      <w:pPr>
        <w:spacing w:after="0" w:line="110" w:lineRule="exact"/>
        <w:rPr>
          <w:sz w:val="20"/>
          <w:szCs w:val="20"/>
          <w:color w:val="auto"/>
        </w:rPr>
      </w:pPr>
    </w:p>
    <w:p>
      <w:pPr>
        <w:ind w:firstLine="382"/>
        <w:spacing w:after="0" w:line="301" w:lineRule="auto"/>
        <w:rPr>
          <w:sz w:val="20"/>
          <w:szCs w:val="20"/>
          <w:color w:val="auto"/>
        </w:rPr>
      </w:pPr>
      <w:r>
        <w:rPr>
          <w:rFonts w:ascii="Arial" w:cs="Arial" w:eastAsia="Arial" w:hAnsi="Arial"/>
          <w:sz w:val="12"/>
          <w:szCs w:val="12"/>
          <w:color w:val="auto"/>
        </w:rPr>
        <w:t>We expect that we will be required to raise additional capital to complete the development and commercialization of our current products and product candidates, and we may seek to raise capital in the future, including to take advantage of favorable opportunities in the capital markets. Additional funding, whether through additional sales of equity or debt securities, collaborative or other arrangements with corporate partners or from other sources, including governmental agencies in general and existing government contracts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may require us to delay, scale back or eliminate certain of our research and development programs. Our future working capital requirements, including the need for additional working capital, will be largely determined by the advancement of our portfolio of product candidates and the commercialization of ORLADEYO, as well as the rate of reimbursement by U.S. Government agencies of our galidesivir expenses and any future decisions regarding the future of the RAPIVAB and galidesivir programs, including those relating to stockpiling procurement.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w:t>
      </w:r>
    </w:p>
    <w:p>
      <w:pPr>
        <w:spacing w:after="0" w:line="109" w:lineRule="exact"/>
        <w:rPr>
          <w:sz w:val="20"/>
          <w:szCs w:val="20"/>
          <w:color w:val="auto"/>
        </w:rPr>
      </w:pPr>
    </w:p>
    <w:p>
      <w:pPr>
        <w:ind w:right="40" w:firstLine="382"/>
        <w:spacing w:after="0" w:line="284" w:lineRule="auto"/>
        <w:rPr>
          <w:sz w:val="20"/>
          <w:szCs w:val="20"/>
          <w:color w:val="auto"/>
        </w:rPr>
      </w:pPr>
      <w:r>
        <w:rPr>
          <w:rFonts w:ascii="Arial" w:cs="Arial" w:eastAsia="Arial" w:hAnsi="Arial"/>
          <w:sz w:val="13"/>
          <w:szCs w:val="13"/>
          <w:color w:val="auto"/>
        </w:rPr>
        <w:t>The restrictive covenants contained in our Credit Agreement could cause us to be unable to pursue business opportunities that we or our stockholders may consider beneficial without the lender’s permission or without repaying all obligations outstanding under the Credit Agreement. These covenants limit our ability to, among other things, grant certain types of liens on our assets; make certain investments; incur or assume certain debt;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 A breach of any of these covenants could result in an event of default under the Credit Agreement. As of June 30, 2022, we were in compliance with the covenants under the Credit Agreement.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Outlook for 2022</w:t>
      </w:r>
    </w:p>
    <w:p>
      <w:pPr>
        <w:spacing w:after="0" w:line="140" w:lineRule="exact"/>
        <w:rPr>
          <w:sz w:val="20"/>
          <w:szCs w:val="20"/>
          <w:color w:val="auto"/>
        </w:rPr>
      </w:pPr>
    </w:p>
    <w:p>
      <w:pPr>
        <w:ind w:right="100" w:firstLine="382"/>
        <w:spacing w:after="0" w:line="249" w:lineRule="auto"/>
        <w:rPr>
          <w:sz w:val="20"/>
          <w:szCs w:val="20"/>
          <w:color w:val="auto"/>
        </w:rPr>
      </w:pPr>
      <w:r>
        <w:rPr>
          <w:rFonts w:ascii="Arial" w:cs="Arial" w:eastAsia="Arial" w:hAnsi="Arial"/>
          <w:sz w:val="14"/>
          <w:szCs w:val="14"/>
          <w:color w:val="auto"/>
        </w:rPr>
        <w:t>Based on the strength of the ORLADEYO launch through the first half of 2022, and the continued steady growth from new patient demand we expect for the remainder of the year, we expect full year 2022 net ORLADEYO revenue to be between $255 million and $265 million.</w:t>
      </w:r>
    </w:p>
    <w:p>
      <w:pPr>
        <w:spacing w:after="0" w:line="154" w:lineRule="exact"/>
        <w:rPr>
          <w:sz w:val="20"/>
          <w:szCs w:val="20"/>
          <w:color w:val="auto"/>
        </w:rPr>
      </w:pPr>
    </w:p>
    <w:p>
      <w:pPr>
        <w:ind w:right="40" w:firstLine="382"/>
        <w:spacing w:after="0" w:line="249" w:lineRule="auto"/>
        <w:rPr>
          <w:sz w:val="20"/>
          <w:szCs w:val="20"/>
          <w:color w:val="auto"/>
        </w:rPr>
      </w:pPr>
      <w:r>
        <w:rPr>
          <w:rFonts w:ascii="Arial" w:cs="Arial" w:eastAsia="Arial" w:hAnsi="Arial"/>
          <w:sz w:val="14"/>
          <w:szCs w:val="14"/>
          <w:color w:val="auto"/>
        </w:rPr>
        <w:t>Based on the reduced spending on the BCX9930 program in the first half of the year, and lower than projected spending on the program for the remainder of the year, we now expect operating expenses for full year 2022, not including non-cash stock compensation, to be between $390 million and $400 million.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51" w:lineRule="exact"/>
        <w:rPr>
          <w:sz w:val="20"/>
          <w:szCs w:val="20"/>
          <w:color w:val="auto"/>
        </w:rPr>
      </w:pPr>
    </w:p>
    <w:p>
      <w:pPr>
        <w:ind w:right="100" w:firstLine="382"/>
        <w:spacing w:after="0" w:line="281" w:lineRule="auto"/>
        <w:rPr>
          <w:sz w:val="20"/>
          <w:szCs w:val="20"/>
          <w:color w:val="auto"/>
        </w:rPr>
      </w:pPr>
      <w:r>
        <w:rPr>
          <w:rFonts w:ascii="Arial" w:cs="Arial" w:eastAsia="Arial" w:hAnsi="Arial"/>
          <w:sz w:val="14"/>
          <w:szCs w:val="14"/>
          <w:color w:val="auto"/>
        </w:rPr>
        <w:t>We have established various accounting policies that govern the application of U.S. GAAP, which were utilized in the preparation of our consolidated financial statements. Certain accounting policies involve significant judgments and</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25" w:lineRule="exact"/>
        <w:rPr>
          <w:sz w:val="20"/>
          <w:szCs w:val="20"/>
          <w:color w:val="auto"/>
        </w:rPr>
      </w:pPr>
    </w:p>
    <w:p>
      <w:pPr>
        <w:jc w:val="both"/>
        <w:ind w:right="20" w:firstLine="382"/>
        <w:spacing w:after="0" w:line="267" w:lineRule="auto"/>
        <w:rPr>
          <w:sz w:val="20"/>
          <w:szCs w:val="20"/>
          <w:color w:val="auto"/>
        </w:rPr>
      </w:pPr>
      <w:r>
        <w:rPr>
          <w:rFonts w:ascii="Arial" w:cs="Arial" w:eastAsia="Arial" w:hAnsi="Arial"/>
          <w:sz w:val="14"/>
          <w:szCs w:val="14"/>
          <w:color w:val="auto"/>
        </w:rPr>
        <w:t>While our significant accounting policies are more fully described in “Note 1—Significant Accounting Policies and Concentrations of Risk” in the Notes to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47"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25" w:lineRule="exact"/>
        <w:rPr>
          <w:sz w:val="20"/>
          <w:szCs w:val="20"/>
          <w:color w:val="auto"/>
        </w:rPr>
      </w:pPr>
    </w:p>
    <w:p>
      <w:pPr>
        <w:ind w:right="300" w:firstLine="382"/>
        <w:spacing w:after="0" w:line="321" w:lineRule="auto"/>
        <w:rPr>
          <w:sz w:val="20"/>
          <w:szCs w:val="20"/>
          <w:color w:val="auto"/>
        </w:rPr>
      </w:pPr>
      <w:r>
        <w:rPr>
          <w:rFonts w:ascii="Arial" w:cs="Arial" w:eastAsia="Arial" w:hAnsi="Arial"/>
          <w:sz w:val="13"/>
          <w:szCs w:val="13"/>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Sales, Net</w:t>
      </w:r>
    </w:p>
    <w:p>
      <w:pPr>
        <w:spacing w:after="0" w:line="147" w:lineRule="exact"/>
        <w:rPr>
          <w:sz w:val="20"/>
          <w:szCs w:val="20"/>
          <w:color w:val="auto"/>
        </w:rPr>
      </w:pPr>
    </w:p>
    <w:p>
      <w:pPr>
        <w:jc w:val="both"/>
        <w:ind w:right="20" w:firstLine="382"/>
        <w:spacing w:after="0" w:line="297" w:lineRule="auto"/>
        <w:rPr>
          <w:sz w:val="20"/>
          <w:szCs w:val="20"/>
          <w:color w:val="auto"/>
        </w:rPr>
      </w:pPr>
      <w:r>
        <w:rPr>
          <w:rFonts w:ascii="Arial" w:cs="Arial" w:eastAsia="Arial" w:hAnsi="Arial"/>
          <w:sz w:val="13"/>
          <w:szCs w:val="13"/>
          <w:color w:val="auto"/>
        </w:rPr>
        <w:t>Our principal sources of product sales are sales of ORLADEYO, which we began shipping to patients in December 2020, sales of peramivir to our licensing partners and sales of RAPIVAB to HHS under our procurement contract. In the United States, we ship ORLADEYO directly to patients through a single specialty pharmacy, which is considered our customer. In the European Union, United Kingdom and elsewhere, we sell ORLADEYO to specialty distributors as well as hospitals and pharmacies, which collectively are considered our customers.</w:t>
      </w:r>
    </w:p>
    <w:p>
      <w:pPr>
        <w:spacing w:after="0" w:line="103" w:lineRule="exact"/>
        <w:rPr>
          <w:sz w:val="20"/>
          <w:szCs w:val="20"/>
          <w:color w:val="auto"/>
        </w:rPr>
      </w:pPr>
    </w:p>
    <w:p>
      <w:pPr>
        <w:ind w:right="60" w:firstLine="382"/>
        <w:spacing w:after="0" w:line="368" w:lineRule="auto"/>
        <w:rPr>
          <w:sz w:val="20"/>
          <w:szCs w:val="20"/>
          <w:color w:val="auto"/>
        </w:rPr>
      </w:pPr>
      <w:r>
        <w:rPr>
          <w:rFonts w:ascii="Arial" w:cs="Arial" w:eastAsia="Arial" w:hAnsi="Arial"/>
          <w:sz w:val="12"/>
          <w:szCs w:val="12"/>
          <w:color w:val="auto"/>
        </w:rPr>
        <w:t>We recognize revenue for sales when our customers obtain control of the product, which generally occurs upon delivery. For ORLADEYO, we classify payments to our specialty pharmacy customer for certain services provided by our customer as selling, general and administrative expenses to the extent such services provided are determined to be distinct from the sale of our product.</w:t>
      </w:r>
    </w:p>
    <w:p>
      <w:pPr>
        <w:spacing w:after="0" w:line="54" w:lineRule="exact"/>
        <w:rPr>
          <w:sz w:val="20"/>
          <w:szCs w:val="20"/>
          <w:color w:val="auto"/>
        </w:rPr>
      </w:pPr>
    </w:p>
    <w:p>
      <w:pPr>
        <w:ind w:right="20" w:firstLine="382"/>
        <w:spacing w:after="0" w:line="280" w:lineRule="auto"/>
        <w:rPr>
          <w:sz w:val="20"/>
          <w:szCs w:val="20"/>
          <w:color w:val="auto"/>
        </w:rPr>
      </w:pPr>
      <w:r>
        <w:rPr>
          <w:rFonts w:ascii="Arial" w:cs="Arial" w:eastAsia="Arial" w:hAnsi="Arial"/>
          <w:sz w:val="13"/>
          <w:szCs w:val="13"/>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the Company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spacing w:after="0" w:line="105"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i w:val="1"/>
          <w:iCs w:val="1"/>
          <w:color w:val="auto"/>
        </w:rPr>
        <w:t>Government and Managed Care Rebates</w:t>
      </w:r>
      <w:r>
        <w:rPr>
          <w:rFonts w:ascii="Arial" w:cs="Arial" w:eastAsia="Arial" w:hAnsi="Arial"/>
          <w:sz w:val="14"/>
          <w:szCs w:val="14"/>
          <w:color w:val="auto"/>
        </w:rPr>
        <w:t>. We contract with government agencies and managed care organizations or, collectively, third-party payors, so that ORLADEYO will be eligible for</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by, or partial or full reimbursement from, such third-party payors. We estimate the rebates we will provide to third-party payors and deduct these estimated amounts from total gross product revenues at the time the revenues are recognized.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82"/>
        <w:spacing w:after="0" w:line="288" w:lineRule="auto"/>
        <w:rPr>
          <w:sz w:val="20"/>
          <w:szCs w:val="20"/>
          <w:color w:val="auto"/>
        </w:rPr>
      </w:pPr>
      <w:r>
        <w:rPr>
          <w:rFonts w:ascii="Arial" w:cs="Arial" w:eastAsia="Arial" w:hAnsi="Arial"/>
          <w:sz w:val="13"/>
          <w:szCs w:val="13"/>
          <w:i w:val="1"/>
          <w:iCs w:val="1"/>
          <w:color w:val="auto"/>
        </w:rPr>
        <w:t>Chargebacks</w:t>
      </w:r>
      <w:r>
        <w:rPr>
          <w:rFonts w:ascii="Arial" w:cs="Arial" w:eastAsia="Arial" w:hAnsi="Arial"/>
          <w:sz w:val="13"/>
          <w:szCs w:val="13"/>
          <w:color w:val="auto"/>
        </w:rPr>
        <w:t>. Chargebacks are discounts that occur when certain contracted customers, pharmacy benefit managers, insurance companies, and government programs purchase directly from our</w:t>
      </w:r>
      <w:r>
        <w:rPr>
          <w:rFonts w:ascii="Arial" w:cs="Arial" w:eastAsia="Arial" w:hAnsi="Arial"/>
          <w:sz w:val="13"/>
          <w:szCs w:val="13"/>
          <w:i w:val="1"/>
          <w:iCs w:val="1"/>
          <w:color w:val="auto"/>
        </w:rPr>
        <w:t xml:space="preserve"> </w:t>
      </w:r>
      <w:r>
        <w:rPr>
          <w:rFonts w:ascii="Arial" w:cs="Arial" w:eastAsia="Arial" w:hAnsi="Arial"/>
          <w:sz w:val="13"/>
          <w:szCs w:val="13"/>
          <w:color w:val="auto"/>
        </w:rPr>
        <w:t>specialty pharmacy. These customers purchase our products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 purchase price with us. We estimate chargebacks and adjust gross product revenues and accounts receivable based on the estimates at the time revenues are recognized.</w:t>
      </w:r>
    </w:p>
    <w:p>
      <w:pPr>
        <w:spacing w:after="0" w:line="110"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i w:val="1"/>
          <w:iCs w:val="1"/>
          <w:color w:val="auto"/>
        </w:rPr>
        <w:t>Co-payment assistance and patient assistance programs</w:t>
      </w:r>
      <w:r>
        <w:rPr>
          <w:rFonts w:ascii="Arial" w:cs="Arial" w:eastAsia="Arial" w:hAnsi="Arial"/>
          <w:sz w:val="14"/>
          <w:szCs w:val="14"/>
          <w:color w:val="auto"/>
        </w:rPr>
        <w:t>. Patients who have commercial insurance and meet certain eligibility requirements may receive co-payment assistance. Based upon the</w:t>
      </w:r>
      <w:r>
        <w:rPr>
          <w:rFonts w:ascii="Arial" w:cs="Arial" w:eastAsia="Arial" w:hAnsi="Arial"/>
          <w:sz w:val="14"/>
          <w:szCs w:val="14"/>
          <w:i w:val="1"/>
          <w:iCs w:val="1"/>
          <w:color w:val="auto"/>
        </w:rPr>
        <w:t xml:space="preserve"> </w:t>
      </w:r>
      <w:r>
        <w:rPr>
          <w:rFonts w:ascii="Arial" w:cs="Arial" w:eastAsia="Arial" w:hAnsi="Arial"/>
          <w:sz w:val="14"/>
          <w:szCs w:val="14"/>
          <w:color w:val="auto"/>
        </w:rPr>
        <w:t>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15"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i w:val="1"/>
          <w:iCs w:val="1"/>
          <w:color w:val="auto"/>
        </w:rPr>
        <w:t>Product returns</w:t>
      </w:r>
      <w:r>
        <w:rPr>
          <w:rFonts w:ascii="Arial" w:cs="Arial" w:eastAsia="Arial" w:hAnsi="Arial"/>
          <w:sz w:val="14"/>
          <w:szCs w:val="14"/>
          <w:color w:val="auto"/>
        </w:rPr>
        <w:t>. We do not provide contractual return rights to our customers, except in instances where the product is damaged or defective. Non-acceptance by the patient of shipped drug</w:t>
      </w:r>
      <w:r>
        <w:rPr>
          <w:rFonts w:ascii="Arial" w:cs="Arial" w:eastAsia="Arial" w:hAnsi="Arial"/>
          <w:sz w:val="14"/>
          <w:szCs w:val="14"/>
          <w:i w:val="1"/>
          <w:iCs w:val="1"/>
          <w:color w:val="auto"/>
        </w:rPr>
        <w:t xml:space="preserve"> </w:t>
      </w:r>
      <w:r>
        <w:rPr>
          <w:rFonts w:ascii="Arial" w:cs="Arial" w:eastAsia="Arial" w:hAnsi="Arial"/>
          <w:sz w:val="14"/>
          <w:szCs w:val="14"/>
          <w:color w:val="auto"/>
        </w:rPr>
        <w:t>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Collaborative and Other Research and Development Arrangements and Royalties</w:t>
      </w:r>
    </w:p>
    <w:p>
      <w:pPr>
        <w:spacing w:after="0" w:line="157"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We recognize revenue when we satisfy a performance obligation by transferring promised goods or services to a customer. Revenue is measured at the transaction price that is based on the amount of consideration that we expect to receive in exchange for transferring the promised goods or services to the customer. The transaction price includes estimates of variable consideration to the extent it is probable that a significant reversal of revenue recognized will not occur.</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have collaboration and license agreements with a number of third parties as well as research and development agreements with certain government entities.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primary sources of revenue from these collaborative and other research and development arrangements are license, service and royalty revenues.</w:t>
      </w:r>
    </w:p>
    <w:p>
      <w:pPr>
        <w:spacing w:after="0" w:line="157" w:lineRule="exact"/>
        <w:rPr>
          <w:sz w:val="20"/>
          <w:szCs w:val="20"/>
          <w:color w:val="auto"/>
        </w:rPr>
      </w:pPr>
    </w:p>
    <w:p>
      <w:pPr>
        <w:ind w:right="60" w:firstLine="382"/>
        <w:spacing w:after="0" w:line="281" w:lineRule="auto"/>
        <w:rPr>
          <w:sz w:val="20"/>
          <w:szCs w:val="20"/>
          <w:color w:val="auto"/>
        </w:rPr>
      </w:pPr>
      <w:r>
        <w:rPr>
          <w:rFonts w:ascii="Arial" w:cs="Arial" w:eastAsia="Arial" w:hAnsi="Arial"/>
          <w:sz w:val="14"/>
          <w:szCs w:val="14"/>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00" w:lineRule="exact"/>
        <w:rPr>
          <w:sz w:val="20"/>
          <w:szCs w:val="20"/>
          <w:color w:val="auto"/>
        </w:rPr>
      </w:pPr>
    </w:p>
    <w:p>
      <w:pPr>
        <w:ind w:right="40" w:firstLine="382"/>
        <w:spacing w:after="0" w:line="277" w:lineRule="auto"/>
        <w:rPr>
          <w:sz w:val="20"/>
          <w:szCs w:val="20"/>
          <w:color w:val="auto"/>
        </w:rPr>
      </w:pPr>
      <w:r>
        <w:rPr>
          <w:rFonts w:ascii="Arial" w:cs="Arial" w:eastAsia="Arial" w:hAnsi="Arial"/>
          <w:sz w:val="13"/>
          <w:szCs w:val="13"/>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spacing w:after="0" w:line="120" w:lineRule="exact"/>
        <w:rPr>
          <w:sz w:val="20"/>
          <w:szCs w:val="20"/>
          <w:color w:val="auto"/>
        </w:rPr>
      </w:pPr>
    </w:p>
    <w:p>
      <w:pPr>
        <w:ind w:right="220" w:firstLine="382"/>
        <w:spacing w:after="0" w:line="321" w:lineRule="auto"/>
        <w:rPr>
          <w:sz w:val="20"/>
          <w:szCs w:val="20"/>
          <w:color w:val="auto"/>
        </w:rPr>
      </w:pPr>
      <w:r>
        <w:rPr>
          <w:rFonts w:ascii="Arial" w:cs="Arial" w:eastAsia="Arial" w:hAnsi="Arial"/>
          <w:sz w:val="13"/>
          <w:szCs w:val="13"/>
          <w:color w:val="auto"/>
        </w:rPr>
        <w:t>Reimbursements received for direct out-of-pocket expenses related to research and development costs are recorded as revenue in the Consolidated Statements of Comprehensive Loss rather than as a reduction in expenses. Under our contracts with BARDA/HHS and NIAID/HHS, revenue is recognized as reimbursable direct and indirect costs are incurred.</w:t>
      </w:r>
    </w:p>
    <w:p>
      <w:pPr>
        <w:spacing w:after="0" w:line="78"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Inventory</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inventories primarily relate to ORLADEYO. Additionally, our inventory includes RAPIVAB and peramivir.</w:t>
      </w:r>
    </w:p>
    <w:p>
      <w:pPr>
        <w:spacing w:after="0" w:line="147"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includes all inventory costs prior to packaging and labeling, including raw material, active product ingredient, and drug product. Finished goods include packaged and labeled products.</w:t>
      </w:r>
    </w:p>
    <w:p>
      <w:pPr>
        <w:spacing w:after="0" w:line="110"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w:t>
      </w:r>
    </w:p>
    <w:p>
      <w:pPr>
        <w:spacing w:after="0" w:line="120" w:lineRule="exact"/>
        <w:rPr>
          <w:sz w:val="20"/>
          <w:szCs w:val="20"/>
          <w:color w:val="auto"/>
        </w:rPr>
      </w:pPr>
    </w:p>
    <w:p>
      <w:pPr>
        <w:ind w:firstLine="382"/>
        <w:spacing w:after="0" w:line="321" w:lineRule="auto"/>
        <w:rPr>
          <w:sz w:val="20"/>
          <w:szCs w:val="20"/>
          <w:color w:val="auto"/>
        </w:rPr>
      </w:pPr>
      <w:r>
        <w:rPr>
          <w:rFonts w:ascii="Arial" w:cs="Arial" w:eastAsia="Arial" w:hAnsi="Arial"/>
          <w:sz w:val="13"/>
          <w:szCs w:val="13"/>
          <w:color w:val="auto"/>
        </w:rPr>
        <w:t>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Accrued Expenses</w:t>
      </w:r>
    </w:p>
    <w:p>
      <w:pPr>
        <w:spacing w:after="0" w:line="147" w:lineRule="exact"/>
        <w:rPr>
          <w:sz w:val="20"/>
          <w:szCs w:val="20"/>
          <w:color w:val="auto"/>
        </w:rPr>
      </w:pPr>
    </w:p>
    <w:p>
      <w:pPr>
        <w:ind w:right="20" w:firstLine="382"/>
        <w:spacing w:after="0" w:line="279" w:lineRule="auto"/>
        <w:rPr>
          <w:sz w:val="20"/>
          <w:szCs w:val="20"/>
          <w:color w:val="auto"/>
        </w:rPr>
      </w:pPr>
      <w:r>
        <w:rPr>
          <w:rFonts w:ascii="Arial" w:cs="Arial" w:eastAsia="Arial" w:hAnsi="Arial"/>
          <w:sz w:val="13"/>
          <w:szCs w:val="13"/>
          <w:color w:val="auto"/>
        </w:rPr>
        <w:t>We enter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We record liabilities under these contractual commitments when we determine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spacing w:after="0" w:line="116" w:lineRule="exact"/>
        <w:rPr>
          <w:sz w:val="20"/>
          <w:szCs w:val="20"/>
          <w:color w:val="auto"/>
        </w:rPr>
      </w:pPr>
    </w:p>
    <w:p>
      <w:pPr>
        <w:ind w:firstLine="382"/>
        <w:spacing w:after="0" w:line="284" w:lineRule="auto"/>
        <w:rPr>
          <w:sz w:val="20"/>
          <w:szCs w:val="20"/>
          <w:color w:val="auto"/>
        </w:rPr>
      </w:pPr>
      <w:r>
        <w:rPr>
          <w:rFonts w:ascii="Arial" w:cs="Arial" w:eastAsia="Arial" w:hAnsi="Arial"/>
          <w:sz w:val="13"/>
          <w:szCs w:val="13"/>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Balances</w:t>
      </w:r>
    </w:p>
    <w:p>
      <w:pPr>
        <w:spacing w:after="0" w:line="157" w:lineRule="exact"/>
        <w:rPr>
          <w:sz w:val="20"/>
          <w:szCs w:val="20"/>
          <w:color w:val="auto"/>
        </w:rPr>
      </w:pPr>
    </w:p>
    <w:p>
      <w:pPr>
        <w:ind w:right="440" w:firstLine="382"/>
        <w:spacing w:after="0" w:line="281" w:lineRule="auto"/>
        <w:rPr>
          <w:sz w:val="20"/>
          <w:szCs w:val="20"/>
          <w:color w:val="auto"/>
        </w:rPr>
      </w:pPr>
      <w:r>
        <w:rPr>
          <w:rFonts w:ascii="Arial" w:cs="Arial" w:eastAsia="Arial" w:hAnsi="Arial"/>
          <w:sz w:val="14"/>
          <w:szCs w:val="14"/>
          <w:color w:val="auto"/>
        </w:rPr>
        <w:t>The timing of revenue recognition, billings and cash collections results in billed accounts receivable, unbilled receivables (contract assets) and deferred revenue and billings in excess of revenue recognized (contract liabilities) on the Consolidated Balance Sheets.</w:t>
      </w:r>
    </w:p>
    <w:p>
      <w:pPr>
        <w:spacing w:after="0" w:line="100" w:lineRule="exact"/>
        <w:rPr>
          <w:sz w:val="20"/>
          <w:szCs w:val="20"/>
          <w:color w:val="auto"/>
        </w:rPr>
      </w:pPr>
    </w:p>
    <w:p>
      <w:pPr>
        <w:ind w:right="120" w:firstLine="382"/>
        <w:spacing w:after="0" w:line="267" w:lineRule="auto"/>
        <w:rPr>
          <w:sz w:val="20"/>
          <w:szCs w:val="20"/>
          <w:color w:val="auto"/>
        </w:rPr>
      </w:pPr>
      <w:r>
        <w:rPr>
          <w:rFonts w:ascii="Arial" w:cs="Arial" w:eastAsia="Arial" w:hAnsi="Arial"/>
          <w:sz w:val="14"/>
          <w:szCs w:val="14"/>
          <w:i w:val="1"/>
          <w:iCs w:val="1"/>
          <w:color w:val="auto"/>
        </w:rPr>
        <w:t>Contract assets</w:t>
      </w:r>
      <w:r>
        <w:rPr>
          <w:rFonts w:ascii="Arial" w:cs="Arial" w:eastAsia="Arial" w:hAnsi="Arial"/>
          <w:sz w:val="14"/>
          <w:szCs w:val="14"/>
          <w:color w:val="auto"/>
        </w:rPr>
        <w:t>. Our long-term contracts are billed as work progresses in accordance with the contract terms and conditions, either at periodic intervals or upon achievement of certain</w:t>
      </w:r>
      <w:r>
        <w:rPr>
          <w:rFonts w:ascii="Arial" w:cs="Arial" w:eastAsia="Arial" w:hAnsi="Arial"/>
          <w:sz w:val="14"/>
          <w:szCs w:val="14"/>
          <w:i w:val="1"/>
          <w:iCs w:val="1"/>
          <w:color w:val="auto"/>
        </w:rPr>
        <w:t xml:space="preserve"> </w:t>
      </w:r>
      <w:r>
        <w:rPr>
          <w:rFonts w:ascii="Arial" w:cs="Arial" w:eastAsia="Arial" w:hAnsi="Arial"/>
          <w:sz w:val="14"/>
          <w:szCs w:val="14"/>
          <w:color w:val="auto"/>
        </w:rPr>
        <w:t>milestones. Often this results in billing occurring subsequent to revenue recognition, resulting in contract assets. Contract assets are generally classified as current assets in the Consolidated Balance Sheets.</w:t>
      </w:r>
    </w:p>
    <w:p>
      <w:pPr>
        <w:spacing w:after="0" w:line="110"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i w:val="1"/>
          <w:iCs w:val="1"/>
          <w:color w:val="auto"/>
        </w:rPr>
        <w:t>Contract liabilities</w:t>
      </w:r>
      <w:r>
        <w:rPr>
          <w:rFonts w:ascii="Arial" w:cs="Arial" w:eastAsia="Arial" w:hAnsi="Arial"/>
          <w:sz w:val="14"/>
          <w:szCs w:val="14"/>
          <w:color w:val="auto"/>
        </w:rPr>
        <w:t>. We often receive cash payments from customers in advance of our performance, resulting in contract liabilities. These contract liabilities are classified as either current or</w:t>
      </w:r>
      <w:r>
        <w:rPr>
          <w:rFonts w:ascii="Arial" w:cs="Arial" w:eastAsia="Arial" w:hAnsi="Arial"/>
          <w:sz w:val="14"/>
          <w:szCs w:val="14"/>
          <w:i w:val="1"/>
          <w:iCs w:val="1"/>
          <w:color w:val="auto"/>
        </w:rPr>
        <w:t xml:space="preserve"> </w:t>
      </w:r>
      <w:r>
        <w:rPr>
          <w:rFonts w:ascii="Arial" w:cs="Arial" w:eastAsia="Arial" w:hAnsi="Arial"/>
          <w:sz w:val="14"/>
          <w:szCs w:val="14"/>
          <w:color w:val="auto"/>
        </w:rPr>
        <w:t>long-term in the Consolidated Balance Sheets based on the timing of when we expect to recognize the revenue.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Costs</w:t>
      </w:r>
    </w:p>
    <w:p>
      <w:pPr>
        <w:spacing w:after="0" w:line="147" w:lineRule="exact"/>
        <w:rPr>
          <w:sz w:val="20"/>
          <w:szCs w:val="20"/>
          <w:color w:val="auto"/>
        </w:rPr>
      </w:pPr>
    </w:p>
    <w:p>
      <w:pPr>
        <w:ind w:right="260" w:firstLine="382"/>
        <w:spacing w:after="0" w:line="281" w:lineRule="auto"/>
        <w:rPr>
          <w:sz w:val="20"/>
          <w:szCs w:val="20"/>
          <w:color w:val="auto"/>
        </w:rPr>
      </w:pPr>
      <w:r>
        <w:rPr>
          <w:rFonts w:ascii="Arial" w:cs="Arial" w:eastAsia="Arial" w:hAnsi="Arial"/>
          <w:sz w:val="14"/>
          <w:szCs w:val="14"/>
          <w:color w:val="auto"/>
        </w:rPr>
        <w:t>We may incur direct and indirect costs associated with obtaining a contract. Incremental contract costs that we expect to recover are capitalized and amortized over the expected term of the contract. Non-incremental contract costs and costs that we expect to recover are expensed as incurred.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57" w:lineRule="exact"/>
        <w:rPr>
          <w:sz w:val="20"/>
          <w:szCs w:val="20"/>
          <w:color w:val="auto"/>
        </w:rPr>
      </w:pPr>
    </w:p>
    <w:p>
      <w:pPr>
        <w:ind w:right="20" w:firstLine="382"/>
        <w:spacing w:after="0" w:line="313" w:lineRule="auto"/>
        <w:rPr>
          <w:sz w:val="20"/>
          <w:szCs w:val="20"/>
          <w:color w:val="auto"/>
        </w:rPr>
      </w:pPr>
      <w:r>
        <w:rPr>
          <w:rFonts w:ascii="Arial" w:cs="Arial" w:eastAsia="Arial" w:hAnsi="Arial"/>
          <w:sz w:val="12"/>
          <w:szCs w:val="12"/>
          <w:color w:val="auto"/>
        </w:rPr>
        <w:t>Our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spacing w:after="0" w:line="87" w:lineRule="exact"/>
        <w:rPr>
          <w:sz w:val="20"/>
          <w:szCs w:val="20"/>
          <w:color w:val="auto"/>
        </w:rPr>
      </w:pPr>
    </w:p>
    <w:p>
      <w:pPr>
        <w:ind w:right="140" w:firstLine="382"/>
        <w:spacing w:after="0" w:line="297" w:lineRule="auto"/>
        <w:rPr>
          <w:sz w:val="20"/>
          <w:szCs w:val="20"/>
          <w:color w:val="auto"/>
        </w:rPr>
      </w:pPr>
      <w:r>
        <w:rPr>
          <w:rFonts w:ascii="Arial" w:cs="Arial" w:eastAsia="Arial" w:hAnsi="Arial"/>
          <w:sz w:val="13"/>
          <w:szCs w:val="13"/>
          <w:color w:val="auto"/>
        </w:rPr>
        <w:t>Additionally, we have license agreements with third parties, such as Albert Einstein College of Medicine of Yeshiva University (“AECOM”), Industrial Research, Ltd. (“IRL”), and the University of Alabama (“UAB”),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spacing w:after="0" w:line="92" w:lineRule="exact"/>
        <w:rPr>
          <w:sz w:val="20"/>
          <w:szCs w:val="20"/>
          <w:color w:val="auto"/>
        </w:rPr>
      </w:pPr>
    </w:p>
    <w:p>
      <w:pPr>
        <w:ind w:right="140" w:firstLine="382"/>
        <w:spacing w:after="0" w:line="331" w:lineRule="auto"/>
        <w:rPr>
          <w:sz w:val="20"/>
          <w:szCs w:val="20"/>
          <w:color w:val="auto"/>
        </w:rPr>
      </w:pPr>
      <w:r>
        <w:rPr>
          <w:rFonts w:ascii="Arial" w:cs="Arial" w:eastAsia="Arial" w:hAnsi="Arial"/>
          <w:sz w:val="12"/>
          <w:szCs w:val="12"/>
          <w:color w:val="auto"/>
        </w:rPr>
        <w:t>Deferred collaboration expenses represent sub-license payments paid to our academic partners upon receipt of consideration from various commercial partners, and other consideration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spacing w:after="0" w:line="87" w:lineRule="exact"/>
        <w:rPr>
          <w:sz w:val="20"/>
          <w:szCs w:val="20"/>
          <w:color w:val="auto"/>
        </w:rPr>
      </w:pPr>
    </w:p>
    <w:p>
      <w:pPr>
        <w:ind w:firstLine="382"/>
        <w:spacing w:after="0" w:line="288" w:lineRule="auto"/>
        <w:rPr>
          <w:sz w:val="20"/>
          <w:szCs w:val="20"/>
          <w:color w:val="auto"/>
        </w:rPr>
      </w:pPr>
      <w:r>
        <w:rPr>
          <w:rFonts w:ascii="Arial" w:cs="Arial" w:eastAsia="Arial" w:hAnsi="Arial"/>
          <w:sz w:val="13"/>
          <w:szCs w:val="13"/>
          <w:color w:val="auto"/>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7"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utilize the Black-Scholes option-pricing model to value our stock option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for which no compensation expense is recognized until “performance” has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 and Royalty Financing Obligations</w:t>
      </w:r>
    </w:p>
    <w:p>
      <w:pPr>
        <w:spacing w:after="0" w:line="147" w:lineRule="exact"/>
        <w:rPr>
          <w:sz w:val="20"/>
          <w:szCs w:val="20"/>
          <w:color w:val="auto"/>
        </w:rPr>
      </w:pPr>
    </w:p>
    <w:p>
      <w:pPr>
        <w:ind w:right="40" w:firstLine="382"/>
        <w:spacing w:after="0" w:line="257" w:lineRule="auto"/>
        <w:rPr>
          <w:sz w:val="20"/>
          <w:szCs w:val="20"/>
          <w:color w:val="auto"/>
        </w:rPr>
      </w:pPr>
      <w:r>
        <w:rPr>
          <w:rFonts w:ascii="Arial" w:cs="Arial" w:eastAsia="Arial" w:hAnsi="Arial"/>
          <w:sz w:val="14"/>
          <w:szCs w:val="14"/>
          <w:color w:val="auto"/>
        </w:rPr>
        <w:t>The royalty financing obligations are eligible to be repaid based on royalties from net sales of ORLADEYO, BCX9930, and another earlier stage Factor D inhibitor.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w:t>
      </w:r>
    </w:p>
    <w:p>
      <w:pPr>
        <w:spacing w:after="0" w:line="157"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114" w:lineRule="exact"/>
        <w:rPr>
          <w:sz w:val="20"/>
          <w:szCs w:val="20"/>
          <w:color w:val="auto"/>
        </w:rPr>
      </w:pPr>
    </w:p>
    <w:p>
      <w:pPr>
        <w:ind w:right="260" w:firstLine="382"/>
        <w:spacing w:after="0" w:line="281" w:lineRule="auto"/>
        <w:rPr>
          <w:sz w:val="20"/>
          <w:szCs w:val="20"/>
          <w:color w:val="auto"/>
        </w:rPr>
      </w:pPr>
      <w:r>
        <w:rPr>
          <w:rFonts w:ascii="Arial" w:cs="Arial" w:eastAsia="Arial" w:hAnsi="Arial"/>
          <w:sz w:val="14"/>
          <w:szCs w:val="14"/>
          <w:color w:val="auto"/>
        </w:rPr>
        <w:t>Beginning in fiscal year 2021, we began accruing U.S. state income taxes and foreign income taxes as a result of increased sales of ORLADEYO and increased nexus in multiple states and foreign jurisdictions where historically we had no presence.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61" w:lineRule="exact"/>
        <w:rPr>
          <w:sz w:val="20"/>
          <w:szCs w:val="20"/>
          <w:color w:val="auto"/>
        </w:rPr>
      </w:pPr>
    </w:p>
    <w:p>
      <w:pPr>
        <w:ind w:right="580" w:firstLine="382"/>
        <w:spacing w:after="0" w:line="281" w:lineRule="auto"/>
        <w:rPr>
          <w:sz w:val="20"/>
          <w:szCs w:val="20"/>
          <w:color w:val="auto"/>
        </w:rPr>
      </w:pPr>
      <w:r>
        <w:rPr>
          <w:rFonts w:ascii="Arial" w:cs="Arial" w:eastAsia="Arial" w:hAnsi="Arial"/>
          <w:sz w:val="14"/>
          <w:szCs w:val="14"/>
          <w:color w:val="auto"/>
        </w:rPr>
        <w:t>“Note 1—Significant Accounting Policies and Concentrations of Risk” in the Notes to Consolidated Financial Statements included in Part I, Item 1 of this report discusses accounting pronouncements recently issued or proposed but not yet required to be adopted.</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161"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We are subject to interest rate risk on our investment portfolio and borrowings under our Credit Agreement. The Term Loans under the Credit Agreement bears interest each quarter at a rate equal to the three-month LIBOR rate, which is capped to be no less than 1.75% and no more than 3.50% (“LIBOR”), plus 8.25% or, for each quarterly interest period in which a PIK Interest Payment is made, LIBOR plus 10.25%. Accordingly, increases in interest rates could increase the associated interest payments that we are required to make on the Term Loans. As of June 30, 2022, interest was accrued at 12.17% on the $125.0 million Term A Loan under the Credit Agreement.</w:t>
      </w:r>
    </w:p>
    <w:p>
      <w:pPr>
        <w:spacing w:after="0" w:line="114" w:lineRule="exact"/>
        <w:rPr>
          <w:sz w:val="20"/>
          <w:szCs w:val="20"/>
          <w:color w:val="auto"/>
        </w:rPr>
      </w:pPr>
    </w:p>
    <w:p>
      <w:pPr>
        <w:ind w:right="460" w:firstLine="382"/>
        <w:spacing w:after="0" w:line="281" w:lineRule="auto"/>
        <w:rPr>
          <w:sz w:val="20"/>
          <w:szCs w:val="20"/>
          <w:color w:val="auto"/>
        </w:rPr>
      </w:pPr>
      <w:r>
        <w:rPr>
          <w:rFonts w:ascii="Arial" w:cs="Arial" w:eastAsia="Arial" w:hAnsi="Arial"/>
          <w:sz w:val="14"/>
          <w:szCs w:val="14"/>
          <w:color w:val="auto"/>
        </w:rPr>
        <w:t>The three-month LIBOR was 2.3125% as of June 28, 2022, the LIBOR measurement date for the three-month interest period beginning July 1, 2022. Accordingly, this LIBOR rate plus 10.25% will be used to record interest expense for the three-month interest period beginning July 1, 2022.</w:t>
      </w:r>
    </w:p>
    <w:p>
      <w:pPr>
        <w:spacing w:after="0" w:line="100"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0"/>
        <w:spacing w:after="0" w:line="368" w:lineRule="auto"/>
        <w:rPr>
          <w:sz w:val="20"/>
          <w:szCs w:val="20"/>
          <w:color w:val="auto"/>
        </w:rPr>
      </w:pPr>
      <w:r>
        <w:rPr>
          <w:rFonts w:ascii="Arial" w:cs="Arial" w:eastAsia="Arial" w:hAnsi="Arial"/>
          <w:sz w:val="12"/>
          <w:szCs w:val="12"/>
          <w:color w:val="auto"/>
        </w:rPr>
        <w:t>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65" w:lineRule="exact"/>
        <w:rPr>
          <w:sz w:val="20"/>
          <w:szCs w:val="20"/>
          <w:color w:val="auto"/>
        </w:rPr>
      </w:pPr>
    </w:p>
    <w:p>
      <w:pPr>
        <w:ind w:firstLine="382"/>
        <w:spacing w:after="0" w:line="278" w:lineRule="auto"/>
        <w:rPr>
          <w:sz w:val="20"/>
          <w:szCs w:val="20"/>
          <w:color w:val="auto"/>
        </w:rPr>
      </w:pPr>
      <w:r>
        <w:rPr>
          <w:rFonts w:ascii="Arial" w:cs="Arial" w:eastAsia="Arial" w:hAnsi="Arial"/>
          <w:sz w:val="13"/>
          <w:szCs w:val="13"/>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07" w:lineRule="exact"/>
        <w:rPr>
          <w:sz w:val="20"/>
          <w:szCs w:val="20"/>
          <w:color w:val="auto"/>
        </w:rPr>
      </w:pPr>
    </w:p>
    <w:p>
      <w:pPr>
        <w:ind w:right="20" w:firstLine="382"/>
        <w:spacing w:after="0" w:line="281" w:lineRule="auto"/>
        <w:rPr>
          <w:sz w:val="20"/>
          <w:szCs w:val="20"/>
          <w:color w:val="auto"/>
        </w:rPr>
      </w:pPr>
      <w:r>
        <w:rPr>
          <w:rFonts w:ascii="Arial" w:cs="Arial" w:eastAsia="Arial" w:hAnsi="Arial"/>
          <w:sz w:val="14"/>
          <w:szCs w:val="14"/>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Risk</w:t>
      </w:r>
    </w:p>
    <w:p>
      <w:pPr>
        <w:spacing w:after="0" w:line="161" w:lineRule="exact"/>
        <w:rPr>
          <w:sz w:val="20"/>
          <w:szCs w:val="20"/>
          <w:color w:val="auto"/>
        </w:rPr>
      </w:pPr>
    </w:p>
    <w:p>
      <w:pPr>
        <w:ind w:right="40" w:firstLine="382"/>
        <w:spacing w:after="0" w:line="284" w:lineRule="auto"/>
        <w:rPr>
          <w:sz w:val="20"/>
          <w:szCs w:val="20"/>
          <w:color w:val="auto"/>
        </w:rPr>
      </w:pPr>
      <w:r>
        <w:rPr>
          <w:rFonts w:ascii="Arial" w:cs="Arial" w:eastAsia="Arial" w:hAnsi="Arial"/>
          <w:sz w:val="13"/>
          <w:szCs w:val="13"/>
          <w:color w:val="auto"/>
        </w:rPr>
        <w:t>Most of our revenues and expenses are denominated in U.S. dollars, and as a result, we have not experienced significant foreign currency transaction gains and losses to date. Our commercial sales in Europe are primarily denominated in Euros and the British Pound. We also had other transactions denominated in foreign currencies during the six months ended June 30, 2022, primarily related to operations in Europe, contract manufacturing and ex-U.S. clinical trial activities, and we expect to continue to do so. Our royalties from Torii are derived from Torii’s sales of ORLADEYO in Japan. Those sales are denominated in Japanese yen and converted into U.S. dollars for purposes of determining the royalty owed to us. Our limited foreign currency exposure relative to our European operations is to fluctuations in the Euro, British Pound, Swiss Franc, Danish Krone, and Swedish Krona.</w:t>
      </w:r>
    </w:p>
    <w:p>
      <w:pPr>
        <w:spacing w:after="0" w:line="102" w:lineRule="exact"/>
        <w:rPr>
          <w:sz w:val="20"/>
          <w:szCs w:val="20"/>
          <w:color w:val="auto"/>
        </w:rPr>
      </w:pPr>
    </w:p>
    <w:p>
      <w:pPr>
        <w:ind w:right="160" w:firstLine="382"/>
        <w:spacing w:after="0" w:line="368" w:lineRule="auto"/>
        <w:rPr>
          <w:sz w:val="20"/>
          <w:szCs w:val="20"/>
          <w:color w:val="auto"/>
        </w:rPr>
      </w:pPr>
      <w:r>
        <w:rPr>
          <w:rFonts w:ascii="Arial" w:cs="Arial" w:eastAsia="Arial" w:hAnsi="Arial"/>
          <w:sz w:val="12"/>
          <w:szCs w:val="12"/>
          <w:color w:val="auto"/>
        </w:rPr>
        <w:t>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the six months ended June 30, 2022; however, we may do so in the future.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 Risk</w:t>
      </w:r>
    </w:p>
    <w:p>
      <w:pPr>
        <w:spacing w:after="0" w:line="161" w:lineRule="exact"/>
        <w:rPr>
          <w:sz w:val="20"/>
          <w:szCs w:val="20"/>
          <w:color w:val="auto"/>
        </w:rPr>
      </w:pPr>
    </w:p>
    <w:p>
      <w:pPr>
        <w:ind w:firstLine="382"/>
        <w:spacing w:after="0" w:line="267" w:lineRule="auto"/>
        <w:rPr>
          <w:sz w:val="20"/>
          <w:szCs w:val="20"/>
          <w:color w:val="auto"/>
        </w:rPr>
      </w:pPr>
      <w:r>
        <w:rPr>
          <w:rFonts w:ascii="Arial" w:cs="Arial" w:eastAsia="Arial" w:hAnsi="Arial"/>
          <w:sz w:val="14"/>
          <w:szCs w:val="14"/>
          <w:color w:val="auto"/>
        </w:rPr>
        <w:t>Inflation generally impacts us by potentially increasing our operating expenses, including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pacing w:after="0" w:line="10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51" w:lineRule="exact"/>
        <w:rPr>
          <w:sz w:val="20"/>
          <w:szCs w:val="20"/>
          <w:color w:val="auto"/>
        </w:rPr>
      </w:pPr>
    </w:p>
    <w:p>
      <w:pPr>
        <w:ind w:right="20" w:firstLine="382"/>
        <w:spacing w:after="0" w:line="282" w:lineRule="auto"/>
        <w:rPr>
          <w:sz w:val="20"/>
          <w:szCs w:val="20"/>
          <w:color w:val="auto"/>
        </w:rPr>
      </w:pPr>
      <w:r>
        <w:rPr>
          <w:rFonts w:ascii="Arial" w:cs="Arial" w:eastAsia="Arial" w:hAnsi="Arial"/>
          <w:sz w:val="13"/>
          <w:szCs w:val="13"/>
          <w:color w:val="auto"/>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June 30, 2022,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such reports is accumulated and communicated to the Company’s management, including the Chief Executive Officer and Chief Financial Officer of the Company, as appropriate to allow timely decisions regarding required disclosure.</w:t>
      </w:r>
    </w:p>
    <w:p>
      <w:pPr>
        <w:spacing w:after="0" w:line="111"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00" w:top="129" w:right="6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 OTHER INFORMATION</w:t>
      </w:r>
    </w:p>
    <w:p>
      <w:pPr>
        <w:spacing w:after="0" w:line="157"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3"/>
          <w:szCs w:val="13"/>
          <w:b w:val="1"/>
          <w:bCs w:val="1"/>
          <w:i w:val="1"/>
          <w:iCs w:val="1"/>
          <w:color w:val="auto"/>
        </w:rPr>
        <w:t>RISK FACTORS</w:t>
      </w:r>
    </w:p>
    <w:p>
      <w:pPr>
        <w:spacing w:after="0" w:line="151" w:lineRule="exact"/>
        <w:rPr>
          <w:sz w:val="20"/>
          <w:szCs w:val="20"/>
          <w:color w:val="auto"/>
        </w:rPr>
      </w:pPr>
    </w:p>
    <w:p>
      <w:pPr>
        <w:ind w:right="300" w:firstLine="382"/>
        <w:spacing w:after="0" w:line="321" w:lineRule="auto"/>
        <w:rPr>
          <w:sz w:val="20"/>
          <w:szCs w:val="20"/>
          <w:color w:val="auto"/>
        </w:rPr>
      </w:pPr>
      <w:r>
        <w:rPr>
          <w:rFonts w:ascii="Arial" w:cs="Arial" w:eastAsia="Arial" w:hAnsi="Arial"/>
          <w:sz w:val="13"/>
          <w:szCs w:val="13"/>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Relating to COVID-19</w:t>
      </w:r>
    </w:p>
    <w:p>
      <w:pPr>
        <w:spacing w:after="0" w:line="147"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b w:val="1"/>
          <w:bCs w:val="1"/>
          <w:i w:val="1"/>
          <w:iCs w:val="1"/>
          <w:color w:val="auto"/>
        </w:rPr>
        <w:t>Our business, operations, clinical development or commercialization plans and timelines, and access to capital could be adversely affected by the effects of the ongoing COVID-19 pandemic on us or on third parties with whom we conduct business, including without limitation our development partners, manufacturers, CROs, and others, as well as on the regulatory and government agencies with whom we work.</w:t>
      </w:r>
    </w:p>
    <w:p>
      <w:pPr>
        <w:spacing w:after="0" w:line="110" w:lineRule="exact"/>
        <w:rPr>
          <w:sz w:val="20"/>
          <w:szCs w:val="20"/>
          <w:color w:val="auto"/>
        </w:rPr>
      </w:pPr>
    </w:p>
    <w:p>
      <w:pPr>
        <w:ind w:right="240" w:firstLine="382"/>
        <w:spacing w:after="0" w:line="284" w:lineRule="auto"/>
        <w:rPr>
          <w:sz w:val="20"/>
          <w:szCs w:val="20"/>
          <w:color w:val="auto"/>
        </w:rPr>
      </w:pPr>
      <w:r>
        <w:rPr>
          <w:rFonts w:ascii="Arial" w:cs="Arial" w:eastAsia="Arial" w:hAnsi="Arial"/>
          <w:sz w:val="13"/>
          <w:szCs w:val="13"/>
          <w:color w:val="auto"/>
        </w:rPr>
        <w:t>The global COVID-19 pandemic continues to affect the United States and global economies, and could cause disruptions to our business, operations, and clinical development or commercialization plans and timelines, as well as the business and operations of third parties with whom we conduct business. For example, government orders and evolving business policies and procedures have impacted and may continue to impact, among other things: (1) our personnel and those of third parties on whom we rely, including our development partners (such as Torii), manufacturers, CROs, and others; (2) the conduct of our current and future clinical trials and commercial interactions; and (3) the operations of the FDA, EMA, Japanese Pharmaceuticals and Medical Devices Agency (“PMDA”), and other health and governmental authorities, which could result in delays of reviews and approvals.</w:t>
      </w:r>
    </w:p>
    <w:p>
      <w:pPr>
        <w:spacing w:after="0" w:line="113" w:lineRule="exact"/>
        <w:rPr>
          <w:sz w:val="20"/>
          <w:szCs w:val="20"/>
          <w:color w:val="auto"/>
        </w:rPr>
      </w:pPr>
    </w:p>
    <w:p>
      <w:pPr>
        <w:ind w:firstLine="382"/>
        <w:spacing w:after="0" w:line="309" w:lineRule="auto"/>
        <w:rPr>
          <w:sz w:val="20"/>
          <w:szCs w:val="20"/>
          <w:color w:val="auto"/>
        </w:rPr>
      </w:pPr>
      <w:r>
        <w:rPr>
          <w:rFonts w:ascii="Arial" w:cs="Arial" w:eastAsia="Arial" w:hAnsi="Arial"/>
          <w:sz w:val="12"/>
          <w:szCs w:val="12"/>
          <w:color w:val="auto"/>
        </w:rPr>
        <w:t>If our operations or those of third parties with whom we conduct business are impaired or curtailed as a result of these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as a result of the COVID-19 pandemic or other health epidemics.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Although we carefully manage our relationships with our suppliers and vendors, there can be no assurance that we will not encounter challenges or delays in the future or that these delays or challenges will not have an adverse impact on our business, financial condition and prospects.</w:t>
      </w:r>
    </w:p>
    <w:p>
      <w:pPr>
        <w:spacing w:after="0" w:line="90" w:lineRule="exact"/>
        <w:rPr>
          <w:sz w:val="20"/>
          <w:szCs w:val="20"/>
          <w:color w:val="auto"/>
        </w:rPr>
      </w:pPr>
    </w:p>
    <w:p>
      <w:pPr>
        <w:ind w:right="160" w:firstLine="382"/>
        <w:spacing w:after="0" w:line="258" w:lineRule="auto"/>
        <w:rPr>
          <w:sz w:val="20"/>
          <w:szCs w:val="20"/>
          <w:color w:val="auto"/>
        </w:rPr>
      </w:pPr>
      <w:r>
        <w:rPr>
          <w:rFonts w:ascii="Arial" w:cs="Arial" w:eastAsia="Arial" w:hAnsi="Arial"/>
          <w:sz w:val="14"/>
          <w:szCs w:val="14"/>
          <w:color w:val="auto"/>
        </w:rPr>
        <w:t>In addition, our clinical trials have been and may continue to be affected by the COVID-19 pandemic. For example, the acceleration of COVID-19 slowed startup of the inadequate C5 responder cohorts in our complement oral Factor D program and, as a result, delayed the reporting of related data in 2020. Clinical site initiation and patient enrollment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our inability to successfully recruit and retain patients and principal investigators and site staff who, as healthcare providers, may have heightened exposure to COVID-19 or experience additional restrictions by their institutions, city, or state could adversely impact our clinical trial operations.</w:t>
      </w:r>
    </w:p>
    <w:p>
      <w:pPr>
        <w:spacing w:after="0" w:line="118" w:lineRule="exact"/>
        <w:rPr>
          <w:sz w:val="20"/>
          <w:szCs w:val="20"/>
          <w:color w:val="auto"/>
        </w:rPr>
      </w:pPr>
    </w:p>
    <w:p>
      <w:pPr>
        <w:ind w:right="120" w:firstLine="382"/>
        <w:spacing w:after="0" w:line="267" w:lineRule="auto"/>
        <w:rPr>
          <w:sz w:val="20"/>
          <w:szCs w:val="20"/>
          <w:color w:val="auto"/>
        </w:rPr>
      </w:pPr>
      <w:r>
        <w:rPr>
          <w:rFonts w:ascii="Arial" w:cs="Arial" w:eastAsia="Arial" w:hAnsi="Arial"/>
          <w:sz w:val="14"/>
          <w:szCs w:val="14"/>
          <w:color w:val="auto"/>
        </w:rPr>
        <w:t>If global health concerns prevent the FDA, EMA, PMDA or other regulatory authorities from conducting their inspections, reviews, or other regulatory activities, it could significantly impact the ability of such authorities to timely review and process our regulatory submissions, which could have a material adverse effect on our business and clinical development and commercialization plans and timelines.</w:t>
      </w:r>
    </w:p>
    <w:p>
      <w:pPr>
        <w:spacing w:after="0" w:line="120"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Although our business operations under the ongoing COVID-19 pandemic continue to evolve, where possible and practical, we continue to provide work-from-home flexibility for our employees, which could negatively impact productivity, disrupt our business and delay our clinical programs and timelines. In addition, we are a government contractor, and as such, we are subject to the federal COVID-19 safety protocols, including the vaccine mandate. We cannot accurately predict the impact on operations of our return-to-the-office plan, nor of the federal COVID-19 safety protocols on our business or on third parties with whom we conduct business. Our business may be negatively impacted in the event that large numbers of employees or key employees do not comply with these protocols. These and similar,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perhaps more severe, disruptions in our operations could negatively impact our business, operating results and financial condition.</w:t>
      </w:r>
    </w:p>
    <w:p>
      <w:pPr>
        <w:spacing w:after="0" w:line="157"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The spread of COVID-19, which has caused a broad impact globally, could also materially affect our access to capital. While the future economic impact brought by, and the duration of, COVID-19 may be difficult to assess or predict, the pandemic could result in significant disruption of global financial markets, reducing our ability to access the equity or debt capital markets or obtain other sources of capital, which could negatively affect our liquidity. In addition, a recession or market correction resulting from the spread of COVID-19 and related responses could materially affect our business and the value of our common stock.</w:t>
      </w:r>
    </w:p>
    <w:p>
      <w:pPr>
        <w:spacing w:after="0" w:line="114" w:lineRule="exact"/>
        <w:rPr>
          <w:sz w:val="20"/>
          <w:szCs w:val="20"/>
          <w:color w:val="auto"/>
        </w:rPr>
      </w:pPr>
    </w:p>
    <w:p>
      <w:pPr>
        <w:ind w:right="40" w:firstLine="382"/>
        <w:spacing w:after="0" w:line="297" w:lineRule="auto"/>
        <w:rPr>
          <w:sz w:val="20"/>
          <w:szCs w:val="20"/>
          <w:color w:val="auto"/>
        </w:rPr>
      </w:pPr>
      <w:r>
        <w:rPr>
          <w:rFonts w:ascii="Arial" w:cs="Arial" w:eastAsia="Arial" w:hAnsi="Arial"/>
          <w:sz w:val="13"/>
          <w:szCs w:val="13"/>
          <w:color w:val="auto"/>
        </w:rPr>
        <w:t>The global pandemic of COVID-19 continues to evolve, with the ultimate impact of the COVID-19 pandemic or a similar health epidemic being uncertain and subject to change. These effects could be material, and we will continue to monitor the COVID-19 situation closely. We do not yet know the full extent and magnitude of the impacts that COVID-19 has had or will have on our business, on the healthcare system, or on the global economy. In addition, the COVID-19 pandemic could have the effect of heightening many of the other risks described below.</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Financial and Liquidity Risks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losses since our inception, expect to continue to incur such losses, and may never be profitable.</w:t>
      </w:r>
    </w:p>
    <w:p>
      <w:pPr>
        <w:spacing w:after="0" w:line="147" w:lineRule="exact"/>
        <w:rPr>
          <w:sz w:val="20"/>
          <w:szCs w:val="20"/>
          <w:color w:val="auto"/>
        </w:rPr>
      </w:pPr>
    </w:p>
    <w:p>
      <w:pPr>
        <w:ind w:right="20" w:firstLine="382"/>
        <w:spacing w:after="0" w:line="280" w:lineRule="auto"/>
        <w:rPr>
          <w:sz w:val="20"/>
          <w:szCs w:val="20"/>
          <w:color w:val="auto"/>
        </w:rPr>
      </w:pPr>
      <w:r>
        <w:rPr>
          <w:rFonts w:ascii="Arial" w:cs="Arial" w:eastAsia="Arial" w:hAnsi="Arial"/>
          <w:sz w:val="13"/>
          <w:szCs w:val="13"/>
          <w:color w:val="auto"/>
        </w:rPr>
        <w:t>Since our inception, we have not achieved sustained profitability. We expect to incur additional losses for the foreseeable future, and our losses could increase as our research and development efforts and commercial activities progress. We expect that such losses will fluctuate from quarter to quarter and that losses and fluctuations may be substantial. To become profitable, we, or our collaborative partners, must successfully manufacture and develop products and product candidates, receive regulatory approval, and successfully commercialize our products and/or enter into profitable commercialization arrangements with other parties. It could take longer than expected before we receive, or we may never receive, significant revenue from any current or future license agreements or significant revenues directly from product sales. Even if we are able to successfully commercialize our existing products, or to develop new commercially viable products, certain obligations we have to third parties, including, without limitation, our obligation to pay RPI and OMERS, as applicable, royalties on certain revenues from ORLADEYO, BCX9930, and another earlier stage Factor D inhibitor under the Royalty Purchase Agreements, may reduce the profitability of such products.</w:t>
      </w:r>
    </w:p>
    <w:p>
      <w:pPr>
        <w:spacing w:after="0" w:line="105" w:lineRule="exact"/>
        <w:rPr>
          <w:sz w:val="20"/>
          <w:szCs w:val="20"/>
          <w:color w:val="auto"/>
        </w:rPr>
      </w:pPr>
    </w:p>
    <w:p>
      <w:pPr>
        <w:ind w:firstLine="382"/>
        <w:spacing w:after="0" w:line="267" w:lineRule="auto"/>
        <w:rPr>
          <w:sz w:val="20"/>
          <w:szCs w:val="20"/>
          <w:color w:val="auto"/>
        </w:rPr>
      </w:pPr>
      <w:r>
        <w:rPr>
          <w:rFonts w:ascii="Arial" w:cs="Arial" w:eastAsia="Arial" w:hAnsi="Arial"/>
          <w:sz w:val="14"/>
          <w:szCs w:val="14"/>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need to raise additional capital in the future. If we are unable to raise capital when needed, we may need to adjust our operations.</w:t>
      </w:r>
    </w:p>
    <w:p>
      <w:pPr>
        <w:spacing w:after="0" w:line="147"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We have sustained operating losses for the majority of our corporate history and expect that our 2022 expenses will exceed our 2022 revenues. We expect to continue to incur operating losses and negative cash flows unless and until revenues reach a level sufficient to support ongoing operations.</w:t>
      </w:r>
    </w:p>
    <w:p>
      <w:pPr>
        <w:spacing w:after="0" w:line="100" w:lineRule="exact"/>
        <w:rPr>
          <w:sz w:val="20"/>
          <w:szCs w:val="20"/>
          <w:color w:val="auto"/>
        </w:rPr>
      </w:pPr>
    </w:p>
    <w:p>
      <w:pPr>
        <w:ind w:right="20" w:firstLine="382"/>
        <w:spacing w:after="0" w:line="280" w:lineRule="auto"/>
        <w:rPr>
          <w:sz w:val="20"/>
          <w:szCs w:val="20"/>
          <w:color w:val="auto"/>
        </w:rPr>
      </w:pPr>
      <w:r>
        <w:rPr>
          <w:rFonts w:ascii="Arial" w:cs="Arial" w:eastAsia="Arial" w:hAnsi="Arial"/>
          <w:sz w:val="13"/>
          <w:szCs w:val="13"/>
          <w:color w:val="auto"/>
        </w:rPr>
        <w:t>Our liquidity needs will be largely determined by the success of operations in regard to the commercialization of our products and the progression of our product candidates in the future. Our plans for managing our liquidity needs primarily include controlling the timing and spending on our research and development programs, raising additional funds through equity and/or debt financings, and commercializing our approved products. We regularly evaluate other opportunities to fund operations including: (1) securing or increasing U.S. Government funding of our programs, including obtaining additional and delivering on procurement contracts; (2) out-licensing rights to certain of our products or product candidates, pursuant to which we would receive cash milestone payments and/or royalties;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research and development programs, including by discontinuing and suspending development; and/or (6) restructuring operations to change our overhead structure.</w:t>
      </w:r>
    </w:p>
    <w:p>
      <w:pPr>
        <w:spacing w:after="0" w:line="116" w:lineRule="exact"/>
        <w:rPr>
          <w:sz w:val="20"/>
          <w:szCs w:val="20"/>
          <w:color w:val="auto"/>
        </w:rPr>
      </w:pPr>
    </w:p>
    <w:p>
      <w:pPr>
        <w:ind w:right="280" w:firstLine="382"/>
        <w:spacing w:after="0" w:line="267" w:lineRule="auto"/>
        <w:rPr>
          <w:sz w:val="20"/>
          <w:szCs w:val="20"/>
          <w:color w:val="auto"/>
        </w:rPr>
      </w:pPr>
      <w:r>
        <w:rPr>
          <w:rFonts w:ascii="Arial" w:cs="Arial" w:eastAsia="Arial" w:hAnsi="Arial"/>
          <w:sz w:val="14"/>
          <w:szCs w:val="14"/>
          <w:color w:val="auto"/>
        </w:rPr>
        <w:t>There can be no assurance that any of our plans will be successful or that additional capital will be available to us on reasonable terms, or at all, when needed. If we are unable to obtain sufficient additional capital, we may be forced to adjust or curtail our operations; delay, reduce, or stop ongoing clinical trials or commercialization efforts; cease operations altogether; or file for bankruptcy.</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Relating to Drug Development and Commercialization</w:t>
      </w:r>
    </w:p>
    <w:p>
      <w:pPr>
        <w:spacing w:after="0" w:line="157" w:lineRule="exact"/>
        <w:rPr>
          <w:sz w:val="20"/>
          <w:szCs w:val="20"/>
          <w:color w:val="auto"/>
        </w:rPr>
      </w:pPr>
    </w:p>
    <w:p>
      <w:pPr>
        <w:ind w:right="440"/>
        <w:spacing w:after="0" w:line="281" w:lineRule="auto"/>
        <w:rPr>
          <w:sz w:val="20"/>
          <w:szCs w:val="20"/>
          <w:color w:val="auto"/>
        </w:rPr>
      </w:pPr>
      <w:r>
        <w:rPr>
          <w:rFonts w:ascii="Arial" w:cs="Arial" w:eastAsia="Arial" w:hAnsi="Arial"/>
          <w:sz w:val="14"/>
          <w:szCs w:val="14"/>
          <w:b w:val="1"/>
          <w:bCs w:val="1"/>
          <w:i w:val="1"/>
          <w:iCs w:val="1"/>
          <w:color w:val="auto"/>
        </w:rPr>
        <w:t>Our success depends upon our ability to advance our product candidates through the various stages of development, especially through the clinical trial process, and to receive regulatory approval for the commercial sale of our product candidates.</w:t>
      </w:r>
    </w:p>
    <w:p>
      <w:pPr>
        <w:spacing w:after="0" w:line="100" w:lineRule="exact"/>
        <w:rPr>
          <w:sz w:val="20"/>
          <w:szCs w:val="20"/>
          <w:color w:val="auto"/>
        </w:rPr>
      </w:pPr>
    </w:p>
    <w:p>
      <w:pPr>
        <w:ind w:right="100" w:firstLine="382"/>
        <w:spacing w:after="0" w:line="309" w:lineRule="auto"/>
        <w:rPr>
          <w:sz w:val="20"/>
          <w:szCs w:val="20"/>
          <w:color w:val="auto"/>
        </w:rPr>
      </w:pPr>
      <w:r>
        <w:rPr>
          <w:rFonts w:ascii="Arial" w:cs="Arial" w:eastAsia="Arial" w:hAnsi="Arial"/>
          <w:sz w:val="12"/>
          <w:szCs w:val="12"/>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90" w:lineRule="exact"/>
        <w:rPr>
          <w:sz w:val="20"/>
          <w:szCs w:val="20"/>
          <w:color w:val="auto"/>
        </w:rPr>
      </w:pPr>
    </w:p>
    <w:p>
      <w:pPr>
        <w:ind w:right="20" w:firstLine="382"/>
        <w:spacing w:after="0" w:line="275" w:lineRule="auto"/>
        <w:rPr>
          <w:sz w:val="20"/>
          <w:szCs w:val="20"/>
          <w:color w:val="auto"/>
        </w:rPr>
      </w:pPr>
      <w:r>
        <w:rPr>
          <w:rFonts w:ascii="Arial" w:cs="Arial" w:eastAsia="Arial" w:hAnsi="Arial"/>
          <w:sz w:val="13"/>
          <w:szCs w:val="13"/>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Failure to achieve any of these endpoints in any of our programs, including our Factor D program (inclusive of BCX9930), BCX9250, galidesivir, and our other rare disease product candidates could result in delays in or modifications to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Product candidates that initially show promise in clinical or preclinical testing could later be found to be associated with or to cause undesirable or unexpected side effects that could result in substantial modifications and delays in the development plans for our product candidates, significant unexpected costs, or the termination of programs. For example, in April 2022, we voluntarily paused enrollment of our BCX9930 clinical trials due to observed elevations in serum creatinine seen in some patients. The FDA subsequently placed the program on a partial clinical hold. On August 4, 2022, we announced that the FDA has lifted its partial clinical hold with respect to BCX9930 and we plan to resume enrollment under revised protocols which include a number of additional requirements and restrictions (e.g., a dose reduction, recommended hydration, and increased monitoring). The elevated serum creatinine signal and revisions to the BCX9930 development program create additional risk to the successful development of BCX9930, and the timelines for the BCX9930 program are uncertain. Specifically, the revised BCX9930 studies may not address the elevated serum creatinine issue, we may not be able to execute the BCX9930 clinical studies in a timely fashion or at all, we may not be able to recruit enough patients for the clinical studies, our hypothesis may not be correct or our data may be inconclusive, the lower dose of BCX9930 may not be effective, and the additional requirements and restrictions that have been imposed, or that may be imposed in the future, by regulatory authorities and others may impede development. In addition, the development plans for our product candidates, including our clinical trials (including for BCX9930 and BCX9250), may not be adequately designed or executed, which could negatively affect the outcome and analysis of study results. Because of the cost and duration of clinical trials, we may decide to discontinue development of product candidates for various reasons, including, but not limited to, they are unlikely to show favorable results in clinical trials, unlikely to help advance a product to the point of a meaningful collaboration, or unlikely to have reasonable commercial potential.</w:t>
      </w:r>
    </w:p>
    <w:p>
      <w:pPr>
        <w:spacing w:after="0" w:line="122"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Undesirable or inconclusive data in our pre-clinical studies and clinical trials or side effects in humans could result in the FDA or foreign regulatory authorities (including, e.g., the EMA, the Ministry of Health, Labor and Welfare (“MHLW”) in Japan or the United Kingdom’s Medicines and Healthcare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ability to successfully complete the clinical development process is dependent upon many factors, including but not limited to:</w:t>
      </w:r>
    </w:p>
    <w:p>
      <w:pPr>
        <w:spacing w:after="0" w:line="157" w:lineRule="exact"/>
        <w:rPr>
          <w:sz w:val="20"/>
          <w:szCs w:val="20"/>
          <w:color w:val="auto"/>
        </w:rPr>
      </w:pPr>
    </w:p>
    <w:p>
      <w:pPr>
        <w:ind w:left="900" w:hanging="259"/>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or our partners’ ability to secure suitable clinical sites and investigators and to enroll and maintain an adequate number of patients on a timely basis or at all;</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patients that enroll in a clinical trial may not comply with the clinical trial protocol or maintain contact with investigators to provide complete data during and after treatment;</w:t>
      </w:r>
    </w:p>
    <w:p>
      <w:pPr>
        <w:spacing w:after="0" w:line="20" w:lineRule="exact"/>
        <w:rPr>
          <w:rFonts w:ascii="Arial" w:cs="Arial" w:eastAsia="Arial" w:hAnsi="Arial"/>
          <w:sz w:val="13"/>
          <w:szCs w:val="13"/>
          <w:color w:val="auto"/>
        </w:rPr>
      </w:pPr>
    </w:p>
    <w:p>
      <w:pPr>
        <w:ind w:left="900" w:hanging="259"/>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product candidates may not prove to be either safe or effective or may produce unfavorable or inconclusive results;</w:t>
      </w:r>
    </w:p>
    <w:p>
      <w:pPr>
        <w:spacing w:after="0" w:line="8" w:lineRule="exact"/>
        <w:rPr>
          <w:rFonts w:ascii="Arial" w:cs="Arial" w:eastAsia="Arial" w:hAnsi="Arial"/>
          <w:sz w:val="14"/>
          <w:szCs w:val="14"/>
          <w:color w:val="auto"/>
        </w:rPr>
      </w:pPr>
    </w:p>
    <w:p>
      <w:pPr>
        <w:ind w:left="900" w:right="120" w:hanging="259"/>
        <w:spacing w:after="0" w:line="272" w:lineRule="auto"/>
        <w:tabs>
          <w:tab w:leader="none" w:pos="896"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ind w:left="900" w:hanging="259"/>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regulatory authorities may disagree with our or our partners’ clinical trial protocols or our or their interpretation of data from preclinical studies and clinical trials;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clinical protocols or study procedures may not be adequately designed or followed by the investigators;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formulation improvements may not work as expected, which could negatively impact commercial demand for our product candidates;</w:t>
      </w:r>
    </w:p>
    <w:p>
      <w:pPr>
        <w:spacing w:after="0" w:line="8" w:lineRule="exact"/>
        <w:rPr>
          <w:rFonts w:ascii="Arial" w:cs="Arial" w:eastAsia="Arial" w:hAnsi="Arial"/>
          <w:sz w:val="14"/>
          <w:szCs w:val="14"/>
          <w:color w:val="auto"/>
        </w:rPr>
      </w:pPr>
    </w:p>
    <w:p>
      <w:pPr>
        <w:ind w:left="900" w:right="240" w:hanging="259"/>
        <w:spacing w:after="0" w:line="253" w:lineRule="auto"/>
        <w:tabs>
          <w:tab w:leader="none" w:pos="896" w:val="left"/>
        </w:tabs>
        <w:numPr>
          <w:ilvl w:val="0"/>
          <w:numId w:val="9"/>
        </w:numPr>
        <w:rPr>
          <w:rFonts w:ascii="Arial" w:cs="Arial" w:eastAsia="Arial" w:hAnsi="Arial"/>
          <w:sz w:val="14"/>
          <w:szCs w:val="14"/>
          <w:color w:val="auto"/>
        </w:rPr>
      </w:pPr>
      <w:r>
        <w:rPr>
          <w:rFonts w:ascii="Arial" w:cs="Arial" w:eastAsia="Arial" w:hAnsi="Arial"/>
          <w:sz w:val="14"/>
          <w:szCs w:val="14"/>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900" w:right="560" w:hanging="259"/>
        <w:spacing w:after="0" w:line="253" w:lineRule="auto"/>
        <w:tabs>
          <w:tab w:leader="none" w:pos="8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ind w:left="900" w:right="440" w:hanging="259"/>
        <w:spacing w:after="0" w:line="253" w:lineRule="auto"/>
        <w:tabs>
          <w:tab w:leader="none" w:pos="896"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or our partners’ development plans may be delayed or changed as a result of changes in development strategy, the impact of new or different regulations, requirements, and guidelines, or other unexpected events or conditions;</w:t>
      </w:r>
    </w:p>
    <w:p>
      <w:pPr>
        <w:ind w:left="900" w:hanging="259"/>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cost of pre-clinical studies and clinical trials may be greater than we anticipate;</w:t>
      </w:r>
    </w:p>
    <w:p>
      <w:pPr>
        <w:spacing w:after="0" w:line="8" w:lineRule="exact"/>
        <w:rPr>
          <w:rFonts w:ascii="Arial" w:cs="Arial" w:eastAsia="Arial" w:hAnsi="Arial"/>
          <w:sz w:val="14"/>
          <w:szCs w:val="14"/>
          <w:color w:val="auto"/>
        </w:rPr>
      </w:pPr>
    </w:p>
    <w:p>
      <w:pPr>
        <w:ind w:left="900" w:right="80" w:hanging="259"/>
        <w:spacing w:after="0" w:line="272" w:lineRule="auto"/>
        <w:tabs>
          <w:tab w:leader="none" w:pos="896"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ind w:left="900" w:hanging="259"/>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the ongoing COVID-19 pandemic on one or more of the foregoing factors.</w:t>
      </w:r>
    </w:p>
    <w:p>
      <w:pPr>
        <w:spacing w:after="0" w:line="136" w:lineRule="exact"/>
        <w:rPr>
          <w:sz w:val="20"/>
          <w:szCs w:val="20"/>
          <w:color w:val="auto"/>
        </w:rPr>
      </w:pPr>
    </w:p>
    <w:p>
      <w:pPr>
        <w:ind w:firstLine="382"/>
        <w:spacing w:after="0" w:line="284" w:lineRule="auto"/>
        <w:rPr>
          <w:sz w:val="20"/>
          <w:szCs w:val="20"/>
          <w:color w:val="auto"/>
        </w:rPr>
      </w:pPr>
      <w:r>
        <w:rPr>
          <w:rFonts w:ascii="Arial" w:cs="Arial" w:eastAsia="Arial" w:hAnsi="Arial"/>
          <w:sz w:val="13"/>
          <w:szCs w:val="13"/>
          <w:color w:val="auto"/>
        </w:rPr>
        <w:t>Clinical trials are lengthy and expensive. Many of the factors listed above could result in increased clinical development costs or longer clinical development times for any of our programs. We or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may not receive regulatory approval for the product candidates, in which case we would be unable to generate any revenues from product sales or licensing arrangements, or any product candidate, if approved, may be subject to restrictions on labeling, marketing, distribution, prescribing, and use, which could adversely impact the sales of such product.</w:t>
      </w:r>
    </w:p>
    <w:p>
      <w:pPr>
        <w:spacing w:after="0" w:line="102"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rely heavily upon third parties for many important stages of our product candidate development, including but not limited to:</w:t>
      </w:r>
    </w:p>
    <w:p>
      <w:pPr>
        <w:spacing w:after="0" w:line="147" w:lineRule="exact"/>
        <w:rPr>
          <w:sz w:val="20"/>
          <w:szCs w:val="20"/>
          <w:color w:val="auto"/>
        </w:rPr>
      </w:pPr>
    </w:p>
    <w:p>
      <w:pPr>
        <w:ind w:left="900" w:hanging="259"/>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discovery of natural proteins that cause or enable biological reactions necessary for the progression of the disease or disorder, called enzyme targets;</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execution of certain pharmacology preclinical studies and late-stage development for our compounds and product candidates;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management of our phase 1, 2 and 3 clinical trials, including medical monitoring, laboratory testing, and data management;</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execution of toxicology studies that may be required to obtain approval for our product candidates;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formulation improvement strategies and methods;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900" w:right="340" w:hanging="259"/>
        <w:spacing w:after="0" w:line="260" w:lineRule="auto"/>
        <w:tabs>
          <w:tab w:leader="none" w:pos="8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manufacturing the starting materials and drug substance required to formulate our products and the product candidates to be used in our clinical trials, toxicology studies and any potential commercial product; and</w:t>
      </w:r>
    </w:p>
    <w:p>
      <w:pPr>
        <w:ind w:left="900" w:hanging="259"/>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management of certain regulatory interactions outside of the United States.</w:t>
      </w:r>
    </w:p>
    <w:p>
      <w:pPr>
        <w:spacing w:after="0" w:line="136" w:lineRule="exact"/>
        <w:rPr>
          <w:sz w:val="20"/>
          <w:szCs w:val="20"/>
          <w:color w:val="auto"/>
        </w:rPr>
      </w:pPr>
    </w:p>
    <w:p>
      <w:pPr>
        <w:ind w:right="20" w:firstLine="382"/>
        <w:spacing w:after="0" w:line="284" w:lineRule="auto"/>
        <w:rPr>
          <w:sz w:val="20"/>
          <w:szCs w:val="20"/>
          <w:color w:val="auto"/>
        </w:rPr>
      </w:pPr>
      <w:r>
        <w:rPr>
          <w:rFonts w:ascii="Arial" w:cs="Arial" w:eastAsia="Arial" w:hAnsi="Arial"/>
          <w:sz w:val="13"/>
          <w:szCs w:val="13"/>
          <w:color w:val="auto"/>
        </w:rPr>
        <w:t>Our failure to engage in successful collaborations at any one of these stages would greatly impact our business. If we do not license enzyme targets or inhibitors from academic institutions or from other biotechnology companies on acceptable terms, our drug development efforts would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 connection with our clinical trials,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13" w:lineRule="exact"/>
        <w:rPr>
          <w:sz w:val="20"/>
          <w:szCs w:val="20"/>
          <w:color w:val="auto"/>
        </w:rPr>
      </w:pPr>
    </w:p>
    <w:p>
      <w:pPr>
        <w:ind w:right="100" w:firstLine="382"/>
        <w:spacing w:after="0" w:line="282" w:lineRule="auto"/>
        <w:rPr>
          <w:sz w:val="20"/>
          <w:szCs w:val="20"/>
          <w:color w:val="auto"/>
        </w:rPr>
      </w:pPr>
      <w:r>
        <w:rPr>
          <w:rFonts w:ascii="Arial" w:cs="Arial" w:eastAsia="Arial" w:hAnsi="Arial"/>
          <w:sz w:val="13"/>
          <w:szCs w:val="13"/>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are realized, our business, financial condition and results of operations could be materially adversely affected.</w:t>
      </w:r>
    </w:p>
    <w:p>
      <w:pPr>
        <w:spacing w:after="0" w:line="103"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If we fail to obtain additional financing or acceptable partnership arrangements as and when needed, we may be unable to complete the development and commercialization of our products and product candidates or continue operations.</w:t>
      </w:r>
    </w:p>
    <w:p>
      <w:pPr>
        <w:spacing w:after="0" w:line="100" w:lineRule="exact"/>
        <w:rPr>
          <w:sz w:val="20"/>
          <w:szCs w:val="20"/>
          <w:color w:val="auto"/>
        </w:rPr>
      </w:pPr>
    </w:p>
    <w:p>
      <w:pPr>
        <w:ind w:right="60" w:firstLine="382"/>
        <w:spacing w:after="0" w:line="257" w:lineRule="auto"/>
        <w:rPr>
          <w:sz w:val="20"/>
          <w:szCs w:val="20"/>
          <w:color w:val="auto"/>
        </w:rPr>
      </w:pPr>
      <w:r>
        <w:rPr>
          <w:rFonts w:ascii="Arial" w:cs="Arial" w:eastAsia="Arial" w:hAnsi="Arial"/>
          <w:sz w:val="14"/>
          <w:szCs w:val="14"/>
          <w:color w:val="auto"/>
        </w:rPr>
        <w:t>As our programs advance, our costs are likely to increase. Our current and planned discovery, development, approval, and commercialization efforts will require significant capital. Our expenses, revenues and cash utilization rate could vary significantly depending on many factors, including: our ability to obtain regulatory approval for our product candidates, including BCX9930, BCX9250, and galidesivir; our ability to maintain regulatory approval for, successfully commercialize, and achieve market acceptance of our products, including ORLADEYO; our ability to raise additional capital; the amount of funding we receive from partnerships with third parties for the development and commercialization of our products and product candidates (including our collaborations with Torii, BARDA/HHS, and NIAID/HHS); the commercial success of our products achieved by our partners; the amount or profitability of any orders for peramivir or galidesivir by any government agency or other party; the progress and results of our current and proposed clinical trials for our product candidates; and the progress made in the manufacture of our lead products and the progression of our other programs.</w:t>
      </w:r>
    </w:p>
    <w:p>
      <w:pPr>
        <w:spacing w:after="0" w:line="130" w:lineRule="exact"/>
        <w:rPr>
          <w:sz w:val="20"/>
          <w:szCs w:val="20"/>
          <w:color w:val="auto"/>
        </w:rPr>
      </w:pPr>
    </w:p>
    <w:p>
      <w:pPr>
        <w:ind w:firstLine="382"/>
        <w:spacing w:after="0" w:line="305" w:lineRule="auto"/>
        <w:rPr>
          <w:sz w:val="20"/>
          <w:szCs w:val="20"/>
          <w:color w:val="auto"/>
        </w:rPr>
      </w:pPr>
      <w:r>
        <w:rPr>
          <w:rFonts w:ascii="Arial" w:cs="Arial" w:eastAsia="Arial" w:hAnsi="Arial"/>
          <w:sz w:val="12"/>
          <w:szCs w:val="12"/>
          <w:color w:val="auto"/>
        </w:rPr>
        <w:t>In order to continue future operations, progress our drug development programs, and commercialize our current products and product candidates, we will be required to raise additional capital. In addition to seeking strategic partnerships, transactions and government funding, we may access the equity or debt markets, incur additional borrowings,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including corporate partners such as Torii and governmental agencies such as BARDA/HHS or NIAID/HHS, or from other sources, may not be available when needed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our Credit Agreement. In addition, collaborative arrangements may require us to transfer certain material rights to such corporate partners. Insufficient funds or lack of an acceptable partnership may require us to delay, scale-back or eliminate certain of our research and development programs.</w:t>
      </w:r>
    </w:p>
    <w:p>
      <w:pPr>
        <w:spacing w:after="0" w:line="93" w:lineRule="exact"/>
        <w:rPr>
          <w:sz w:val="20"/>
          <w:szCs w:val="20"/>
          <w:color w:val="auto"/>
        </w:rPr>
      </w:pPr>
    </w:p>
    <w:p>
      <w:pPr>
        <w:ind w:right="40" w:firstLine="382"/>
        <w:spacing w:after="0" w:line="262" w:lineRule="auto"/>
        <w:rPr>
          <w:sz w:val="20"/>
          <w:szCs w:val="20"/>
          <w:color w:val="auto"/>
        </w:rPr>
      </w:pPr>
      <w:r>
        <w:rPr>
          <w:rFonts w:ascii="Arial" w:cs="Arial" w:eastAsia="Arial" w:hAnsi="Arial"/>
          <w:sz w:val="14"/>
          <w:szCs w:val="14"/>
          <w:color w:val="auto"/>
        </w:rPr>
        <w:t>Our ability to raise additional capital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clinical trial investigations, and carcinogenicity, drug-drug interaction, toxicity, or other required studies) for BCX9250 for the treatment of FOP, our Factor D program (including BCX9930) for diseases of the complement system, our broad-spectrum antiviral program, including galidesivir, and other</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rare disease product candidates, as well as any post-approval studies for our products. In addition, constriction and volatility in the equity and debt markets, including as a result of the impacts of COVID-19, may restrict our future flexibility to raise capital when such needs arise. Furthermore, we have exposure to many different industries, financing partners and counterparties, including commercial banks, investment banks and partners (which include investors, licensing partners, and the U.S. Government), which may be unstable or may become unstable in the current economic and political environment, including as a result of the impacts of COVID-19, rising inflation, and the conflict in Ukraine.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could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16"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If we or our partners do not obtain governmental approval for our product candidates or maintain governmental approval for our products, we or our partners will not be able to commercialize and sell these products and potential products, which would significantly harm our business because we will receive no revenue.</w:t>
      </w:r>
    </w:p>
    <w:p>
      <w:pPr>
        <w:spacing w:after="0" w:line="100" w:lineRule="exact"/>
        <w:rPr>
          <w:sz w:val="20"/>
          <w:szCs w:val="20"/>
          <w:color w:val="auto"/>
        </w:rPr>
      </w:pPr>
    </w:p>
    <w:p>
      <w:pPr>
        <w:jc w:val="both"/>
        <w:ind w:right="180" w:firstLine="382"/>
        <w:spacing w:after="0" w:line="267" w:lineRule="auto"/>
        <w:rPr>
          <w:sz w:val="20"/>
          <w:szCs w:val="20"/>
          <w:color w:val="auto"/>
        </w:rPr>
      </w:pPr>
      <w:r>
        <w:rPr>
          <w:rFonts w:ascii="Arial" w:cs="Arial" w:eastAsia="Arial" w:hAnsi="Arial"/>
          <w:sz w:val="14"/>
          <w:szCs w:val="14"/>
          <w:color w:val="auto"/>
        </w:rPr>
        <w:t>We or our partners must obtain regulatory approval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10" w:lineRule="exact"/>
        <w:rPr>
          <w:sz w:val="20"/>
          <w:szCs w:val="20"/>
          <w:color w:val="auto"/>
        </w:rPr>
      </w:pPr>
    </w:p>
    <w:p>
      <w:pPr>
        <w:ind w:right="40" w:firstLine="382"/>
        <w:spacing w:after="0" w:line="282" w:lineRule="auto"/>
        <w:rPr>
          <w:sz w:val="20"/>
          <w:szCs w:val="20"/>
          <w:color w:val="auto"/>
        </w:rPr>
      </w:pPr>
      <w:r>
        <w:rPr>
          <w:rFonts w:ascii="Arial" w:cs="Arial" w:eastAsia="Arial" w:hAnsi="Arial"/>
          <w:sz w:val="13"/>
          <w:szCs w:val="13"/>
          <w:color w:val="auto"/>
        </w:rPr>
        <w:t>The process of preparing for and obtaining regulatory approval in any jurisdiction may be lengthy and expensive, and approval is never certain. Because of the risks and uncertainties inherent to the development process, including risks and uncertainties related to the impact of COVID-19,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advance our product candidates through the various stages of development, especially through the clinical trial process, and to receive regulatory approval for the commercial sale of our product candidates,” we or our partners have experienced, and may again in the future 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spacing w:after="0" w:line="113" w:lineRule="exact"/>
        <w:rPr>
          <w:sz w:val="20"/>
          <w:szCs w:val="20"/>
          <w:color w:val="auto"/>
        </w:rPr>
      </w:pPr>
    </w:p>
    <w:p>
      <w:pPr>
        <w:ind w:right="40" w:firstLine="382"/>
        <w:spacing w:after="0" w:line="297" w:lineRule="auto"/>
        <w:rPr>
          <w:sz w:val="20"/>
          <w:szCs w:val="20"/>
          <w:color w:val="auto"/>
        </w:rPr>
      </w:pPr>
      <w:r>
        <w:rPr>
          <w:rFonts w:ascii="Arial" w:cs="Arial" w:eastAsia="Arial" w:hAnsi="Arial"/>
          <w:sz w:val="13"/>
          <w:szCs w:val="13"/>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These requirements are wide ranging and govern, among other things:</w:t>
      </w:r>
    </w:p>
    <w:p>
      <w:pPr>
        <w:spacing w:after="0" w:line="92" w:lineRule="exact"/>
        <w:rPr>
          <w:sz w:val="20"/>
          <w:szCs w:val="20"/>
          <w:color w:val="auto"/>
        </w:rPr>
      </w:pPr>
    </w:p>
    <w:p>
      <w:pPr>
        <w:ind w:left="900" w:hanging="259"/>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adverse drug experience reporting regulations;</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product promotion;</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product manufacturing, including good manufacturing practice requirements; and</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product changes or modifications.</w:t>
      </w:r>
    </w:p>
    <w:p>
      <w:pPr>
        <w:spacing w:after="0" w:line="136" w:lineRule="exact"/>
        <w:rPr>
          <w:sz w:val="20"/>
          <w:szCs w:val="20"/>
          <w:color w:val="auto"/>
        </w:rPr>
      </w:pPr>
    </w:p>
    <w:p>
      <w:pPr>
        <w:ind w:right="140" w:firstLine="382"/>
        <w:spacing w:after="0" w:line="321" w:lineRule="auto"/>
        <w:rPr>
          <w:sz w:val="20"/>
          <w:szCs w:val="20"/>
          <w:color w:val="auto"/>
        </w:rPr>
      </w:pPr>
      <w:r>
        <w:rPr>
          <w:rFonts w:ascii="Arial" w:cs="Arial" w:eastAsia="Arial" w:hAnsi="Arial"/>
          <w:sz w:val="13"/>
          <w:szCs w:val="13"/>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focus on rare diseases, which may create additional risks and challenges.</w:t>
      </w:r>
    </w:p>
    <w:p>
      <w:pPr>
        <w:spacing w:after="0" w:line="147"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For instance, although BCX9930 for PNH has received Fast Track and Orphan Drug designations from the FDA and BCX9250 has received Fast Track designation from the FDA and has been granted Orphan Drug designation and access to PRIME by the EMA, we may not experience a faster development, review or approval process compared to the conventional process in the relevant jurisdictions. We may not be able to obtain or maintain these designations for BCX9930, BCX9250, or other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13"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The commercial viability of any approved product could be compromised if the product is less effective than expected, causes undesirable side effects that were not previously identified, or fails to achieve market acceptance within the medical community.</w:t>
      </w:r>
    </w:p>
    <w:p>
      <w:pPr>
        <w:spacing w:after="0" w:line="100"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If, after obtaining regulatory approval of a product, we or others discover that it is less effective than previously believed or causes undesirable side effects that were not previously identified, any of the following adverse events could occur:</w:t>
      </w:r>
    </w:p>
    <w:p>
      <w:pPr>
        <w:spacing w:after="0" w:line="100" w:lineRule="exact"/>
        <w:rPr>
          <w:sz w:val="20"/>
          <w:szCs w:val="20"/>
          <w:color w:val="auto"/>
        </w:rPr>
      </w:pPr>
    </w:p>
    <w:p>
      <w:pPr>
        <w:ind w:left="900" w:right="260" w:hanging="259"/>
        <w:spacing w:after="0" w:line="260"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ind w:left="900" w:hanging="259"/>
        <w:spacing w:after="0"/>
        <w:tabs>
          <w:tab w:leader="none" w:pos="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or our partners may be required to recall the product, change the way the product is administered, conduct additional clinical trials, or be subject to civil or criminal penalties; and</w:t>
      </w:r>
    </w:p>
    <w:p>
      <w:pPr>
        <w:spacing w:after="0" w:line="20" w:lineRule="exact"/>
        <w:rPr>
          <w:rFonts w:ascii="Arial" w:cs="Arial" w:eastAsia="Arial" w:hAnsi="Arial"/>
          <w:sz w:val="13"/>
          <w:szCs w:val="13"/>
          <w:color w:val="auto"/>
        </w:rPr>
      </w:pPr>
    </w:p>
    <w:p>
      <w:pPr>
        <w:ind w:left="900" w:hanging="259"/>
        <w:spacing w:after="0"/>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product may become less competitive and our reputation may suffer.</w:t>
      </w:r>
    </w:p>
    <w:p>
      <w:pPr>
        <w:spacing w:after="0" w:line="147"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Even after receiving regulatory approval, any product could fail to gain sufficient, or even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15" w:lineRule="exact"/>
        <w:rPr>
          <w:sz w:val="20"/>
          <w:szCs w:val="20"/>
          <w:color w:val="auto"/>
        </w:rPr>
      </w:pPr>
    </w:p>
    <w:p>
      <w:pPr>
        <w:ind w:right="140"/>
        <w:spacing w:after="0" w:line="368" w:lineRule="auto"/>
        <w:rPr>
          <w:sz w:val="20"/>
          <w:szCs w:val="20"/>
          <w:color w:val="auto"/>
        </w:rPr>
      </w:pPr>
      <w:r>
        <w:rPr>
          <w:rFonts w:ascii="Arial" w:cs="Arial" w:eastAsia="Arial" w:hAnsi="Arial"/>
          <w:sz w:val="12"/>
          <w:szCs w:val="12"/>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54" w:lineRule="exact"/>
        <w:rPr>
          <w:sz w:val="20"/>
          <w:szCs w:val="20"/>
          <w:color w:val="auto"/>
        </w:rPr>
      </w:pPr>
    </w:p>
    <w:p>
      <w:pPr>
        <w:ind w:right="620" w:firstLine="382"/>
        <w:spacing w:after="0" w:line="267" w:lineRule="auto"/>
        <w:rPr>
          <w:sz w:val="20"/>
          <w:szCs w:val="20"/>
          <w:color w:val="auto"/>
        </w:rPr>
      </w:pPr>
      <w:r>
        <w:rPr>
          <w:rFonts w:ascii="Arial" w:cs="Arial" w:eastAsia="Arial" w:hAnsi="Arial"/>
          <w:sz w:val="14"/>
          <w:szCs w:val="14"/>
          <w:color w:val="auto"/>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include preclinical development, clinical development, regulatory approval, marketing, sales, and distribution of our products and product candidates.</w:t>
      </w:r>
    </w:p>
    <w:p>
      <w:pPr>
        <w:spacing w:after="0" w:line="120" w:lineRule="exact"/>
        <w:rPr>
          <w:sz w:val="20"/>
          <w:szCs w:val="20"/>
          <w:color w:val="auto"/>
        </w:rPr>
      </w:pPr>
    </w:p>
    <w:p>
      <w:pPr>
        <w:jc w:val="both"/>
        <w:ind w:right="560" w:firstLine="382"/>
        <w:spacing w:after="0" w:line="267" w:lineRule="auto"/>
        <w:rPr>
          <w:sz w:val="20"/>
          <w:szCs w:val="20"/>
          <w:color w:val="auto"/>
        </w:rPr>
      </w:pPr>
      <w:r>
        <w:rPr>
          <w:rFonts w:ascii="Arial" w:cs="Arial" w:eastAsia="Arial" w:hAnsi="Arial"/>
          <w:sz w:val="14"/>
          <w:szCs w:val="14"/>
          <w:color w:val="auto"/>
        </w:rPr>
        <w:t>Currently, we have established collaborative relationships, including with Torii for the commercialization of ORLADEYO in Japan and with each of Shionogi and Green Cross for the development and commercialization of peramivir. The process of establishing and implementing collaborative relationships is difficult, time-consuming and involves significant uncertainty, including:</w:t>
      </w:r>
    </w:p>
    <w:p>
      <w:pPr>
        <w:spacing w:after="0" w:line="110" w:lineRule="exact"/>
        <w:rPr>
          <w:sz w:val="20"/>
          <w:szCs w:val="20"/>
          <w:color w:val="auto"/>
        </w:rPr>
      </w:pPr>
    </w:p>
    <w:p>
      <w:pPr>
        <w:ind w:left="900" w:right="660" w:hanging="259"/>
        <w:spacing w:after="0" w:line="260" w:lineRule="auto"/>
        <w:tabs>
          <w:tab w:leader="none" w:pos="8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partners may seek to renegotiate or terminate their relationships with us due to unsatisfactory commercial, regulatory or clinical results, including post-approval clinical commitments, a change in business strategy, a change of control or other reasons;</w:t>
      </w: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contracts for collaborative arrangements may expire;</w:t>
      </w:r>
    </w:p>
    <w:p>
      <w:pPr>
        <w:spacing w:after="0" w:line="8" w:lineRule="exact"/>
        <w:rPr>
          <w:rFonts w:ascii="Arial" w:cs="Arial" w:eastAsia="Arial" w:hAnsi="Arial"/>
          <w:sz w:val="14"/>
          <w:szCs w:val="14"/>
          <w:color w:val="auto"/>
        </w:rPr>
      </w:pPr>
    </w:p>
    <w:p>
      <w:pPr>
        <w:ind w:left="900" w:right="140" w:hanging="259"/>
        <w:spacing w:after="0" w:line="253" w:lineRule="auto"/>
        <w:tabs>
          <w:tab w:leader="none" w:pos="8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possibility that expiration or termination of collaborative relationships, such as those with certain of our distribution partners, may trigger repurchase obligations of the Company for unsold product held by our partner;</w:t>
      </w: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partners may choose to pursue alternative technologies, including those of our competitors;</w:t>
      </w:r>
    </w:p>
    <w:p>
      <w:pPr>
        <w:spacing w:after="0" w:line="8" w:lineRule="exact"/>
        <w:rPr>
          <w:rFonts w:ascii="Arial" w:cs="Arial" w:eastAsia="Arial" w:hAnsi="Arial"/>
          <w:sz w:val="14"/>
          <w:szCs w:val="14"/>
          <w:color w:val="auto"/>
        </w:rPr>
      </w:pPr>
    </w:p>
    <w:p>
      <w:pPr>
        <w:ind w:left="900" w:right="80" w:hanging="259"/>
        <w:spacing w:after="0" w:line="266" w:lineRule="auto"/>
        <w:tabs>
          <w:tab w:leader="none" w:pos="8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had in the past, and in the future may have, disputes with a partner that could lead to litigation or arbitration, which could result in substantial costs and divert the attention of our management;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900" w:hanging="259"/>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do not have day-to-day control over the activities of our partners and have limited control over their decisions;</w:t>
      </w:r>
    </w:p>
    <w:p>
      <w:pPr>
        <w:spacing w:after="0" w:line="19" w:lineRule="exact"/>
        <w:rPr>
          <w:rFonts w:ascii="Arial" w:cs="Arial" w:eastAsia="Arial" w:hAnsi="Arial"/>
          <w:sz w:val="14"/>
          <w:szCs w:val="14"/>
          <w:color w:val="auto"/>
        </w:rPr>
      </w:pPr>
    </w:p>
    <w:p>
      <w:pPr>
        <w:ind w:left="900" w:right="580" w:hanging="259"/>
        <w:spacing w:after="0" w:line="253" w:lineRule="auto"/>
        <w:tabs>
          <w:tab w:leader="none" w:pos="8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ind w:left="900" w:hanging="259"/>
        <w:spacing w:after="0" w:line="253" w:lineRule="auto"/>
        <w:tabs>
          <w:tab w:leader="none" w:pos="8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ind w:left="900" w:hanging="259"/>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or our partners may not devote sufficient capital or resources toward our products and product candidates; and</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or our partners may not comply with applicable government regulatory requirements.</w:t>
      </w:r>
    </w:p>
    <w:p>
      <w:pPr>
        <w:spacing w:after="0" w:line="136" w:lineRule="exact"/>
        <w:rPr>
          <w:sz w:val="20"/>
          <w:szCs w:val="20"/>
          <w:color w:val="auto"/>
        </w:rPr>
      </w:pPr>
    </w:p>
    <w:p>
      <w:pPr>
        <w:ind w:right="260" w:firstLine="382"/>
        <w:spacing w:after="0" w:line="282" w:lineRule="auto"/>
        <w:rPr>
          <w:sz w:val="20"/>
          <w:szCs w:val="20"/>
          <w:color w:val="auto"/>
        </w:rPr>
      </w:pPr>
      <w:r>
        <w:rPr>
          <w:rFonts w:ascii="Arial" w:cs="Arial" w:eastAsia="Arial" w:hAnsi="Arial"/>
          <w:sz w:val="13"/>
          <w:szCs w:val="13"/>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results of our partnership with Torii may not meet our current expectations.</w:t>
      </w:r>
    </w:p>
    <w:p>
      <w:pPr>
        <w:spacing w:after="0" w:line="147" w:lineRule="exact"/>
        <w:rPr>
          <w:sz w:val="20"/>
          <w:szCs w:val="20"/>
          <w:color w:val="auto"/>
        </w:rPr>
      </w:pPr>
    </w:p>
    <w:p>
      <w:pPr>
        <w:jc w:val="both"/>
        <w:ind w:right="80" w:firstLine="382"/>
        <w:spacing w:after="0" w:line="297" w:lineRule="auto"/>
        <w:rPr>
          <w:sz w:val="20"/>
          <w:szCs w:val="20"/>
          <w:color w:val="auto"/>
        </w:rPr>
      </w:pPr>
      <w:r>
        <w:rPr>
          <w:rFonts w:ascii="Arial" w:cs="Arial" w:eastAsia="Arial" w:hAnsi="Arial"/>
          <w:sz w:val="13"/>
          <w:szCs w:val="13"/>
          <w:color w:val="auto"/>
        </w:rPr>
        <w:t>We have an agreement with Torii for the development and commercialization of ORLADEYO in Japan. Our ability to realize the expected benefits of this collaboration, including with respect to the receipt or amounts of royalty payments, is subject to a number of risks, including that the commercial potential of ORLADEYO may not meet our current expectations, we or Torii may fail to comply with our respective obligations under the Torii Agreement, and third parties may fail to perform their obligations to us on a timely basis or at all.</w:t>
      </w:r>
    </w:p>
    <w:p>
      <w:pPr>
        <w:spacing w:after="0" w:line="92" w:lineRule="exact"/>
        <w:rPr>
          <w:sz w:val="20"/>
          <w:szCs w:val="20"/>
          <w:color w:val="auto"/>
        </w:rPr>
      </w:pPr>
    </w:p>
    <w:p>
      <w:pPr>
        <w:ind w:right="80" w:firstLine="382"/>
        <w:spacing w:after="0" w:line="260" w:lineRule="auto"/>
        <w:rPr>
          <w:sz w:val="20"/>
          <w:szCs w:val="20"/>
          <w:color w:val="auto"/>
        </w:rPr>
      </w:pPr>
      <w:r>
        <w:rPr>
          <w:rFonts w:ascii="Arial" w:cs="Arial" w:eastAsia="Arial" w:hAnsi="Arial"/>
          <w:sz w:val="14"/>
          <w:szCs w:val="14"/>
          <w:color w:val="auto"/>
        </w:rPr>
        <w:t>The Torii Agreement provides that we are entitled to receive tiered royalty payments, the amounts of which will depend upon the amount of annual net sales of ORLADEYO in Japan during each calendar year and other factors. We currently remain responsible for regulatory activities with respect to ORLADEYO in Japan, and we continue to use third parties to satisfy many of our obligations under the Torii Agreement, including but not limited to our regulatory and other responsibilities in Japan. If our interactions, or those of our third-party agents, are unsuccessful, we could fail to meet our obligations under the Torii Agreement, which could negatively impact the commercial success and the partnership, impact the economic benefit expected or require additional development of ORLADEYO.</w:t>
      </w:r>
    </w:p>
    <w:p>
      <w:pPr>
        <w:spacing w:after="0" w:line="125" w:lineRule="exact"/>
        <w:rPr>
          <w:sz w:val="20"/>
          <w:szCs w:val="20"/>
          <w:color w:val="auto"/>
        </w:rPr>
      </w:pPr>
    </w:p>
    <w:p>
      <w:pPr>
        <w:jc w:val="both"/>
        <w:ind w:right="80" w:firstLine="382"/>
        <w:spacing w:after="0" w:line="267" w:lineRule="auto"/>
        <w:rPr>
          <w:sz w:val="20"/>
          <w:szCs w:val="20"/>
          <w:color w:val="auto"/>
        </w:rPr>
      </w:pPr>
      <w:r>
        <w:rPr>
          <w:rFonts w:ascii="Arial" w:cs="Arial" w:eastAsia="Arial" w:hAnsi="Arial"/>
          <w:sz w:val="14"/>
          <w:szCs w:val="14"/>
          <w:color w:val="auto"/>
        </w:rPr>
        <w:t>Torii may terminate the Torii Agreement under certain limited circumstances, including upon one year’s written notice after the sixth anniversary of the first commercial sale of ORLADEYO in Japan. If the Torii Agreement is terminated in connection with these provisions, we will no longer be entitled to receive any milestone or royalty payments thereunder, which could have a material adverse impact on our business and results of operations.</w:t>
      </w:r>
    </w:p>
    <w:p>
      <w:pPr>
        <w:spacing w:after="0" w:line="110"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Torii has sole control over, and decision-making authority with respect to, commercialization activities for ORLADEYO for the prevention of HAE attacks in Japan, subject to oversight from a joint steering committee. Therefore, our receipt, and the amounts, of any royalty payments under the Torii Agreement are dependent upon Torii’s successful performance of such commercialization activities. In addition, competitive products and variations in patient demand, prescription levels, reimbursement determinations or other factors may limit the commercial potential of ORLADEYO in Japan, which could materially reduce the amount of any royalties we are entitled to receive under the Torii Agreement.</w:t>
      </w:r>
    </w:p>
    <w:p>
      <w:pPr>
        <w:spacing w:after="0" w:line="114" w:lineRule="exact"/>
        <w:rPr>
          <w:sz w:val="20"/>
          <w:szCs w:val="20"/>
          <w:color w:val="auto"/>
        </w:rPr>
      </w:pPr>
    </w:p>
    <w:p>
      <w:pPr>
        <w:ind w:right="140" w:firstLine="382"/>
        <w:spacing w:after="0" w:line="267" w:lineRule="auto"/>
        <w:rPr>
          <w:sz w:val="20"/>
          <w:szCs w:val="20"/>
          <w:color w:val="auto"/>
        </w:rPr>
      </w:pPr>
      <w:r>
        <w:rPr>
          <w:rFonts w:ascii="Arial" w:cs="Arial" w:eastAsia="Arial" w:hAnsi="Arial"/>
          <w:sz w:val="14"/>
          <w:szCs w:val="14"/>
          <w:color w:val="auto"/>
        </w:rPr>
        <w:t>Under the Torii Agreement, we are responsible for supplying Torii with its required amounts of ORLADEYO for commercial sale. If, due to the failure of our third-party contract manufacturers to produce sufficient drug product, we fail to supply to Torii the required amounts of ORLADEYO, then Torii’s ability to successfully commercialize ORLADEYO in Japan could be materially impaired, and we may receive less royalty income under the Torii Agreement, or none at all.</w:t>
      </w:r>
    </w:p>
    <w:p>
      <w:pPr>
        <w:spacing w:after="0" w:line="120"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Any of the foregoing risks could materially adversely impact our ability to perform our obligations under the Torii Agreement, which could materially reduce the economic benefits of the Torii Agreement to us and impair or result in the termination of our collaboration with Torii.</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auto"/>
        </w:rPr>
        <w:t>There can be no assurance that our or our partners’ commercialization efforts, methods, and strategies for our products or technologies will succeed, and our future revenue generation is uncertain.</w:t>
      </w:r>
    </w:p>
    <w:p>
      <w:pPr>
        <w:spacing w:after="0" w:line="111" w:lineRule="exact"/>
        <w:rPr>
          <w:sz w:val="20"/>
          <w:szCs w:val="20"/>
          <w:color w:val="auto"/>
        </w:rPr>
      </w:pPr>
    </w:p>
    <w:p>
      <w:pPr>
        <w:ind w:firstLine="382"/>
        <w:spacing w:after="0" w:line="368" w:lineRule="auto"/>
        <w:rPr>
          <w:sz w:val="20"/>
          <w:szCs w:val="20"/>
          <w:color w:val="auto"/>
        </w:rPr>
      </w:pPr>
      <w:r>
        <w:rPr>
          <w:rFonts w:ascii="Arial" w:cs="Arial" w:eastAsia="Arial" w:hAnsi="Arial"/>
          <w:sz w:val="12"/>
          <w:szCs w:val="12"/>
          <w:color w:val="auto"/>
        </w:rPr>
        <w:t>There can be no assurance that our and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54" w:lineRule="exact"/>
        <w:rPr>
          <w:sz w:val="20"/>
          <w:szCs w:val="20"/>
          <w:color w:val="auto"/>
        </w:rPr>
      </w:pPr>
    </w:p>
    <w:p>
      <w:pPr>
        <w:ind w:left="900" w:hanging="259"/>
        <w:spacing w:after="0"/>
        <w:tabs>
          <w:tab w:leader="none" w:pos="9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or our partners may fail to successfully complete clinical trials, or satisfy post-marketing commitments, sufficient to obtain and keep regulatory agency marketing approval;</w:t>
      </w:r>
    </w:p>
    <w:p>
      <w:pPr>
        <w:spacing w:after="0" w:line="30" w:lineRule="exact"/>
        <w:rPr>
          <w:rFonts w:ascii="Arial" w:cs="Arial" w:eastAsia="Arial" w:hAnsi="Arial"/>
          <w:sz w:val="13"/>
          <w:szCs w:val="13"/>
          <w:color w:val="auto"/>
        </w:rPr>
      </w:pPr>
    </w:p>
    <w:p>
      <w:pPr>
        <w:ind w:left="900" w:right="260" w:hanging="259"/>
        <w:spacing w:after="0" w:line="253" w:lineRule="auto"/>
        <w:tabs>
          <w:tab w:leader="none" w:pos="8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900" w:right="320" w:hanging="259"/>
        <w:spacing w:after="0" w:line="272" w:lineRule="auto"/>
        <w:tabs>
          <w:tab w:leader="none" w:pos="896"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ind w:left="900" w:hanging="259"/>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may fail to employ a comprehensive and effective regulatory strategy, which could result in a delay or failure in commercialization of our products;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and our partners’ ability to successfully commercialize our products is affected by the competitive landscape, which cannot be fully known at this time;</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revenue from product sales would depend on our ability to obtain and maintain favorable pricing;</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reimbursement is constantly changing, which could greatly affect usage of our products;</w:t>
      </w:r>
    </w:p>
    <w:p>
      <w:pPr>
        <w:spacing w:after="0" w:line="8" w:lineRule="exact"/>
        <w:rPr>
          <w:rFonts w:ascii="Arial" w:cs="Arial" w:eastAsia="Arial" w:hAnsi="Arial"/>
          <w:sz w:val="14"/>
          <w:szCs w:val="14"/>
          <w:color w:val="auto"/>
        </w:rPr>
      </w:pPr>
    </w:p>
    <w:p>
      <w:pPr>
        <w:ind w:left="900" w:right="560" w:hanging="259"/>
        <w:spacing w:after="0" w:line="253" w:lineRule="auto"/>
        <w:tabs>
          <w:tab w:leader="none" w:pos="8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future revenue from product sales would depend on our ability to successfully complete clinical studies, obtain regulatory approvals, and manufacture, market, distribute and commercialize our approved drugs; and</w:t>
      </w:r>
    </w:p>
    <w:p>
      <w:pPr>
        <w:ind w:left="900" w:hanging="259"/>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the COVID-19 pandemic on us or our partners.</w:t>
      </w:r>
    </w:p>
    <w:p>
      <w:pPr>
        <w:spacing w:after="0" w:line="136"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our pricing strategy, and market trends.</w:t>
      </w:r>
    </w:p>
    <w:p>
      <w:pPr>
        <w:spacing w:after="0" w:line="125" w:lineRule="exact"/>
        <w:rPr>
          <w:sz w:val="20"/>
          <w:szCs w:val="20"/>
          <w:color w:val="auto"/>
        </w:rPr>
      </w:pPr>
    </w:p>
    <w:p>
      <w:pPr>
        <w:ind w:right="220" w:firstLine="382"/>
        <w:spacing w:after="0" w:line="267" w:lineRule="auto"/>
        <w:rPr>
          <w:sz w:val="20"/>
          <w:szCs w:val="20"/>
          <w:color w:val="auto"/>
        </w:rPr>
      </w:pPr>
      <w:r>
        <w:rPr>
          <w:rFonts w:ascii="Arial" w:cs="Arial" w:eastAsia="Arial" w:hAnsi="Arial"/>
          <w:sz w:val="14"/>
          <w:szCs w:val="14"/>
          <w:color w:val="auto"/>
        </w:rPr>
        <w:t>Even if we are able to successfully commercialize our existing products, or to develop new commercially viable products, certain obligations we have to third parties, including, without limitation, our obligations to pay royalties on certain revenues from ORLADEYO, BCX9930, and another earlier stage Factor D inhibitor under the Royalty Purchase Agreements may reduce the profitability of such products.</w:t>
      </w:r>
    </w:p>
    <w:p>
      <w:pPr>
        <w:spacing w:after="0" w:line="110"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We expect to continue expanding our development and regulatory capabilities and implementing sales, marketing and distribution capabilities, and as a result, we may encounter difficulties in managing our growth, which could disrupt our operations.</w:t>
      </w:r>
    </w:p>
    <w:p>
      <w:pPr>
        <w:spacing w:after="0" w:line="100" w:lineRule="exact"/>
        <w:rPr>
          <w:sz w:val="20"/>
          <w:szCs w:val="20"/>
          <w:color w:val="auto"/>
        </w:rPr>
      </w:pPr>
    </w:p>
    <w:p>
      <w:pPr>
        <w:ind w:right="80" w:firstLine="382"/>
        <w:spacing w:after="0" w:line="279" w:lineRule="auto"/>
        <w:rPr>
          <w:sz w:val="20"/>
          <w:szCs w:val="20"/>
          <w:color w:val="auto"/>
        </w:rPr>
      </w:pPr>
      <w:r>
        <w:rPr>
          <w:rFonts w:ascii="Arial" w:cs="Arial" w:eastAsia="Arial" w:hAnsi="Arial"/>
          <w:sz w:val="13"/>
          <w:szCs w:val="13"/>
          <w:color w:val="auto"/>
        </w:rPr>
        <w:t>We expect to continue experiencing significant growth in the number of our employees and the scope of our operations, particularly in the areas of drug development, regulatory affairs, sales, marketing, and distribution. To manage our anticipated future growth, we must continue to implement and improve our managerial, operational and financial systems, expand our facilities and continue to recruit and train additional qualified personnel. For example, we expanded our internal commercial team in 2020 in preparation for the commercial launch of ORLADEYO, and we have continued to add additional headcount throughout 2021 and the first half of 2022. Due to our limited financial resources and the limited experience of our management team in managing a company with such anticipated growth, we may not be able to effectively manage the expansion of our operations or recruit, train, and retain additional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0"/>
        <w:spacing w:after="0" w:line="267" w:lineRule="auto"/>
        <w:rPr>
          <w:sz w:val="20"/>
          <w:szCs w:val="20"/>
          <w:color w:val="auto"/>
        </w:rPr>
      </w:pPr>
      <w:r>
        <w:rPr>
          <w:rFonts w:ascii="Arial" w:cs="Arial" w:eastAsia="Arial" w:hAnsi="Arial"/>
          <w:sz w:val="14"/>
          <w:szCs w:val="14"/>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20" w:lineRule="exact"/>
        <w:rPr>
          <w:sz w:val="20"/>
          <w:szCs w:val="20"/>
          <w:color w:val="auto"/>
        </w:rPr>
      </w:pPr>
    </w:p>
    <w:p>
      <w:pPr>
        <w:ind w:right="100" w:firstLine="382"/>
        <w:spacing w:after="0" w:line="260" w:lineRule="auto"/>
        <w:rPr>
          <w:sz w:val="20"/>
          <w:szCs w:val="20"/>
          <w:color w:val="auto"/>
        </w:rPr>
      </w:pPr>
      <w:r>
        <w:rPr>
          <w:rFonts w:ascii="Arial" w:cs="Arial" w:eastAsia="Arial" w:hAnsi="Arial"/>
          <w:sz w:val="14"/>
          <w:szCs w:val="14"/>
          <w:color w:val="auto"/>
        </w:rPr>
        <w:t>We depend on third-party vendors, including third-party manufacturers, distributors, and specialty pharmacies, in the manufacture and distribution of our products, product candidates, and the materials for our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which may be the only vendor we have engaged for a particular product or service or in a particular region, may encounter difficulties with meeting our requirements, including but not limited to problems involving, as applicable:</w:t>
      </w:r>
    </w:p>
    <w:p>
      <w:pPr>
        <w:spacing w:after="0" w:line="115" w:lineRule="exact"/>
        <w:rPr>
          <w:sz w:val="20"/>
          <w:szCs w:val="20"/>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insufficient resources being devoted in the manner necessary to satisfy our requirements within expected timeframes;</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inconsistent production yields;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product liability claims or recalls of commercial product;</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difficulties in scaling production to commercial and validation sizes;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interruption of the delivery of materials required for the manufacturing process;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failure to distribute commercial supplies of our products to commercial vendors or end users in a timely manner;</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scheduling of plant time with other vendors or unexpected equipment failure;</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potential catastrophes that could strike their facilities or have an effect on infrastructure;</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potential impurities in our drug substance or products that could affect availability of product for our clinical trials or future commercialization;</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poor quality control and assurance or inadequate process controls;</w:t>
      </w:r>
    </w:p>
    <w:p>
      <w:pPr>
        <w:spacing w:after="0" w:line="8" w:lineRule="exact"/>
        <w:rPr>
          <w:rFonts w:ascii="Arial" w:cs="Arial" w:eastAsia="Arial" w:hAnsi="Arial"/>
          <w:sz w:val="14"/>
          <w:szCs w:val="14"/>
          <w:color w:val="auto"/>
        </w:rPr>
      </w:pPr>
    </w:p>
    <w:p>
      <w:pPr>
        <w:ind w:left="900" w:right="40" w:hanging="259"/>
        <w:spacing w:after="0" w:line="253" w:lineRule="auto"/>
        <w:tabs>
          <w:tab w:leader="none" w:pos="8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failure to provide us with accurate or timely information regarding inventories, the number of patients who are using our products, or serious adverse events and/or product complaints regarding our products;</w:t>
      </w: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inability of third parties to satisfy their financial obligations to us or to others;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potential breach of the manufacturing or distribution agreement by the third party;</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possible termination or nonrenewal of a critical agreement by the third party at a time that is costly or inconvenient to us; and</w:t>
      </w:r>
    </w:p>
    <w:p>
      <w:pPr>
        <w:spacing w:after="0" w:line="8" w:lineRule="exact"/>
        <w:rPr>
          <w:rFonts w:ascii="Arial" w:cs="Arial" w:eastAsia="Arial" w:hAnsi="Arial"/>
          <w:sz w:val="14"/>
          <w:szCs w:val="14"/>
          <w:color w:val="auto"/>
        </w:rPr>
      </w:pPr>
    </w:p>
    <w:p>
      <w:pPr>
        <w:ind w:left="900" w:right="240" w:hanging="259"/>
        <w:spacing w:after="0" w:line="266" w:lineRule="auto"/>
        <w:tabs>
          <w:tab w:leader="none" w:pos="8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lack of compliance or cooperation with regulations and specifications or requests set forth by the FDA or other foreign regulatory agencies or local customs, particularly associated with ORLADEYO, BCX9930, BCX9250, galidesivir, peramivir and our early-stage compounds.</w:t>
      </w:r>
    </w:p>
    <w:p>
      <w:pPr>
        <w:spacing w:after="0" w:line="110"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color w:val="auto"/>
        </w:rPr>
        <w:t>Many additional factors could cause production or distribution interruptions with the manufacture and distribution of any of our products and product candidates, including human error, natural disasters, pandemics, labor disputes, acts of terrorism or war, equipment malfunctions, or raw material shortages. If our commercial distribution partners are not able to satisfy our requirements within the expected timeframe, or are unable to provide us with accurate or timely information and data, including inventories and sales, serious adverse events, and/or product complaints, our business, including our commercial launch and sales of ORLADEYO may be at risk. In addition, if specialty pharmacy services, including our third-party call center services, which provide patient support and financial services, prescription intake and distribution, reimbursement adjudication, and ongoing compliance support, is not effectively managed, the continuance of our commercial launch and sales of ORLADEYO may be delayed or compromised.</w:t>
      </w:r>
    </w:p>
    <w:p>
      <w:pPr>
        <w:spacing w:after="0" w:line="129"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00" w:firstLine="382"/>
        <w:spacing w:after="0" w:line="267" w:lineRule="auto"/>
        <w:rPr>
          <w:sz w:val="20"/>
          <w:szCs w:val="20"/>
          <w:color w:val="auto"/>
        </w:rPr>
      </w:pPr>
      <w:r>
        <w:rPr>
          <w:rFonts w:ascii="Arial" w:cs="Arial" w:eastAsia="Arial" w:hAnsi="Arial"/>
          <w:sz w:val="14"/>
          <w:szCs w:val="14"/>
          <w:color w:val="auto"/>
        </w:rPr>
        <w:t>If we are unable to maintain current third-party relationships, or enter into new agreements with additional third parties on commercially reasonable terms,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20"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100" w:lineRule="exact"/>
        <w:rPr>
          <w:sz w:val="20"/>
          <w:szCs w:val="20"/>
          <w:color w:val="auto"/>
        </w:rPr>
      </w:pPr>
    </w:p>
    <w:p>
      <w:pPr>
        <w:ind w:firstLine="382"/>
        <w:spacing w:after="0" w:line="321" w:lineRule="auto"/>
        <w:rPr>
          <w:sz w:val="20"/>
          <w:szCs w:val="20"/>
          <w:color w:val="auto"/>
        </w:rPr>
      </w:pPr>
      <w:r>
        <w:rPr>
          <w:rFonts w:ascii="Arial" w:cs="Arial" w:eastAsia="Arial" w:hAnsi="Arial"/>
          <w:sz w:val="13"/>
          <w:szCs w:val="13"/>
          <w:color w:val="auto"/>
        </w:rPr>
        <w:t>Commercialization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78" w:lineRule="exact"/>
        <w:rPr>
          <w:sz w:val="20"/>
          <w:szCs w:val="20"/>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products may not prove to be adequately safe and effective for market approval in markets other than the markets in which they are currently approved;</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necessary funding for post-marketing commitments and further development of our products may not be available timely, at all, or in sufficient amounts;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advances in competing products could substantially replace potential demand for our products;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government and third-party payors may not provide sufficient coverage or reimbursement, which would negatively impact the demand for our products;</w:t>
      </w:r>
    </w:p>
    <w:p>
      <w:pPr>
        <w:spacing w:after="0" w:line="8" w:lineRule="exact"/>
        <w:rPr>
          <w:rFonts w:ascii="Arial" w:cs="Arial" w:eastAsia="Arial" w:hAnsi="Arial"/>
          <w:sz w:val="14"/>
          <w:szCs w:val="14"/>
          <w:color w:val="auto"/>
        </w:rPr>
      </w:pPr>
    </w:p>
    <w:p>
      <w:pPr>
        <w:ind w:left="900" w:hanging="259"/>
        <w:spacing w:after="0" w:line="253" w:lineRule="auto"/>
        <w:tabs>
          <w:tab w:leader="none" w:pos="8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not be able to supply commercial material to our partners and our partners may not be able to maintain or establish sufficient and acceptable commercial manufacturing, either directly or through third-party manufacturers;</w:t>
      </w:r>
    </w:p>
    <w:p>
      <w:pPr>
        <w:ind w:left="900" w:right="80" w:hanging="259"/>
        <w:spacing w:after="0" w:line="253" w:lineRule="auto"/>
        <w:tabs>
          <w:tab w:leader="none" w:pos="8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effectiveness of marketing and commercialization efforts for our products by us or our partners;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market satisfaction with existing alternative therapies;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perceived efficacy relative to other available therapies;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disease prevalence;</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cost of treatment;</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pricing strategy may not be effective;</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pricing and availability of imports or alternative products;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marketing and sales activities of competitors;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shifts in the medical community to new treatment paradigms or standards of care; and</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relative convenience and ease of administration.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Relating to Competing in Our Industry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intense competition, and if we are unable to compete effectively, the demand for our products may be reduced.</w:t>
      </w:r>
    </w:p>
    <w:p>
      <w:pPr>
        <w:spacing w:after="0" w:line="147" w:lineRule="exact"/>
        <w:rPr>
          <w:sz w:val="20"/>
          <w:szCs w:val="20"/>
          <w:color w:val="auto"/>
        </w:rPr>
      </w:pPr>
    </w:p>
    <w:p>
      <w:pPr>
        <w:ind w:right="20" w:firstLine="382"/>
        <w:spacing w:after="0" w:line="278" w:lineRule="auto"/>
        <w:rPr>
          <w:sz w:val="20"/>
          <w:szCs w:val="20"/>
          <w:color w:val="auto"/>
        </w:rPr>
      </w:pPr>
      <w:r>
        <w:rPr>
          <w:rFonts w:ascii="Arial" w:cs="Arial" w:eastAsia="Arial" w:hAnsi="Arial"/>
          <w:sz w:val="13"/>
          <w:szCs w:val="13"/>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or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18" w:lineRule="exact"/>
        <w:rPr>
          <w:sz w:val="20"/>
          <w:szCs w:val="20"/>
          <w:color w:val="auto"/>
        </w:rPr>
      </w:pPr>
    </w:p>
    <w:p>
      <w:pPr>
        <w:ind w:left="900" w:hanging="259"/>
        <w:spacing w:after="0"/>
        <w:tabs>
          <w:tab w:leader="none" w:pos="9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drug development technologies;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900" w:hanging="259"/>
        <w:spacing w:after="0"/>
        <w:tabs>
          <w:tab w:leader="none" w:pos="9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methods of preventing or reducing the incidence of disease, including vaccines; and</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new small molecule or other classes of therapeutic agents.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Developments by others may render our products, product candidates, or technologies obsolete or noncompetitive.</w:t>
      </w:r>
    </w:p>
    <w:p>
      <w:pPr>
        <w:spacing w:after="0" w:line="157" w:lineRule="exact"/>
        <w:rPr>
          <w:sz w:val="20"/>
          <w:szCs w:val="20"/>
          <w:color w:val="auto"/>
        </w:rPr>
      </w:pPr>
    </w:p>
    <w:p>
      <w:pPr>
        <w:ind w:right="60" w:firstLine="382"/>
        <w:spacing w:after="0" w:line="276" w:lineRule="auto"/>
        <w:rPr>
          <w:sz w:val="20"/>
          <w:szCs w:val="20"/>
          <w:color w:val="auto"/>
        </w:rPr>
      </w:pPr>
      <w:r>
        <w:rPr>
          <w:rFonts w:ascii="Arial" w:cs="Arial" w:eastAsia="Arial" w:hAnsi="Arial"/>
          <w:sz w:val="13"/>
          <w:szCs w:val="13"/>
          <w:color w:val="auto"/>
        </w:rPr>
        <w:t>We received FDA approval of ORLADEYO, an oral, once-daily therapy for the prevention of HAE attacks in adults and pediatric patients 12 years and older, in December 2020. We subsequently received regulatory approvals for ORLADEYO in multiple global markets. In addition, we are performing research on or developing products for the treatment of several other rare diseases, including diseases of the complement system and FOP, as well as developing broad spectrum antivirals for use as medical countermeasures.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There are licensed therapies for HAE (including Berinert®, Haegarda®, Cinryze®, Kalbitor®, Takhzyro®, Firazyr® (icatibant), generic icatibant, and Ruconest®), therapies for certain complement-mediated diseases such as PNH, aHUS, myasthenia gravis, and neuromyelitis optica spectrum disorder (Soliris®, Ultomiris®, and Empaveli®), products for the prevention or treatment of influenza (seasonal flu vaccines, Tamiflu® (oseltamivir), generic oseltamivir, Relenza®, and Inavir®, favipiravir, and Xofluza®), and a number of additional products in clinical development in these therapeutic areas and for the treatment of FOP. In addition, various government entities throughout the world may offer incentives, grants and contracts to encourage additional investment into preventative and therapeutic agents against viruses such as influenza, coronavirus, Ebola, and others, which may have the effect of further increasing the number of our competitors and/or providing advantages to certain competitors. See “Business— Competition” in Part I, Item 1 of our most recent Annual Report on Form 10-K for further discussion of our competitors, competitive products or programs, and the competitive conditions in these and other therapeutic areas.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If one or more of our competitors’ products or programs, including potential competitors not currently identified, are successful, the market for our products may be reduced or eliminated.</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Compared to us, many of our competitors and potential competitors have substantially greater:</w:t>
      </w:r>
    </w:p>
    <w:p>
      <w:pPr>
        <w:spacing w:after="0" w:line="157" w:lineRule="exact"/>
        <w:rPr>
          <w:sz w:val="20"/>
          <w:szCs w:val="20"/>
          <w:color w:val="auto"/>
        </w:rPr>
      </w:pPr>
    </w:p>
    <w:p>
      <w:pPr>
        <w:ind w:left="900" w:hanging="259"/>
        <w:spacing w:after="0"/>
        <w:tabs>
          <w:tab w:leader="none" w:pos="9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capital resources;</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research and development resources, including personnel and technology;</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regulatory experience;</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preclinical study and clinical testing experience;</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manufacturing, marketing, and sales experience; and</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production facilities.</w:t>
      </w:r>
    </w:p>
    <w:p>
      <w:pPr>
        <w:spacing w:after="0" w:line="136"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Any of these competitive factors could impede our funding efforts, render our products, product candidates, or technologies noncompetitive or eliminate or reduce demand for our products and product candidates.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Legal and Regulatory Risks</w:t>
      </w:r>
    </w:p>
    <w:p>
      <w:pPr>
        <w:spacing w:after="0" w:line="157"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00"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Our and our partners’ activities related to approved products or, following their regulatory approval (if applicable), any of our product candidates under development, such as BCX9930, BCX9250, and galidesivir, are subject to regulatory and law enforcement authorities in the United States (including the FDA, the Federal Trade Commission, the Department of Justice (“DOJ”), and state and local governments) and their foreign equivalents (including the EMA, MHLW, MHRA, and others).</w:t>
      </w:r>
    </w:p>
    <w:p>
      <w:pPr>
        <w:spacing w:after="0" w:line="110"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382"/>
        <w:spacing w:after="0" w:line="276" w:lineRule="auto"/>
        <w:rPr>
          <w:sz w:val="20"/>
          <w:szCs w:val="20"/>
          <w:color w:val="auto"/>
        </w:rPr>
      </w:pPr>
      <w:r>
        <w:rPr>
          <w:rFonts w:ascii="Arial" w:cs="Arial" w:eastAsia="Arial" w:hAnsi="Arial"/>
          <w:sz w:val="13"/>
          <w:szCs w:val="13"/>
          <w:color w:val="auto"/>
        </w:rPr>
        <w:t>In addition, we are subject to the federal physician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and willingly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 The sunshine provisions apply to manufacturers with products reimbursed under certain government programs and require those manufacturers to disclose annually to the federal government certain payments made to physicians (defined to include doctors, dentists, optometrists, podiatrists and chiropractors) and teaching hospitals, as well as, ownership and investment interests held by physicians (as defined above) and their immediate family members. State laws may also require disclosure of pharmaceutical pricing information and marketing expenditures.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20" w:lineRule="exact"/>
        <w:rPr>
          <w:sz w:val="20"/>
          <w:szCs w:val="20"/>
          <w:color w:val="auto"/>
        </w:rPr>
      </w:pPr>
    </w:p>
    <w:p>
      <w:pPr>
        <w:ind w:right="40" w:firstLine="382"/>
        <w:spacing w:after="0" w:line="258" w:lineRule="auto"/>
        <w:rPr>
          <w:sz w:val="20"/>
          <w:szCs w:val="20"/>
          <w:color w:val="auto"/>
        </w:rPr>
      </w:pPr>
      <w:r>
        <w:rPr>
          <w:rFonts w:ascii="Arial" w:cs="Arial" w:eastAsia="Arial" w:hAnsi="Arial"/>
          <w:sz w:val="14"/>
          <w:szCs w:val="14"/>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18" w:lineRule="exact"/>
        <w:rPr>
          <w:sz w:val="20"/>
          <w:szCs w:val="20"/>
          <w:color w:val="auto"/>
        </w:rPr>
      </w:pPr>
    </w:p>
    <w:p>
      <w:pPr>
        <w:ind w:firstLine="382"/>
        <w:spacing w:after="0" w:line="282" w:lineRule="auto"/>
        <w:rPr>
          <w:sz w:val="20"/>
          <w:szCs w:val="20"/>
          <w:color w:val="auto"/>
        </w:rPr>
      </w:pPr>
      <w:r>
        <w:rPr>
          <w:rFonts w:ascii="Arial" w:cs="Arial" w:eastAsia="Arial" w:hAnsi="Arial"/>
          <w:sz w:val="13"/>
          <w:szCs w:val="13"/>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w:t>
      </w:r>
    </w:p>
    <w:p>
      <w:pPr>
        <w:spacing w:after="0" w:line="103" w:lineRule="exact"/>
        <w:rPr>
          <w:sz w:val="20"/>
          <w:szCs w:val="20"/>
          <w:color w:val="auto"/>
        </w:rPr>
      </w:pPr>
    </w:p>
    <w:p>
      <w:pPr>
        <w:ind w:right="40" w:firstLine="382"/>
        <w:spacing w:after="0" w:line="258" w:lineRule="auto"/>
        <w:rPr>
          <w:sz w:val="20"/>
          <w:szCs w:val="20"/>
          <w:color w:val="auto"/>
        </w:rPr>
      </w:pPr>
      <w:r>
        <w:rPr>
          <w:rFonts w:ascii="Arial" w:cs="Arial" w:eastAsia="Arial" w:hAnsi="Arial"/>
          <w:sz w:val="14"/>
          <w:szCs w:val="14"/>
          <w:color w:val="auto"/>
        </w:rPr>
        <w:t>Advertising and promotion are subject to stringent FDA rules and oversight, and as an NDA holder, we may be held responsible for any advertising and promotion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We are also required to engage in appropriate truthful, non-misleading, and non-promotional scientific exchange concerning our products, and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spacing w:after="0" w:line="129"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Adverse event information concerning approved products must be reviewed, and as an NDA-holder,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other divisions of the HHS, the DOJ and individual U.S. Attorney offices within the DOJ, state and local governments, and foreign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equivalents of the foregoing. All of these activities are also potentially subject to healthcare false claims and fraud and abuse laws, as well as consumer protection and unfair competition laws.</w:t>
      </w:r>
    </w:p>
    <w:p>
      <w:pPr>
        <w:spacing w:after="0" w:line="169"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color w:val="auto"/>
        </w:rPr>
        <w:t>If our operations with respect to our products that are subject to healthcare laws and regulations are found to be in violation of any of the healthcare fraud and abuse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118"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Our employees and consultants may engage in misconduct or other improper activities, including non-compliance with regulatory standards and requirements, which could cause significant liability for us and harm our reputation.</w:t>
      </w:r>
    </w:p>
    <w:p>
      <w:pPr>
        <w:spacing w:after="0" w:line="100" w:lineRule="exact"/>
        <w:rPr>
          <w:sz w:val="20"/>
          <w:szCs w:val="20"/>
          <w:color w:val="auto"/>
        </w:rPr>
      </w:pPr>
    </w:p>
    <w:p>
      <w:pPr>
        <w:ind w:firstLine="382"/>
        <w:spacing w:after="0" w:line="305" w:lineRule="auto"/>
        <w:rPr>
          <w:sz w:val="20"/>
          <w:szCs w:val="20"/>
          <w:color w:val="auto"/>
        </w:rPr>
      </w:pPr>
      <w:r>
        <w:rPr>
          <w:rFonts w:ascii="Arial" w:cs="Arial" w:eastAsia="Arial" w:hAnsi="Arial"/>
          <w:sz w:val="12"/>
          <w:szCs w:val="12"/>
          <w:color w:val="auto"/>
        </w:rPr>
        <w:t>We are subject to the risk of fraud or other misconduct by our employees and consultants, including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04"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We and our partners may be subject to new legislation, regulatory proposals and healthcare payor initiatives that may increase our costs of compliance and adversely affect our or our partners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ability to market and develop our products and product candidates, obtain collaborators and raise capital.</w:t>
      </w:r>
    </w:p>
    <w:p>
      <w:pPr>
        <w:spacing w:after="0" w:line="100" w:lineRule="exact"/>
        <w:rPr>
          <w:sz w:val="20"/>
          <w:szCs w:val="20"/>
          <w:color w:val="auto"/>
        </w:rPr>
      </w:pPr>
    </w:p>
    <w:p>
      <w:pPr>
        <w:ind w:right="40" w:firstLine="382"/>
        <w:spacing w:after="0" w:line="280" w:lineRule="auto"/>
        <w:rPr>
          <w:sz w:val="20"/>
          <w:szCs w:val="20"/>
          <w:color w:val="auto"/>
        </w:rPr>
      </w:pPr>
      <w:r>
        <w:rPr>
          <w:rFonts w:ascii="Arial" w:cs="Arial" w:eastAsia="Arial" w:hAnsi="Arial"/>
          <w:sz w:val="13"/>
          <w:szCs w:val="13"/>
          <w:color w:val="auto"/>
        </w:rPr>
        <w:t>The Patient Protection and Affordable Care Act (“PPACA”) made extensive changes to the delivery of healthcare in the United States. The PPACA included numerous provisions that affect pharmaceutical companies, some of which became effective immediately and others of which have taken effect over the past several years. For example, the PPACA expanded healthcare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United States, and an expansion of an existing program requiring pharmaceutical discounts to certain types of hospitals and federally subsidized clinics. The PPACA also contains cost containment measures that could reduce reimbursement levels for healthcare items and services generally, including pharmaceuticals. It also required reporting and public disclosure of payments and other transfers of value provided by pharmaceutical companies to physicians and teaching hospitals.</w:t>
      </w:r>
    </w:p>
    <w:p>
      <w:pPr>
        <w:spacing w:after="0" w:line="105" w:lineRule="exact"/>
        <w:rPr>
          <w:sz w:val="20"/>
          <w:szCs w:val="20"/>
          <w:color w:val="auto"/>
        </w:rPr>
      </w:pPr>
    </w:p>
    <w:p>
      <w:pPr>
        <w:ind w:right="100" w:firstLine="382"/>
        <w:spacing w:after="0" w:line="280" w:lineRule="auto"/>
        <w:rPr>
          <w:sz w:val="20"/>
          <w:szCs w:val="20"/>
          <w:color w:val="auto"/>
        </w:rPr>
      </w:pPr>
      <w:r>
        <w:rPr>
          <w:rFonts w:ascii="Arial" w:cs="Arial" w:eastAsia="Arial" w:hAnsi="Arial"/>
          <w:sz w:val="13"/>
          <w:szCs w:val="13"/>
          <w:color w:val="auto"/>
        </w:rPr>
        <w:t>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firstLine="382"/>
        <w:spacing w:after="0" w:line="313" w:lineRule="auto"/>
        <w:rPr>
          <w:sz w:val="20"/>
          <w:szCs w:val="20"/>
          <w:color w:val="auto"/>
        </w:rPr>
      </w:pPr>
      <w:r>
        <w:rPr>
          <w:rFonts w:ascii="Arial" w:cs="Arial" w:eastAsia="Arial" w:hAnsi="Arial"/>
          <w:sz w:val="12"/>
          <w:szCs w:val="12"/>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98" w:lineRule="exact"/>
        <w:rPr>
          <w:sz w:val="20"/>
          <w:szCs w:val="20"/>
          <w:color w:val="auto"/>
        </w:rPr>
      </w:pPr>
    </w:p>
    <w:p>
      <w:pPr>
        <w:ind w:firstLine="382"/>
        <w:spacing w:after="0" w:line="301" w:lineRule="auto"/>
        <w:rPr>
          <w:sz w:val="20"/>
          <w:szCs w:val="20"/>
          <w:color w:val="auto"/>
        </w:rPr>
      </w:pPr>
      <w:r>
        <w:rPr>
          <w:rFonts w:ascii="Arial" w:cs="Arial" w:eastAsia="Arial" w:hAnsi="Arial"/>
          <w:sz w:val="12"/>
          <w:szCs w:val="12"/>
          <w:color w:val="auto"/>
        </w:rPr>
        <w:t>Adequate coverage and reimbursement in the United States and other markets is critical to the commercial success of our approved products. Recently in the United States, there has been heightened governmental scrutiny over the manner in which manufacturers set prices for their marketed products, which has resulted in several Congressional inquiries and proposed bills designed to, among other things, reform government program reimbursement methodologies and establish certain government negotiated drug prices.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98"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We are subject to data security and privacy risks, and our actual or perceived failure to comply with regulations and other legal obligations related to privacy and data protection could harm our business.</w:t>
      </w:r>
    </w:p>
    <w:p>
      <w:pPr>
        <w:spacing w:after="0" w:line="100" w:lineRule="exact"/>
        <w:rPr>
          <w:sz w:val="20"/>
          <w:szCs w:val="20"/>
          <w:color w:val="auto"/>
        </w:rPr>
      </w:pPr>
    </w:p>
    <w:p>
      <w:pPr>
        <w:ind w:right="40" w:firstLine="382"/>
        <w:spacing w:after="0" w:line="257" w:lineRule="auto"/>
        <w:rPr>
          <w:sz w:val="20"/>
          <w:szCs w:val="20"/>
          <w:color w:val="auto"/>
        </w:rPr>
      </w:pPr>
      <w:r>
        <w:rPr>
          <w:rFonts w:ascii="Arial" w:cs="Arial" w:eastAsia="Arial" w:hAnsi="Arial"/>
          <w:sz w:val="14"/>
          <w:szCs w:val="14"/>
          <w:color w:val="auto"/>
        </w:rPr>
        <w:t>We are subject to legal obligations related to privacy and data protection. Compliance with U.S. and international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which gives California residents expanded rights to access and require deletion of their personal information, opt out of certain personal information sharing, and receive detailed information about how their personal information is used. We also may be subject to the General Data Protection Regulation (“GDPR”) in the European Economic Area (“EEA”) and similar legislation in the United Kingdom and Switzerland. See “Risks Relating to Our Business—Risks Relating to International Operations—Our actual or perceived failure to comply with European governmental regulations and other legal obligations related to privacy, data protection and information security could harm our business” in this section for additional discussion of international privacy laws and regulations. Failure to comply with these laws and regulations could result in government enforcement actions, private litigation, or harm to our reputation and our business.</w:t>
      </w:r>
    </w:p>
    <w:p>
      <w:pPr>
        <w:spacing w:after="0" w:line="127"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00" w:lineRule="exact"/>
        <w:rPr>
          <w:sz w:val="20"/>
          <w:szCs w:val="20"/>
          <w:color w:val="auto"/>
        </w:rPr>
      </w:pPr>
    </w:p>
    <w:p>
      <w:pPr>
        <w:ind w:right="40" w:firstLine="382"/>
        <w:spacing w:after="0" w:line="288" w:lineRule="auto"/>
        <w:rPr>
          <w:sz w:val="20"/>
          <w:szCs w:val="20"/>
          <w:color w:val="auto"/>
        </w:rPr>
      </w:pPr>
      <w:r>
        <w:rPr>
          <w:rFonts w:ascii="Arial" w:cs="Arial" w:eastAsia="Arial" w:hAnsi="Arial"/>
          <w:sz w:val="13"/>
          <w:szCs w:val="13"/>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Intellectual Property Risks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adequately protect or enforce our intellectual property rights or secure rights to patents of others, the value of those rights would diminish.</w:t>
      </w:r>
    </w:p>
    <w:p>
      <w:pPr>
        <w:spacing w:after="0" w:line="147" w:lineRule="exact"/>
        <w:rPr>
          <w:sz w:val="20"/>
          <w:szCs w:val="20"/>
          <w:color w:val="auto"/>
        </w:rPr>
      </w:pPr>
    </w:p>
    <w:p>
      <w:pPr>
        <w:ind w:right="20" w:firstLine="382"/>
        <w:spacing w:after="0" w:line="277" w:lineRule="auto"/>
        <w:rPr>
          <w:sz w:val="20"/>
          <w:szCs w:val="20"/>
          <w:color w:val="auto"/>
        </w:rPr>
      </w:pPr>
      <w:r>
        <w:rPr>
          <w:rFonts w:ascii="Arial" w:cs="Arial" w:eastAsia="Arial" w:hAnsi="Arial"/>
          <w:sz w:val="13"/>
          <w:szCs w:val="13"/>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07" w:lineRule="exact"/>
        <w:rPr>
          <w:sz w:val="20"/>
          <w:szCs w:val="20"/>
          <w:color w:val="auto"/>
        </w:rPr>
      </w:pPr>
    </w:p>
    <w:p>
      <w:pPr>
        <w:ind w:right="160" w:firstLine="382"/>
        <w:spacing w:after="0" w:line="267" w:lineRule="auto"/>
        <w:rPr>
          <w:sz w:val="20"/>
          <w:szCs w:val="20"/>
          <w:color w:val="auto"/>
        </w:rPr>
      </w:pPr>
      <w:r>
        <w:rPr>
          <w:rFonts w:ascii="Arial" w:cs="Arial" w:eastAsia="Arial" w:hAnsi="Arial"/>
          <w:sz w:val="14"/>
          <w:szCs w:val="14"/>
          <w:color w:val="auto"/>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20"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00" w:lineRule="exact"/>
        <w:rPr>
          <w:sz w:val="20"/>
          <w:szCs w:val="20"/>
          <w:color w:val="auto"/>
        </w:rPr>
      </w:pPr>
    </w:p>
    <w:p>
      <w:pPr>
        <w:ind w:firstLine="382"/>
        <w:spacing w:after="0" w:line="304" w:lineRule="auto"/>
        <w:rPr>
          <w:sz w:val="20"/>
          <w:szCs w:val="20"/>
          <w:color w:val="auto"/>
        </w:rPr>
      </w:pPr>
      <w:r>
        <w:rPr>
          <w:rFonts w:ascii="Arial" w:cs="Arial" w:eastAsia="Arial" w:hAnsi="Arial"/>
          <w:sz w:val="12"/>
          <w:szCs w:val="12"/>
          <w:color w:val="auto"/>
        </w:rPr>
        <w:t>Competitors may infringe or otherwise violate our patents, the patents of our licensors or our other intellectual property rights.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93" w:lineRule="exact"/>
        <w:rPr>
          <w:sz w:val="20"/>
          <w:szCs w:val="20"/>
          <w:color w:val="auto"/>
        </w:rPr>
      </w:pPr>
    </w:p>
    <w:p>
      <w:pPr>
        <w:ind w:right="60" w:firstLine="382"/>
        <w:spacing w:after="0" w:line="282" w:lineRule="auto"/>
        <w:rPr>
          <w:sz w:val="20"/>
          <w:szCs w:val="20"/>
          <w:color w:val="auto"/>
        </w:rPr>
      </w:pPr>
      <w:r>
        <w:rPr>
          <w:rFonts w:ascii="Arial" w:cs="Arial" w:eastAsia="Arial" w:hAnsi="Arial"/>
          <w:sz w:val="13"/>
          <w:szCs w:val="13"/>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applications, as appropriate. We have also filed certain trademark and trade name applications worldwide. We cannot assure you as to:</w:t>
      </w:r>
    </w:p>
    <w:p>
      <w:pPr>
        <w:spacing w:after="0" w:line="157" w:lineRule="exact"/>
        <w:rPr>
          <w:sz w:val="20"/>
          <w:szCs w:val="20"/>
          <w:color w:val="auto"/>
        </w:rPr>
      </w:pPr>
    </w:p>
    <w:p>
      <w:pPr>
        <w:ind w:left="900" w:hanging="259"/>
        <w:spacing w:after="0"/>
        <w:tabs>
          <w:tab w:leader="none" w:pos="9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degree and range of protection any patents will afford against competitors with similar products;</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if and when patents will issue;</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if patents do issue, we cannot be sure that we will be able to adequately defend such patents and whether or not we will be able to adequately enforce such patents; or</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whether or not others will obtain patents claiming aspects similar to those covered by our patent applications.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If the USPTO or other foreign patent office upholds patents issued to others or if the USPTO grants patent applications filed by others, we may have to:</w:t>
      </w:r>
    </w:p>
    <w:p>
      <w:pPr>
        <w:spacing w:after="0" w:line="147" w:lineRule="exact"/>
        <w:rPr>
          <w:sz w:val="20"/>
          <w:szCs w:val="20"/>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obtain licenses or redesign our products or processes to avoid infringement;</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stop using the subject matter claimed in those patents; or</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pay damages.</w:t>
      </w:r>
    </w:p>
    <w:p>
      <w:pPr>
        <w:spacing w:after="0" w:line="147" w:lineRule="exact"/>
        <w:rPr>
          <w:sz w:val="20"/>
          <w:szCs w:val="20"/>
          <w:color w:val="auto"/>
        </w:rPr>
      </w:pPr>
    </w:p>
    <w:p>
      <w:pPr>
        <w:ind w:firstLine="382"/>
        <w:spacing w:after="0" w:line="267" w:lineRule="auto"/>
        <w:rPr>
          <w:sz w:val="20"/>
          <w:szCs w:val="20"/>
          <w:color w:val="auto"/>
        </w:rPr>
      </w:pPr>
      <w:r>
        <w:rPr>
          <w:rFonts w:ascii="Arial" w:cs="Arial" w:eastAsia="Arial" w:hAnsi="Arial"/>
          <w:sz w:val="14"/>
          <w:szCs w:val="14"/>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spacing w:after="0" w:line="110" w:lineRule="exact"/>
        <w:rPr>
          <w:sz w:val="20"/>
          <w:szCs w:val="20"/>
          <w:color w:val="auto"/>
        </w:rPr>
      </w:pPr>
    </w:p>
    <w:p>
      <w:pPr>
        <w:ind w:firstLine="382"/>
        <w:spacing w:after="0" w:line="313" w:lineRule="auto"/>
        <w:rPr>
          <w:sz w:val="20"/>
          <w:szCs w:val="20"/>
          <w:color w:val="auto"/>
        </w:rPr>
      </w:pPr>
      <w:r>
        <w:rPr>
          <w:rFonts w:ascii="Arial" w:cs="Arial" w:eastAsia="Arial" w:hAnsi="Arial"/>
          <w:sz w:val="12"/>
          <w:szCs w:val="12"/>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Product Liability Risks</w:t>
      </w:r>
    </w:p>
    <w:p>
      <w:pPr>
        <w:spacing w:after="0" w:line="157"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00" w:lineRule="exact"/>
        <w:rPr>
          <w:sz w:val="20"/>
          <w:szCs w:val="20"/>
          <w:color w:val="auto"/>
        </w:rPr>
      </w:pPr>
    </w:p>
    <w:p>
      <w:pPr>
        <w:ind w:right="80" w:firstLine="382"/>
        <w:spacing w:after="0" w:line="284" w:lineRule="auto"/>
        <w:rPr>
          <w:sz w:val="20"/>
          <w:szCs w:val="20"/>
          <w:color w:val="auto"/>
        </w:rPr>
      </w:pPr>
      <w:r>
        <w:rPr>
          <w:rFonts w:ascii="Arial" w:cs="Arial" w:eastAsia="Arial" w:hAnsi="Arial"/>
          <w:sz w:val="13"/>
          <w:szCs w:val="13"/>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02" w:lineRule="exact"/>
        <w:rPr>
          <w:sz w:val="20"/>
          <w:szCs w:val="20"/>
          <w:color w:val="auto"/>
        </w:rPr>
      </w:pPr>
    </w:p>
    <w:p>
      <w:pPr>
        <w:ind w:right="80" w:firstLine="382"/>
        <w:spacing w:after="0" w:line="260" w:lineRule="auto"/>
        <w:rPr>
          <w:sz w:val="20"/>
          <w:szCs w:val="20"/>
          <w:color w:val="auto"/>
        </w:rPr>
      </w:pPr>
      <w:r>
        <w:rPr>
          <w:rFonts w:ascii="Arial" w:cs="Arial" w:eastAsia="Arial" w:hAnsi="Arial"/>
          <w:sz w:val="14"/>
          <w:szCs w:val="14"/>
          <w:color w:val="auto"/>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25" w:lineRule="exact"/>
        <w:rPr>
          <w:sz w:val="20"/>
          <w:szCs w:val="20"/>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liabilities that substantially exceed our product liability insurance, which we would then be required to pay from other sources, if available;</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 increase of our product liability insurance rates or the inability to maintain insurance coverage in the future on acceptable terms, or at all;</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900" w:hanging="25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withdrawal of clinical trial volunteers or patients;</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damage to our reputation and the reputation of our products, resulting in lower sales;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regulatory investigations that could require costly recalls or product modifications;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litigation costs; and</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diversion of management’s attention from managing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Relating to Contractual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risks related to our government-funded programs and are subject to various U.S. Government contract requirements, which may create a disadvantage and additional risks to us.</w:t>
      </w:r>
    </w:p>
    <w:p>
      <w:pPr>
        <w:spacing w:after="0" w:line="170" w:lineRule="exact"/>
        <w:rPr>
          <w:sz w:val="20"/>
          <w:szCs w:val="20"/>
          <w:color w:val="auto"/>
        </w:rPr>
      </w:pPr>
    </w:p>
    <w:p>
      <w:pPr>
        <w:ind w:right="140" w:firstLine="382"/>
        <w:spacing w:after="0" w:line="260" w:lineRule="auto"/>
        <w:rPr>
          <w:sz w:val="20"/>
          <w:szCs w:val="20"/>
          <w:color w:val="auto"/>
        </w:rPr>
      </w:pPr>
      <w:r>
        <w:rPr>
          <w:rFonts w:ascii="Arial" w:cs="Arial" w:eastAsia="Arial" w:hAnsi="Arial"/>
          <w:sz w:val="14"/>
          <w:szCs w:val="14"/>
          <w:color w:val="auto"/>
        </w:rPr>
        <w:t>We have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 clauses for a cost-reimbursement research and development contract, which may limit our reimbursement or, if we are found to be in violation, could result in contract termination. If the U.S. Government terminates any of its contracts with us for its convenience, or if we default by failing to perform in accordance with the contract schedule and terms, this could have an adverse impact on the programs associated with such funding and could also adversely impact our cash flows and operations.</w:t>
      </w:r>
    </w:p>
    <w:p>
      <w:pPr>
        <w:spacing w:after="0" w:line="115" w:lineRule="exact"/>
        <w:rPr>
          <w:sz w:val="20"/>
          <w:szCs w:val="20"/>
          <w:color w:val="auto"/>
        </w:rPr>
      </w:pPr>
    </w:p>
    <w:p>
      <w:pPr>
        <w:ind w:right="520" w:firstLine="382"/>
        <w:spacing w:after="0" w:line="321" w:lineRule="auto"/>
        <w:rPr>
          <w:sz w:val="20"/>
          <w:szCs w:val="20"/>
          <w:color w:val="auto"/>
        </w:rPr>
      </w:pPr>
      <w:r>
        <w:rPr>
          <w:rFonts w:ascii="Arial" w:cs="Arial" w:eastAsia="Arial" w:hAnsi="Arial"/>
          <w:sz w:val="13"/>
          <w:szCs w:val="13"/>
          <w:color w:val="auto"/>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spacing w:after="0" w:line="88" w:lineRule="exact"/>
        <w:rPr>
          <w:sz w:val="20"/>
          <w:szCs w:val="20"/>
          <w:color w:val="auto"/>
        </w:rPr>
      </w:pPr>
    </w:p>
    <w:p>
      <w:pPr>
        <w:ind w:left="900" w:hanging="259"/>
        <w:spacing w:after="0"/>
        <w:tabs>
          <w:tab w:leader="none" w:pos="9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terminate or reduce the scope of our contract with or without cause;</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interpret relevant regulations (federal acquisition regulation clauses);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require performance under circumstances which may not be favorable to us;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require an in-process review where the U.S. Government will review the project and its options under the contract;</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control the timing and amount of funding, which impacts the development progress of our programs; and</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audit and object to our contract-related costs and fees, including allocated indirect costs.</w:t>
      </w:r>
    </w:p>
    <w:p>
      <w:pPr>
        <w:spacing w:after="0" w:line="136" w:lineRule="exact"/>
        <w:rPr>
          <w:sz w:val="20"/>
          <w:szCs w:val="20"/>
          <w:color w:val="auto"/>
        </w:rPr>
      </w:pPr>
    </w:p>
    <w:p>
      <w:pPr>
        <w:ind w:right="140" w:firstLine="382"/>
        <w:spacing w:after="0" w:line="282" w:lineRule="auto"/>
        <w:rPr>
          <w:sz w:val="20"/>
          <w:szCs w:val="20"/>
          <w:color w:val="auto"/>
        </w:rPr>
      </w:pPr>
      <w:r>
        <w:rPr>
          <w:rFonts w:ascii="Arial" w:cs="Arial" w:eastAsia="Arial" w:hAnsi="Arial"/>
          <w:sz w:val="13"/>
          <w:szCs w:val="13"/>
          <w:color w:val="auto"/>
        </w:rPr>
        <w:t>The U.S. Government may terminate its contracts with us either for its convenience or if we default by failing to perform in accordance with the contract schedule and terms. Termination for convenience provisions generally enable us to recover only our costs incurred or committed, and settlement expenses and profit on the work completed prior to termination. Termination does not permit these recoveries under default provisions. In the event of termination or upon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 Further, if the U.S. Government terminates its contracts with us for its convenience, or if we default by failing to perform in accordance with the contract schedule and terms, this could have an adverse impact on our cash flows and operations.</w:t>
      </w:r>
    </w:p>
    <w:p>
      <w:pPr>
        <w:spacing w:after="0" w:line="103" w:lineRule="exact"/>
        <w:rPr>
          <w:sz w:val="20"/>
          <w:szCs w:val="20"/>
          <w:color w:val="auto"/>
        </w:rPr>
      </w:pPr>
    </w:p>
    <w:p>
      <w:pPr>
        <w:jc w:val="both"/>
        <w:ind w:right="40" w:firstLine="382"/>
        <w:spacing w:after="0" w:line="301" w:lineRule="auto"/>
        <w:rPr>
          <w:sz w:val="20"/>
          <w:szCs w:val="20"/>
          <w:color w:val="auto"/>
        </w:rPr>
      </w:pPr>
      <w:r>
        <w:rPr>
          <w:rFonts w:ascii="Arial" w:cs="Arial" w:eastAsia="Arial" w:hAnsi="Arial"/>
          <w:sz w:val="12"/>
          <w:szCs w:val="12"/>
          <w:color w:val="auto"/>
        </w:rPr>
        <w:t>As a U.S. Government contractor, we are required to comply with applicable laws, regulations and standards relating to our accounting practices and are subject to periodic audits and reviews. As part of any such audit or review, the U.S. Government may review the adequacy of, and our compliance with, our internal control systems and policies, including those relating to our purchasing, property, estimating, compensation and management information systems. Audits under the active BARDA/HHS and NIAID/HHS galidesivir contracts may occur at the election of the U.S.</w:t>
      </w:r>
    </w:p>
    <w:p>
      <w:pPr>
        <w:spacing w:after="0" w:line="277" w:lineRule="auto"/>
        <w:rPr>
          <w:sz w:val="20"/>
          <w:szCs w:val="20"/>
          <w:color w:val="auto"/>
        </w:rPr>
      </w:pPr>
      <w:r>
        <w:rPr>
          <w:rFonts w:ascii="Arial" w:cs="Arial" w:eastAsia="Arial" w:hAnsi="Arial"/>
          <w:sz w:val="13"/>
          <w:szCs w:val="13"/>
          <w:color w:val="auto"/>
        </w:rPr>
        <w:t>Government and have been concluded through fiscal 2019; all subsequent fiscal years are still open and auditable. Based on the results of its audits, the U.S. Government may adjust our contract-related costs and fees, including allocated indirect costs. This adjustment could impact the amount of revenues reported on a historic basis and could impact our cash flows under the contracts prospectively.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termination of our contracts,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investigations, criminal prosecution, civil fraud, whistleblower lawsuits and other legal actions and liabilities as compared to private sector commercial companies.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risks related to the potential government use or sale of our antivirals.</w:t>
      </w:r>
    </w:p>
    <w:p>
      <w:pPr>
        <w:spacing w:after="0" w:line="147"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Government use or sale, in emergency situations or otherwise, of our antivirals (including peramivir for the treatment of influenza) may result in risks to us or our collaborative partners. There can be no assurance that government use of our antivirals (whether as indicated or outside of their current indications) will prove to be generally safe, well-tolerated and effective. Any government sale or use (on an emergency basis or otherwise) of our antivirals in any country may create liabilities for us or our partners.</w:t>
      </w:r>
    </w:p>
    <w:p>
      <w:pPr>
        <w:spacing w:after="0" w:line="110" w:lineRule="exact"/>
        <w:rPr>
          <w:sz w:val="20"/>
          <w:szCs w:val="20"/>
          <w:color w:val="auto"/>
        </w:rPr>
      </w:pPr>
    </w:p>
    <w:p>
      <w:pPr>
        <w:ind w:right="80" w:firstLine="382"/>
        <w:spacing w:after="0" w:line="260" w:lineRule="auto"/>
        <w:rPr>
          <w:sz w:val="20"/>
          <w:szCs w:val="20"/>
          <w:color w:val="auto"/>
        </w:rPr>
      </w:pPr>
      <w:r>
        <w:rPr>
          <w:rFonts w:ascii="Arial" w:cs="Arial" w:eastAsia="Arial" w:hAnsi="Arial"/>
          <w:sz w:val="14"/>
          <w:szCs w:val="14"/>
          <w:color w:val="auto"/>
        </w:rPr>
        <w:t>In September 2018, we entered into a contract with the U.S. Government for the procurement of up to 50,000 doses of RAPIVAB (peramivir injection) over a five-year period. In addition, we are working with NIAID/HHS to further develop galidesivir. There can be no assurance that we or our manufacturers will be able to fully meet the demand for such antivirals with respect to these or future arrangements. Further, we may not receive a favorable purchase price for future orders, if any, of our antivirals by governmental entities. Our competitors may develop products that could compete with or replace any antivirals selected for government sale or use. We may face competition in markets where we have no existing intellectual property protection or are unable to successfully enforce our intellectual property rights.</w:t>
      </w:r>
    </w:p>
    <w:p>
      <w:pPr>
        <w:spacing w:after="0" w:line="125" w:lineRule="exact"/>
        <w:rPr>
          <w:sz w:val="20"/>
          <w:szCs w:val="20"/>
          <w:color w:val="auto"/>
        </w:rPr>
      </w:pPr>
    </w:p>
    <w:p>
      <w:pPr>
        <w:ind w:right="100" w:firstLine="382"/>
        <w:spacing w:after="0" w:line="262" w:lineRule="auto"/>
        <w:rPr>
          <w:sz w:val="20"/>
          <w:szCs w:val="20"/>
          <w:color w:val="auto"/>
        </w:rPr>
      </w:pPr>
      <w:r>
        <w:rPr>
          <w:rFonts w:ascii="Arial" w:cs="Arial" w:eastAsia="Arial" w:hAnsi="Arial"/>
          <w:sz w:val="14"/>
          <w:szCs w:val="14"/>
          <w:color w:val="auto"/>
        </w:rPr>
        <w:t>There can be no assurance that the non-U.S. partnerships that we have entered into for peramivir will result in any order for peramivir in those countries or that peramivir will be approved for any use or will achieve market approval in additional countries. There can be no assurance that galidesivir will be approved for use in any countries. In the event that any emergency use or market approval is granted in any country, there can be no assurance that any government order or commercialization of the applicable product or product candidate in such countries will be substantial or will be profitable to us.</w:t>
      </w:r>
    </w:p>
    <w:p>
      <w:pPr>
        <w:spacing w:after="0" w:line="114"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If we fail to reach milestones or to make annual minimum payments or otherwise breach our obligations under our license agreements, our licensors may terminate our agreements with them and seek additional remedies.</w:t>
      </w:r>
    </w:p>
    <w:p>
      <w:pPr>
        <w:spacing w:after="0" w:line="100"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or seek other available remedies. As a result, our development of the respective product candidate or commercialization of the product would cease.</w:t>
      </w:r>
    </w:p>
    <w:p>
      <w:pPr>
        <w:spacing w:after="0" w:line="125"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Royalties and milestone payments, if any, from Shionogi under the Shionogi Agreement are required to be used by Royalty Sub to satisfy its obligations under its PhaRMA Notes, and generally will not be available to us for other purposes unless and until Royalty Sub has repaid in full its obligations under the PhaRMA Notes.</w:t>
      </w:r>
    </w:p>
    <w:p>
      <w:pPr>
        <w:spacing w:after="0" w:line="100" w:lineRule="exact"/>
        <w:rPr>
          <w:sz w:val="20"/>
          <w:szCs w:val="20"/>
          <w:color w:val="auto"/>
        </w:rPr>
      </w:pPr>
    </w:p>
    <w:p>
      <w:pPr>
        <w:ind w:firstLine="382"/>
        <w:spacing w:after="0" w:line="256" w:lineRule="auto"/>
        <w:rPr>
          <w:sz w:val="20"/>
          <w:szCs w:val="20"/>
          <w:color w:val="auto"/>
        </w:rPr>
      </w:pPr>
      <w:r>
        <w:rPr>
          <w:rFonts w:ascii="Arial" w:cs="Arial" w:eastAsia="Arial" w:hAnsi="Arial"/>
          <w:sz w:val="14"/>
          <w:szCs w:val="14"/>
          <w:color w:val="auto"/>
        </w:rPr>
        <w:t>In March 2011, our wholly-owned subsidiary, Royalty Sub, issued $30.0 million in aggregate principal amount of PhaRMA Notes. The PhaRMA Notes are secured principally by (i) certain royalty and milestone payments under the Shionogi Agreement, pursuant to which Shionogi licensed from us the rights to market peramivir in Japan and Taiwan and (ii) the pledge by us of our equity interest in Royalty Sub. Payments, if any, from Shionogi to us on non-governmental sales under the Shionogi Agreement will generally not be available to us for other purposes unless and until Royalty Sub has repaid in full its obligations under the PhaRMA Notes. Accordingly, these funds have been and will continue to be required to be dedicated to Royalty Sub’s debt service and not available to us for product development or other purposes. Since September 1, 2014, payments from Shionogi have been insufficient for Royalty Sub to service its obligations under the PhaRMA Notes, resulting in a continuing event of default with respect to the PhaRMA Notes since that time. As a result of the continuing event of default,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spacing w:after="0" w:line="120" w:lineRule="exact"/>
        <w:rPr>
          <w:sz w:val="20"/>
          <w:szCs w:val="20"/>
          <w:color w:val="auto"/>
        </w:rPr>
      </w:pPr>
    </w:p>
    <w:p>
      <w:pPr>
        <w:ind w:right="60" w:firstLine="382"/>
        <w:spacing w:after="0" w:line="262" w:lineRule="auto"/>
        <w:rPr>
          <w:sz w:val="20"/>
          <w:szCs w:val="20"/>
          <w:color w:val="auto"/>
        </w:rPr>
      </w:pPr>
      <w:r>
        <w:rPr>
          <w:rFonts w:ascii="Arial" w:cs="Arial" w:eastAsia="Arial" w:hAnsi="Arial"/>
          <w:sz w:val="14"/>
          <w:szCs w:val="14"/>
          <w:color w:val="auto"/>
        </w:rPr>
        <w:t>The PhaRMA Notes had a final legal maturity date of December 1, 2020, at which time the outstanding principal amount of the PhaRMA Notes of $30.0 million, together with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spacing w:after="0" w:line="120" w:lineRule="exact"/>
        <w:rPr>
          <w:sz w:val="20"/>
          <w:szCs w:val="20"/>
          <w:color w:val="auto"/>
        </w:rPr>
      </w:pPr>
    </w:p>
    <w:p>
      <w:pPr>
        <w:ind w:right="460" w:firstLine="382"/>
        <w:spacing w:after="0" w:line="321" w:lineRule="auto"/>
        <w:rPr>
          <w:sz w:val="20"/>
          <w:szCs w:val="20"/>
          <w:color w:val="auto"/>
        </w:rPr>
      </w:pPr>
      <w:r>
        <w:rPr>
          <w:rFonts w:ascii="Arial" w:cs="Arial" w:eastAsia="Arial" w:hAnsi="Arial"/>
          <w:sz w:val="13"/>
          <w:szCs w:val="13"/>
          <w:color w:val="auto"/>
        </w:rPr>
        <w:t>We wrote off the balance due under the PhaRMA Notes to other income as a debt extinguishment as of December 31, 2021. See “Note 6—Royalty Monetizations—RAPIACTA—Non-Recourse Notes Payable−Debt Extinguishment” in the Notes to Consolidated Financial Statements in Part I, Item 1 of this report for additional information about the write-off.</w:t>
      </w:r>
    </w:p>
    <w:p>
      <w:pPr>
        <w:spacing w:after="0" w:line="78"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spacing w:after="0" w:line="110" w:lineRule="exact"/>
        <w:rPr>
          <w:sz w:val="20"/>
          <w:szCs w:val="20"/>
          <w:color w:val="auto"/>
        </w:rPr>
      </w:pPr>
    </w:p>
    <w:p>
      <w:pPr>
        <w:ind w:firstLine="382"/>
        <w:spacing w:after="0" w:line="256" w:lineRule="auto"/>
        <w:rPr>
          <w:sz w:val="20"/>
          <w:szCs w:val="20"/>
          <w:color w:val="auto"/>
        </w:rPr>
      </w:pPr>
      <w:r>
        <w:rPr>
          <w:rFonts w:ascii="Arial" w:cs="Arial" w:eastAsia="Arial" w:hAnsi="Arial"/>
          <w:sz w:val="14"/>
          <w:szCs w:val="14"/>
          <w:color w:val="auto"/>
        </w:rPr>
        <w:t>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 In addition, the PhaRMA Notes had a final legal maturity date of December 1, 2020, at which time the outstanding principal amount of the PhaRMA Notes of $30.0 million, together with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spacing w:after="0" w:line="129" w:lineRule="exact"/>
        <w:rPr>
          <w:sz w:val="20"/>
          <w:szCs w:val="20"/>
          <w:color w:val="auto"/>
        </w:rPr>
      </w:pPr>
    </w:p>
    <w:p>
      <w:pPr>
        <w:ind w:right="460" w:firstLine="382"/>
        <w:spacing w:after="0" w:line="321" w:lineRule="auto"/>
        <w:rPr>
          <w:sz w:val="20"/>
          <w:szCs w:val="20"/>
          <w:color w:val="auto"/>
        </w:rPr>
      </w:pPr>
      <w:r>
        <w:rPr>
          <w:rFonts w:ascii="Arial" w:cs="Arial" w:eastAsia="Arial" w:hAnsi="Arial"/>
          <w:sz w:val="13"/>
          <w:szCs w:val="13"/>
          <w:color w:val="auto"/>
        </w:rPr>
        <w:t>We wrote off the balance due under the PhaRMA Notes to other income as a debt extinguishment as of December 31, 2021. See “Note 6—Royalty Monetizations—RAPIACTA—Non-Recourse Notes Payable−Debt Extinguishment” in the Notes to Consolidated Financial Statements in Part I, Item 1 of this report for additional information about the write-off.</w:t>
      </w:r>
    </w:p>
    <w:p>
      <w:pPr>
        <w:spacing w:after="0" w:line="78"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b w:val="1"/>
          <w:bCs w:val="1"/>
          <w:i w:val="1"/>
          <w:iCs w:val="1"/>
          <w:color w:val="auto"/>
        </w:rPr>
        <w:t>We have incurred significant indebtedness, which could adversely affect our business. Additionally, our Credit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spacing w:after="0" w:line="110" w:lineRule="exact"/>
        <w:rPr>
          <w:sz w:val="20"/>
          <w:szCs w:val="20"/>
          <w:color w:val="auto"/>
        </w:rPr>
      </w:pPr>
    </w:p>
    <w:p>
      <w:pPr>
        <w:ind w:right="100" w:firstLine="382"/>
        <w:spacing w:after="0" w:line="258" w:lineRule="auto"/>
        <w:rPr>
          <w:sz w:val="20"/>
          <w:szCs w:val="20"/>
          <w:color w:val="auto"/>
        </w:rPr>
      </w:pPr>
      <w:r>
        <w:rPr>
          <w:rFonts w:ascii="Arial" w:cs="Arial" w:eastAsia="Arial" w:hAnsi="Arial"/>
          <w:sz w:val="14"/>
          <w:szCs w:val="14"/>
          <w:color w:val="auto"/>
        </w:rPr>
        <w:t>As of June 30, 2022, we had an outstanding principal balance under our Credit Agreement of $150.8 million, inclusive of the quarterly PIK Interest Payments. The Term B Loan and the Term C Loan under the Credit Agreement were subsequently funded on July 29, 2022 in the aggregate principal amount of $75.0 million. We will be required to pay to Athyrium, for the account of the lenders, a make-whole premium plus certain fees set forth in the Credit Agreement in the event that we prepay or repay, or are required to prepay or repay, voluntarily or pursuant to a mandatory prepayment obligation under the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Term Loans under the Credit Agreement, in each case, subject to certain exceptions set forth in the Credit Agreement.</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indebtedness could have important consequences to our stockholders. For example, it:</w:t>
      </w:r>
    </w:p>
    <w:p>
      <w:pPr>
        <w:spacing w:after="0" w:line="147" w:lineRule="exact"/>
        <w:rPr>
          <w:sz w:val="20"/>
          <w:szCs w:val="20"/>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increases our vulnerability to adverse general economic or industry conditions;</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limits our flexibility in planning for, or reacting to, changes in our business or the industry in which we operate;</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makes us more vulnerable to increases in interest rates, as borrowings under our Credit Agreement are at variable rates;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900" w:hanging="259"/>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requires us to dedicate a portion of our cash flow from operations to interest payments, limiting the availability of cash for other purposes;</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limits our ability to obtain additional financing or refinancing in the future for working capital or other purposes; and</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places us at a competitive disadvantage compared to our competitors that have less indebtedness.</w:t>
      </w:r>
    </w:p>
    <w:p>
      <w:pPr>
        <w:spacing w:after="0" w:line="136"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Furthermore, our Credit Agreement contains various covenants that limit our ability to engage in specified types of transactions. Subject to certain exceptions, these covenants limit our ability to, among other things, grant certain types of liens on our assets; make certain investments; incur or assume certain debt;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w:t>
      </w:r>
    </w:p>
    <w:p>
      <w:pPr>
        <w:spacing w:after="0" w:line="125" w:lineRule="exact"/>
        <w:rPr>
          <w:sz w:val="20"/>
          <w:szCs w:val="20"/>
          <w:color w:val="auto"/>
        </w:rPr>
      </w:pPr>
    </w:p>
    <w:p>
      <w:pPr>
        <w:ind w:right="100" w:firstLine="382"/>
        <w:spacing w:after="0" w:line="319" w:lineRule="auto"/>
        <w:rPr>
          <w:sz w:val="20"/>
          <w:szCs w:val="20"/>
          <w:color w:val="auto"/>
        </w:rPr>
      </w:pPr>
      <w:r>
        <w:rPr>
          <w:rFonts w:ascii="Arial" w:cs="Arial" w:eastAsia="Arial" w:hAnsi="Arial"/>
          <w:sz w:val="12"/>
          <w:szCs w:val="12"/>
          <w:color w:val="auto"/>
        </w:rPr>
        <w:t>The Credit Agreement also contains certain financial covenants, including a minimum liquidity covenant that requires us to maintain at all times, as applicable, at least $15.0 million of unrestricted cash and cash equivalents if only the Term A Loan has been drawn; at least $20.0 million of unrestricted cash and cash equivalents if the Term B Loan has been drawn but the Term C Loan has not been drawn; and at least $15.0 million (or, in certain circumstances, $20.0 million) of unrestricted cash and cash equivalents if the Term C Loan has been drawn, subject to certain exceptions. In addition, as a result of drawing upon the Term C Loan, we are required to achieve certain minimum targets for consolidated net revenues from ORLADEYO sales in the United States.</w:t>
      </w:r>
    </w:p>
    <w:p>
      <w:pPr>
        <w:spacing w:after="0" w:line="83" w:lineRule="exact"/>
        <w:rPr>
          <w:sz w:val="20"/>
          <w:szCs w:val="20"/>
          <w:color w:val="auto"/>
        </w:rPr>
      </w:pPr>
    </w:p>
    <w:p>
      <w:pPr>
        <w:ind w:right="520" w:firstLine="382"/>
        <w:spacing w:after="0" w:line="281" w:lineRule="auto"/>
        <w:rPr>
          <w:sz w:val="20"/>
          <w:szCs w:val="20"/>
          <w:color w:val="auto"/>
        </w:rPr>
      </w:pPr>
      <w:r>
        <w:rPr>
          <w:rFonts w:ascii="Arial" w:cs="Arial" w:eastAsia="Arial" w:hAnsi="Arial"/>
          <w:sz w:val="14"/>
          <w:szCs w:val="14"/>
          <w:color w:val="auto"/>
        </w:rPr>
        <w:t>The covenants contained in the Credit Agreement could cause us to be unable to pursue business opportunities that we or our stockholders may consider beneficial without the lenders’ permission or without repaying all outstanding obligations under the Credit Agreement.</w:t>
      </w:r>
    </w:p>
    <w:p>
      <w:pPr>
        <w:spacing w:after="0" w:line="100" w:lineRule="exact"/>
        <w:rPr>
          <w:sz w:val="20"/>
          <w:szCs w:val="20"/>
          <w:color w:val="auto"/>
        </w:rPr>
      </w:pPr>
    </w:p>
    <w:p>
      <w:pPr>
        <w:ind w:firstLine="382"/>
        <w:spacing w:after="0" w:line="305" w:lineRule="auto"/>
        <w:rPr>
          <w:sz w:val="20"/>
          <w:szCs w:val="20"/>
          <w:color w:val="auto"/>
        </w:rPr>
      </w:pPr>
      <w:r>
        <w:rPr>
          <w:rFonts w:ascii="Arial" w:cs="Arial" w:eastAsia="Arial" w:hAnsi="Arial"/>
          <w:sz w:val="12"/>
          <w:szCs w:val="12"/>
          <w:color w:val="auto"/>
        </w:rPr>
        <w:t>A breach of any of these covenants could result in an event of default under the Credit Agreement. An event of default will also occur if, among other things, we fail to pay amounts due under the Credit Agreement, we fail to repay certain other indebtedness having an aggregate principal amount in excess of one percent of our borrowings under the Credit Agreement, a material adverse change in our business, assets, properties, liabilities, or condition occurs, or a material impairment of our ability to perform our obligations under the Credit Agreement occurs, we experience a change of control, certain negative regulatory events occur, including without limitation the loss of a required permit or a recall of a product, or we fail to make required payments under our Royalty Purchase Agreements. In the case of a continuing event of default under the Credit Agreement, the lenders under the Credit Agreement could elect to declare all amounts outstanding to be immediately due and payable, proceed against the collateral in which we granted to the lenders a security interest, or otherwise exercise the rights of a secured creditor. Amounts outstanding under the Credit Agreement are secured by a security interest in, subject to certain exceptions, substantially all of our assets. Because substantially all of our assets are pledged to secure the Credit Agreement obligations, our ability to incur additional secured indebtedness or to sell or dispose of assets to raise capital may be impaired, which could have an adverse effect on our financial flexibility.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Relating to International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International expansion of our business exposes us to business, legal, regulatory, political, operational, financial, and economic risks.</w:t>
      </w:r>
    </w:p>
    <w:p>
      <w:pPr>
        <w:spacing w:after="0" w:line="147" w:lineRule="exact"/>
        <w:rPr>
          <w:sz w:val="20"/>
          <w:szCs w:val="20"/>
          <w:color w:val="auto"/>
        </w:rPr>
      </w:pPr>
    </w:p>
    <w:p>
      <w:pPr>
        <w:ind w:right="60" w:firstLine="382"/>
        <w:spacing w:after="0" w:line="321" w:lineRule="auto"/>
        <w:rPr>
          <w:sz w:val="20"/>
          <w:szCs w:val="20"/>
          <w:color w:val="auto"/>
        </w:rPr>
      </w:pPr>
      <w:r>
        <w:rPr>
          <w:rFonts w:ascii="Arial" w:cs="Arial" w:eastAsia="Arial" w:hAnsi="Arial"/>
          <w:sz w:val="13"/>
          <w:szCs w:val="13"/>
          <w:color w:val="auto"/>
        </w:rPr>
        <w:t>Our business strategy includes international expansion, including the commercialization of products outside of the United States. We currently conduct clinical studies and regulatory activities and have hired, and expect to continue hiring, employees outside of the United States. Doing business internationally involves a number of risks, including but not limited to:</w:t>
      </w:r>
    </w:p>
    <w:p>
      <w:pPr>
        <w:spacing w:after="0" w:line="88" w:lineRule="exact"/>
        <w:rPr>
          <w:sz w:val="20"/>
          <w:szCs w:val="20"/>
          <w:color w:val="auto"/>
        </w:rPr>
      </w:pPr>
    </w:p>
    <w:p>
      <w:pPr>
        <w:ind w:left="900" w:right="280" w:hanging="259"/>
        <w:spacing w:after="0" w:line="260" w:lineRule="auto"/>
        <w:tabs>
          <w:tab w:leader="none" w:pos="896" w:val="left"/>
        </w:tabs>
        <w:numPr>
          <w:ilvl w:val="0"/>
          <w:numId w:val="29"/>
        </w:numPr>
        <w:rPr>
          <w:rFonts w:ascii="Arial" w:cs="Arial" w:eastAsia="Arial" w:hAnsi="Arial"/>
          <w:sz w:val="14"/>
          <w:szCs w:val="14"/>
          <w:color w:val="auto"/>
        </w:rPr>
      </w:pPr>
      <w:r>
        <w:rPr>
          <w:rFonts w:ascii="Arial" w:cs="Arial" w:eastAsia="Arial" w:hAnsi="Arial"/>
          <w:sz w:val="14"/>
          <w:szCs w:val="14"/>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900" w:hanging="259"/>
        <w:spacing w:after="0"/>
        <w:tabs>
          <w:tab w:leader="none" w:pos="9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introduction of new health authority requirements and/or changes in health authority expectations;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failure by us or our partners to obtain and maintain regulatory approvals for the use of our products in various countries;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complexities and difficulties in obtaining and maintaining protection for, and enforcing, our intellectual property;</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difficulties in staffing and managing foreign operations;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complexities associated with managing multiple payor reimbursement regimes, government payors, or patient self-pay systems;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900" w:hanging="259"/>
        <w:spacing w:after="0"/>
        <w:tabs>
          <w:tab w:leader="none" w:pos="9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limits on our ability to penetrate international markets;</w:t>
      </w:r>
    </w:p>
    <w:p>
      <w:pPr>
        <w:spacing w:after="0" w:line="19" w:lineRule="exact"/>
        <w:rPr>
          <w:rFonts w:ascii="Arial" w:cs="Arial" w:eastAsia="Arial" w:hAnsi="Arial"/>
          <w:sz w:val="14"/>
          <w:szCs w:val="14"/>
          <w:color w:val="auto"/>
        </w:rPr>
      </w:pPr>
    </w:p>
    <w:p>
      <w:pPr>
        <w:ind w:left="900" w:right="80" w:hanging="259"/>
        <w:spacing w:after="0" w:line="253" w:lineRule="auto"/>
        <w:tabs>
          <w:tab w:leader="none" w:pos="896"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financial risks, such as longer payment cycles, difficulty collecting accounts receivable, the impact of local and regional financial crises on demand and payment for our products, and exposure to foreign currency exchange rate fluctuations;</w:t>
      </w:r>
    </w:p>
    <w:p>
      <w:pPr>
        <w:ind w:left="900" w:right="260" w:hanging="259"/>
        <w:spacing w:after="0" w:line="253" w:lineRule="auto"/>
        <w:tabs>
          <w:tab w:leader="none" w:pos="896" w:val="left"/>
        </w:tabs>
        <w:numPr>
          <w:ilvl w:val="0"/>
          <w:numId w:val="30"/>
        </w:numPr>
        <w:rPr>
          <w:rFonts w:ascii="Arial" w:cs="Arial" w:eastAsia="Arial" w:hAnsi="Arial"/>
          <w:sz w:val="14"/>
          <w:szCs w:val="14"/>
          <w:color w:val="auto"/>
        </w:rPr>
      </w:pPr>
      <w:r>
        <w:rPr>
          <w:rFonts w:ascii="Arial" w:cs="Arial" w:eastAsia="Arial" w:hAnsi="Arial"/>
          <w:sz w:val="14"/>
          <w:szCs w:val="14"/>
          <w:color w:val="auto"/>
        </w:rPr>
        <w:t>natural disasters and political and economic instability, including wars (e.g., the conflict in Ukraine), terrorism, political unrest, results of certain elections and votes, actual or threatened public health emergencies and outbreak of disease (e.g., the ongoing COVID-19 pandemic), boycotts, adoption or expansion of government trade restrictions, and other business restrictions;</w:t>
      </w:r>
    </w:p>
    <w:p>
      <w:pPr>
        <w:ind w:left="900" w:hanging="259"/>
        <w:spacing w:after="0"/>
        <w:tabs>
          <w:tab w:leader="none" w:pos="9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certain expenses including, among others, expenses for travel, translation, and insurance;</w:t>
      </w:r>
    </w:p>
    <w:p>
      <w:pPr>
        <w:spacing w:after="0" w:line="8" w:lineRule="exact"/>
        <w:rPr>
          <w:rFonts w:ascii="Arial" w:cs="Arial" w:eastAsia="Arial" w:hAnsi="Arial"/>
          <w:sz w:val="14"/>
          <w:szCs w:val="14"/>
          <w:color w:val="auto"/>
        </w:rPr>
      </w:pPr>
    </w:p>
    <w:p>
      <w:pPr>
        <w:ind w:left="900" w:right="340" w:hanging="259"/>
        <w:spacing w:after="0" w:line="272" w:lineRule="auto"/>
        <w:tabs>
          <w:tab w:leader="none" w:pos="896"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ind w:left="900" w:right="140" w:hanging="259"/>
        <w:spacing w:after="0" w:line="266" w:lineRule="auto"/>
        <w:tabs>
          <w:tab w:leader="none" w:pos="896"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regulatory and compliance risks relating to doing business with any entity that is subject to sanctions administered by the Office of Foreign Assets Control of the U.S. Department of the Treasury.</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Any of these factors could significantly harm our future international expansion of operations and, consequently, our business and results of operations.</w:t>
      </w:r>
    </w:p>
    <w:p>
      <w:pPr>
        <w:spacing w:after="0" w:line="157"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14"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Our actual or perceived failure to comply with European governmental laws and regulations and other legal obligations related to privacy, data protection and information security could harm our business.</w:t>
      </w:r>
    </w:p>
    <w:p>
      <w:pPr>
        <w:spacing w:after="0" w:line="100" w:lineRule="exact"/>
        <w:rPr>
          <w:sz w:val="20"/>
          <w:szCs w:val="20"/>
          <w:color w:val="auto"/>
        </w:rPr>
      </w:pPr>
    </w:p>
    <w:p>
      <w:pPr>
        <w:ind w:right="20" w:firstLine="382"/>
        <w:spacing w:after="0" w:line="279" w:lineRule="auto"/>
        <w:rPr>
          <w:sz w:val="20"/>
          <w:szCs w:val="20"/>
          <w:color w:val="auto"/>
        </w:rPr>
      </w:pPr>
      <w:r>
        <w:rPr>
          <w:rFonts w:ascii="Arial" w:cs="Arial" w:eastAsia="Arial" w:hAnsi="Arial"/>
          <w:sz w:val="13"/>
          <w:szCs w:val="13"/>
          <w:color w:val="auto"/>
        </w:rPr>
        <w:t>EU member states, the United Kingdom, Switzerland and other countries have adopted data protection laws and regulations, which impose significant compliance obligations. For example, the GDPR imposes strict requirements on controllers and processors of personal data, including special protections for “special category data,” which includes health, biometric and genetic information of data subjects located in the EEA and, through incorporation in national legislation, the United Kingdom. Further, the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The GDPR and similar national legislation grant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and similar national legislation impose strict rules on the transfer of personal data out of the EEA, the United Kingdom, Switzerland, and other countries to the United States or other regions that have not been deemed to offer “adequate” privacy protections.</w:t>
      </w:r>
    </w:p>
    <w:p>
      <w:pPr>
        <w:spacing w:after="0" w:line="116"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Failure to comply with the requirements of the GDPR or related national data protection laws, which may deviate from the GDPR, may result in significant fines of up to 4% of global revenues, or €20.0 million, whichever is greater, and in addition to such fines, our failure to comply with the requirements of GDPR or similar national legislation may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w:t>
      </w:r>
    </w:p>
    <w:p>
      <w:pPr>
        <w:spacing w:after="0" w:line="119" w:lineRule="exact"/>
        <w:rPr>
          <w:sz w:val="20"/>
          <w:szCs w:val="20"/>
          <w:color w:val="auto"/>
        </w:rPr>
      </w:pPr>
    </w:p>
    <w:p>
      <w:pPr>
        <w:ind w:right="40" w:firstLine="382"/>
        <w:spacing w:after="0" w:line="331" w:lineRule="auto"/>
        <w:rPr>
          <w:sz w:val="20"/>
          <w:szCs w:val="20"/>
          <w:color w:val="auto"/>
        </w:rPr>
      </w:pPr>
      <w:r>
        <w:rPr>
          <w:rFonts w:ascii="Arial" w:cs="Arial" w:eastAsia="Arial" w:hAnsi="Arial"/>
          <w:sz w:val="12"/>
          <w:szCs w:val="12"/>
          <w:color w:val="auto"/>
        </w:rPr>
        <w:t>We are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20" w:lineRule="exact"/>
        <w:rPr>
          <w:sz w:val="20"/>
          <w:szCs w:val="20"/>
          <w:color w:val="auto"/>
        </w:rPr>
      </w:pPr>
    </w:p>
    <w:p>
      <w:pPr>
        <w:ind w:right="440"/>
        <w:spacing w:after="0" w:line="281" w:lineRule="auto"/>
        <w:rPr>
          <w:sz w:val="20"/>
          <w:szCs w:val="20"/>
          <w:color w:val="auto"/>
        </w:rPr>
      </w:pPr>
      <w:r>
        <w:rPr>
          <w:rFonts w:ascii="Arial" w:cs="Arial" w:eastAsia="Arial" w:hAnsi="Arial"/>
          <w:sz w:val="14"/>
          <w:szCs w:val="14"/>
          <w:b w:val="1"/>
          <w:bCs w:val="1"/>
          <w:i w:val="1"/>
          <w:iCs w:val="1"/>
          <w:color w:val="auto"/>
        </w:rPr>
        <w:t>The United Kingdom</w:t>
      </w:r>
      <w:r>
        <w:rPr>
          <w:rFonts w:ascii="Arial" w:cs="Arial" w:eastAsia="Arial" w:hAnsi="Arial"/>
          <w:sz w:val="14"/>
          <w:szCs w:val="14"/>
          <w:color w:val="auto"/>
        </w:rPr>
        <w:t>’</w:t>
      </w:r>
      <w:r>
        <w:rPr>
          <w:rFonts w:ascii="Arial" w:cs="Arial" w:eastAsia="Arial" w:hAnsi="Arial"/>
          <w:sz w:val="14"/>
          <w:szCs w:val="14"/>
          <w:b w:val="1"/>
          <w:bCs w:val="1"/>
          <w:i w:val="1"/>
          <w:iCs w:val="1"/>
          <w:color w:val="auto"/>
        </w:rPr>
        <w:t>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00"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color w:val="auto"/>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 future trade agreements between the United Kingdom and the European Union take effect in practice. Changes in United Kingdom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18"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spacing w:after="0" w:line="125"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Relating to Technology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facilities, or the facilities of our third-party vendors, incur damage or power is lost for a significant length of time, our business will suffer.</w:t>
      </w:r>
    </w:p>
    <w:p>
      <w:pPr>
        <w:spacing w:after="0" w:line="157" w:lineRule="exact"/>
        <w:rPr>
          <w:sz w:val="20"/>
          <w:szCs w:val="20"/>
          <w:color w:val="auto"/>
        </w:rPr>
      </w:pPr>
    </w:p>
    <w:p>
      <w:pPr>
        <w:ind w:right="400" w:firstLine="382"/>
        <w:spacing w:after="0" w:line="267" w:lineRule="auto"/>
        <w:rPr>
          <w:sz w:val="20"/>
          <w:szCs w:val="20"/>
          <w:color w:val="auto"/>
        </w:rPr>
      </w:pPr>
      <w:r>
        <w:rPr>
          <w:rFonts w:ascii="Arial" w:cs="Arial" w:eastAsia="Arial" w:hAnsi="Arial"/>
          <w:sz w:val="14"/>
          <w:szCs w:val="14"/>
          <w:color w:val="auto"/>
        </w:rPr>
        <w:t>We and our third-party vendors store commercial product, clinical and stability samples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10" w:lineRule="exact"/>
        <w:rPr>
          <w:sz w:val="20"/>
          <w:szCs w:val="20"/>
          <w:color w:val="auto"/>
        </w:rPr>
      </w:pPr>
    </w:p>
    <w:p>
      <w:pPr>
        <w:jc w:val="both"/>
        <w:ind w:right="120" w:firstLine="382"/>
        <w:spacing w:after="0" w:line="267" w:lineRule="auto"/>
        <w:rPr>
          <w:sz w:val="20"/>
          <w:szCs w:val="20"/>
          <w:color w:val="auto"/>
        </w:rPr>
      </w:pPr>
      <w:r>
        <w:rPr>
          <w:rFonts w:ascii="Arial" w:cs="Arial" w:eastAsia="Arial" w:hAnsi="Arial"/>
          <w:sz w:val="14"/>
          <w:szCs w:val="14"/>
          <w:color w:val="auto"/>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significant disruption in our information technology systems or a cybersecurity breach could adversely affect our business.</w:t>
      </w:r>
    </w:p>
    <w:p>
      <w:pPr>
        <w:spacing w:after="0" w:line="157"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We currently store most of our preclinical research data, our clinical data and our manufacturing data at our facilities. While we do store duplicate copies of most of our clinical data offsite and a significant portion of our data is included in regular backups of our systems, we could lose important data if our facilities incur damage, or if our vendor data systems fail, suffer damage or are destroyed.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Like other companies in our industry, our networks and infrastructure may be vulnerable to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Investing in Our Common Stock</w:t>
      </w:r>
    </w:p>
    <w:p>
      <w:pPr>
        <w:spacing w:after="0" w:line="151"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00" w:lineRule="exact"/>
        <w:rPr>
          <w:sz w:val="20"/>
          <w:szCs w:val="20"/>
          <w:color w:val="auto"/>
        </w:rPr>
      </w:pPr>
    </w:p>
    <w:p>
      <w:pPr>
        <w:jc w:val="both"/>
        <w:ind w:right="340" w:firstLine="382"/>
        <w:spacing w:after="0" w:line="267" w:lineRule="auto"/>
        <w:rPr>
          <w:sz w:val="20"/>
          <w:szCs w:val="20"/>
          <w:color w:val="auto"/>
        </w:rPr>
      </w:pPr>
      <w:r>
        <w:rPr>
          <w:rFonts w:ascii="Arial" w:cs="Arial" w:eastAsia="Arial" w:hAnsi="Arial"/>
          <w:sz w:val="14"/>
          <w:szCs w:val="14"/>
          <w:color w:val="auto"/>
        </w:rPr>
        <w:t>Some of our stockholders own greater than 5% of our outstanding common stock. Our top ten stockholders own close to 50%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has been, and is likely to continue to be, highly volatile, which could cause the value of an investment in our common stock to decline significantly.</w:t>
      </w:r>
    </w:p>
    <w:p>
      <w:pPr>
        <w:spacing w:after="0" w:line="147" w:lineRule="exact"/>
        <w:rPr>
          <w:sz w:val="20"/>
          <w:szCs w:val="20"/>
          <w:color w:val="auto"/>
        </w:rPr>
      </w:pPr>
    </w:p>
    <w:p>
      <w:pPr>
        <w:ind w:right="40" w:firstLine="382"/>
        <w:spacing w:after="0" w:line="262" w:lineRule="auto"/>
        <w:rPr>
          <w:sz w:val="20"/>
          <w:szCs w:val="20"/>
          <w:color w:val="auto"/>
        </w:rPr>
      </w:pPr>
      <w:r>
        <w:rPr>
          <w:rFonts w:ascii="Arial" w:cs="Arial" w:eastAsia="Arial" w:hAnsi="Arial"/>
          <w:sz w:val="14"/>
          <w:szCs w:val="14"/>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June 30, 2022, the 52-week range of the market price of our stock was from $7.61 to $19.99 per share. The following factors, in addition to other risk factors described in this section, may have, and in some cases have had, a significant impact on the market price of our common stock:</w:t>
      </w:r>
    </w:p>
    <w:p>
      <w:pPr>
        <w:spacing w:after="0" w:line="114" w:lineRule="exact"/>
        <w:rPr>
          <w:sz w:val="20"/>
          <w:szCs w:val="20"/>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announcements of technological innovations or new products by us or our competitors;</w:t>
      </w:r>
    </w:p>
    <w:p>
      <w:pPr>
        <w:spacing w:after="0" w:line="19"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developments or disputes concerning patents or proprietary rights;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additional dilution through sales of our common stock or other derivative securities;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status of new or existing licensing or collaborative agreements and government contracts;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announcements relating to the status of our programs;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developments and announcements regarding new and virulent strains of influenza;</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or our partners achieving or failing to achieve development milestones;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publicity regarding actual or potential medical results relating to products under development by us or our competitors;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publicity regarding certain public health concerns for which we are or may be developing treatments;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regulatory developments in both the United States and foreign countries;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public concern as to the safety of pharmaceutical products;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actual or anticipated fluctuations in our operating results;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financial estimates or recommendations by securities analysts;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 including developments in price control legislation;</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partnerships, joint ventures or capital commitments;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additions or departures of key personnel or members of our board of directors;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purchases or sales of substantial amounts of our stock by existing stockholders, including officers or directors;</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economic and other external factors or other disasters or crises; and</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period-to-period fluctuations in our financial results.</w:t>
      </w:r>
    </w:p>
    <w:p>
      <w:pPr>
        <w:spacing w:after="0" w:line="147"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and issuances of securities may dilute the ownership interests of our current stockholders and cause our stock price to decline.</w:t>
      </w:r>
    </w:p>
    <w:p>
      <w:pPr>
        <w:spacing w:after="0" w:line="157" w:lineRule="exact"/>
        <w:rPr>
          <w:sz w:val="20"/>
          <w:szCs w:val="20"/>
          <w:color w:val="auto"/>
        </w:rPr>
      </w:pPr>
    </w:p>
    <w:p>
      <w:pPr>
        <w:jc w:val="both"/>
        <w:ind w:right="60" w:firstLine="382"/>
        <w:spacing w:after="0" w:line="267" w:lineRule="auto"/>
        <w:rPr>
          <w:sz w:val="20"/>
          <w:szCs w:val="20"/>
          <w:color w:val="auto"/>
        </w:rPr>
      </w:pPr>
      <w:r>
        <w:rPr>
          <w:rFonts w:ascii="Arial" w:cs="Arial" w:eastAsia="Arial" w:hAnsi="Arial"/>
          <w:sz w:val="14"/>
          <w:szCs w:val="14"/>
          <w:color w:val="auto"/>
        </w:rPr>
        <w:t>Future sales of our common stock by us or our current stockholders into the public market could cause the market price of our stock to fall. As of July 29, 2022, there were 185,945,016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10" w:lineRule="exact"/>
        <w:rPr>
          <w:sz w:val="20"/>
          <w:szCs w:val="20"/>
          <w:color w:val="auto"/>
        </w:rPr>
      </w:pPr>
    </w:p>
    <w:p>
      <w:pPr>
        <w:ind w:right="100" w:firstLine="382"/>
        <w:spacing w:after="0" w:line="260" w:lineRule="auto"/>
        <w:rPr>
          <w:sz w:val="20"/>
          <w:szCs w:val="20"/>
          <w:color w:val="auto"/>
        </w:rPr>
      </w:pPr>
      <w:r>
        <w:rPr>
          <w:rFonts w:ascii="Arial" w:cs="Arial" w:eastAsia="Arial" w:hAnsi="Arial"/>
          <w:sz w:val="14"/>
          <w:szCs w:val="14"/>
          <w:color w:val="auto"/>
        </w:rPr>
        <w:t>As of July 29, 2022, there were 29,999,408 stock options and restricted stock units outstanding and 11,077,032 shares available for issuance under our Amended and Restated Stock Incentive Plan, 5,071,076 stock options and restricted stock units outstanding and 162,132 shares available for issuance under our Amended and Restated Inducement Equity Incentive Plan, and 5,792,623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and stock awards have been registered pursuant to registration statements on Form S-8.</w:t>
      </w:r>
    </w:p>
    <w:p>
      <w:pPr>
        <w:spacing w:after="0" w:line="115" w:lineRule="exact"/>
        <w:rPr>
          <w:sz w:val="20"/>
          <w:szCs w:val="20"/>
          <w:color w:val="auto"/>
        </w:rPr>
      </w:pPr>
    </w:p>
    <w:p>
      <w:pPr>
        <w:ind w:right="100" w:firstLine="382"/>
        <w:spacing w:after="0" w:line="267" w:lineRule="auto"/>
        <w:rPr>
          <w:sz w:val="20"/>
          <w:szCs w:val="20"/>
          <w:color w:val="auto"/>
        </w:rPr>
      </w:pPr>
      <w:r>
        <w:rPr>
          <w:rFonts w:ascii="Arial" w:cs="Arial" w:eastAsia="Arial" w:hAnsi="Arial"/>
          <w:sz w:val="14"/>
          <w:szCs w:val="14"/>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20" w:lineRule="exact"/>
        <w:rPr>
          <w:sz w:val="20"/>
          <w:szCs w:val="20"/>
          <w:color w:val="auto"/>
        </w:rPr>
      </w:pPr>
    </w:p>
    <w:p>
      <w:pPr>
        <w:ind w:right="20" w:firstLine="382"/>
        <w:spacing w:after="0" w:line="305" w:lineRule="auto"/>
        <w:rPr>
          <w:sz w:val="20"/>
          <w:szCs w:val="20"/>
          <w:color w:val="auto"/>
        </w:rPr>
      </w:pPr>
      <w:r>
        <w:rPr>
          <w:rFonts w:ascii="Arial" w:cs="Arial" w:eastAsia="Arial" w:hAnsi="Arial"/>
          <w:sz w:val="12"/>
          <w:szCs w:val="12"/>
          <w:color w:val="auto"/>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of 1993, as amended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Subsequently, on November 21, 2019, certain of the Baker Entities acquired pre-funded warrants to purchase 11,764,706 shares of our common stock at a price of $1.69 per warrant, of which warrants to purchase 11,511,472 shares of our common stock remain outstanding. In addition, on June 1, 2020, we issued to certain of the Baker Entities pre-funded warrants to purchase 3,511,111 shares of our common stock at a price of $4.49 per warrant. Each warrant has an exercise price of $0.01 per share. If the Baker Entities, by exercising their underwriting rights or otherwise, sell a large number of our shares, or the market perceives that the Baker Entities intend to sell a large number of our shares, this could adversely affect the market price of our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anti-takeover provisions in our corporate charter documents that may result in outcomes with which you do not agree.</w:t>
      </w:r>
    </w:p>
    <w:p>
      <w:pPr>
        <w:spacing w:after="0" w:line="147" w:lineRule="exact"/>
        <w:rPr>
          <w:sz w:val="20"/>
          <w:szCs w:val="20"/>
          <w:color w:val="auto"/>
        </w:rPr>
      </w:pPr>
    </w:p>
    <w:p>
      <w:pPr>
        <w:ind w:firstLine="382"/>
        <w:spacing w:after="0" w:line="267" w:lineRule="auto"/>
        <w:rPr>
          <w:sz w:val="20"/>
          <w:szCs w:val="20"/>
          <w:color w:val="auto"/>
        </w:rPr>
      </w:pPr>
      <w:r>
        <w:rPr>
          <w:rFonts w:ascii="Arial" w:cs="Arial" w:eastAsia="Arial" w:hAnsi="Arial"/>
          <w:sz w:val="14"/>
          <w:szCs w:val="14"/>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20" w:lineRule="exact"/>
        <w:rPr>
          <w:sz w:val="20"/>
          <w:szCs w:val="20"/>
          <w:color w:val="auto"/>
        </w:rPr>
      </w:pPr>
    </w:p>
    <w:p>
      <w:pPr>
        <w:ind w:right="60" w:firstLine="382"/>
        <w:spacing w:after="0" w:line="297" w:lineRule="auto"/>
        <w:rPr>
          <w:sz w:val="20"/>
          <w:szCs w:val="20"/>
          <w:color w:val="auto"/>
        </w:rPr>
      </w:pPr>
      <w:r>
        <w:rPr>
          <w:rFonts w:ascii="Arial" w:cs="Arial" w:eastAsia="Arial" w:hAnsi="Arial"/>
          <w:sz w:val="13"/>
          <w:szCs w:val="13"/>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bylaws and of Delaware law applicable to us could delay or make more difficult a merger, tender offer or proxy contest involving us.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never paid dividends on our common stock and do not anticipate doing so in the foreseeable future.</w:t>
      </w:r>
    </w:p>
    <w:p>
      <w:pPr>
        <w:spacing w:after="0" w:line="147"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We have never paid cash dividends on our stock. We currently intend to retain all future earnings, if any, for use in the operation of our business. Accordingly, we do not anticipate paying cash dividends on our common stock in the foreseeable future.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720"/>
        <w:spacing w:after="0" w:line="321" w:lineRule="auto"/>
        <w:rPr>
          <w:sz w:val="20"/>
          <w:szCs w:val="20"/>
          <w:color w:val="auto"/>
        </w:rPr>
      </w:pPr>
      <w:r>
        <w:rPr>
          <w:rFonts w:ascii="Arial" w:cs="Arial" w:eastAsia="Arial" w:hAnsi="Arial"/>
          <w:sz w:val="13"/>
          <w:szCs w:val="13"/>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w:t>
      </w:r>
      <w:r>
        <w:rPr>
          <w:rFonts w:ascii="Arial" w:cs="Arial" w:eastAsia="Arial" w:hAnsi="Arial"/>
          <w:sz w:val="13"/>
          <w:szCs w:val="13"/>
          <w:color w:val="auto"/>
        </w:rPr>
        <w:t>’</w:t>
      </w:r>
      <w:r>
        <w:rPr>
          <w:rFonts w:ascii="Arial" w:cs="Arial" w:eastAsia="Arial" w:hAnsi="Arial"/>
          <w:sz w:val="13"/>
          <w:szCs w:val="13"/>
          <w:b w:val="1"/>
          <w:bCs w:val="1"/>
          <w:i w:val="1"/>
          <w:iCs w:val="1"/>
          <w:color w:val="auto"/>
        </w:rPr>
        <w:t>s ability to obtain a favorable judicial forum for such disputes with us or our directors, officers or employees.</w:t>
      </w:r>
    </w:p>
    <w:p>
      <w:pPr>
        <w:spacing w:after="0" w:line="88" w:lineRule="exact"/>
        <w:rPr>
          <w:sz w:val="20"/>
          <w:szCs w:val="20"/>
          <w:color w:val="auto"/>
        </w:rPr>
      </w:pPr>
    </w:p>
    <w:p>
      <w:pPr>
        <w:ind w:firstLine="382"/>
        <w:spacing w:after="0" w:line="309" w:lineRule="auto"/>
        <w:rPr>
          <w:sz w:val="20"/>
          <w:szCs w:val="20"/>
          <w:color w:val="auto"/>
        </w:rPr>
      </w:pPr>
      <w:r>
        <w:rPr>
          <w:rFonts w:ascii="Arial" w:cs="Arial" w:eastAsia="Arial" w:hAnsi="Arial"/>
          <w:sz w:val="12"/>
          <w:szCs w:val="12"/>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or the Exchange Act, or any other claim for which the federal courts have exclusive jurisdiction.</w:t>
      </w:r>
    </w:p>
    <w:p>
      <w:pPr>
        <w:spacing w:after="0" w:line="90" w:lineRule="exact"/>
        <w:rPr>
          <w:sz w:val="20"/>
          <w:szCs w:val="20"/>
          <w:color w:val="auto"/>
        </w:rPr>
      </w:pPr>
    </w:p>
    <w:p>
      <w:pPr>
        <w:ind w:right="320" w:firstLine="382"/>
        <w:spacing w:after="0" w:line="267" w:lineRule="auto"/>
        <w:rPr>
          <w:sz w:val="20"/>
          <w:szCs w:val="20"/>
          <w:color w:val="auto"/>
        </w:rPr>
      </w:pPr>
      <w:r>
        <w:rPr>
          <w:rFonts w:ascii="Arial" w:cs="Arial" w:eastAsia="Arial" w:hAnsi="Arial"/>
          <w:sz w:val="14"/>
          <w:szCs w:val="14"/>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61"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b w:val="1"/>
          <w:bCs w:val="1"/>
          <w:i w:val="1"/>
          <w:iCs w:val="1"/>
          <w:color w:val="auto"/>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spacing w:after="0" w:line="100" w:lineRule="exact"/>
        <w:rPr>
          <w:sz w:val="20"/>
          <w:szCs w:val="20"/>
          <w:color w:val="auto"/>
        </w:rPr>
      </w:pPr>
    </w:p>
    <w:p>
      <w:pPr>
        <w:ind w:firstLine="382"/>
        <w:spacing w:after="0" w:line="277" w:lineRule="auto"/>
        <w:rPr>
          <w:sz w:val="20"/>
          <w:szCs w:val="20"/>
          <w:color w:val="auto"/>
        </w:rPr>
      </w:pPr>
      <w:r>
        <w:rPr>
          <w:rFonts w:ascii="Arial" w:cs="Arial" w:eastAsia="Arial" w:hAnsi="Arial"/>
          <w:sz w:val="13"/>
          <w:szCs w:val="13"/>
          <w:color w:val="auto"/>
        </w:rPr>
        <w:t>A wide variety of events beyond our control, including natural disasters, epidemic or pandemic disease outbreaks (such as the ongoing COVID-19 pandemic), trade wars, armed conflicts, political unrest or other events could disrupt our business or operations or those of our development partners (such as Torii), manufacturers, regulatory authorities, or other third parties with whom we conduct business. These events may cause businesses and government agencies to be shut down, supply chains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“Risk Factors—Risks Relating to Our Business—Risks Relating to COVID-19—Our business, operations, clinical development or commercialization plans and timelines, and access to capital could be adversely affected by the effects of the ongoing COVID-19 pandemic on us or on third parties with whom we conduct business, including without limitation our development partners, manufacturers, clinical research organizations (“CROs”), and others, as well as on the regulatory and government agencies with whom we work.” In addition, other events, such as the armed conflict between Russia and Ukraine, could adversely impact our business. Furthermore, the conflict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legal proceedings, which could harm our reputation or result in other losses or unexpected expenditure of time and resources.</w:t>
      </w:r>
    </w:p>
    <w:p>
      <w:pPr>
        <w:spacing w:after="0" w:line="157"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proceedings. An unfavorable outcome in any such proceedings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Insurance coverage is increasingly more costly and difficult to obtain or maintain.</w:t>
      </w:r>
    </w:p>
    <w:p>
      <w:pPr>
        <w:spacing w:after="0" w:line="157" w:lineRule="exact"/>
        <w:rPr>
          <w:sz w:val="20"/>
          <w:szCs w:val="20"/>
          <w:color w:val="auto"/>
        </w:rPr>
      </w:pPr>
    </w:p>
    <w:p>
      <w:pPr>
        <w:ind w:firstLine="382"/>
        <w:spacing w:after="0" w:line="319" w:lineRule="auto"/>
        <w:rPr>
          <w:sz w:val="20"/>
          <w:szCs w:val="20"/>
          <w:color w:val="auto"/>
        </w:rPr>
      </w:pPr>
      <w:r>
        <w:rPr>
          <w:rFonts w:ascii="Arial" w:cs="Arial" w:eastAsia="Arial" w:hAnsi="Arial"/>
          <w:sz w:val="12"/>
          <w:szCs w:val="12"/>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83"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00"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We are highly dependent upon our senior management and scientific team, the unexpected loss of whose services might impede the achievement of our development and commercial objectives. This risk has been heightened in the current environment as a result of the ongoing COVID-19 pandemic.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critical functions of our business.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gridSpan w:val="5"/>
          </w:tcPr>
          <w:p>
            <w:pPr>
              <w:spacing w:after="0"/>
              <w:rPr>
                <w:sz w:val="20"/>
                <w:szCs w:val="20"/>
                <w:color w:val="auto"/>
              </w:rPr>
            </w:pPr>
            <w:r>
              <w:rPr>
                <w:rFonts w:ascii="Arial" w:cs="Arial" w:eastAsia="Arial" w:hAnsi="Arial"/>
                <w:sz w:val="14"/>
                <w:szCs w:val="14"/>
                <w:b w:val="1"/>
                <w:bCs w:val="1"/>
                <w:color w:val="auto"/>
              </w:rPr>
              <w:t>Item 6.</w:t>
            </w:r>
          </w:p>
        </w:tc>
        <w:tc>
          <w:tcPr>
            <w:tcW w:w="10700" w:type="dxa"/>
            <w:vAlign w:val="bottom"/>
            <w:gridSpan w:val="20"/>
          </w:tcPr>
          <w:p>
            <w:pPr>
              <w:ind w:left="40"/>
              <w:spacing w:after="0"/>
              <w:rPr>
                <w:sz w:val="20"/>
                <w:szCs w:val="20"/>
                <w:color w:val="auto"/>
              </w:rPr>
            </w:pPr>
            <w:r>
              <w:rPr>
                <w:rFonts w:ascii="Arial" w:cs="Arial" w:eastAsia="Arial" w:hAnsi="Arial"/>
                <w:sz w:val="14"/>
                <w:szCs w:val="14"/>
                <w:b w:val="1"/>
                <w:bCs w:val="1"/>
                <w:color w:val="auto"/>
              </w:rPr>
              <w:t>Exhibits</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20" w:type="dxa"/>
            <w:vAlign w:val="bottom"/>
            <w:gridSpan w:val="4"/>
          </w:tcPr>
          <w:p>
            <w:pPr>
              <w:spacing w:after="0"/>
              <w:rPr>
                <w:sz w:val="20"/>
                <w:szCs w:val="20"/>
                <w:color w:val="auto"/>
              </w:rPr>
            </w:pPr>
            <w:r>
              <w:rPr>
                <w:rFonts w:ascii="Arial" w:cs="Arial" w:eastAsia="Arial" w:hAnsi="Arial"/>
                <w:sz w:val="14"/>
                <w:szCs w:val="14"/>
                <w:b w:val="1"/>
                <w:bCs w:val="1"/>
                <w:color w:val="auto"/>
                <w:w w:val="94"/>
              </w:rPr>
              <w:t>Number</w:t>
            </w:r>
          </w:p>
        </w:tc>
        <w:tc>
          <w:tcPr>
            <w:tcW w:w="84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9"/>
        </w:trPr>
        <w:tc>
          <w:tcPr>
            <w:tcW w:w="200" w:type="dxa"/>
            <w:vAlign w:val="bottom"/>
            <w:gridSpan w:val="2"/>
          </w:tcPr>
          <w:p>
            <w:pPr>
              <w:ind w:left="20"/>
              <w:spacing w:after="0" w:line="129" w:lineRule="exact"/>
              <w:rPr>
                <w:rFonts w:ascii="Arial" w:cs="Arial" w:eastAsia="Arial" w:hAnsi="Arial"/>
                <w:sz w:val="14"/>
                <w:szCs w:val="14"/>
                <w:color w:val="0000FF"/>
                <w:w w:val="81"/>
              </w:rPr>
            </w:pPr>
            <w:hyperlink r:id="rId89">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60" w:type="dxa"/>
            <w:vAlign w:val="bottom"/>
            <w:gridSpan w:val="19"/>
          </w:tcPr>
          <w:p>
            <w:pPr>
              <w:spacing w:after="0" w:line="129" w:lineRule="exact"/>
              <w:rPr>
                <w:rFonts w:ascii="Arial" w:cs="Arial" w:eastAsia="Arial" w:hAnsi="Arial"/>
                <w:sz w:val="14"/>
                <w:szCs w:val="14"/>
                <w:color w:val="0000FF"/>
              </w:rPr>
            </w:pPr>
            <w:hyperlink r:id="rId89">
              <w:r>
                <w:rPr>
                  <w:rFonts w:ascii="Arial" w:cs="Arial" w:eastAsia="Arial" w:hAnsi="Arial"/>
                  <w:sz w:val="14"/>
                  <w:szCs w:val="14"/>
                  <w:color w:val="0000FF"/>
                </w:rPr>
                <w:t>Third Restated Certificate of Incorporation of Registrant. Incorporated by reference to Exhibit 3.1 to the Company’s Form 8-K filed December 22, 2006.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300" w:type="dxa"/>
            <w:vAlign w:val="bottom"/>
            <w:tcBorders>
              <w:bottom w:val="single" w:sz="8" w:color="0000FF"/>
            </w:tcBorders>
          </w:tcPr>
          <w:p>
            <w:pPr>
              <w:spacing w:after="0" w:line="20" w:lineRule="exact"/>
              <w:rPr>
                <w:sz w:val="1"/>
                <w:szCs w:val="1"/>
                <w:color w:val="auto"/>
              </w:rPr>
            </w:pPr>
          </w:p>
        </w:tc>
        <w:tc>
          <w:tcPr>
            <w:tcW w:w="1000" w:type="dxa"/>
            <w:vAlign w:val="bottom"/>
            <w:tcBorders>
              <w:bottom w:val="single" w:sz="8" w:color="0000FF"/>
            </w:tcBorders>
          </w:tcPr>
          <w:p>
            <w:pPr>
              <w:spacing w:after="0" w:line="20" w:lineRule="exact"/>
              <w:rPr>
                <w:sz w:val="1"/>
                <w:szCs w:val="1"/>
                <w:color w:val="auto"/>
              </w:rPr>
            </w:pPr>
          </w:p>
        </w:tc>
        <w:tc>
          <w:tcPr>
            <w:tcW w:w="1800" w:type="dxa"/>
            <w:vAlign w:val="bottom"/>
            <w:tcBorders>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00" w:type="dxa"/>
            <w:vAlign w:val="bottom"/>
            <w:gridSpan w:val="2"/>
          </w:tcPr>
          <w:p>
            <w:pPr>
              <w:ind w:left="20"/>
              <w:spacing w:after="0"/>
              <w:rPr>
                <w:rFonts w:ascii="Arial" w:cs="Arial" w:eastAsia="Arial" w:hAnsi="Arial"/>
                <w:sz w:val="14"/>
                <w:szCs w:val="14"/>
                <w:color w:val="0000FF"/>
                <w:w w:val="81"/>
              </w:rPr>
            </w:pPr>
            <w:hyperlink r:id="rId90">
              <w:r>
                <w:rPr>
                  <w:rFonts w:ascii="Arial" w:cs="Arial" w:eastAsia="Arial" w:hAnsi="Arial"/>
                  <w:sz w:val="14"/>
                  <w:szCs w:val="14"/>
                  <w:color w:val="0000FF"/>
                  <w:w w:val="81"/>
                </w:rPr>
                <w:t>3.</w:t>
              </w:r>
              <w:r>
                <w:rPr>
                  <w:rFonts w:ascii="Arial" w:cs="Arial" w:eastAsia="Arial" w:hAnsi="Arial"/>
                  <w:sz w:val="14"/>
                  <w:szCs w:val="14"/>
                  <w:u w:val="single" w:color="auto"/>
                  <w:color w:val="0000FF"/>
                  <w:w w:val="81"/>
                </w:rPr>
                <w:t>2</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Arial" w:cs="Arial" w:eastAsia="Arial" w:hAnsi="Arial"/>
                <w:sz w:val="14"/>
                <w:szCs w:val="14"/>
                <w:color w:val="0000FF"/>
                <w:w w:val="93"/>
              </w:rPr>
              <w:t>Certificate of Amendment to the Third Restated Certificate of Incorporation of Registrant. Incorporated by reference to Exhibit 3.1 to the Company’s Form 8-K filed July 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9" w:lineRule="exact"/>
              <w:rPr>
                <w:rFonts w:ascii="Arial" w:cs="Arial" w:eastAsia="Arial" w:hAnsi="Arial"/>
                <w:sz w:val="14"/>
                <w:szCs w:val="14"/>
                <w:color w:val="0000FF"/>
                <w:w w:val="85"/>
              </w:rPr>
            </w:pPr>
            <w:hyperlink r:id="rId90">
              <w:r>
                <w:rPr>
                  <w:rFonts w:ascii="Arial" w:cs="Arial" w:eastAsia="Arial" w:hAnsi="Arial"/>
                  <w:sz w:val="14"/>
                  <w:szCs w:val="14"/>
                  <w:color w:val="0000FF"/>
                  <w:w w:val="85"/>
                </w:rPr>
                <w:t>2007.</w:t>
              </w:r>
            </w:hyperlink>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200" w:type="dxa"/>
            <w:vAlign w:val="bottom"/>
            <w:gridSpan w:val="2"/>
          </w:tcPr>
          <w:p>
            <w:pPr>
              <w:ind w:left="20"/>
              <w:spacing w:after="0"/>
              <w:rPr>
                <w:rFonts w:ascii="Arial" w:cs="Arial" w:eastAsia="Arial" w:hAnsi="Arial"/>
                <w:sz w:val="14"/>
                <w:szCs w:val="14"/>
                <w:color w:val="0000FF"/>
                <w:w w:val="81"/>
              </w:rPr>
            </w:pPr>
            <w:hyperlink r:id="rId91">
              <w:r>
                <w:rPr>
                  <w:rFonts w:ascii="Arial" w:cs="Arial" w:eastAsia="Arial" w:hAnsi="Arial"/>
                  <w:sz w:val="14"/>
                  <w:szCs w:val="14"/>
                  <w:color w:val="0000FF"/>
                  <w:w w:val="81"/>
                </w:rPr>
                <w:t>3.</w:t>
              </w:r>
              <w:r>
                <w:rPr>
                  <w:rFonts w:ascii="Arial" w:cs="Arial" w:eastAsia="Arial" w:hAnsi="Arial"/>
                  <w:sz w:val="14"/>
                  <w:szCs w:val="14"/>
                  <w:u w:val="single" w:color="auto"/>
                  <w:color w:val="0000FF"/>
                  <w:w w:val="81"/>
                </w:rPr>
                <w:t>3</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Arial" w:cs="Arial" w:eastAsia="Arial" w:hAnsi="Arial"/>
                <w:sz w:val="14"/>
                <w:szCs w:val="14"/>
                <w:color w:val="0000FF"/>
                <w:w w:val="93"/>
              </w:rPr>
              <w:t>Certificate of Amendment to the Third Restated Certificate of Incorporation of Registrant. Incorporated by reference to Exhibit 3.1 to the Company’s Form 8-K filed May 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9" w:lineRule="exact"/>
              <w:rPr>
                <w:rFonts w:ascii="Arial" w:cs="Arial" w:eastAsia="Arial" w:hAnsi="Arial"/>
                <w:sz w:val="14"/>
                <w:szCs w:val="14"/>
                <w:color w:val="0000FF"/>
                <w:w w:val="85"/>
              </w:rPr>
            </w:pPr>
            <w:hyperlink r:id="rId91">
              <w:r>
                <w:rPr>
                  <w:rFonts w:ascii="Arial" w:cs="Arial" w:eastAsia="Arial" w:hAnsi="Arial"/>
                  <w:sz w:val="14"/>
                  <w:szCs w:val="14"/>
                  <w:color w:val="0000FF"/>
                  <w:w w:val="85"/>
                </w:rPr>
                <w:t>2014.</w:t>
              </w:r>
            </w:hyperlink>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200" w:type="dxa"/>
            <w:vAlign w:val="bottom"/>
            <w:gridSpan w:val="2"/>
          </w:tcPr>
          <w:p>
            <w:pPr>
              <w:ind w:left="20"/>
              <w:spacing w:after="0"/>
              <w:rPr>
                <w:rFonts w:ascii="Arial" w:cs="Arial" w:eastAsia="Arial" w:hAnsi="Arial"/>
                <w:sz w:val="14"/>
                <w:szCs w:val="14"/>
                <w:color w:val="0000FF"/>
                <w:w w:val="81"/>
              </w:rPr>
            </w:pPr>
            <w:hyperlink r:id="rId92">
              <w:r>
                <w:rPr>
                  <w:rFonts w:ascii="Arial" w:cs="Arial" w:eastAsia="Arial" w:hAnsi="Arial"/>
                  <w:sz w:val="14"/>
                  <w:szCs w:val="14"/>
                  <w:color w:val="0000FF"/>
                  <w:w w:val="81"/>
                </w:rPr>
                <w:t>3.</w:t>
              </w:r>
              <w:r>
                <w:rPr>
                  <w:rFonts w:ascii="Arial" w:cs="Arial" w:eastAsia="Arial" w:hAnsi="Arial"/>
                  <w:sz w:val="14"/>
                  <w:szCs w:val="14"/>
                  <w:u w:val="single" w:color="auto"/>
                  <w:color w:val="0000FF"/>
                  <w:w w:val="81"/>
                </w:rPr>
                <w:t>4</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Arial" w:cs="Arial" w:eastAsia="Arial" w:hAnsi="Arial"/>
                <w:sz w:val="14"/>
                <w:szCs w:val="14"/>
                <w:color w:val="0000FF"/>
                <w:w w:val="96"/>
              </w:rPr>
              <w:t>Certificate of Elimination of the Series B Junior Participating Preferred Stock. Incorporated by reference to Exhibit 3.1 to the Company’s Form 8-K filed May 13,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0000FF"/>
            </w:tcBorders>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300" w:type="dxa"/>
            <w:vAlign w:val="bottom"/>
            <w:tcBorders>
              <w:bottom w:val="single" w:sz="8" w:color="0000FF"/>
            </w:tcBorders>
          </w:tcPr>
          <w:p>
            <w:pPr>
              <w:spacing w:after="0" w:line="20" w:lineRule="exact"/>
              <w:rPr>
                <w:sz w:val="1"/>
                <w:szCs w:val="1"/>
                <w:color w:val="auto"/>
              </w:rPr>
            </w:pPr>
          </w:p>
        </w:tc>
        <w:tc>
          <w:tcPr>
            <w:tcW w:w="1000" w:type="dxa"/>
            <w:vAlign w:val="bottom"/>
            <w:tcBorders>
              <w:bottom w:val="single" w:sz="8" w:color="0000FF"/>
            </w:tcBorders>
          </w:tcPr>
          <w:p>
            <w:pPr>
              <w:spacing w:after="0" w:line="20" w:lineRule="exact"/>
              <w:rPr>
                <w:sz w:val="1"/>
                <w:szCs w:val="1"/>
                <w:color w:val="auto"/>
              </w:rPr>
            </w:pPr>
          </w:p>
        </w:tc>
        <w:tc>
          <w:tcPr>
            <w:tcW w:w="204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00" w:type="dxa"/>
            <w:vAlign w:val="bottom"/>
            <w:gridSpan w:val="2"/>
          </w:tcPr>
          <w:p>
            <w:pPr>
              <w:ind w:left="20"/>
              <w:spacing w:after="0"/>
              <w:rPr>
                <w:rFonts w:ascii="Arial" w:cs="Arial" w:eastAsia="Arial" w:hAnsi="Arial"/>
                <w:sz w:val="14"/>
                <w:szCs w:val="14"/>
                <w:color w:val="0000FF"/>
                <w:w w:val="81"/>
              </w:rPr>
            </w:pPr>
            <w:hyperlink r:id="rId93">
              <w:r>
                <w:rPr>
                  <w:rFonts w:ascii="Arial" w:cs="Arial" w:eastAsia="Arial" w:hAnsi="Arial"/>
                  <w:sz w:val="14"/>
                  <w:szCs w:val="14"/>
                  <w:color w:val="0000FF"/>
                  <w:w w:val="81"/>
                </w:rPr>
                <w:t>3.</w:t>
              </w:r>
              <w:r>
                <w:rPr>
                  <w:rFonts w:ascii="Arial" w:cs="Arial" w:eastAsia="Arial" w:hAnsi="Arial"/>
                  <w:sz w:val="14"/>
                  <w:szCs w:val="14"/>
                  <w:u w:val="single" w:color="auto"/>
                  <w:color w:val="0000FF"/>
                  <w:w w:val="81"/>
                </w:rPr>
                <w:t>5</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Arial" w:cs="Arial" w:eastAsia="Arial" w:hAnsi="Arial"/>
                <w:sz w:val="14"/>
                <w:szCs w:val="14"/>
                <w:color w:val="0000FF"/>
                <w:w w:val="97"/>
              </w:rPr>
              <w:t>Certificate of Amendment to the Third Restated Certificate of Incorporation. Incorporated by reference to Exhibit 3.2 to the Company’s Form 8-K filed May 13,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0000FF"/>
            </w:tcBorders>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300" w:type="dxa"/>
            <w:vAlign w:val="bottom"/>
            <w:tcBorders>
              <w:bottom w:val="single" w:sz="8" w:color="0000FF"/>
            </w:tcBorders>
          </w:tcPr>
          <w:p>
            <w:pPr>
              <w:spacing w:after="0" w:line="20" w:lineRule="exact"/>
              <w:rPr>
                <w:sz w:val="1"/>
                <w:szCs w:val="1"/>
                <w:color w:val="auto"/>
              </w:rPr>
            </w:pPr>
          </w:p>
        </w:tc>
        <w:tc>
          <w:tcPr>
            <w:tcW w:w="1000" w:type="dxa"/>
            <w:vAlign w:val="bottom"/>
            <w:tcBorders>
              <w:bottom w:val="single" w:sz="8" w:color="0000FF"/>
            </w:tcBorders>
          </w:tcPr>
          <w:p>
            <w:pPr>
              <w:spacing w:after="0" w:line="20" w:lineRule="exact"/>
              <w:rPr>
                <w:sz w:val="1"/>
                <w:szCs w:val="1"/>
                <w:color w:val="auto"/>
              </w:rPr>
            </w:pPr>
          </w:p>
        </w:tc>
        <w:tc>
          <w:tcPr>
            <w:tcW w:w="204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00" w:type="dxa"/>
            <w:vAlign w:val="bottom"/>
            <w:gridSpan w:val="2"/>
          </w:tcPr>
          <w:p>
            <w:pPr>
              <w:ind w:left="20"/>
              <w:spacing w:after="0"/>
              <w:rPr>
                <w:rFonts w:ascii="Arial" w:cs="Arial" w:eastAsia="Arial" w:hAnsi="Arial"/>
                <w:sz w:val="14"/>
                <w:szCs w:val="14"/>
                <w:color w:val="0000FF"/>
                <w:w w:val="81"/>
              </w:rPr>
            </w:pPr>
            <w:hyperlink r:id="rId94">
              <w:r>
                <w:rPr>
                  <w:rFonts w:ascii="Arial" w:cs="Arial" w:eastAsia="Arial" w:hAnsi="Arial"/>
                  <w:sz w:val="14"/>
                  <w:szCs w:val="14"/>
                  <w:color w:val="0000FF"/>
                  <w:w w:val="81"/>
                </w:rPr>
                <w:t>3.</w:t>
              </w:r>
              <w:r>
                <w:rPr>
                  <w:rFonts w:ascii="Arial" w:cs="Arial" w:eastAsia="Arial" w:hAnsi="Arial"/>
                  <w:sz w:val="14"/>
                  <w:szCs w:val="14"/>
                  <w:u w:val="single" w:color="auto"/>
                  <w:color w:val="0000FF"/>
                  <w:w w:val="81"/>
                </w:rPr>
                <w:t>6</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Arial" w:cs="Arial" w:eastAsia="Arial" w:hAnsi="Arial"/>
                <w:sz w:val="14"/>
                <w:szCs w:val="14"/>
                <w:color w:val="0000FF"/>
                <w:w w:val="95"/>
              </w:rPr>
              <w:t>Amended and Restated Bylaws of Registrant effective October 29, 2008. Incorporated by reference to Exhibit 3.2 to the Company’s Form 8-K filed November 4, 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4300" w:type="dxa"/>
            <w:vAlign w:val="bottom"/>
            <w:tcBorders>
              <w:bottom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8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00" w:type="dxa"/>
            <w:vAlign w:val="bottom"/>
            <w:gridSpan w:val="2"/>
          </w:tcPr>
          <w:p>
            <w:pPr>
              <w:ind w:left="20"/>
              <w:spacing w:after="0"/>
              <w:rPr>
                <w:rFonts w:ascii="Arial" w:cs="Arial" w:eastAsia="Arial" w:hAnsi="Arial"/>
                <w:sz w:val="14"/>
                <w:szCs w:val="14"/>
                <w:color w:val="0000FF"/>
                <w:w w:val="81"/>
              </w:rPr>
            </w:pPr>
            <w:hyperlink r:id="rId95">
              <w:r>
                <w:rPr>
                  <w:rFonts w:ascii="Arial" w:cs="Arial" w:eastAsia="Arial" w:hAnsi="Arial"/>
                  <w:sz w:val="14"/>
                  <w:szCs w:val="14"/>
                  <w:color w:val="0000FF"/>
                  <w:w w:val="81"/>
                </w:rPr>
                <w:t>3.</w:t>
              </w:r>
              <w:r>
                <w:rPr>
                  <w:rFonts w:ascii="Arial" w:cs="Arial" w:eastAsia="Arial" w:hAnsi="Arial"/>
                  <w:sz w:val="14"/>
                  <w:szCs w:val="14"/>
                  <w:u w:val="single" w:color="auto"/>
                  <w:color w:val="0000FF"/>
                  <w:w w:val="81"/>
                </w:rPr>
                <w:t>7</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Arial" w:cs="Arial" w:eastAsia="Arial" w:hAnsi="Arial"/>
                <w:sz w:val="14"/>
                <w:szCs w:val="14"/>
                <w:color w:val="0000FF"/>
                <w:w w:val="92"/>
              </w:rPr>
              <w:t>Amendment to Amended and Restated By-Laws of BioCryst Pharmaceuticals, Inc., dated January 21, 2018. Incorporated by reference to Exhibit 3.1 to the Company’s Form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60" w:type="dxa"/>
            <w:vAlign w:val="bottom"/>
            <w:gridSpan w:val="19"/>
          </w:tcPr>
          <w:p>
            <w:pPr>
              <w:spacing w:after="0" w:line="159" w:lineRule="exact"/>
              <w:rPr>
                <w:rFonts w:ascii="Arial" w:cs="Arial" w:eastAsia="Arial" w:hAnsi="Arial"/>
                <w:sz w:val="14"/>
                <w:szCs w:val="14"/>
                <w:color w:val="0000FF"/>
              </w:rPr>
            </w:pPr>
            <w:hyperlink r:id="rId95">
              <w:r>
                <w:rPr>
                  <w:rFonts w:ascii="Arial" w:cs="Arial" w:eastAsia="Arial" w:hAnsi="Arial"/>
                  <w:sz w:val="14"/>
                  <w:szCs w:val="14"/>
                  <w:color w:val="0000FF"/>
                </w:rPr>
                <w:t>8-K filed January 22, 2018.</w:t>
              </w:r>
            </w:hyperlink>
          </w:p>
        </w:tc>
        <w:tc>
          <w:tcPr>
            <w:tcW w:w="0" w:type="dxa"/>
            <w:vAlign w:val="bottom"/>
          </w:tcPr>
          <w:p>
            <w:pPr>
              <w:spacing w:after="0"/>
              <w:rPr>
                <w:sz w:val="1"/>
                <w:szCs w:val="1"/>
                <w:color w:val="auto"/>
              </w:rPr>
            </w:pPr>
          </w:p>
        </w:tc>
      </w:tr>
      <w:tr>
        <w:trPr>
          <w:trHeight w:val="20"/>
        </w:trPr>
        <w:tc>
          <w:tcPr>
            <w:tcW w:w="340" w:type="dxa"/>
            <w:vAlign w:val="bottom"/>
            <w:gridSpan w:val="3"/>
            <w:vMerge w:val="restart"/>
          </w:tcPr>
          <w:p>
            <w:pPr>
              <w:ind w:left="20"/>
              <w:spacing w:after="0"/>
              <w:rPr>
                <w:rFonts w:ascii="Arial" w:cs="Arial" w:eastAsia="Arial" w:hAnsi="Arial"/>
                <w:sz w:val="14"/>
                <w:szCs w:val="14"/>
                <w:color w:val="0000FF"/>
                <w:w w:val="85"/>
              </w:rPr>
            </w:pPr>
            <w:hyperlink r:id="rId96">
              <w:r>
                <w:rPr>
                  <w:rFonts w:ascii="Arial" w:cs="Arial" w:eastAsia="Arial" w:hAnsi="Arial"/>
                  <w:sz w:val="14"/>
                  <w:szCs w:val="14"/>
                  <w:color w:val="0000FF"/>
                  <w:w w:val="85"/>
                </w:rPr>
                <w:t>10.</w:t>
              </w:r>
            </w:hyperlink>
            <w:r>
              <w:rPr>
                <w:rFonts w:ascii="Arial" w:cs="Arial" w:eastAsia="Arial" w:hAnsi="Arial"/>
                <w:sz w:val="14"/>
                <w:szCs w:val="14"/>
                <w:u w:val="single" w:color="auto"/>
                <w:color w:val="0000FF"/>
                <w:w w:val="85"/>
              </w:rPr>
              <w:t>1*</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Arial" w:cs="Arial" w:eastAsia="Arial" w:hAnsi="Arial"/>
                <w:sz w:val="14"/>
                <w:szCs w:val="14"/>
                <w:color w:val="0000FF"/>
                <w:w w:val="93"/>
              </w:rPr>
              <w:t>BioCryst Pharmaceuticals, Inc. Stock Incentive Plan (as amended and restated as of April 18, 2022). Incorporated by reference to Exhibit 10.1 to the Company’s Form 8-K</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Borders>
              <w:bottom w:val="single" w:sz="8" w:color="0000FF"/>
            </w:tcBorders>
            <w:gridSpan w:val="4"/>
          </w:tcPr>
          <w:p>
            <w:pPr>
              <w:spacing w:after="0" w:line="159" w:lineRule="exact"/>
              <w:rPr>
                <w:rFonts w:ascii="Arial" w:cs="Arial" w:eastAsia="Arial" w:hAnsi="Arial"/>
                <w:sz w:val="14"/>
                <w:szCs w:val="14"/>
                <w:color w:val="0000FF"/>
                <w:w w:val="90"/>
              </w:rPr>
            </w:pPr>
            <w:hyperlink r:id="rId97">
              <w:r>
                <w:rPr>
                  <w:rFonts w:ascii="Arial" w:cs="Arial" w:eastAsia="Arial" w:hAnsi="Arial"/>
                  <w:sz w:val="14"/>
                  <w:szCs w:val="14"/>
                  <w:color w:val="0000FF"/>
                  <w:w w:val="90"/>
                </w:rPr>
                <w:t>filed June 7, 2022.</w:t>
              </w:r>
            </w:hyperlink>
          </w:p>
        </w:tc>
        <w:tc>
          <w:tcPr>
            <w:tcW w:w="880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404"/>
        </w:trPr>
        <w:tc>
          <w:tcPr>
            <w:tcW w:w="340" w:type="dxa"/>
            <w:vAlign w:val="bottom"/>
            <w:gridSpan w:val="3"/>
          </w:tcPr>
          <w:p>
            <w:pPr>
              <w:ind w:left="20"/>
              <w:spacing w:after="0"/>
              <w:rPr>
                <w:rFonts w:ascii="Arial" w:cs="Arial" w:eastAsia="Arial" w:hAnsi="Arial"/>
                <w:sz w:val="14"/>
                <w:szCs w:val="14"/>
                <w:color w:val="0000FF"/>
                <w:w w:val="85"/>
              </w:rPr>
            </w:pPr>
            <w:hyperlink r:id="rId98">
              <w:r>
                <w:rPr>
                  <w:rFonts w:ascii="Arial" w:cs="Arial" w:eastAsia="Arial" w:hAnsi="Arial"/>
                  <w:sz w:val="14"/>
                  <w:szCs w:val="14"/>
                  <w:color w:val="0000FF"/>
                  <w:w w:val="85"/>
                </w:rPr>
                <w:t>10.</w:t>
              </w:r>
            </w:hyperlink>
            <w:r>
              <w:rPr>
                <w:rFonts w:ascii="Arial" w:cs="Arial" w:eastAsia="Arial" w:hAnsi="Arial"/>
                <w:sz w:val="14"/>
                <w:szCs w:val="14"/>
                <w:u w:val="single" w:color="auto"/>
                <w:color w:val="0000FF"/>
                <w:w w:val="85"/>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4"/>
                <w:szCs w:val="14"/>
                <w:color w:val="0000FF"/>
                <w:w w:val="92"/>
              </w:rPr>
            </w:pPr>
            <w:hyperlink r:id="rId98">
              <w:r>
                <w:rPr>
                  <w:rFonts w:ascii="Arial" w:cs="Arial" w:eastAsia="Arial" w:hAnsi="Arial"/>
                  <w:sz w:val="14"/>
                  <w:szCs w:val="14"/>
                  <w:color w:val="0000FF"/>
                  <w:w w:val="92"/>
                </w:rPr>
                <w:t>BioCryst Pharmaceuticals, Inc. Non-Employee Director Compensation Policy, effective April 18, 2022. Incorporated by reference to Exhibit 10.2 to the Company's Form 10-</w:t>
              </w:r>
            </w:hyperlink>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18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2"/>
              </w:rPr>
            </w:pPr>
            <w:hyperlink r:id="rId98">
              <w:r>
                <w:rPr>
                  <w:rFonts w:ascii="Arial" w:cs="Arial" w:eastAsia="Arial" w:hAnsi="Arial"/>
                  <w:sz w:val="14"/>
                  <w:szCs w:val="14"/>
                  <w:color w:val="0000FF"/>
                  <w:w w:val="92"/>
                </w:rPr>
                <w:t>Q filed May 9, 2022.</w:t>
              </w:r>
            </w:hyperlink>
          </w:p>
        </w:tc>
        <w:tc>
          <w:tcPr>
            <w:tcW w:w="864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440" w:type="dxa"/>
            <w:vAlign w:val="bottom"/>
            <w:gridSpan w:val="4"/>
          </w:tcPr>
          <w:p>
            <w:pPr>
              <w:ind w:left="20"/>
              <w:spacing w:after="0"/>
              <w:rPr>
                <w:rFonts w:ascii="Arial" w:cs="Arial" w:eastAsia="Arial" w:hAnsi="Arial"/>
                <w:sz w:val="14"/>
                <w:szCs w:val="14"/>
                <w:color w:val="0000FF"/>
                <w:w w:val="95"/>
              </w:rPr>
            </w:pPr>
            <w:hyperlink w:anchor="page78">
              <w:r>
                <w:rPr>
                  <w:rFonts w:ascii="Arial" w:cs="Arial" w:eastAsia="Arial" w:hAnsi="Arial"/>
                  <w:sz w:val="14"/>
                  <w:szCs w:val="14"/>
                  <w:color w:val="0000FF"/>
                  <w:w w:val="95"/>
                </w:rPr>
                <w:t>(10.</w:t>
              </w:r>
            </w:hyperlink>
            <w:r>
              <w:rPr>
                <w:rFonts w:ascii="Arial" w:cs="Arial" w:eastAsia="Arial" w:hAnsi="Arial"/>
                <w:sz w:val="14"/>
                <w:szCs w:val="14"/>
                <w:u w:val="single" w:color="auto"/>
                <w:color w:val="0000FF"/>
                <w:w w:val="95"/>
              </w:rPr>
              <w:t>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4"/>
                <w:szCs w:val="14"/>
                <w:color w:val="0000FF"/>
              </w:rPr>
            </w:pPr>
            <w:hyperlink w:anchor="page78">
              <w:r>
                <w:rPr>
                  <w:rFonts w:ascii="Arial" w:cs="Arial" w:eastAsia="Arial" w:hAnsi="Arial"/>
                  <w:sz w:val="14"/>
                  <w:szCs w:val="14"/>
                  <w:color w:val="0000FF"/>
                </w:rPr>
                <w:t>Form of Notice of Grant of Non-Employee Director Stock Option and Stock Option Agreement under the BioCryst Pharmaceuticals, Inc. Stock Incentive Plan.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00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40" w:type="dxa"/>
            <w:vAlign w:val="bottom"/>
            <w:gridSpan w:val="4"/>
          </w:tcPr>
          <w:p>
            <w:pPr>
              <w:ind w:left="20"/>
              <w:spacing w:after="0"/>
              <w:rPr>
                <w:rFonts w:ascii="Arial" w:cs="Arial" w:eastAsia="Arial" w:hAnsi="Arial"/>
                <w:sz w:val="14"/>
                <w:szCs w:val="14"/>
                <w:color w:val="0000FF"/>
                <w:w w:val="95"/>
              </w:rPr>
            </w:pPr>
            <w:hyperlink w:anchor="page83">
              <w:r>
                <w:rPr>
                  <w:rFonts w:ascii="Arial" w:cs="Arial" w:eastAsia="Arial" w:hAnsi="Arial"/>
                  <w:sz w:val="14"/>
                  <w:szCs w:val="14"/>
                  <w:color w:val="0000FF"/>
                  <w:w w:val="95"/>
                </w:rPr>
                <w:t>(10.</w:t>
              </w:r>
            </w:hyperlink>
            <w:r>
              <w:rPr>
                <w:rFonts w:ascii="Arial" w:cs="Arial" w:eastAsia="Arial" w:hAnsi="Arial"/>
                <w:sz w:val="14"/>
                <w:szCs w:val="14"/>
                <w:u w:val="single" w:color="auto"/>
                <w:color w:val="0000FF"/>
                <w:w w:val="95"/>
              </w:rPr>
              <w:t>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4"/>
                <w:szCs w:val="14"/>
                <w:color w:val="0000FF"/>
                <w:w w:val="96"/>
              </w:rPr>
            </w:pPr>
            <w:hyperlink w:anchor="page83">
              <w:r>
                <w:rPr>
                  <w:rFonts w:ascii="Arial" w:cs="Arial" w:eastAsia="Arial" w:hAnsi="Arial"/>
                  <w:sz w:val="14"/>
                  <w:szCs w:val="14"/>
                  <w:color w:val="0000FF"/>
                  <w:w w:val="96"/>
                </w:rPr>
                <w:t>Form of Notice of Grant of Non-Employee Director Restricted Stock Unit Award and Restricted Stock Unit Agreement under the BioCryst Pharmaceuticals, Inc. Stock</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84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6"/>
              </w:rPr>
            </w:pPr>
            <w:hyperlink w:anchor="page83">
              <w:r>
                <w:rPr>
                  <w:rFonts w:ascii="Arial" w:cs="Arial" w:eastAsia="Arial" w:hAnsi="Arial"/>
                  <w:sz w:val="13"/>
                  <w:szCs w:val="13"/>
                  <w:color w:val="0000FF"/>
                  <w:w w:val="96"/>
                </w:rPr>
                <w:t>Incentive Plan.</w:t>
              </w:r>
            </w:hyperlink>
          </w:p>
        </w:tc>
        <w:tc>
          <w:tcPr>
            <w:tcW w:w="8640" w:type="dxa"/>
            <w:vAlign w:val="bottom"/>
            <w:tcBorders>
              <w:top w:val="single" w:sz="8" w:color="0000FF"/>
            </w:tcBorders>
            <w:gridSpan w:val="10"/>
          </w:tcPr>
          <w:p>
            <w:pPr>
              <w:spacing w:after="0"/>
              <w:rPr>
                <w:sz w:val="10"/>
                <w:szCs w:val="10"/>
                <w:color w:val="auto"/>
              </w:rPr>
            </w:pPr>
          </w:p>
        </w:tc>
        <w:tc>
          <w:tcPr>
            <w:tcW w:w="3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373"/>
        </w:trPr>
        <w:tc>
          <w:tcPr>
            <w:tcW w:w="340" w:type="dxa"/>
            <w:vAlign w:val="bottom"/>
            <w:gridSpan w:val="3"/>
          </w:tcPr>
          <w:p>
            <w:pPr>
              <w:ind w:left="20"/>
              <w:spacing w:after="0"/>
              <w:rPr>
                <w:rFonts w:ascii="Arial" w:cs="Arial" w:eastAsia="Arial" w:hAnsi="Arial"/>
                <w:sz w:val="14"/>
                <w:szCs w:val="14"/>
                <w:color w:val="0000FF"/>
                <w:w w:val="76"/>
              </w:rPr>
            </w:pPr>
            <w:hyperlink w:anchor="page87">
              <w:r>
                <w:rPr>
                  <w:rFonts w:ascii="Arial" w:cs="Arial" w:eastAsia="Arial" w:hAnsi="Arial"/>
                  <w:sz w:val="14"/>
                  <w:szCs w:val="14"/>
                  <w:color w:val="0000FF"/>
                  <w:w w:val="76"/>
                </w:rPr>
                <w:t>(10.</w:t>
              </w:r>
              <w:r>
                <w:rPr>
                  <w:rFonts w:ascii="Arial" w:cs="Arial" w:eastAsia="Arial" w:hAnsi="Arial"/>
                  <w:sz w:val="14"/>
                  <w:szCs w:val="14"/>
                  <w:u w:val="single" w:color="auto"/>
                  <w:color w:val="0000FF"/>
                  <w:w w:val="76"/>
                </w:rPr>
                <w:t>5)</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Amendment #5 to the Agreement between BioCryst Pharmaceuticals, Inc. and the National Institute of Allergy and Infectious Diseases, dated June 29, 2022.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40" w:type="dxa"/>
            <w:vAlign w:val="bottom"/>
            <w:gridSpan w:val="6"/>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40" w:type="dxa"/>
            <w:vAlign w:val="bottom"/>
            <w:gridSpan w:val="3"/>
          </w:tcPr>
          <w:p>
            <w:pPr>
              <w:ind w:left="20"/>
              <w:spacing w:after="0"/>
              <w:rPr>
                <w:rFonts w:ascii="Arial" w:cs="Arial" w:eastAsia="Arial" w:hAnsi="Arial"/>
                <w:sz w:val="14"/>
                <w:szCs w:val="14"/>
                <w:color w:val="0000FF"/>
                <w:w w:val="76"/>
              </w:rPr>
            </w:pPr>
            <w:hyperlink w:anchor="page89">
              <w:r>
                <w:rPr>
                  <w:rFonts w:ascii="Arial" w:cs="Arial" w:eastAsia="Arial" w:hAnsi="Arial"/>
                  <w:sz w:val="14"/>
                  <w:szCs w:val="14"/>
                  <w:color w:val="0000FF"/>
                  <w:w w:val="76"/>
                </w:rPr>
                <w:t>(31.</w:t>
              </w:r>
              <w:r>
                <w:rPr>
                  <w:rFonts w:ascii="Arial" w:cs="Arial" w:eastAsia="Arial" w:hAnsi="Arial"/>
                  <w:sz w:val="14"/>
                  <w:szCs w:val="14"/>
                  <w:u w:val="single" w:color="auto"/>
                  <w:color w:val="0000FF"/>
                  <w:w w:val="76"/>
                </w:rPr>
                <w:t>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4"/>
                <w:szCs w:val="14"/>
                <w:color w:val="0000FF"/>
              </w:rPr>
            </w:pPr>
            <w:hyperlink w:anchor="page89">
              <w:r>
                <w:rPr>
                  <w:rFonts w:ascii="Arial" w:cs="Arial" w:eastAsia="Arial" w:hAnsi="Arial"/>
                  <w:sz w:val="14"/>
                  <w:szCs w:val="14"/>
                  <w:color w:val="0000FF"/>
                </w:rPr>
                <w:t>Certification of the Chief Executive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40" w:type="dxa"/>
            <w:vAlign w:val="bottom"/>
            <w:gridSpan w:val="6"/>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40" w:type="dxa"/>
            <w:vAlign w:val="bottom"/>
            <w:gridSpan w:val="3"/>
          </w:tcPr>
          <w:p>
            <w:pPr>
              <w:ind w:left="20"/>
              <w:spacing w:after="0"/>
              <w:rPr>
                <w:rFonts w:ascii="Arial" w:cs="Arial" w:eastAsia="Arial" w:hAnsi="Arial"/>
                <w:sz w:val="14"/>
                <w:szCs w:val="14"/>
                <w:color w:val="0000FF"/>
                <w:w w:val="76"/>
              </w:rPr>
            </w:pPr>
            <w:hyperlink w:anchor="page90">
              <w:r>
                <w:rPr>
                  <w:rFonts w:ascii="Arial" w:cs="Arial" w:eastAsia="Arial" w:hAnsi="Arial"/>
                  <w:sz w:val="14"/>
                  <w:szCs w:val="14"/>
                  <w:color w:val="0000FF"/>
                  <w:w w:val="76"/>
                </w:rPr>
                <w:t>(31.</w:t>
              </w:r>
              <w:r>
                <w:rPr>
                  <w:rFonts w:ascii="Arial" w:cs="Arial" w:eastAsia="Arial" w:hAnsi="Arial"/>
                  <w:sz w:val="14"/>
                  <w:szCs w:val="14"/>
                  <w:u w:val="single" w:color="auto"/>
                  <w:color w:val="0000FF"/>
                  <w:w w:val="76"/>
                </w:rPr>
                <w:t>2)</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Arial" w:cs="Arial" w:eastAsia="Arial" w:hAnsi="Arial"/>
                <w:sz w:val="14"/>
                <w:szCs w:val="14"/>
                <w:color w:val="0000FF"/>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340" w:type="dxa"/>
            <w:vAlign w:val="bottom"/>
            <w:gridSpan w:val="3"/>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40" w:type="dxa"/>
            <w:vAlign w:val="bottom"/>
            <w:gridSpan w:val="6"/>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40" w:type="dxa"/>
            <w:vAlign w:val="bottom"/>
            <w:gridSpan w:val="3"/>
          </w:tcPr>
          <w:p>
            <w:pPr>
              <w:ind w:left="20"/>
              <w:spacing w:after="0"/>
              <w:rPr>
                <w:rFonts w:ascii="Arial" w:cs="Arial" w:eastAsia="Arial" w:hAnsi="Arial"/>
                <w:sz w:val="14"/>
                <w:szCs w:val="14"/>
                <w:color w:val="0000FF"/>
                <w:w w:val="76"/>
              </w:rPr>
            </w:pPr>
            <w:hyperlink w:anchor="page91">
              <w:r>
                <w:rPr>
                  <w:rFonts w:ascii="Arial" w:cs="Arial" w:eastAsia="Arial" w:hAnsi="Arial"/>
                  <w:sz w:val="14"/>
                  <w:szCs w:val="14"/>
                  <w:color w:val="0000FF"/>
                  <w:w w:val="76"/>
                </w:rPr>
                <w:t>(32.</w:t>
              </w:r>
              <w:r>
                <w:rPr>
                  <w:rFonts w:ascii="Arial" w:cs="Arial" w:eastAsia="Arial" w:hAnsi="Arial"/>
                  <w:sz w:val="14"/>
                  <w:szCs w:val="14"/>
                  <w:u w:val="single" w:color="auto"/>
                  <w:color w:val="0000FF"/>
                  <w:w w:val="76"/>
                </w:rPr>
                <w:t>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4"/>
                <w:szCs w:val="14"/>
                <w:color w:val="0000FF"/>
              </w:rPr>
            </w:pPr>
            <w:hyperlink w:anchor="page91">
              <w:r>
                <w:rPr>
                  <w:rFonts w:ascii="Arial" w:cs="Arial" w:eastAsia="Arial" w:hAnsi="Arial"/>
                  <w:sz w:val="14"/>
                  <w:szCs w:val="14"/>
                  <w:color w:val="0000FF"/>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40" w:type="dxa"/>
            <w:vAlign w:val="bottom"/>
            <w:gridSpan w:val="7"/>
            <w:shd w:val="clear" w:color="auto" w:fill="0000FF"/>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40" w:type="dxa"/>
            <w:vAlign w:val="bottom"/>
            <w:gridSpan w:val="3"/>
          </w:tcPr>
          <w:p>
            <w:pPr>
              <w:ind w:left="20"/>
              <w:spacing w:after="0"/>
              <w:rPr>
                <w:rFonts w:ascii="Arial" w:cs="Arial" w:eastAsia="Arial" w:hAnsi="Arial"/>
                <w:sz w:val="14"/>
                <w:szCs w:val="14"/>
                <w:color w:val="0000FF"/>
                <w:w w:val="76"/>
              </w:rPr>
            </w:pPr>
            <w:hyperlink w:anchor="page92">
              <w:r>
                <w:rPr>
                  <w:rFonts w:ascii="Arial" w:cs="Arial" w:eastAsia="Arial" w:hAnsi="Arial"/>
                  <w:sz w:val="14"/>
                  <w:szCs w:val="14"/>
                  <w:color w:val="0000FF"/>
                  <w:w w:val="76"/>
                </w:rPr>
                <w:t>(32.</w:t>
              </w:r>
              <w:r>
                <w:rPr>
                  <w:rFonts w:ascii="Arial" w:cs="Arial" w:eastAsia="Arial" w:hAnsi="Arial"/>
                  <w:sz w:val="14"/>
                  <w:szCs w:val="14"/>
                  <w:u w:val="single" w:color="auto"/>
                  <w:color w:val="0000FF"/>
                  <w:w w:val="76"/>
                </w:rPr>
                <w:t>2)</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4"/>
                <w:szCs w:val="14"/>
                <w:color w:val="0000FF"/>
              </w:rPr>
            </w:pPr>
            <w:hyperlink w:anchor="page92">
              <w:r>
                <w:rPr>
                  <w:rFonts w:ascii="Arial" w:cs="Arial" w:eastAsia="Arial" w:hAnsi="Arial"/>
                  <w:sz w:val="14"/>
                  <w:szCs w:val="14"/>
                  <w:color w:val="0000FF"/>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75" w:name="page76"/>
    <w:bookmarkEnd w:id="7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200" w:lineRule="exact"/>
        <w:rPr>
          <w:sz w:val="20"/>
          <w:szCs w:val="20"/>
          <w:color w:val="auto"/>
        </w:rPr>
      </w:pPr>
    </w:p>
    <w:p>
      <w:pPr>
        <w:spacing w:after="0" w:line="233" w:lineRule="exact"/>
        <w:rPr>
          <w:sz w:val="20"/>
          <w:szCs w:val="20"/>
          <w:color w:val="auto"/>
        </w:rPr>
      </w:pPr>
    </w:p>
    <w:p>
      <w:pPr>
        <w:ind w:left="100" w:hanging="81"/>
        <w:spacing w:after="0"/>
        <w:tabs>
          <w:tab w:leader="none" w:pos="1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t>
      </w:r>
    </w:p>
    <w:p>
      <w:pPr>
        <w:spacing w:after="0" w:line="51"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color w:val="auto"/>
        </w:rPr>
        <w:t>Financial statements from the Quarterly Report on Form 10-Q of BioCryst Pharmaceuticals, Inc. for the three and six months ended June 30, 2022, formatted in Inline XBRL:</w:t>
      </w:r>
    </w:p>
    <w:p>
      <w:pPr>
        <w:spacing w:after="0" w:line="42" w:lineRule="exact"/>
        <w:rPr>
          <w:sz w:val="20"/>
          <w:szCs w:val="20"/>
          <w:color w:val="auto"/>
        </w:rPr>
      </w:pPr>
    </w:p>
    <w:p>
      <w:pPr>
        <w:ind w:right="60" w:firstLine="8"/>
        <w:spacing w:after="0" w:line="266" w:lineRule="auto"/>
        <w:tabs>
          <w:tab w:leader="none" w:pos="169"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Consolidated Balance Sheets, (ii) Consolidated Statements of Comprehensive Loss, (iii) Consolidated Statements of Cash Flows, and (iv) Notes to Consolidated Financial Statements, tagged as blocks of text and including detailed tags.</w:t>
      </w:r>
    </w:p>
    <w:p>
      <w:pPr>
        <w:spacing w:after="0" w:line="227"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Cover Page Interactive Data File – The cover page from this Quarterly Report on Form 10-Q for the quarter ended June 30, 2022 is formatted in Inline XBRL (contained in Exhibit 101).</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Filed or furnished herewith.</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Management contract.</w:t>
      </w:r>
    </w:p>
    <w:p>
      <w:pPr>
        <w:spacing w:after="0" w:line="200" w:lineRule="exact"/>
        <w:rPr>
          <w:sz w:val="20"/>
          <w:szCs w:val="20"/>
          <w:color w:val="auto"/>
        </w:rPr>
      </w:pPr>
    </w:p>
    <w:p>
      <w:pPr>
        <w:spacing w:after="0" w:line="382"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46990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000" w:space="380"/>
            <w:col w:w="9880"/>
          </w:cols>
          <w:pgMar w:left="300" w:top="129"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6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 on this 5th day of August, 2022.</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BIOCRYST PHARMACEUTICALS, INC.</w:t>
      </w:r>
    </w:p>
    <w:p>
      <w:pPr>
        <w:spacing w:after="0" w:line="253"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19050</wp:posOffset>
            </wp:positionV>
            <wp:extent cx="369887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3698875" cy="6985"/>
                    </a:xfrm>
                    <a:prstGeom prst="rect">
                      <a:avLst/>
                    </a:prstGeom>
                    <a:noFill/>
                  </pic:spPr>
                </pic:pic>
              </a:graphicData>
            </a:graphic>
          </wp:anchor>
        </w:drawing>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Jon P. Stonehouse</w:t>
      </w:r>
    </w:p>
    <w:p>
      <w:pPr>
        <w:spacing w:after="0" w:line="41" w:lineRule="exact"/>
        <w:rPr>
          <w:sz w:val="20"/>
          <w:szCs w:val="20"/>
          <w:color w:val="auto"/>
        </w:rPr>
      </w:pPr>
    </w:p>
    <w:p>
      <w:pPr>
        <w:ind w:left="548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41" w:lineRule="exact"/>
        <w:rPr>
          <w:sz w:val="20"/>
          <w:szCs w:val="20"/>
          <w:color w:val="auto"/>
        </w:rPr>
      </w:pPr>
    </w:p>
    <w:p>
      <w:pPr>
        <w:ind w:left="5480"/>
        <w:spacing w:after="0"/>
        <w:rPr>
          <w:sz w:val="20"/>
          <w:szCs w:val="20"/>
          <w:color w:val="auto"/>
        </w:rPr>
      </w:pPr>
      <w:r>
        <w:rPr>
          <w:rFonts w:ascii="Arial" w:cs="Arial" w:eastAsia="Arial" w:hAnsi="Arial"/>
          <w:sz w:val="14"/>
          <w:szCs w:val="14"/>
          <w:i w:val="1"/>
          <w:iCs w:val="1"/>
          <w:color w:val="auto"/>
        </w:rPr>
        <w:t>(Principal Executive Officer)</w:t>
      </w:r>
    </w:p>
    <w:p>
      <w:pPr>
        <w:spacing w:after="0" w:line="253"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19050</wp:posOffset>
            </wp:positionV>
            <wp:extent cx="369887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3698875" cy="6985"/>
                    </a:xfrm>
                    <a:prstGeom prst="rect">
                      <a:avLst/>
                    </a:prstGeom>
                    <a:noFill/>
                  </pic:spPr>
                </pic:pic>
              </a:graphicData>
            </a:graphic>
          </wp:anchor>
        </w:drawing>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Anthony Doyle</w:t>
      </w:r>
    </w:p>
    <w:p>
      <w:pPr>
        <w:spacing w:after="0" w:line="41" w:lineRule="exact"/>
        <w:rPr>
          <w:sz w:val="20"/>
          <w:szCs w:val="20"/>
          <w:color w:val="auto"/>
        </w:rPr>
      </w:pPr>
    </w:p>
    <w:p>
      <w:pPr>
        <w:ind w:left="5480"/>
        <w:spacing w:after="0"/>
        <w:rPr>
          <w:sz w:val="20"/>
          <w:szCs w:val="20"/>
          <w:color w:val="auto"/>
        </w:rPr>
      </w:pPr>
      <w:r>
        <w:rPr>
          <w:rFonts w:ascii="Arial" w:cs="Arial" w:eastAsia="Arial" w:hAnsi="Arial"/>
          <w:sz w:val="14"/>
          <w:szCs w:val="14"/>
          <w:i w:val="1"/>
          <w:iCs w:val="1"/>
          <w:color w:val="auto"/>
        </w:rPr>
        <w:t>Chief Financial Officer</w:t>
      </w:r>
    </w:p>
    <w:p>
      <w:pPr>
        <w:spacing w:after="0" w:line="41" w:lineRule="exact"/>
        <w:rPr>
          <w:sz w:val="20"/>
          <w:szCs w:val="20"/>
          <w:color w:val="auto"/>
        </w:rPr>
      </w:pPr>
    </w:p>
    <w:p>
      <w:pPr>
        <w:ind w:left="5480"/>
        <w:spacing w:after="0"/>
        <w:rPr>
          <w:sz w:val="20"/>
          <w:szCs w:val="20"/>
          <w:color w:val="auto"/>
        </w:rPr>
      </w:pPr>
      <w:r>
        <w:rPr>
          <w:rFonts w:ascii="Arial" w:cs="Arial" w:eastAsia="Arial" w:hAnsi="Arial"/>
          <w:sz w:val="14"/>
          <w:szCs w:val="14"/>
          <w:i w:val="1"/>
          <w:iCs w:val="1"/>
          <w:color w:val="auto"/>
        </w:rPr>
        <w:t>(Principal Financial Officer)</w:t>
      </w:r>
    </w:p>
    <w:p>
      <w:pPr>
        <w:spacing w:after="0" w:line="253"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/s/ Michael 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19050</wp:posOffset>
            </wp:positionV>
            <wp:extent cx="369887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3698875" cy="6985"/>
                    </a:xfrm>
                    <a:prstGeom prst="rect">
                      <a:avLst/>
                    </a:prstGeom>
                    <a:noFill/>
                  </pic:spPr>
                </pic:pic>
              </a:graphicData>
            </a:graphic>
          </wp:anchor>
        </w:drawing>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Michael L. Jones</w:t>
      </w:r>
    </w:p>
    <w:p>
      <w:pPr>
        <w:spacing w:after="0" w:line="41" w:lineRule="exact"/>
        <w:rPr>
          <w:sz w:val="20"/>
          <w:szCs w:val="20"/>
          <w:color w:val="auto"/>
        </w:rPr>
      </w:pPr>
    </w:p>
    <w:p>
      <w:pPr>
        <w:ind w:left="5480"/>
        <w:spacing w:after="0"/>
        <w:rPr>
          <w:sz w:val="20"/>
          <w:szCs w:val="20"/>
          <w:color w:val="auto"/>
        </w:rPr>
      </w:pPr>
      <w:r>
        <w:rPr>
          <w:rFonts w:ascii="Arial" w:cs="Arial" w:eastAsia="Arial" w:hAnsi="Arial"/>
          <w:sz w:val="14"/>
          <w:szCs w:val="14"/>
          <w:i w:val="1"/>
          <w:iCs w:val="1"/>
          <w:color w:val="auto"/>
        </w:rPr>
        <w:t>Executive Director, Finance and Principal Accounting Officer</w:t>
      </w:r>
    </w:p>
    <w:p>
      <w:pPr>
        <w:spacing w:after="0" w:line="41" w:lineRule="exact"/>
        <w:rPr>
          <w:sz w:val="20"/>
          <w:szCs w:val="20"/>
          <w:color w:val="auto"/>
        </w:rPr>
      </w:pPr>
    </w:p>
    <w:p>
      <w:pPr>
        <w:ind w:left="5480"/>
        <w:spacing w:after="0"/>
        <w:rPr>
          <w:sz w:val="20"/>
          <w:szCs w:val="20"/>
          <w:color w:val="auto"/>
        </w:rPr>
      </w:pPr>
      <w:r>
        <w:rPr>
          <w:rFonts w:ascii="Arial" w:cs="Arial" w:eastAsia="Arial" w:hAnsi="Arial"/>
          <w:sz w:val="14"/>
          <w:szCs w:val="14"/>
          <w:i w:val="1"/>
          <w:iCs w:val="1"/>
          <w:color w:val="auto"/>
        </w:rPr>
        <w:t>(Principal Accounting Officer)</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40"/>
          </w:cols>
          <w:pgMar w:left="300" w:top="129"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BIOCRYST PHARMACEUTICALS,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GRANT OF NON-EMPLOYEE DIRECTOR STOCK OPTION</w:t>
      </w:r>
    </w:p>
    <w:p>
      <w:pPr>
        <w:spacing w:after="0" w:line="204" w:lineRule="exact"/>
        <w:rPr>
          <w:sz w:val="20"/>
          <w:szCs w:val="20"/>
          <w:color w:val="auto"/>
        </w:rPr>
      </w:pPr>
    </w:p>
    <w:p>
      <w:pPr>
        <w:jc w:val="both"/>
        <w:ind w:firstLine="179"/>
        <w:spacing w:after="0" w:line="281" w:lineRule="auto"/>
        <w:rPr>
          <w:sz w:val="20"/>
          <w:szCs w:val="20"/>
          <w:color w:val="auto"/>
        </w:rPr>
      </w:pPr>
      <w:r>
        <w:rPr>
          <w:rFonts w:ascii="Arial" w:cs="Arial" w:eastAsia="Arial" w:hAnsi="Arial"/>
          <w:sz w:val="14"/>
          <w:szCs w:val="14"/>
          <w:color w:val="auto"/>
        </w:rPr>
        <w:t>Notice is hereby given of the following stock option grant (the “Option”) to purchase shares of the Common Stock of BioCryst Pharmaceuticals, Inc. (the “Company”) pursuant to the Director Grant Program in effect under the BioCryst Pharmaceuticals, Inc. Stock Incentive Plan (the “Plan”):</w:t>
      </w:r>
    </w:p>
    <w:p>
      <w:pPr>
        <w:spacing w:after="0" w:line="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26035</wp:posOffset>
            </wp:positionV>
            <wp:extent cx="26003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spacing w:after="0" w:line="31" w:lineRule="exact"/>
        <w:rPr>
          <w:sz w:val="20"/>
          <w:szCs w:val="20"/>
          <w:color w:val="auto"/>
        </w:rPr>
      </w:pPr>
    </w:p>
    <w:p>
      <w:pPr>
        <w:ind w:left="940"/>
        <w:spacing w:after="0"/>
        <w:rPr>
          <w:sz w:val="20"/>
          <w:szCs w:val="20"/>
          <w:color w:val="auto"/>
        </w:rPr>
      </w:pPr>
      <w:r>
        <w:rPr>
          <w:rFonts w:ascii="Arial" w:cs="Arial" w:eastAsia="Arial" w:hAnsi="Arial"/>
          <w:sz w:val="14"/>
          <w:szCs w:val="14"/>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26035</wp:posOffset>
            </wp:positionV>
            <wp:extent cx="26003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spacing w:after="0" w:line="31" w:lineRule="exact"/>
        <w:rPr>
          <w:sz w:val="20"/>
          <w:szCs w:val="20"/>
          <w:color w:val="auto"/>
        </w:rPr>
      </w:pPr>
    </w:p>
    <w:p>
      <w:pPr>
        <w:ind w:left="940"/>
        <w:spacing w:after="0"/>
        <w:rPr>
          <w:sz w:val="20"/>
          <w:szCs w:val="20"/>
          <w:color w:val="auto"/>
        </w:rPr>
      </w:pPr>
      <w:r>
        <w:rPr>
          <w:rFonts w:ascii="Arial" w:cs="Arial" w:eastAsia="Arial" w:hAnsi="Arial"/>
          <w:sz w:val="14"/>
          <w:szCs w:val="14"/>
          <w:color w:val="auto"/>
        </w:rPr>
        <w:t>Option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26035</wp:posOffset>
            </wp:positionV>
            <wp:extent cx="26003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spacing w:after="0" w:line="31" w:lineRule="exact"/>
        <w:rPr>
          <w:sz w:val="20"/>
          <w:szCs w:val="20"/>
          <w:color w:val="auto"/>
        </w:rPr>
      </w:pPr>
    </w:p>
    <w:p>
      <w:pPr>
        <w:ind w:left="940"/>
        <w:spacing w:after="0"/>
        <w:rPr>
          <w:sz w:val="20"/>
          <w:szCs w:val="20"/>
          <w:color w:val="auto"/>
        </w:rPr>
      </w:pPr>
      <w:r>
        <w:rPr>
          <w:rFonts w:ascii="Arial" w:cs="Arial" w:eastAsia="Arial" w:hAnsi="Arial"/>
          <w:sz w:val="14"/>
          <w:szCs w:val="14"/>
          <w:color w:val="auto"/>
        </w:rPr>
        <w:t>Number of Optioned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26035</wp:posOffset>
            </wp:positionV>
            <wp:extent cx="26003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spacing w:after="0" w:line="31" w:lineRule="exact"/>
        <w:rPr>
          <w:sz w:val="20"/>
          <w:szCs w:val="20"/>
          <w:color w:val="auto"/>
        </w:rPr>
      </w:pPr>
    </w:p>
    <w:p>
      <w:pPr>
        <w:ind w:left="940"/>
        <w:spacing w:after="0"/>
        <w:rPr>
          <w:sz w:val="20"/>
          <w:szCs w:val="20"/>
          <w:color w:val="auto"/>
        </w:rPr>
      </w:pPr>
      <w:r>
        <w:rPr>
          <w:rFonts w:ascii="Arial" w:cs="Arial" w:eastAsia="Arial" w:hAnsi="Arial"/>
          <w:sz w:val="14"/>
          <w:szCs w:val="14"/>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26035</wp:posOffset>
            </wp:positionV>
            <wp:extent cx="26003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spacing w:after="0" w:line="42" w:lineRule="exact"/>
        <w:rPr>
          <w:sz w:val="20"/>
          <w:szCs w:val="20"/>
          <w:color w:val="auto"/>
        </w:rPr>
      </w:pPr>
    </w:p>
    <w:p>
      <w:pPr>
        <w:ind w:left="940"/>
        <w:spacing w:after="0"/>
        <w:tabs>
          <w:tab w:leader="none" w:pos="4220" w:val="left"/>
        </w:tabs>
        <w:rPr>
          <w:sz w:val="20"/>
          <w:szCs w:val="20"/>
          <w:color w:val="auto"/>
        </w:rPr>
      </w:pPr>
      <w:r>
        <w:rPr>
          <w:rFonts w:ascii="Arial" w:cs="Arial" w:eastAsia="Arial" w:hAnsi="Arial"/>
          <w:sz w:val="14"/>
          <w:szCs w:val="14"/>
          <w:color w:val="auto"/>
        </w:rPr>
        <w:t>Type of Option:</w:t>
      </w:r>
      <w:r>
        <w:rPr>
          <w:sz w:val="20"/>
          <w:szCs w:val="20"/>
          <w:color w:val="auto"/>
        </w:rPr>
        <w:tab/>
      </w:r>
      <w:r>
        <w:rPr>
          <w:rFonts w:ascii="Arial" w:cs="Arial" w:eastAsia="Arial" w:hAnsi="Arial"/>
          <w:sz w:val="13"/>
          <w:szCs w:val="13"/>
          <w:color w:val="auto"/>
        </w:rPr>
        <w:t>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26035</wp:posOffset>
            </wp:positionV>
            <wp:extent cx="260032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260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7168515" cy="255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68515" cy="255905"/>
                    </a:xfrm>
                    <a:prstGeom prst="rect">
                      <a:avLst/>
                    </a:prstGeom>
                    <a:noFill/>
                  </pic:spPr>
                </pic:pic>
              </a:graphicData>
            </a:graphic>
          </wp:anchor>
        </w:drawing>
      </w:r>
    </w:p>
    <w:p>
      <w:pPr>
        <w:spacing w:after="0" w:line="335" w:lineRule="exact"/>
        <w:rPr>
          <w:sz w:val="20"/>
          <w:szCs w:val="20"/>
          <w:color w:val="auto"/>
        </w:rPr>
      </w:pPr>
    </w:p>
    <w:p>
      <w:pPr>
        <w:ind w:left="580" w:right="560"/>
        <w:spacing w:after="0" w:line="287" w:lineRule="auto"/>
        <w:rPr>
          <w:sz w:val="20"/>
          <w:szCs w:val="20"/>
          <w:color w:val="auto"/>
        </w:rPr>
      </w:pPr>
      <w:r>
        <w:rPr>
          <w:rFonts w:ascii="Arial" w:cs="Arial" w:eastAsia="Arial" w:hAnsi="Arial"/>
          <w:sz w:val="14"/>
          <w:szCs w:val="14"/>
          <w:b w:val="1"/>
          <w:bCs w:val="1"/>
          <w:u w:val="single" w:color="auto"/>
          <w:color w:val="auto"/>
        </w:rPr>
        <w:t>Exercise Schedule</w:t>
      </w:r>
      <w:r>
        <w:rPr>
          <w:rFonts w:ascii="Arial" w:cs="Arial" w:eastAsia="Arial" w:hAnsi="Arial"/>
          <w:sz w:val="14"/>
          <w:szCs w:val="14"/>
          <w:b w:val="1"/>
          <w:bCs w:val="1"/>
          <w:color w:val="auto"/>
        </w:rPr>
        <w:t xml:space="preserve">: </w:t>
      </w:r>
      <w:r>
        <w:rPr>
          <w:rFonts w:ascii="Arial" w:cs="Arial" w:eastAsia="Arial" w:hAnsi="Arial"/>
          <w:sz w:val="14"/>
          <w:szCs w:val="14"/>
          <w:color w:val="auto"/>
        </w:rPr>
        <w:t>The Option will become exercisable on the twelve (12)-month anniversary of the Grant Date. The Option shall not become exercisable following the</w:t>
      </w:r>
      <w:r>
        <w:rPr>
          <w:rFonts w:ascii="Arial" w:cs="Arial" w:eastAsia="Arial" w:hAnsi="Arial"/>
          <w:sz w:val="14"/>
          <w:szCs w:val="14"/>
          <w:b w:val="1"/>
          <w:bCs w:val="1"/>
          <w:color w:val="auto"/>
        </w:rPr>
        <w:t xml:space="preserve"> </w:t>
      </w:r>
      <w:r>
        <w:rPr>
          <w:rFonts w:ascii="Arial" w:cs="Arial" w:eastAsia="Arial" w:hAnsi="Arial"/>
          <w:sz w:val="14"/>
          <w:szCs w:val="14"/>
          <w:color w:val="auto"/>
        </w:rPr>
        <w:t>Optionee’s cessation of Service.</w:t>
      </w:r>
    </w:p>
    <w:p>
      <w:pPr>
        <w:spacing w:after="0" w:line="25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Optionee understands that the Option is granted subject to and in accordance with the express terms and conditions of the Plan and the BioCryst Pharmaceuticals, Inc. Non-Employee Director Compensation Policy (the “Policy”), and Optionee agrees to be bound by and conform to the terms and conditions of the Plan, the Plan Prospectus, this Notice of Grant of Non-Employee Director Stock Option and its accompanying Non-Employee Director Stock Option Agreement, and the Policy. Optionee acknowledges that copies of the Plan, the Plan Prospectus, the Non-Employee Director Stock Option Agreement, and the Policy have been made available to Optionee.</w:t>
      </w:r>
    </w:p>
    <w:p>
      <w:pPr>
        <w:spacing w:after="0" w:line="16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u w:val="single" w:color="auto"/>
          <w:color w:val="auto"/>
        </w:rPr>
        <w:t>No Guarantee of Board Service</w:t>
      </w:r>
      <w:r>
        <w:rPr>
          <w:rFonts w:ascii="Arial" w:cs="Arial" w:eastAsia="Arial" w:hAnsi="Arial"/>
          <w:sz w:val="14"/>
          <w:szCs w:val="14"/>
          <w:color w:val="auto"/>
        </w:rPr>
        <w:t>: Nothing in the Non-Employee Director Stock Option Agreement, the Plan, or the Policy shall confer upon the Optionee the right to continue in the Service of the Company for any period of specific duration or interfere with or otherwise restrict in any way the rights of the Company or the stockholders to remove Optionee from the Board in accordance with applicable law.</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By my signature below, I hereby acknowledge receipt of this Option granted on the date shown above, which has been issued to me under the terms and conditions of the Plan.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OPTIONEE</w:t>
            </w:r>
          </w:p>
        </w:tc>
        <w:tc>
          <w:tcPr>
            <w:tcW w:w="5640" w:type="dxa"/>
            <w:vAlign w:val="bottom"/>
          </w:tcPr>
          <w:p>
            <w:pPr>
              <w:ind w:left="60"/>
              <w:spacing w:after="0"/>
              <w:rPr>
                <w:sz w:val="20"/>
                <w:szCs w:val="20"/>
                <w:color w:val="auto"/>
              </w:rPr>
            </w:pPr>
            <w:r>
              <w:rPr>
                <w:rFonts w:ascii="Arial" w:cs="Arial" w:eastAsia="Arial" w:hAnsi="Arial"/>
                <w:sz w:val="14"/>
                <w:szCs w:val="14"/>
                <w:b w:val="1"/>
                <w:bCs w:val="1"/>
                <w:color w:val="auto"/>
              </w:rPr>
              <w:t>BIOCRYST PHARMACEUTICALS, INC.</w:t>
            </w:r>
          </w:p>
        </w:tc>
      </w:tr>
      <w:tr>
        <w:trPr>
          <w:trHeight w:val="234"/>
        </w:trPr>
        <w:tc>
          <w:tcPr>
            <w:tcW w:w="3760" w:type="dxa"/>
            <w:vAlign w:val="bottom"/>
            <w:tcBorders>
              <w:bottom w:val="single" w:sz="8" w:color="auto"/>
            </w:tcBorders>
          </w:tcPr>
          <w:p>
            <w:pPr>
              <w:spacing w:after="0"/>
              <w:rPr>
                <w:sz w:val="20"/>
                <w:szCs w:val="20"/>
                <w:color w:val="auto"/>
              </w:rPr>
            </w:pPr>
          </w:p>
        </w:tc>
        <w:tc>
          <w:tcPr>
            <w:tcW w:w="1880" w:type="dxa"/>
            <w:vAlign w:val="bottom"/>
          </w:tcPr>
          <w:p>
            <w:pPr>
              <w:spacing w:after="0"/>
              <w:rPr>
                <w:sz w:val="20"/>
                <w:szCs w:val="20"/>
                <w:color w:val="auto"/>
              </w:rPr>
            </w:pPr>
          </w:p>
        </w:tc>
        <w:tc>
          <w:tcPr>
            <w:tcW w:w="5640" w:type="dxa"/>
            <w:vAlign w:val="bottom"/>
            <w:tcBorders>
              <w:bottom w:val="single" w:sz="8" w:color="auto"/>
            </w:tcBorders>
          </w:tcPr>
          <w:p>
            <w:pPr>
              <w:spacing w:after="0"/>
              <w:rPr>
                <w:sz w:val="20"/>
                <w:szCs w:val="20"/>
                <w:color w:val="auto"/>
              </w:rPr>
            </w:pPr>
          </w:p>
        </w:tc>
      </w:tr>
      <w:tr>
        <w:trPr>
          <w:trHeight w:val="139"/>
        </w:trPr>
        <w:tc>
          <w:tcPr>
            <w:tcW w:w="5640" w:type="dxa"/>
            <w:vAlign w:val="bottom"/>
            <w:gridSpan w:val="2"/>
          </w:tcPr>
          <w:p>
            <w:pPr>
              <w:ind w:left="60"/>
              <w:spacing w:after="0" w:line="139" w:lineRule="exact"/>
              <w:rPr>
                <w:sz w:val="20"/>
                <w:szCs w:val="20"/>
                <w:color w:val="auto"/>
              </w:rPr>
            </w:pPr>
            <w:r>
              <w:rPr>
                <w:rFonts w:ascii="Arial" w:cs="Arial" w:eastAsia="Arial" w:hAnsi="Arial"/>
                <w:sz w:val="14"/>
                <w:szCs w:val="14"/>
                <w:color w:val="auto"/>
              </w:rPr>
              <w:t>Signature</w:t>
            </w:r>
          </w:p>
        </w:tc>
        <w:tc>
          <w:tcPr>
            <w:tcW w:w="5640" w:type="dxa"/>
            <w:vAlign w:val="bottom"/>
          </w:tcPr>
          <w:p>
            <w:pPr>
              <w:ind w:left="60"/>
              <w:spacing w:after="0" w:line="139" w:lineRule="exact"/>
              <w:rPr>
                <w:sz w:val="20"/>
                <w:szCs w:val="20"/>
                <w:color w:val="auto"/>
              </w:rPr>
            </w:pPr>
            <w:r>
              <w:rPr>
                <w:rFonts w:ascii="Arial" w:cs="Arial" w:eastAsia="Arial" w:hAnsi="Arial"/>
                <w:sz w:val="14"/>
                <w:szCs w:val="14"/>
                <w:color w:val="auto"/>
              </w:rPr>
              <w:t>Jon P. Stonehouse</w:t>
            </w:r>
          </w:p>
        </w:tc>
      </w:tr>
      <w:tr>
        <w:trPr>
          <w:trHeight w:val="180"/>
        </w:trPr>
        <w:tc>
          <w:tcPr>
            <w:tcW w:w="3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640" w:type="dxa"/>
            <w:vAlign w:val="bottom"/>
          </w:tcPr>
          <w:p>
            <w:pPr>
              <w:ind w:left="60"/>
              <w:spacing w:after="0"/>
              <w:rPr>
                <w:sz w:val="20"/>
                <w:szCs w:val="20"/>
                <w:color w:val="auto"/>
              </w:rPr>
            </w:pPr>
            <w:r>
              <w:rPr>
                <w:rFonts w:ascii="Arial" w:cs="Arial" w:eastAsia="Arial" w:hAnsi="Arial"/>
                <w:sz w:val="14"/>
                <w:szCs w:val="14"/>
                <w:color w:val="auto"/>
              </w:rPr>
              <w:t>President &amp; CEO</w:t>
            </w:r>
          </w:p>
        </w:tc>
      </w:tr>
    </w:tbl>
    <w:p>
      <w:pPr>
        <w:sectPr>
          <w:pgSz w:w="11900" w:h="16838" w:orient="portrait"/>
          <w:cols w:equalWidth="0" w:num="1">
            <w:col w:w="11280"/>
          </w:cols>
          <w:pgMar w:left="300" w:top="115" w:right="319" w:bottom="1440" w:gutter="0" w:footer="0" w:header="0"/>
        </w:sectPr>
      </w:pPr>
    </w:p>
    <w:bookmarkStart w:id="78" w:name="page79"/>
    <w:bookmarkEnd w:id="78"/>
    <w:p>
      <w:pPr>
        <w:jc w:val="center"/>
        <w:spacing w:after="0"/>
        <w:rPr>
          <w:sz w:val="20"/>
          <w:szCs w:val="20"/>
          <w:color w:val="auto"/>
        </w:rPr>
      </w:pPr>
      <w:r>
        <w:rPr>
          <w:rFonts w:ascii="Arial" w:cs="Arial" w:eastAsia="Arial" w:hAnsi="Arial"/>
          <w:sz w:val="14"/>
          <w:szCs w:val="14"/>
          <w:b w:val="1"/>
          <w:bCs w:val="1"/>
          <w:color w:val="auto"/>
        </w:rPr>
        <w:t>BIOCRYST PHARMACEUTICALS, INC.</w:t>
      </w:r>
    </w:p>
    <w:p>
      <w:pPr>
        <w:jc w:val="center"/>
        <w:spacing w:after="0"/>
        <w:rPr>
          <w:sz w:val="20"/>
          <w:szCs w:val="20"/>
          <w:color w:val="auto"/>
        </w:rPr>
      </w:pPr>
      <w:r>
        <w:rPr>
          <w:rFonts w:ascii="Arial" w:cs="Arial" w:eastAsia="Arial" w:hAnsi="Arial"/>
          <w:sz w:val="14"/>
          <w:szCs w:val="14"/>
          <w:b w:val="1"/>
          <w:bCs w:val="1"/>
          <w:color w:val="auto"/>
        </w:rPr>
        <w:t>STOCK INCENTIVE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NON-EMPLOYEE DIRECTOR STOCK OPTION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WITNESSETH</w:t>
      </w:r>
      <w:r>
        <w:rPr>
          <w:rFonts w:ascii="Arial" w:cs="Arial" w:eastAsia="Arial" w:hAnsi="Arial"/>
          <w:sz w:val="14"/>
          <w:szCs w:val="14"/>
          <w:b w:val="1"/>
          <w:bCs w:val="1"/>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RECITALS</w:t>
      </w:r>
    </w:p>
    <w:p>
      <w:pPr>
        <w:spacing w:after="0" w:line="151" w:lineRule="exact"/>
        <w:rPr>
          <w:sz w:val="20"/>
          <w:szCs w:val="20"/>
          <w:color w:val="auto"/>
        </w:rPr>
      </w:pPr>
    </w:p>
    <w:p>
      <w:pPr>
        <w:ind w:right="540" w:firstLine="514"/>
        <w:spacing w:after="0" w:line="236" w:lineRule="auto"/>
        <w:tabs>
          <w:tab w:leader="none" w:pos="1018"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Company’s Board of Directors (the “Board”) has approved a director grant program under the Company’s Stock Incentive Plan (the “Plan”) pursuant to which the non-employee members of the Board will receive option grants under the Plan.</w:t>
      </w:r>
    </w:p>
    <w:p>
      <w:pPr>
        <w:spacing w:after="0" w:line="128" w:lineRule="exact"/>
        <w:rPr>
          <w:rFonts w:ascii="Arial" w:cs="Arial" w:eastAsia="Arial" w:hAnsi="Arial"/>
          <w:sz w:val="14"/>
          <w:szCs w:val="14"/>
          <w:color w:val="auto"/>
        </w:rPr>
      </w:pPr>
    </w:p>
    <w:p>
      <w:pPr>
        <w:ind w:right="100" w:firstLine="514"/>
        <w:spacing w:after="0" w:line="236" w:lineRule="auto"/>
        <w:tabs>
          <w:tab w:leader="none" w:pos="101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Optionee is a non-employee member of the Board, and this Agreement is executed pursuant to, and is intended to carry out the purposes of, the Plan in connection with the grant of an option to purchase shares of the Company’s Common Stock under the Plan.</w:t>
      </w:r>
    </w:p>
    <w:p>
      <w:pPr>
        <w:spacing w:after="0" w:line="128" w:lineRule="exact"/>
        <w:rPr>
          <w:rFonts w:ascii="Arial" w:cs="Arial" w:eastAsia="Arial" w:hAnsi="Arial"/>
          <w:sz w:val="14"/>
          <w:szCs w:val="14"/>
          <w:color w:val="auto"/>
        </w:rPr>
      </w:pPr>
    </w:p>
    <w:p>
      <w:pPr>
        <w:ind w:right="120" w:firstLine="514"/>
        <w:spacing w:after="0" w:line="236" w:lineRule="auto"/>
        <w:tabs>
          <w:tab w:leader="none" w:pos="101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The granted option is intended to be a non-statutory option which does </w:t>
      </w:r>
      <w:r>
        <w:rPr>
          <w:rFonts w:ascii="Arial" w:cs="Arial" w:eastAsia="Arial" w:hAnsi="Arial"/>
          <w:sz w:val="14"/>
          <w:szCs w:val="14"/>
          <w:u w:val="single" w:color="auto"/>
          <w:color w:val="auto"/>
        </w:rPr>
        <w:t>not</w:t>
      </w:r>
      <w:r>
        <w:rPr>
          <w:rFonts w:ascii="Arial" w:cs="Arial" w:eastAsia="Arial" w:hAnsi="Arial"/>
          <w:sz w:val="14"/>
          <w:szCs w:val="14"/>
          <w:color w:val="auto"/>
        </w:rPr>
        <w:t xml:space="preserve"> meet the requirements of Section 422 of the Internal Revenue Code and is designed to provide Optionee with a meaningful incentive to serve as a member of the Board.</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it is hereby agreed as follows:</w:t>
      </w:r>
    </w:p>
    <w:p>
      <w:pPr>
        <w:spacing w:after="0" w:line="147" w:lineRule="exact"/>
        <w:rPr>
          <w:sz w:val="20"/>
          <w:szCs w:val="20"/>
          <w:color w:val="auto"/>
        </w:rPr>
      </w:pPr>
    </w:p>
    <w:p>
      <w:pPr>
        <w:ind w:firstLine="514"/>
        <w:spacing w:after="0" w:line="222" w:lineRule="auto"/>
        <w:tabs>
          <w:tab w:leader="none" w:pos="1018" w:val="left"/>
        </w:tabs>
        <w:numPr>
          <w:ilvl w:val="0"/>
          <w:numId w:val="35"/>
        </w:numPr>
        <w:rPr>
          <w:rFonts w:ascii="Arial" w:cs="Arial" w:eastAsia="Arial" w:hAnsi="Arial"/>
          <w:sz w:val="14"/>
          <w:szCs w:val="14"/>
          <w:color w:val="auto"/>
        </w:rPr>
      </w:pPr>
      <w:r>
        <w:rPr>
          <w:rFonts w:ascii="Arial" w:cs="Arial" w:eastAsia="Arial" w:hAnsi="Arial"/>
          <w:sz w:val="14"/>
          <w:szCs w:val="14"/>
          <w:b w:val="1"/>
          <w:bCs w:val="1"/>
          <w:u w:val="single" w:color="auto"/>
          <w:color w:val="auto"/>
        </w:rPr>
        <w:t>Grant of Option</w:t>
      </w:r>
      <w:r>
        <w:rPr>
          <w:rFonts w:ascii="Arial" w:cs="Arial" w:eastAsia="Arial" w:hAnsi="Arial"/>
          <w:sz w:val="14"/>
          <w:szCs w:val="14"/>
          <w:color w:val="auto"/>
        </w:rPr>
        <w:t>. Subject to and upon the terms and conditions set forth in this Agreement, the Company hereby grants to Optionee, as of the grant date (the “</w:t>
      </w:r>
      <w:r>
        <w:rPr>
          <w:rFonts w:ascii="Arial" w:cs="Arial" w:eastAsia="Arial" w:hAnsi="Arial"/>
          <w:sz w:val="14"/>
          <w:szCs w:val="14"/>
          <w:u w:val="single" w:color="auto"/>
          <w:color w:val="auto"/>
        </w:rPr>
        <w:t>Grant Date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specified in the accompanying Notice of Grant of Non-Employee Director Stock Option (the “</w:t>
      </w:r>
      <w:r>
        <w:rPr>
          <w:rFonts w:ascii="Arial" w:cs="Arial" w:eastAsia="Arial" w:hAnsi="Arial"/>
          <w:sz w:val="14"/>
          <w:szCs w:val="14"/>
          <w:u w:val="single" w:color="auto"/>
          <w:color w:val="auto"/>
        </w:rPr>
        <w:t>Grant Notice</w:t>
      </w:r>
      <w:r>
        <w:rPr>
          <w:rFonts w:ascii="Arial" w:cs="Arial" w:eastAsia="Arial" w:hAnsi="Arial"/>
          <w:sz w:val="14"/>
          <w:szCs w:val="14"/>
          <w:color w:val="auto"/>
        </w:rPr>
        <w:t>”), a stock option to purchase up to that number of shares of the Company’s Common Stock (the “</w:t>
      </w:r>
      <w:r>
        <w:rPr>
          <w:rFonts w:ascii="Arial" w:cs="Arial" w:eastAsia="Arial" w:hAnsi="Arial"/>
          <w:sz w:val="14"/>
          <w:szCs w:val="14"/>
          <w:u w:val="single" w:color="auto"/>
          <w:color w:val="auto"/>
        </w:rPr>
        <w:t>Optioned Shares</w:t>
      </w:r>
      <w:r>
        <w:rPr>
          <w:rFonts w:ascii="Arial" w:cs="Arial" w:eastAsia="Arial" w:hAnsi="Arial"/>
          <w:sz w:val="14"/>
          <w:szCs w:val="14"/>
          <w:color w:val="auto"/>
        </w:rPr>
        <w:t>”) specified in the Grant Notice. The Optioned Shares shall be purchasable from time to time during the option term at the option price per share (the “</w:t>
      </w:r>
      <w:r>
        <w:rPr>
          <w:rFonts w:ascii="Arial" w:cs="Arial" w:eastAsia="Arial" w:hAnsi="Arial"/>
          <w:sz w:val="14"/>
          <w:szCs w:val="14"/>
          <w:u w:val="single" w:color="auto"/>
          <w:color w:val="auto"/>
        </w:rPr>
        <w:t>Option Price</w:t>
      </w:r>
      <w:r>
        <w:rPr>
          <w:rFonts w:ascii="Arial" w:cs="Arial" w:eastAsia="Arial" w:hAnsi="Arial"/>
          <w:sz w:val="14"/>
          <w:szCs w:val="14"/>
          <w:color w:val="auto"/>
        </w:rPr>
        <w:t>”) specified in the Grant Notice.</w:t>
      </w:r>
    </w:p>
    <w:p>
      <w:pPr>
        <w:spacing w:after="0" w:line="125" w:lineRule="exact"/>
        <w:rPr>
          <w:rFonts w:ascii="Arial" w:cs="Arial" w:eastAsia="Arial" w:hAnsi="Arial"/>
          <w:sz w:val="14"/>
          <w:szCs w:val="14"/>
          <w:color w:val="auto"/>
        </w:rPr>
      </w:pPr>
    </w:p>
    <w:p>
      <w:pPr>
        <w:ind w:right="240" w:firstLine="514"/>
        <w:spacing w:after="0" w:line="239" w:lineRule="auto"/>
        <w:tabs>
          <w:tab w:leader="none" w:pos="1018" w:val="left"/>
        </w:tabs>
        <w:numPr>
          <w:ilvl w:val="0"/>
          <w:numId w:val="35"/>
        </w:numPr>
        <w:rPr>
          <w:rFonts w:ascii="Arial" w:cs="Arial" w:eastAsia="Arial" w:hAnsi="Arial"/>
          <w:sz w:val="14"/>
          <w:szCs w:val="14"/>
          <w:color w:val="auto"/>
        </w:rPr>
      </w:pPr>
      <w:r>
        <w:rPr>
          <w:rFonts w:ascii="Arial" w:cs="Arial" w:eastAsia="Arial" w:hAnsi="Arial"/>
          <w:sz w:val="14"/>
          <w:szCs w:val="14"/>
          <w:b w:val="1"/>
          <w:bCs w:val="1"/>
          <w:u w:val="single" w:color="auto"/>
          <w:color w:val="auto"/>
        </w:rPr>
        <w:t>Option Term</w:t>
      </w:r>
      <w:r>
        <w:rPr>
          <w:rFonts w:ascii="Arial" w:cs="Arial" w:eastAsia="Arial" w:hAnsi="Arial"/>
          <w:sz w:val="14"/>
          <w:szCs w:val="14"/>
          <w:color w:val="auto"/>
        </w:rPr>
        <w:t>. This option grant shall expire at the close of business on the Expiration Date specified in the Grant Notice (which shall be ten (10) years measured from the Grant</w:t>
      </w:r>
      <w:r>
        <w:rPr>
          <w:rFonts w:ascii="Arial" w:cs="Arial" w:eastAsia="Arial" w:hAnsi="Arial"/>
          <w:sz w:val="14"/>
          <w:szCs w:val="14"/>
          <w:b w:val="1"/>
          <w:bCs w:val="1"/>
          <w:color w:val="auto"/>
        </w:rPr>
        <w:t xml:space="preserve"> </w:t>
      </w:r>
      <w:r>
        <w:rPr>
          <w:rFonts w:ascii="Arial" w:cs="Arial" w:eastAsia="Arial" w:hAnsi="Arial"/>
          <w:sz w:val="14"/>
          <w:szCs w:val="14"/>
          <w:color w:val="auto"/>
        </w:rPr>
        <w:t>Date), unless sooner terminated in accordance with this Agreement.</w:t>
      </w:r>
    </w:p>
    <w:p>
      <w:pPr>
        <w:spacing w:after="0" w:line="124" w:lineRule="exact"/>
        <w:rPr>
          <w:rFonts w:ascii="Arial" w:cs="Arial" w:eastAsia="Arial" w:hAnsi="Arial"/>
          <w:sz w:val="14"/>
          <w:szCs w:val="14"/>
          <w:color w:val="auto"/>
        </w:rPr>
      </w:pPr>
    </w:p>
    <w:p>
      <w:pPr>
        <w:ind w:right="40" w:firstLine="514"/>
        <w:spacing w:after="0" w:line="232" w:lineRule="auto"/>
        <w:tabs>
          <w:tab w:leader="none" w:pos="1018" w:val="left"/>
        </w:tabs>
        <w:numPr>
          <w:ilvl w:val="0"/>
          <w:numId w:val="35"/>
        </w:numPr>
        <w:rPr>
          <w:rFonts w:ascii="Arial" w:cs="Arial" w:eastAsia="Arial" w:hAnsi="Arial"/>
          <w:sz w:val="13"/>
          <w:szCs w:val="13"/>
          <w:color w:val="auto"/>
        </w:rPr>
      </w:pPr>
      <w:r>
        <w:rPr>
          <w:rFonts w:ascii="Arial" w:cs="Arial" w:eastAsia="Arial" w:hAnsi="Arial"/>
          <w:sz w:val="13"/>
          <w:szCs w:val="13"/>
          <w:b w:val="1"/>
          <w:bCs w:val="1"/>
          <w:u w:val="single" w:color="auto"/>
          <w:color w:val="auto"/>
        </w:rPr>
        <w:t>Limited Transferabilit</w:t>
      </w:r>
      <w:r>
        <w:rPr>
          <w:rFonts w:ascii="Arial" w:cs="Arial" w:eastAsia="Arial" w:hAnsi="Arial"/>
          <w:sz w:val="13"/>
          <w:szCs w:val="13"/>
          <w:b w:val="1"/>
          <w:bCs w:val="1"/>
          <w:color w:val="auto"/>
        </w:rPr>
        <w:t>y</w:t>
      </w:r>
      <w:r>
        <w:rPr>
          <w:rFonts w:ascii="Arial" w:cs="Arial" w:eastAsia="Arial" w:hAnsi="Arial"/>
          <w:sz w:val="13"/>
          <w:szCs w:val="13"/>
          <w:color w:val="auto"/>
        </w:rPr>
        <w:t>. During the lifetime of the Optionee, this option (together with its tandem stock appreciation right) shall be exercisable only by the Optionee and shall not</w:t>
      </w:r>
      <w:r>
        <w:rPr>
          <w:rFonts w:ascii="Arial" w:cs="Arial" w:eastAsia="Arial" w:hAnsi="Arial"/>
          <w:sz w:val="13"/>
          <w:szCs w:val="13"/>
          <w:b w:val="1"/>
          <w:bCs w:val="1"/>
          <w:color w:val="auto"/>
        </w:rPr>
        <w:t xml:space="preserve"> </w:t>
      </w:r>
      <w:r>
        <w:rPr>
          <w:rFonts w:ascii="Arial" w:cs="Arial" w:eastAsia="Arial" w:hAnsi="Arial"/>
          <w:sz w:val="13"/>
          <w:szCs w:val="13"/>
          <w:color w:val="auto"/>
        </w:rPr>
        <w:t>be assignable or transferable by the Optionee except for a transfer by will or by the laws of descent and distribution following the Optionee’s death. Notwithstanding the foregoing, this option may, in connection with the Optionee’s estate plan, be assigned in whole or in part during the during Optionee’s lifetime either as (i) as a gift to one or more members of Optionee’s immediate family, to a trust in which Optionee and/or one or more such family members hold more than fifty percent (50%) of the beneficial interest or an entity in which more than fifty percent (50%) of the voting interests are owned by Optionee and/or one or more such family members, or (ii) pursuant to a domestic relations order. The assigned portion shall be exercisable only by the person or persons who acquire a proprietary interest in the option pursuant to such assignment. The terms applicable to the assigned portion shall be the same as those in effect for this option immediately prior to such assignment and shall be set forth in such documents issued to the assignee as the Plan Administrator may deem appropriate.</w:t>
      </w:r>
    </w:p>
    <w:p>
      <w:pPr>
        <w:spacing w:after="0" w:line="123" w:lineRule="exact"/>
        <w:rPr>
          <w:rFonts w:ascii="Arial" w:cs="Arial" w:eastAsia="Arial" w:hAnsi="Arial"/>
          <w:sz w:val="13"/>
          <w:szCs w:val="13"/>
          <w:color w:val="auto"/>
        </w:rPr>
      </w:pPr>
    </w:p>
    <w:p>
      <w:pPr>
        <w:ind w:right="100" w:firstLine="514"/>
        <w:spacing w:after="0" w:line="228" w:lineRule="auto"/>
        <w:tabs>
          <w:tab w:leader="none" w:pos="1018" w:val="left"/>
        </w:tabs>
        <w:numPr>
          <w:ilvl w:val="0"/>
          <w:numId w:val="35"/>
        </w:numPr>
        <w:rPr>
          <w:rFonts w:ascii="Arial" w:cs="Arial" w:eastAsia="Arial" w:hAnsi="Arial"/>
          <w:sz w:val="14"/>
          <w:szCs w:val="14"/>
          <w:color w:val="auto"/>
        </w:rPr>
      </w:pPr>
      <w:r>
        <w:rPr>
          <w:rFonts w:ascii="Arial" w:cs="Arial" w:eastAsia="Arial" w:hAnsi="Arial"/>
          <w:sz w:val="14"/>
          <w:szCs w:val="14"/>
          <w:b w:val="1"/>
          <w:bCs w:val="1"/>
          <w:u w:val="single" w:color="auto"/>
          <w:color w:val="auto"/>
        </w:rPr>
        <w:t>Exercisabilit</w:t>
      </w:r>
      <w:r>
        <w:rPr>
          <w:rFonts w:ascii="Arial" w:cs="Arial" w:eastAsia="Arial" w:hAnsi="Arial"/>
          <w:sz w:val="14"/>
          <w:szCs w:val="14"/>
          <w:b w:val="1"/>
          <w:bCs w:val="1"/>
          <w:color w:val="auto"/>
        </w:rPr>
        <w:t>y</w:t>
      </w:r>
      <w:r>
        <w:rPr>
          <w:rFonts w:ascii="Arial" w:cs="Arial" w:eastAsia="Arial" w:hAnsi="Arial"/>
          <w:sz w:val="14"/>
          <w:szCs w:val="14"/>
          <w:color w:val="auto"/>
        </w:rPr>
        <w:t>. This option shall become exercisable for the Optioned Shares in installments as is specified in the Grant Notice. As the option becomes exercisable for one or more</w:t>
      </w:r>
      <w:r>
        <w:rPr>
          <w:rFonts w:ascii="Arial" w:cs="Arial" w:eastAsia="Arial" w:hAnsi="Arial"/>
          <w:sz w:val="14"/>
          <w:szCs w:val="14"/>
          <w:b w:val="1"/>
          <w:bCs w:val="1"/>
          <w:color w:val="auto"/>
        </w:rPr>
        <w:t xml:space="preserve"> </w:t>
      </w:r>
      <w:r>
        <w:rPr>
          <w:rFonts w:ascii="Arial" w:cs="Arial" w:eastAsia="Arial" w:hAnsi="Arial"/>
          <w:sz w:val="14"/>
          <w:szCs w:val="14"/>
          <w:color w:val="auto"/>
        </w:rPr>
        <w:t>installments, the installments shall accumulate and the option shall remain exercisable for the accumulated installments until the Expiration Date or the sooner termination of the option term under this Agreement.</w:t>
      </w:r>
    </w:p>
    <w:p>
      <w:pPr>
        <w:spacing w:after="0" w:line="124" w:lineRule="exact"/>
        <w:rPr>
          <w:rFonts w:ascii="Arial" w:cs="Arial" w:eastAsia="Arial" w:hAnsi="Arial"/>
          <w:sz w:val="14"/>
          <w:szCs w:val="14"/>
          <w:color w:val="auto"/>
        </w:rPr>
      </w:pPr>
    </w:p>
    <w:p>
      <w:pPr>
        <w:ind w:right="20" w:firstLine="514"/>
        <w:spacing w:after="0" w:line="217" w:lineRule="auto"/>
        <w:tabs>
          <w:tab w:leader="none" w:pos="1018" w:val="left"/>
        </w:tabs>
        <w:numPr>
          <w:ilvl w:val="0"/>
          <w:numId w:val="35"/>
        </w:numPr>
        <w:rPr>
          <w:rFonts w:ascii="Arial" w:cs="Arial" w:eastAsia="Arial" w:hAnsi="Arial"/>
          <w:sz w:val="14"/>
          <w:szCs w:val="14"/>
          <w:color w:val="auto"/>
        </w:rPr>
      </w:pPr>
      <w:r>
        <w:rPr>
          <w:rFonts w:ascii="Arial" w:cs="Arial" w:eastAsia="Arial" w:hAnsi="Arial"/>
          <w:sz w:val="14"/>
          <w:szCs w:val="14"/>
          <w:b w:val="1"/>
          <w:bCs w:val="1"/>
          <w:u w:val="single" w:color="auto"/>
          <w:color w:val="auto"/>
        </w:rPr>
        <w:t>Cessation of Board Service</w:t>
      </w:r>
      <w:r>
        <w:rPr>
          <w:rFonts w:ascii="Arial" w:cs="Arial" w:eastAsia="Arial" w:hAnsi="Arial"/>
          <w:sz w:val="14"/>
          <w:szCs w:val="14"/>
          <w:color w:val="auto"/>
        </w:rPr>
        <w:t>. Should Optionee cease to serve as a Board member for any reason while holding this option, then Optionee shall have the remainder of the ten (10)</w:t>
      </w:r>
      <w:r>
        <w:rPr>
          <w:rFonts w:ascii="Arial" w:cs="Arial" w:eastAsia="Arial" w:hAnsi="Arial"/>
          <w:sz w:val="14"/>
          <w:szCs w:val="14"/>
          <w:b w:val="1"/>
          <w:bCs w:val="1"/>
          <w:color w:val="auto"/>
        </w:rPr>
        <w:t xml:space="preserve"> </w:t>
      </w:r>
      <w:r>
        <w:rPr>
          <w:rFonts w:ascii="Arial" w:cs="Arial" w:eastAsia="Arial" w:hAnsi="Arial"/>
          <w:sz w:val="14"/>
          <w:szCs w:val="14"/>
          <w:color w:val="auto"/>
        </w:rPr>
        <w:t>year term of this option in which to exercise such option for any or all of the Optioned Shares for which it is exercisable at the time of such cessation of Board service. This option shall immediately terminate and cease to be outstanding, at the time of such cessation of Board service, with respect to Optioned Shares for which this Option is not otherwise at that time exercisable. Upon the death of the Optionee, whether resulting in cessation of Service or occurring thereafter, the personal representative of the Optionee’s estate or the person or persons to whom this Option is transferred pursuant to the Optionee’s will or in accordance with the laws of descent and distribution may exercise this Option for the remainder of the ten (10) year term with respect to the Optioned Shares for which the Option was exercisable at the time of Optionee’s death.</w:t>
      </w:r>
    </w:p>
    <w:p>
      <w:pPr>
        <w:sectPr>
          <w:pgSz w:w="11900" w:h="16838" w:orient="portrait"/>
          <w:cols w:equalWidth="0" w:num="1">
            <w:col w:w="11280"/>
          </w:cols>
          <w:pgMar w:left="300" w:top="1125" w:right="319" w:bottom="1440" w:gutter="0" w:footer="0" w:header="0"/>
        </w:sectPr>
      </w:pPr>
    </w:p>
    <w:bookmarkStart w:id="79" w:name="page80"/>
    <w:bookmarkEnd w:id="79"/>
    <w:p>
      <w:pPr>
        <w:ind w:left="-514" w:right="20" w:firstLine="514"/>
        <w:spacing w:after="0" w:line="228" w:lineRule="auto"/>
        <w:tabs>
          <w:tab w:leader="none" w:pos="504" w:val="left"/>
        </w:tabs>
        <w:numPr>
          <w:ilvl w:val="0"/>
          <w:numId w:val="36"/>
        </w:numPr>
        <w:rPr>
          <w:rFonts w:ascii="Arial" w:cs="Arial" w:eastAsia="Arial" w:hAnsi="Arial"/>
          <w:sz w:val="14"/>
          <w:szCs w:val="14"/>
          <w:color w:val="auto"/>
        </w:rPr>
      </w:pPr>
      <w:r>
        <w:rPr>
          <w:rFonts w:ascii="Arial" w:cs="Arial" w:eastAsia="Arial" w:hAnsi="Arial"/>
          <w:sz w:val="14"/>
          <w:szCs w:val="14"/>
          <w:b w:val="1"/>
          <w:bCs w:val="1"/>
          <w:u w:val="single" w:color="auto"/>
          <w:color w:val="auto"/>
        </w:rPr>
        <w:t>Corporate Transaction/Change in Control</w:t>
      </w:r>
      <w:r>
        <w:rPr>
          <w:rFonts w:ascii="Arial" w:cs="Arial" w:eastAsia="Arial" w:hAnsi="Arial"/>
          <w:sz w:val="14"/>
          <w:szCs w:val="14"/>
          <w:color w:val="auto"/>
        </w:rPr>
        <w:t>. In the event of a Corporate Transaction or a Change in Control, the option shall be treated as specified in Article Two of the Plan.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shall not in any way affect the right of the Company to adjust, reclassify, reorganize or otherwise make changes in its capital or business structure or to merge, consolidate, dissolve, liquidate or sell or transfer all or any part of its business or assets.</w:t>
      </w:r>
    </w:p>
    <w:p>
      <w:pPr>
        <w:spacing w:after="0" w:line="124" w:lineRule="exact"/>
        <w:rPr>
          <w:rFonts w:ascii="Arial" w:cs="Arial" w:eastAsia="Arial" w:hAnsi="Arial"/>
          <w:sz w:val="14"/>
          <w:szCs w:val="14"/>
          <w:color w:val="auto"/>
        </w:rPr>
      </w:pPr>
    </w:p>
    <w:p>
      <w:pPr>
        <w:ind w:left="506" w:hanging="506"/>
        <w:spacing w:after="0"/>
        <w:tabs>
          <w:tab w:leader="none" w:pos="506" w:val="left"/>
        </w:tabs>
        <w:numPr>
          <w:ilvl w:val="0"/>
          <w:numId w:val="36"/>
        </w:numPr>
        <w:rPr>
          <w:rFonts w:ascii="Arial" w:cs="Arial" w:eastAsia="Arial" w:hAnsi="Arial"/>
          <w:sz w:val="14"/>
          <w:szCs w:val="14"/>
          <w:color w:val="auto"/>
        </w:rPr>
      </w:pPr>
      <w:r>
        <w:rPr>
          <w:rFonts w:ascii="Arial" w:cs="Arial" w:eastAsia="Arial" w:hAnsi="Arial"/>
          <w:sz w:val="14"/>
          <w:szCs w:val="14"/>
          <w:b w:val="1"/>
          <w:bCs w:val="1"/>
          <w:u w:val="single" w:color="auto"/>
          <w:color w:val="auto"/>
        </w:rPr>
        <w:t>Adjustment in Optioned Shares</w:t>
      </w:r>
      <w:r>
        <w:rPr>
          <w:rFonts w:ascii="Arial" w:cs="Arial" w:eastAsia="Arial" w:hAnsi="Arial"/>
          <w:sz w:val="14"/>
          <w:szCs w:val="14"/>
          <w:color w:val="auto"/>
        </w:rPr>
        <w:t>.</w:t>
      </w:r>
    </w:p>
    <w:p>
      <w:pPr>
        <w:spacing w:after="0" w:line="150" w:lineRule="exact"/>
        <w:rPr>
          <w:rFonts w:ascii="Arial" w:cs="Arial" w:eastAsia="Arial" w:hAnsi="Arial"/>
          <w:sz w:val="14"/>
          <w:szCs w:val="14"/>
          <w:color w:val="auto"/>
        </w:rPr>
      </w:pPr>
    </w:p>
    <w:p>
      <w:pPr>
        <w:ind w:left="6" w:right="160" w:firstLine="503"/>
        <w:spacing w:after="0" w:line="221" w:lineRule="auto"/>
        <w:tabs>
          <w:tab w:leader="none" w:pos="1022" w:val="left"/>
        </w:tabs>
        <w:numPr>
          <w:ilvl w:val="1"/>
          <w:numId w:val="36"/>
        </w:numPr>
        <w:rPr>
          <w:rFonts w:ascii="Arial" w:cs="Arial" w:eastAsia="Arial" w:hAnsi="Arial"/>
          <w:sz w:val="14"/>
          <w:szCs w:val="14"/>
          <w:color w:val="auto"/>
        </w:rPr>
      </w:pPr>
      <w:r>
        <w:rPr>
          <w:rFonts w:ascii="Arial" w:cs="Arial" w:eastAsia="Arial" w:hAnsi="Arial"/>
          <w:sz w:val="14"/>
          <w:szCs w:val="14"/>
          <w:color w:val="auto"/>
        </w:rPr>
        <w:t>In the event any change is made to the Common Stock issuable under the Plan by reason of any stock split, stock dividend, recapitalization, combination of shares, exchange of shares, or other change affecting the outstanding Common Stock as a class without receipt of consideration, then appropriate adjustments shall be made to (i) the total number and/or class of Optioned Shares subject to this option and (ii) the Option Price payable per share in order to reflect such change and thereby preclude a dilution or enlargement of benefits hereunder.</w:t>
      </w:r>
    </w:p>
    <w:p>
      <w:pPr>
        <w:spacing w:after="0" w:line="128" w:lineRule="exact"/>
        <w:rPr>
          <w:rFonts w:ascii="Arial" w:cs="Arial" w:eastAsia="Arial" w:hAnsi="Arial"/>
          <w:sz w:val="14"/>
          <w:szCs w:val="14"/>
          <w:color w:val="auto"/>
        </w:rPr>
      </w:pPr>
    </w:p>
    <w:p>
      <w:pPr>
        <w:jc w:val="both"/>
        <w:ind w:left="6" w:right="180" w:firstLine="503"/>
        <w:spacing w:after="0" w:line="221" w:lineRule="auto"/>
        <w:tabs>
          <w:tab w:leader="none" w:pos="1019" w:val="left"/>
        </w:tabs>
        <w:numPr>
          <w:ilvl w:val="1"/>
          <w:numId w:val="36"/>
        </w:numPr>
        <w:rPr>
          <w:rFonts w:ascii="Arial" w:cs="Arial" w:eastAsia="Arial" w:hAnsi="Arial"/>
          <w:sz w:val="14"/>
          <w:szCs w:val="14"/>
          <w:color w:val="auto"/>
        </w:rPr>
      </w:pPr>
      <w:r>
        <w:rPr>
          <w:rFonts w:ascii="Arial" w:cs="Arial" w:eastAsia="Arial" w:hAnsi="Arial"/>
          <w:sz w:val="14"/>
          <w:szCs w:val="14"/>
          <w:color w:val="auto"/>
        </w:rPr>
        <w:t>If this option is to be assumed or is otherwise to remain outstanding after a Corporate Transaction, then this option shall be appropriately adjusted to apply and pertain to the number and class of securities which would have been issuable to the Optionee in the consummation of such Corporate Transaction had the option been exercised immediately prior to such Corporate Transaction, and appropriate adjustments shall also be made to the Option Price payable per share, provided the aggregate Option Price payable hereunder shall remain the same.</w:t>
      </w:r>
    </w:p>
    <w:p>
      <w:pPr>
        <w:spacing w:after="0" w:line="124" w:lineRule="exact"/>
        <w:rPr>
          <w:rFonts w:ascii="Arial" w:cs="Arial" w:eastAsia="Arial" w:hAnsi="Arial"/>
          <w:sz w:val="14"/>
          <w:szCs w:val="14"/>
          <w:color w:val="auto"/>
        </w:rPr>
      </w:pPr>
    </w:p>
    <w:p>
      <w:pPr>
        <w:ind w:left="-514" w:right="260" w:firstLine="514"/>
        <w:spacing w:after="0" w:line="239" w:lineRule="auto"/>
        <w:tabs>
          <w:tab w:leader="none" w:pos="504" w:val="left"/>
        </w:tabs>
        <w:numPr>
          <w:ilvl w:val="0"/>
          <w:numId w:val="36"/>
        </w:numPr>
        <w:rPr>
          <w:rFonts w:ascii="Arial" w:cs="Arial" w:eastAsia="Arial" w:hAnsi="Arial"/>
          <w:sz w:val="14"/>
          <w:szCs w:val="14"/>
          <w:color w:val="auto"/>
        </w:rPr>
      </w:pPr>
      <w:r>
        <w:rPr>
          <w:rFonts w:ascii="Arial" w:cs="Arial" w:eastAsia="Arial" w:hAnsi="Arial"/>
          <w:sz w:val="14"/>
          <w:szCs w:val="14"/>
          <w:b w:val="1"/>
          <w:bCs w:val="1"/>
          <w:u w:val="single" w:color="auto"/>
          <w:color w:val="auto"/>
        </w:rPr>
        <w:t>Privilege of Stock Ownership</w:t>
      </w:r>
      <w:r>
        <w:rPr>
          <w:rFonts w:ascii="Arial" w:cs="Arial" w:eastAsia="Arial" w:hAnsi="Arial"/>
          <w:sz w:val="14"/>
          <w:szCs w:val="14"/>
          <w:color w:val="auto"/>
        </w:rPr>
        <w:t>. The holder of this option shall not have any shareholder rights with respect to the Optioned Shares until such individual shall have exercised the</w:t>
      </w:r>
      <w:r>
        <w:rPr>
          <w:rFonts w:ascii="Arial" w:cs="Arial" w:eastAsia="Arial" w:hAnsi="Arial"/>
          <w:sz w:val="14"/>
          <w:szCs w:val="14"/>
          <w:b w:val="1"/>
          <w:bCs w:val="1"/>
          <w:color w:val="auto"/>
        </w:rPr>
        <w:t xml:space="preserve"> </w:t>
      </w:r>
      <w:r>
        <w:rPr>
          <w:rFonts w:ascii="Arial" w:cs="Arial" w:eastAsia="Arial" w:hAnsi="Arial"/>
          <w:sz w:val="14"/>
          <w:szCs w:val="14"/>
          <w:color w:val="auto"/>
        </w:rPr>
        <w:t>option and paid the Option Price.</w:t>
      </w:r>
    </w:p>
    <w:p>
      <w:pPr>
        <w:spacing w:after="0" w:line="124" w:lineRule="exact"/>
        <w:rPr>
          <w:rFonts w:ascii="Arial" w:cs="Arial" w:eastAsia="Arial" w:hAnsi="Arial"/>
          <w:sz w:val="14"/>
          <w:szCs w:val="14"/>
          <w:color w:val="auto"/>
        </w:rPr>
      </w:pPr>
    </w:p>
    <w:p>
      <w:pPr>
        <w:ind w:left="506" w:hanging="506"/>
        <w:spacing w:after="0"/>
        <w:tabs>
          <w:tab w:leader="none" w:pos="506" w:val="left"/>
        </w:tabs>
        <w:numPr>
          <w:ilvl w:val="0"/>
          <w:numId w:val="36"/>
        </w:numPr>
        <w:rPr>
          <w:rFonts w:ascii="Arial" w:cs="Arial" w:eastAsia="Arial" w:hAnsi="Arial"/>
          <w:sz w:val="14"/>
          <w:szCs w:val="14"/>
          <w:color w:val="auto"/>
        </w:rPr>
      </w:pPr>
      <w:r>
        <w:rPr>
          <w:rFonts w:ascii="Arial" w:cs="Arial" w:eastAsia="Arial" w:hAnsi="Arial"/>
          <w:sz w:val="14"/>
          <w:szCs w:val="14"/>
          <w:b w:val="1"/>
          <w:bCs w:val="1"/>
          <w:u w:val="single" w:color="auto"/>
          <w:color w:val="auto"/>
        </w:rPr>
        <w:t>Manner of Exercising Option</w:t>
      </w:r>
      <w:r>
        <w:rPr>
          <w:rFonts w:ascii="Arial" w:cs="Arial" w:eastAsia="Arial" w:hAnsi="Arial"/>
          <w:sz w:val="14"/>
          <w:szCs w:val="14"/>
          <w:color w:val="auto"/>
        </w:rPr>
        <w:t>.</w:t>
      </w:r>
    </w:p>
    <w:p>
      <w:pPr>
        <w:spacing w:after="0" w:line="150" w:lineRule="exact"/>
        <w:rPr>
          <w:rFonts w:ascii="Arial" w:cs="Arial" w:eastAsia="Arial" w:hAnsi="Arial"/>
          <w:sz w:val="14"/>
          <w:szCs w:val="14"/>
          <w:color w:val="auto"/>
        </w:rPr>
      </w:pPr>
    </w:p>
    <w:p>
      <w:pPr>
        <w:ind w:left="6" w:right="240" w:firstLine="503"/>
        <w:spacing w:after="0" w:line="236" w:lineRule="auto"/>
        <w:tabs>
          <w:tab w:leader="none" w:pos="1022" w:val="left"/>
        </w:tabs>
        <w:numPr>
          <w:ilvl w:val="1"/>
          <w:numId w:val="36"/>
        </w:numPr>
        <w:rPr>
          <w:rFonts w:ascii="Arial" w:cs="Arial" w:eastAsia="Arial" w:hAnsi="Arial"/>
          <w:sz w:val="14"/>
          <w:szCs w:val="14"/>
          <w:color w:val="auto"/>
        </w:rPr>
      </w:pPr>
      <w:r>
        <w:rPr>
          <w:rFonts w:ascii="Arial" w:cs="Arial" w:eastAsia="Arial" w:hAnsi="Arial"/>
          <w:sz w:val="14"/>
          <w:szCs w:val="14"/>
          <w:color w:val="auto"/>
        </w:rPr>
        <w:t>In order to exercise this option with respect to all or any part of the Optioned Shares for which this option is at the time exercisable, Optionee (or in the case of exercise after Optionee’s death, the Optionee’s executor, administrator, heir or legatee, as the case may be) must take the following actions:</w:t>
      </w:r>
    </w:p>
    <w:p>
      <w:pPr>
        <w:spacing w:after="0" w:line="128" w:lineRule="exact"/>
        <w:rPr>
          <w:rFonts w:ascii="Arial" w:cs="Arial" w:eastAsia="Arial" w:hAnsi="Arial"/>
          <w:sz w:val="14"/>
          <w:szCs w:val="14"/>
          <w:color w:val="auto"/>
        </w:rPr>
      </w:pPr>
    </w:p>
    <w:p>
      <w:pPr>
        <w:ind w:left="506" w:right="160" w:firstLine="513"/>
        <w:spacing w:after="0" w:line="236" w:lineRule="auto"/>
        <w:tabs>
          <w:tab w:leader="none" w:pos="1519" w:val="left"/>
        </w:tabs>
        <w:numPr>
          <w:ilvl w:val="2"/>
          <w:numId w:val="36"/>
        </w:numPr>
        <w:rPr>
          <w:rFonts w:ascii="Arial" w:cs="Arial" w:eastAsia="Arial" w:hAnsi="Arial"/>
          <w:sz w:val="14"/>
          <w:szCs w:val="14"/>
          <w:color w:val="auto"/>
        </w:rPr>
      </w:pPr>
      <w:r>
        <w:rPr>
          <w:rFonts w:ascii="Arial" w:cs="Arial" w:eastAsia="Arial" w:hAnsi="Arial"/>
          <w:sz w:val="14"/>
          <w:szCs w:val="14"/>
          <w:color w:val="auto"/>
        </w:rPr>
        <w:t>Provide the Plan Administrator (or its designee) with written notice of the option exercise (the “Exercise Notice”) specifying the number of Optioned Shares for which the option is being exercised.</w:t>
      </w:r>
    </w:p>
    <w:p>
      <w:pPr>
        <w:spacing w:after="0" w:line="128" w:lineRule="exact"/>
        <w:rPr>
          <w:rFonts w:ascii="Arial" w:cs="Arial" w:eastAsia="Arial" w:hAnsi="Arial"/>
          <w:sz w:val="14"/>
          <w:szCs w:val="14"/>
          <w:color w:val="auto"/>
        </w:rPr>
      </w:pPr>
    </w:p>
    <w:p>
      <w:pPr>
        <w:ind w:left="1526" w:hanging="507"/>
        <w:spacing w:after="0"/>
        <w:tabs>
          <w:tab w:leader="none" w:pos="1526" w:val="left"/>
        </w:tabs>
        <w:numPr>
          <w:ilvl w:val="2"/>
          <w:numId w:val="36"/>
        </w:numPr>
        <w:rPr>
          <w:rFonts w:ascii="Arial" w:cs="Arial" w:eastAsia="Arial" w:hAnsi="Arial"/>
          <w:sz w:val="14"/>
          <w:szCs w:val="14"/>
          <w:color w:val="auto"/>
        </w:rPr>
      </w:pPr>
      <w:r>
        <w:rPr>
          <w:rFonts w:ascii="Arial" w:cs="Arial" w:eastAsia="Arial" w:hAnsi="Arial"/>
          <w:sz w:val="14"/>
          <w:szCs w:val="14"/>
          <w:color w:val="auto"/>
        </w:rPr>
        <w:t>Pay the aggregate Option Price for the purchased shares in one of the following alternative forms:</w:t>
      </w:r>
    </w:p>
    <w:p>
      <w:pPr>
        <w:spacing w:after="0" w:line="146" w:lineRule="exact"/>
        <w:rPr>
          <w:rFonts w:ascii="Arial" w:cs="Arial" w:eastAsia="Arial" w:hAnsi="Arial"/>
          <w:sz w:val="14"/>
          <w:szCs w:val="14"/>
          <w:color w:val="auto"/>
        </w:rPr>
      </w:pPr>
    </w:p>
    <w:p>
      <w:pPr>
        <w:ind w:left="2026" w:hanging="498"/>
        <w:spacing w:after="0"/>
        <w:tabs>
          <w:tab w:leader="none" w:pos="2026" w:val="left"/>
        </w:tabs>
        <w:numPr>
          <w:ilvl w:val="3"/>
          <w:numId w:val="36"/>
        </w:numPr>
        <w:rPr>
          <w:rFonts w:ascii="Arial" w:cs="Arial" w:eastAsia="Arial" w:hAnsi="Arial"/>
          <w:sz w:val="14"/>
          <w:szCs w:val="14"/>
          <w:color w:val="auto"/>
        </w:rPr>
      </w:pPr>
      <w:r>
        <w:rPr>
          <w:rFonts w:ascii="Arial" w:cs="Arial" w:eastAsia="Arial" w:hAnsi="Arial"/>
          <w:sz w:val="14"/>
          <w:szCs w:val="14"/>
          <w:color w:val="auto"/>
        </w:rPr>
        <w:t>full payment in cash or check payable to the Company’s order; or</w:t>
      </w:r>
    </w:p>
    <w:p>
      <w:pPr>
        <w:spacing w:after="0" w:line="146" w:lineRule="exact"/>
        <w:rPr>
          <w:rFonts w:ascii="Arial" w:cs="Arial" w:eastAsia="Arial" w:hAnsi="Arial"/>
          <w:sz w:val="14"/>
          <w:szCs w:val="14"/>
          <w:color w:val="auto"/>
        </w:rPr>
      </w:pPr>
    </w:p>
    <w:p>
      <w:pPr>
        <w:ind w:left="1026" w:right="160" w:firstLine="502"/>
        <w:spacing w:after="0" w:line="236" w:lineRule="auto"/>
        <w:tabs>
          <w:tab w:leader="none" w:pos="2042" w:val="left"/>
        </w:tabs>
        <w:numPr>
          <w:ilvl w:val="3"/>
          <w:numId w:val="36"/>
        </w:numPr>
        <w:rPr>
          <w:rFonts w:ascii="Arial" w:cs="Arial" w:eastAsia="Arial" w:hAnsi="Arial"/>
          <w:sz w:val="14"/>
          <w:szCs w:val="14"/>
          <w:color w:val="auto"/>
        </w:rPr>
      </w:pPr>
      <w:r>
        <w:rPr>
          <w:rFonts w:ascii="Arial" w:cs="Arial" w:eastAsia="Arial" w:hAnsi="Arial"/>
          <w:sz w:val="14"/>
          <w:szCs w:val="14"/>
          <w:color w:val="auto"/>
        </w:rPr>
        <w:t>full payment in shares of Common Stock held by Optionee for the requisite period necessary to avoid a charge to the Company’s reported earnings and valued at Fair Market Value on the Exercise Date; or</w:t>
      </w:r>
    </w:p>
    <w:p>
      <w:pPr>
        <w:spacing w:after="0" w:line="128" w:lineRule="exact"/>
        <w:rPr>
          <w:rFonts w:ascii="Arial" w:cs="Arial" w:eastAsia="Arial" w:hAnsi="Arial"/>
          <w:sz w:val="14"/>
          <w:szCs w:val="14"/>
          <w:color w:val="auto"/>
        </w:rPr>
      </w:pPr>
    </w:p>
    <w:p>
      <w:pPr>
        <w:ind w:left="1026" w:firstLine="502"/>
        <w:spacing w:after="0" w:line="236" w:lineRule="auto"/>
        <w:tabs>
          <w:tab w:leader="none" w:pos="2042" w:val="left"/>
        </w:tabs>
        <w:numPr>
          <w:ilvl w:val="3"/>
          <w:numId w:val="36"/>
        </w:numPr>
        <w:rPr>
          <w:rFonts w:ascii="Arial" w:cs="Arial" w:eastAsia="Arial" w:hAnsi="Arial"/>
          <w:sz w:val="14"/>
          <w:szCs w:val="14"/>
          <w:color w:val="auto"/>
        </w:rPr>
      </w:pPr>
      <w:r>
        <w:rPr>
          <w:rFonts w:ascii="Arial" w:cs="Arial" w:eastAsia="Arial" w:hAnsi="Arial"/>
          <w:sz w:val="14"/>
          <w:szCs w:val="14"/>
          <w:color w:val="auto"/>
        </w:rPr>
        <w:t>full payment in a combination of shares of Common Stock held for the requisite period necessary to avoid a charge to the Company’s earnings and valued at Fair Market Value on the Exercise Date and cash or check drawn to the Company’s order; or</w:t>
      </w:r>
    </w:p>
    <w:p>
      <w:pPr>
        <w:spacing w:after="0" w:line="128" w:lineRule="exact"/>
        <w:rPr>
          <w:rFonts w:ascii="Arial" w:cs="Arial" w:eastAsia="Arial" w:hAnsi="Arial"/>
          <w:sz w:val="14"/>
          <w:szCs w:val="14"/>
          <w:color w:val="auto"/>
        </w:rPr>
      </w:pPr>
    </w:p>
    <w:p>
      <w:pPr>
        <w:ind w:left="1026" w:right="80" w:firstLine="502"/>
        <w:spacing w:after="0" w:line="234" w:lineRule="auto"/>
        <w:tabs>
          <w:tab w:leader="none" w:pos="2039" w:val="left"/>
        </w:tabs>
        <w:numPr>
          <w:ilvl w:val="3"/>
          <w:numId w:val="36"/>
        </w:numPr>
        <w:rPr>
          <w:rFonts w:ascii="Arial" w:cs="Arial" w:eastAsia="Arial" w:hAnsi="Arial"/>
          <w:sz w:val="13"/>
          <w:szCs w:val="13"/>
          <w:color w:val="auto"/>
        </w:rPr>
      </w:pPr>
      <w:r>
        <w:rPr>
          <w:rFonts w:ascii="Arial" w:cs="Arial" w:eastAsia="Arial" w:hAnsi="Arial"/>
          <w:sz w:val="13"/>
          <w:szCs w:val="13"/>
          <w:color w:val="auto"/>
        </w:rPr>
        <w:t>If the Company’s outstanding Common Stock is registered under Section 12(g) of the Securities Exchange Act of 1934, as amended (the “1934 Act”), at the time this option is exercised, then payment of the Option Price may also be effected through a broker-dealer sale and remittance procedure pursuant to which Optionee shall provide irrevocable written instructions (A) to a designated brokerage firm to effect the immediate sale of the purchased shares and remit to the Company, out of the sale proceeds available on the settlement date, an amount equal to the aggregate Option Price payable for the purchased shares and (B) to the Company to deliver the certificates for the purchased shares directly to such brokerage firm in order to complete the sale.</w:t>
      </w:r>
    </w:p>
    <w:p>
      <w:pPr>
        <w:spacing w:after="0" w:line="130" w:lineRule="exact"/>
        <w:rPr>
          <w:rFonts w:ascii="Arial" w:cs="Arial" w:eastAsia="Arial" w:hAnsi="Arial"/>
          <w:sz w:val="13"/>
          <w:szCs w:val="13"/>
          <w:color w:val="auto"/>
        </w:rPr>
      </w:pPr>
    </w:p>
    <w:p>
      <w:pPr>
        <w:ind w:left="2026" w:hanging="498"/>
        <w:spacing w:after="0"/>
        <w:tabs>
          <w:tab w:leader="none" w:pos="2026" w:val="left"/>
        </w:tabs>
        <w:numPr>
          <w:ilvl w:val="3"/>
          <w:numId w:val="36"/>
        </w:numPr>
        <w:rPr>
          <w:rFonts w:ascii="Arial" w:cs="Arial" w:eastAsia="Arial" w:hAnsi="Arial"/>
          <w:sz w:val="12"/>
          <w:szCs w:val="12"/>
          <w:color w:val="auto"/>
        </w:rPr>
      </w:pPr>
      <w:r>
        <w:rPr>
          <w:rFonts w:ascii="Arial" w:cs="Arial" w:eastAsia="Arial" w:hAnsi="Arial"/>
          <w:sz w:val="12"/>
          <w:szCs w:val="12"/>
          <w:color w:val="auto"/>
        </w:rPr>
        <w:t>Furnish to the Company appropriate documentation that the person or persons exercising the option (if other than Optionee) have the right to exercise this</w:t>
      </w:r>
    </w:p>
    <w:p>
      <w:pPr>
        <w:spacing w:after="0" w:line="11" w:lineRule="exact"/>
        <w:rPr>
          <w:rFonts w:ascii="Arial" w:cs="Arial" w:eastAsia="Arial" w:hAnsi="Arial"/>
          <w:sz w:val="12"/>
          <w:szCs w:val="12"/>
          <w:color w:val="auto"/>
        </w:rPr>
      </w:pPr>
    </w:p>
    <w:p>
      <w:pPr>
        <w:ind w:left="1026"/>
        <w:spacing w:after="0"/>
        <w:rPr>
          <w:rFonts w:ascii="Arial" w:cs="Arial" w:eastAsia="Arial" w:hAnsi="Arial"/>
          <w:sz w:val="12"/>
          <w:szCs w:val="12"/>
          <w:color w:val="auto"/>
        </w:rPr>
      </w:pPr>
      <w:r>
        <w:rPr>
          <w:rFonts w:ascii="Arial" w:cs="Arial" w:eastAsia="Arial" w:hAnsi="Arial"/>
          <w:sz w:val="14"/>
          <w:szCs w:val="14"/>
          <w:color w:val="auto"/>
        </w:rPr>
        <w:t>option.</w:t>
      </w:r>
    </w:p>
    <w:p>
      <w:pPr>
        <w:sectPr>
          <w:pgSz w:w="11900" w:h="16838" w:orient="portrait"/>
          <w:cols w:equalWidth="0" w:num="1">
            <w:col w:w="10746"/>
          </w:cols>
          <w:pgMar w:left="814" w:top="1133" w:right="339" w:bottom="1440" w:gutter="0" w:footer="0" w:header="0"/>
        </w:sectPr>
      </w:pPr>
    </w:p>
    <w:bookmarkStart w:id="80" w:name="page81"/>
    <w:bookmarkEnd w:id="80"/>
    <w:p>
      <w:pPr>
        <w:ind w:left="6" w:right="60" w:firstLine="503"/>
        <w:spacing w:after="0" w:line="236" w:lineRule="auto"/>
        <w:tabs>
          <w:tab w:leader="none" w:pos="1019" w:val="left"/>
        </w:tabs>
        <w:numPr>
          <w:ilvl w:val="1"/>
          <w:numId w:val="37"/>
        </w:numPr>
        <w:rPr>
          <w:rFonts w:ascii="Arial" w:cs="Arial" w:eastAsia="Arial" w:hAnsi="Arial"/>
          <w:sz w:val="14"/>
          <w:szCs w:val="14"/>
          <w:color w:val="auto"/>
        </w:rPr>
      </w:pPr>
      <w:r>
        <w:rPr>
          <w:rFonts w:ascii="Arial" w:cs="Arial" w:eastAsia="Arial" w:hAnsi="Arial"/>
          <w:sz w:val="14"/>
          <w:szCs w:val="14"/>
          <w:color w:val="auto"/>
        </w:rPr>
        <w:t>For purposes of subparagraph (a) above and for all other valuation purposes under this Agreement, the Fair Market Value per share of Common Stock on any relevant date shall be determined in accordance with the following provisions:</w:t>
      </w:r>
    </w:p>
    <w:p>
      <w:pPr>
        <w:spacing w:after="0" w:line="128" w:lineRule="exact"/>
        <w:rPr>
          <w:rFonts w:ascii="Arial" w:cs="Arial" w:eastAsia="Arial" w:hAnsi="Arial"/>
          <w:sz w:val="14"/>
          <w:szCs w:val="14"/>
          <w:color w:val="auto"/>
        </w:rPr>
      </w:pPr>
    </w:p>
    <w:p>
      <w:pPr>
        <w:ind w:left="506" w:right="40" w:firstLine="513"/>
        <w:spacing w:after="0" w:line="234" w:lineRule="auto"/>
        <w:tabs>
          <w:tab w:leader="none" w:pos="1519" w:val="left"/>
        </w:tabs>
        <w:numPr>
          <w:ilvl w:val="2"/>
          <w:numId w:val="37"/>
        </w:numPr>
        <w:rPr>
          <w:rFonts w:ascii="Arial" w:cs="Arial" w:eastAsia="Arial" w:hAnsi="Arial"/>
          <w:sz w:val="13"/>
          <w:szCs w:val="13"/>
          <w:color w:val="auto"/>
        </w:rPr>
      </w:pPr>
      <w:r>
        <w:rPr>
          <w:rFonts w:ascii="Arial" w:cs="Arial" w:eastAsia="Arial" w:hAnsi="Arial"/>
          <w:sz w:val="13"/>
          <w:szCs w:val="13"/>
          <w:color w:val="auto"/>
        </w:rPr>
        <w:t>If the Common Stock is not at the time listed or admitted to trading on any national securities exchange but is traded in the over-the-counter market, the Fair Market Value shall be the mean between the highest bid and lowest asked prices (or, if such information is available, the closing selling price) per share of Common Stock on the date in question in the over-the-counter market, as such prices are reported by the National Association of Securities Dealers through the Nasdaq system or any successor system. If there are no reported bid and asked prices (or closing selling price) for the Common Stock on the date in question, then the mean between the highest bid price and lowest asked price (or the closing selling price) on the last preceding date for which such quotations exist shall be determinative of Fair Market Value.</w:t>
      </w:r>
    </w:p>
    <w:p>
      <w:pPr>
        <w:spacing w:after="0" w:line="130" w:lineRule="exact"/>
        <w:rPr>
          <w:rFonts w:ascii="Arial" w:cs="Arial" w:eastAsia="Arial" w:hAnsi="Arial"/>
          <w:sz w:val="13"/>
          <w:szCs w:val="13"/>
          <w:color w:val="auto"/>
        </w:rPr>
      </w:pPr>
    </w:p>
    <w:p>
      <w:pPr>
        <w:ind w:left="506" w:right="60" w:firstLine="513"/>
        <w:spacing w:after="0" w:line="238" w:lineRule="auto"/>
        <w:tabs>
          <w:tab w:leader="none" w:pos="1519" w:val="left"/>
        </w:tabs>
        <w:numPr>
          <w:ilvl w:val="2"/>
          <w:numId w:val="37"/>
        </w:numPr>
        <w:rPr>
          <w:rFonts w:ascii="Arial" w:cs="Arial" w:eastAsia="Arial" w:hAnsi="Arial"/>
          <w:sz w:val="13"/>
          <w:szCs w:val="13"/>
          <w:color w:val="auto"/>
        </w:rPr>
      </w:pPr>
      <w:r>
        <w:rPr>
          <w:rFonts w:ascii="Arial" w:cs="Arial" w:eastAsia="Arial" w:hAnsi="Arial"/>
          <w:sz w:val="13"/>
          <w:szCs w:val="13"/>
          <w:color w:val="auto"/>
        </w:rPr>
        <w:t>If the Common Stock is at the time listed or admitted to trading on any national securities exchange, then the Fair Market Value shall be the closing selling price per share of Common Stock on the date in question on the securities exchange determined by the Plan Administrator to be the primary market for the Common Stock, as such price is officially quoted in the composite tape of transactions on such exchange. If there is no reported sale of Common Stock on such exchange on the date in question, then the Fair Market Value shall be the closing selling price on the exchange on the last preceding date for which such quotation exists.</w:t>
      </w:r>
    </w:p>
    <w:p>
      <w:pPr>
        <w:spacing w:after="0" w:line="128" w:lineRule="exact"/>
        <w:rPr>
          <w:rFonts w:ascii="Arial" w:cs="Arial" w:eastAsia="Arial" w:hAnsi="Arial"/>
          <w:sz w:val="13"/>
          <w:szCs w:val="13"/>
          <w:color w:val="auto"/>
        </w:rPr>
      </w:pPr>
    </w:p>
    <w:p>
      <w:pPr>
        <w:ind w:left="506" w:right="60" w:firstLine="513"/>
        <w:spacing w:after="0" w:line="270" w:lineRule="auto"/>
        <w:tabs>
          <w:tab w:leader="none" w:pos="1519" w:val="left"/>
        </w:tabs>
        <w:numPr>
          <w:ilvl w:val="2"/>
          <w:numId w:val="37"/>
        </w:numPr>
        <w:rPr>
          <w:rFonts w:ascii="Arial" w:cs="Arial" w:eastAsia="Arial" w:hAnsi="Arial"/>
          <w:sz w:val="13"/>
          <w:szCs w:val="13"/>
          <w:color w:val="auto"/>
        </w:rPr>
      </w:pPr>
      <w:r>
        <w:rPr>
          <w:rFonts w:ascii="Arial" w:cs="Arial" w:eastAsia="Arial" w:hAnsi="Arial"/>
          <w:sz w:val="13"/>
          <w:szCs w:val="13"/>
          <w:color w:val="auto"/>
        </w:rPr>
        <w:t>If the Common Stock is on the date in question neither listed or admitted to trading on any stock exchange nor traded in the over-the-counter market, then the fair market value shall be determined by the Plan Administrator after taking into account such factors as the Plan Administrator shall deem appropriate.</w:t>
      </w:r>
    </w:p>
    <w:p>
      <w:pPr>
        <w:spacing w:after="0" w:line="109" w:lineRule="exact"/>
        <w:rPr>
          <w:rFonts w:ascii="Arial" w:cs="Arial" w:eastAsia="Arial" w:hAnsi="Arial"/>
          <w:sz w:val="13"/>
          <w:szCs w:val="13"/>
          <w:color w:val="auto"/>
        </w:rPr>
      </w:pPr>
    </w:p>
    <w:p>
      <w:pPr>
        <w:ind w:left="6" w:right="180" w:firstLine="503"/>
        <w:spacing w:after="0" w:line="236" w:lineRule="auto"/>
        <w:tabs>
          <w:tab w:leader="none" w:pos="1022" w:val="left"/>
        </w:tabs>
        <w:numPr>
          <w:ilvl w:val="1"/>
          <w:numId w:val="37"/>
        </w:numPr>
        <w:rPr>
          <w:rFonts w:ascii="Arial" w:cs="Arial" w:eastAsia="Arial" w:hAnsi="Arial"/>
          <w:sz w:val="14"/>
          <w:szCs w:val="14"/>
          <w:color w:val="auto"/>
        </w:rPr>
      </w:pPr>
      <w:r>
        <w:rPr>
          <w:rFonts w:ascii="Arial" w:cs="Arial" w:eastAsia="Arial" w:hAnsi="Arial"/>
          <w:sz w:val="14"/>
          <w:szCs w:val="14"/>
          <w:color w:val="auto"/>
        </w:rPr>
        <w:t>The Exercise Date shall be the date on which the Exercise Notice is delivered to the Plan Administrator. Except to the extent the sale and remittance procedure specified above is utilized for the exercise of the option, payment of the Option Price for the purchased shares must accompany such notice.</w:t>
      </w:r>
    </w:p>
    <w:p>
      <w:pPr>
        <w:spacing w:after="0" w:line="128" w:lineRule="exact"/>
        <w:rPr>
          <w:rFonts w:ascii="Arial" w:cs="Arial" w:eastAsia="Arial" w:hAnsi="Arial"/>
          <w:sz w:val="14"/>
          <w:szCs w:val="14"/>
          <w:color w:val="auto"/>
        </w:rPr>
      </w:pPr>
    </w:p>
    <w:p>
      <w:pPr>
        <w:ind w:left="6" w:firstLine="503"/>
        <w:spacing w:after="0" w:line="236" w:lineRule="auto"/>
        <w:tabs>
          <w:tab w:leader="none" w:pos="1019" w:val="left"/>
        </w:tabs>
        <w:numPr>
          <w:ilvl w:val="1"/>
          <w:numId w:val="37"/>
        </w:numPr>
        <w:rPr>
          <w:rFonts w:ascii="Arial" w:cs="Arial" w:eastAsia="Arial" w:hAnsi="Arial"/>
          <w:sz w:val="14"/>
          <w:szCs w:val="14"/>
          <w:color w:val="auto"/>
        </w:rPr>
      </w:pPr>
      <w:r>
        <w:rPr>
          <w:rFonts w:ascii="Arial" w:cs="Arial" w:eastAsia="Arial" w:hAnsi="Arial"/>
          <w:sz w:val="14"/>
          <w:szCs w:val="14"/>
          <w:color w:val="auto"/>
        </w:rPr>
        <w:t>As soon as practical after the Exercise Date, the Company shall issue to or on behalf of Optionee (or other person or persons exercising this option) the purchased Optioned Shares via electronic means or by delivery of a certificate or certificates representing the purchased Optioned Shares.</w:t>
      </w:r>
    </w:p>
    <w:p>
      <w:pPr>
        <w:spacing w:after="0" w:line="128" w:lineRule="exact"/>
        <w:rPr>
          <w:rFonts w:ascii="Arial" w:cs="Arial" w:eastAsia="Arial" w:hAnsi="Arial"/>
          <w:sz w:val="14"/>
          <w:szCs w:val="14"/>
          <w:color w:val="auto"/>
        </w:rPr>
      </w:pPr>
    </w:p>
    <w:p>
      <w:pPr>
        <w:ind w:left="1026" w:hanging="517"/>
        <w:spacing w:after="0"/>
        <w:tabs>
          <w:tab w:leader="none" w:pos="1026" w:val="left"/>
        </w:tabs>
        <w:numPr>
          <w:ilvl w:val="1"/>
          <w:numId w:val="37"/>
        </w:numPr>
        <w:rPr>
          <w:rFonts w:ascii="Arial" w:cs="Arial" w:eastAsia="Arial" w:hAnsi="Arial"/>
          <w:sz w:val="14"/>
          <w:szCs w:val="14"/>
          <w:color w:val="auto"/>
        </w:rPr>
      </w:pPr>
      <w:r>
        <w:rPr>
          <w:rFonts w:ascii="Arial" w:cs="Arial" w:eastAsia="Arial" w:hAnsi="Arial"/>
          <w:sz w:val="14"/>
          <w:szCs w:val="14"/>
          <w:color w:val="auto"/>
        </w:rPr>
        <w:t>In no event may this option be exercised for any fractional share.</w:t>
      </w:r>
    </w:p>
    <w:p>
      <w:pPr>
        <w:spacing w:after="0" w:line="142" w:lineRule="exact"/>
        <w:rPr>
          <w:rFonts w:ascii="Arial" w:cs="Arial" w:eastAsia="Arial" w:hAnsi="Arial"/>
          <w:sz w:val="14"/>
          <w:szCs w:val="14"/>
          <w:color w:val="auto"/>
        </w:rPr>
      </w:pPr>
    </w:p>
    <w:p>
      <w:pPr>
        <w:ind w:left="506" w:hanging="506"/>
        <w:spacing w:after="0"/>
        <w:tabs>
          <w:tab w:leader="none" w:pos="506" w:val="left"/>
        </w:tabs>
        <w:numPr>
          <w:ilvl w:val="0"/>
          <w:numId w:val="38"/>
        </w:numPr>
        <w:rPr>
          <w:rFonts w:ascii="Arial" w:cs="Arial" w:eastAsia="Arial" w:hAnsi="Arial"/>
          <w:sz w:val="14"/>
          <w:szCs w:val="14"/>
          <w:color w:val="auto"/>
        </w:rPr>
      </w:pPr>
      <w:r>
        <w:rPr>
          <w:rFonts w:ascii="Arial" w:cs="Arial" w:eastAsia="Arial" w:hAnsi="Arial"/>
          <w:sz w:val="14"/>
          <w:szCs w:val="14"/>
          <w:b w:val="1"/>
          <w:bCs w:val="1"/>
          <w:u w:val="single" w:color="auto"/>
          <w:color w:val="auto"/>
        </w:rPr>
        <w:t>Compliance with Laws and Regulations</w:t>
      </w:r>
      <w:r>
        <w:rPr>
          <w:rFonts w:ascii="Arial" w:cs="Arial" w:eastAsia="Arial" w:hAnsi="Arial"/>
          <w:sz w:val="14"/>
          <w:szCs w:val="14"/>
          <w:color w:val="auto"/>
        </w:rPr>
        <w:t>.</w:t>
      </w:r>
    </w:p>
    <w:p>
      <w:pPr>
        <w:spacing w:after="0" w:line="150" w:lineRule="exact"/>
        <w:rPr>
          <w:rFonts w:ascii="Arial" w:cs="Arial" w:eastAsia="Arial" w:hAnsi="Arial"/>
          <w:sz w:val="14"/>
          <w:szCs w:val="14"/>
          <w:color w:val="auto"/>
        </w:rPr>
      </w:pPr>
    </w:p>
    <w:p>
      <w:pPr>
        <w:jc w:val="both"/>
        <w:ind w:left="6" w:right="220" w:firstLine="503"/>
        <w:spacing w:after="0" w:line="226" w:lineRule="auto"/>
        <w:tabs>
          <w:tab w:leader="none" w:pos="1022" w:val="left"/>
        </w:tabs>
        <w:numPr>
          <w:ilvl w:val="1"/>
          <w:numId w:val="38"/>
        </w:numPr>
        <w:rPr>
          <w:rFonts w:ascii="Arial" w:cs="Arial" w:eastAsia="Arial" w:hAnsi="Arial"/>
          <w:sz w:val="14"/>
          <w:szCs w:val="14"/>
          <w:color w:val="auto"/>
        </w:rPr>
      </w:pPr>
      <w:r>
        <w:rPr>
          <w:rFonts w:ascii="Arial" w:cs="Arial" w:eastAsia="Arial" w:hAnsi="Arial"/>
          <w:sz w:val="14"/>
          <w:szCs w:val="14"/>
          <w:color w:val="auto"/>
        </w:rPr>
        <w:t>The exercise of this option (or of its tandem stock appreciation right) and the issuance of Common Stock hereunder shall be subject to compliance by the Company and Optionee with all applicable requirements of law relating thereto and with all applicable regulations of any stock exchange or over-the-counter market on which shares of the Company’s Common Stock may be listed or traded at the time of such exercise and issuance.</w:t>
      </w:r>
    </w:p>
    <w:p>
      <w:pPr>
        <w:spacing w:after="0" w:line="128" w:lineRule="exact"/>
        <w:rPr>
          <w:rFonts w:ascii="Arial" w:cs="Arial" w:eastAsia="Arial" w:hAnsi="Arial"/>
          <w:sz w:val="14"/>
          <w:szCs w:val="14"/>
          <w:color w:val="auto"/>
        </w:rPr>
      </w:pPr>
    </w:p>
    <w:p>
      <w:pPr>
        <w:ind w:left="6" w:right="20" w:firstLine="503"/>
        <w:spacing w:after="0" w:line="236" w:lineRule="auto"/>
        <w:tabs>
          <w:tab w:leader="none" w:pos="1019" w:val="left"/>
        </w:tabs>
        <w:numPr>
          <w:ilvl w:val="1"/>
          <w:numId w:val="38"/>
        </w:numPr>
        <w:rPr>
          <w:rFonts w:ascii="Arial" w:cs="Arial" w:eastAsia="Arial" w:hAnsi="Arial"/>
          <w:sz w:val="14"/>
          <w:szCs w:val="14"/>
          <w:color w:val="auto"/>
        </w:rPr>
      </w:pPr>
      <w:r>
        <w:rPr>
          <w:rFonts w:ascii="Arial" w:cs="Arial" w:eastAsia="Arial" w:hAnsi="Arial"/>
          <w:sz w:val="14"/>
          <w:szCs w:val="14"/>
          <w:color w:val="auto"/>
        </w:rPr>
        <w:t>In connection with the exercise of this option (or its tandem stock appreciation right), Optionee shall execute and deliver to the Company such representations in writing as may be requested by the Company in order for it to comply with the applicable requirements of Federal and State securities laws.</w:t>
      </w:r>
    </w:p>
    <w:p>
      <w:pPr>
        <w:spacing w:after="0" w:line="124" w:lineRule="exact"/>
        <w:rPr>
          <w:rFonts w:ascii="Arial" w:cs="Arial" w:eastAsia="Arial" w:hAnsi="Arial"/>
          <w:sz w:val="14"/>
          <w:szCs w:val="14"/>
          <w:color w:val="auto"/>
        </w:rPr>
      </w:pPr>
    </w:p>
    <w:p>
      <w:pPr>
        <w:ind w:left="-514" w:right="20" w:firstLine="514"/>
        <w:spacing w:after="0" w:line="239" w:lineRule="auto"/>
        <w:tabs>
          <w:tab w:leader="none" w:pos="495" w:val="left"/>
        </w:tabs>
        <w:numPr>
          <w:ilvl w:val="0"/>
          <w:numId w:val="38"/>
        </w:numPr>
        <w:rPr>
          <w:rFonts w:ascii="Arial" w:cs="Arial" w:eastAsia="Arial" w:hAnsi="Arial"/>
          <w:sz w:val="14"/>
          <w:szCs w:val="14"/>
          <w:color w:val="auto"/>
        </w:rPr>
      </w:pPr>
      <w:r>
        <w:rPr>
          <w:rFonts w:ascii="Arial" w:cs="Arial" w:eastAsia="Arial" w:hAnsi="Arial"/>
          <w:sz w:val="14"/>
          <w:szCs w:val="14"/>
          <w:b w:val="1"/>
          <w:bCs w:val="1"/>
          <w:u w:val="single" w:color="auto"/>
          <w:color w:val="auto"/>
        </w:rPr>
        <w:t>Successors and Assi</w:t>
      </w:r>
      <w:r>
        <w:rPr>
          <w:rFonts w:ascii="Arial" w:cs="Arial" w:eastAsia="Arial" w:hAnsi="Arial"/>
          <w:sz w:val="14"/>
          <w:szCs w:val="14"/>
          <w:b w:val="1"/>
          <w:bCs w:val="1"/>
          <w:color w:val="auto"/>
        </w:rPr>
        <w:t>g</w:t>
      </w:r>
      <w:r>
        <w:rPr>
          <w:rFonts w:ascii="Arial" w:cs="Arial" w:eastAsia="Arial" w:hAnsi="Arial"/>
          <w:sz w:val="14"/>
          <w:szCs w:val="14"/>
          <w:b w:val="1"/>
          <w:bCs w:val="1"/>
          <w:u w:val="single" w:color="auto"/>
          <w:color w:val="auto"/>
        </w:rPr>
        <w:t>ns</w:t>
      </w:r>
      <w:r>
        <w:rPr>
          <w:rFonts w:ascii="Arial" w:cs="Arial" w:eastAsia="Arial" w:hAnsi="Arial"/>
          <w:sz w:val="14"/>
          <w:szCs w:val="14"/>
          <w:color w:val="auto"/>
        </w:rPr>
        <w:t>. Except to the extent otherwise provided in Paragraph 3, the provisions of this Agreement shall inure to the benefit of, and be binding upon, the successors,</w:t>
      </w:r>
      <w:r>
        <w:rPr>
          <w:rFonts w:ascii="Arial" w:cs="Arial" w:eastAsia="Arial" w:hAnsi="Arial"/>
          <w:sz w:val="14"/>
          <w:szCs w:val="14"/>
          <w:b w:val="1"/>
          <w:bCs w:val="1"/>
          <w:color w:val="auto"/>
        </w:rPr>
        <w:t xml:space="preserve"> </w:t>
      </w:r>
      <w:r>
        <w:rPr>
          <w:rFonts w:ascii="Arial" w:cs="Arial" w:eastAsia="Arial" w:hAnsi="Arial"/>
          <w:sz w:val="14"/>
          <w:szCs w:val="14"/>
          <w:color w:val="auto"/>
        </w:rPr>
        <w:t>administrators, heirs, legal representatives and assigns of Optionee and the successors and assigns of the Company.</w:t>
      </w:r>
    </w:p>
    <w:p>
      <w:pPr>
        <w:spacing w:after="0" w:line="124" w:lineRule="exact"/>
        <w:rPr>
          <w:rFonts w:ascii="Arial" w:cs="Arial" w:eastAsia="Arial" w:hAnsi="Arial"/>
          <w:sz w:val="14"/>
          <w:szCs w:val="14"/>
          <w:color w:val="auto"/>
        </w:rPr>
      </w:pPr>
    </w:p>
    <w:p>
      <w:pPr>
        <w:ind w:left="506" w:hanging="506"/>
        <w:spacing w:after="0"/>
        <w:tabs>
          <w:tab w:leader="none" w:pos="506" w:val="left"/>
        </w:tabs>
        <w:numPr>
          <w:ilvl w:val="0"/>
          <w:numId w:val="38"/>
        </w:numPr>
        <w:rPr>
          <w:rFonts w:ascii="Arial" w:cs="Arial" w:eastAsia="Arial" w:hAnsi="Arial"/>
          <w:sz w:val="14"/>
          <w:szCs w:val="14"/>
          <w:color w:val="auto"/>
        </w:rPr>
      </w:pPr>
      <w:r>
        <w:rPr>
          <w:rFonts w:ascii="Arial" w:cs="Arial" w:eastAsia="Arial" w:hAnsi="Arial"/>
          <w:sz w:val="14"/>
          <w:szCs w:val="14"/>
          <w:b w:val="1"/>
          <w:bCs w:val="1"/>
          <w:u w:val="single" w:color="auto"/>
          <w:color w:val="auto"/>
        </w:rPr>
        <w:t>Liability of Company</w:t>
      </w:r>
      <w:r>
        <w:rPr>
          <w:rFonts w:ascii="Arial" w:cs="Arial" w:eastAsia="Arial" w:hAnsi="Arial"/>
          <w:sz w:val="14"/>
          <w:szCs w:val="14"/>
          <w:color w:val="auto"/>
        </w:rPr>
        <w:t>.</w:t>
      </w:r>
    </w:p>
    <w:p>
      <w:pPr>
        <w:spacing w:after="0" w:line="150" w:lineRule="exact"/>
        <w:rPr>
          <w:rFonts w:ascii="Arial" w:cs="Arial" w:eastAsia="Arial" w:hAnsi="Arial"/>
          <w:sz w:val="14"/>
          <w:szCs w:val="14"/>
          <w:color w:val="auto"/>
        </w:rPr>
      </w:pPr>
    </w:p>
    <w:p>
      <w:pPr>
        <w:jc w:val="both"/>
        <w:ind w:left="6" w:firstLine="503"/>
        <w:spacing w:after="0" w:line="226" w:lineRule="auto"/>
        <w:tabs>
          <w:tab w:leader="none" w:pos="1022" w:val="left"/>
        </w:tabs>
        <w:numPr>
          <w:ilvl w:val="1"/>
          <w:numId w:val="38"/>
        </w:numPr>
        <w:rPr>
          <w:rFonts w:ascii="Arial" w:cs="Arial" w:eastAsia="Arial" w:hAnsi="Arial"/>
          <w:sz w:val="14"/>
          <w:szCs w:val="14"/>
          <w:color w:val="auto"/>
        </w:rPr>
      </w:pPr>
      <w:r>
        <w:rPr>
          <w:rFonts w:ascii="Arial" w:cs="Arial" w:eastAsia="Arial" w:hAnsi="Arial"/>
          <w:sz w:val="14"/>
          <w:szCs w:val="14"/>
          <w:color w:val="auto"/>
        </w:rPr>
        <w:t>If the Optioned Shares covered by this Agreement exceed, as of the Grant Date, the number of shares of Common Stock which may without shareholder approval be issued under the Plan, then this option shall be void with respect to such excess shares unless shareholder approval of an amendment sufficiently increasing the number of shares of Common Stock issuable under the Plan is obtained in accordance with the provisions of the Plan.</w:t>
      </w:r>
    </w:p>
    <w:p>
      <w:pPr>
        <w:sectPr>
          <w:pgSz w:w="11900" w:h="16838" w:orient="portrait"/>
          <w:cols w:equalWidth="0" w:num="1">
            <w:col w:w="10726"/>
          </w:cols>
          <w:pgMar w:left="814" w:top="1137" w:right="359" w:bottom="1440" w:gutter="0" w:footer="0" w:header="0"/>
        </w:sectPr>
      </w:pPr>
    </w:p>
    <w:bookmarkStart w:id="81" w:name="page82"/>
    <w:bookmarkEnd w:id="81"/>
    <w:p>
      <w:pPr>
        <w:jc w:val="both"/>
        <w:ind w:left="520" w:firstLine="503"/>
        <w:spacing w:after="0" w:line="226" w:lineRule="auto"/>
        <w:tabs>
          <w:tab w:leader="none" w:pos="1534" w:val="left"/>
        </w:tabs>
        <w:numPr>
          <w:ilvl w:val="1"/>
          <w:numId w:val="39"/>
        </w:numPr>
        <w:rPr>
          <w:rFonts w:ascii="Arial" w:cs="Arial" w:eastAsia="Arial" w:hAnsi="Arial"/>
          <w:sz w:val="14"/>
          <w:szCs w:val="14"/>
          <w:color w:val="auto"/>
        </w:rPr>
      </w:pPr>
      <w:r>
        <w:rPr>
          <w:rFonts w:ascii="Arial" w:cs="Arial" w:eastAsia="Arial" w:hAnsi="Arial"/>
          <w:sz w:val="14"/>
          <w:szCs w:val="14"/>
          <w:color w:val="auto"/>
        </w:rPr>
        <w:t>The inability of the Company to obtain approval from any regulatory body having authority deemed by the Company to be necessary to the lawful issuance and sale of any Common Stock pursuant to this Agreement shall relieve the Company of any liability with respect to the non-issuance or sale of the Common Stock as to which such approval shall not have been obtained. The Company, however, shall use its best efforts to obtain all such approvals.</w:t>
      </w:r>
    </w:p>
    <w:p>
      <w:pPr>
        <w:spacing w:after="0" w:line="124" w:lineRule="exact"/>
        <w:rPr>
          <w:rFonts w:ascii="Arial" w:cs="Arial" w:eastAsia="Arial" w:hAnsi="Arial"/>
          <w:sz w:val="14"/>
          <w:szCs w:val="14"/>
          <w:color w:val="auto"/>
        </w:rPr>
      </w:pPr>
    </w:p>
    <w:p>
      <w:pPr>
        <w:ind w:right="460" w:firstLine="514"/>
        <w:spacing w:after="0" w:line="239" w:lineRule="auto"/>
        <w:tabs>
          <w:tab w:leader="none" w:pos="1015" w:val="left"/>
        </w:tabs>
        <w:numPr>
          <w:ilvl w:val="0"/>
          <w:numId w:val="40"/>
        </w:numPr>
        <w:rPr>
          <w:rFonts w:ascii="Arial" w:cs="Arial" w:eastAsia="Arial" w:hAnsi="Arial"/>
          <w:sz w:val="14"/>
          <w:szCs w:val="14"/>
          <w:color w:val="auto"/>
        </w:rPr>
      </w:pPr>
      <w:r>
        <w:rPr>
          <w:rFonts w:ascii="Arial" w:cs="Arial" w:eastAsia="Arial" w:hAnsi="Arial"/>
          <w:sz w:val="14"/>
          <w:szCs w:val="14"/>
          <w:b w:val="1"/>
          <w:bCs w:val="1"/>
          <w:u w:val="single" w:color="auto"/>
          <w:color w:val="auto"/>
        </w:rPr>
        <w:t>No Guarantee of Board Service</w:t>
      </w:r>
      <w:r>
        <w:rPr>
          <w:rFonts w:ascii="Arial" w:cs="Arial" w:eastAsia="Arial" w:hAnsi="Arial"/>
          <w:sz w:val="14"/>
          <w:szCs w:val="14"/>
          <w:color w:val="auto"/>
        </w:rPr>
        <w:t>. This Agreement shall in any way be construed or interpreted so as to affect adversely or otherwise impair the right of the Company or the</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stockholders to remove Optionee from the Board at any time in accordance with the provisions of applicable law.</w:t>
      </w:r>
    </w:p>
    <w:p>
      <w:pPr>
        <w:spacing w:after="0" w:line="124" w:lineRule="exact"/>
        <w:rPr>
          <w:rFonts w:ascii="Arial" w:cs="Arial" w:eastAsia="Arial" w:hAnsi="Arial"/>
          <w:sz w:val="14"/>
          <w:szCs w:val="14"/>
          <w:color w:val="auto"/>
        </w:rPr>
      </w:pPr>
    </w:p>
    <w:p>
      <w:pPr>
        <w:jc w:val="both"/>
        <w:ind w:right="40" w:firstLine="514"/>
        <w:spacing w:after="0" w:line="222" w:lineRule="auto"/>
        <w:tabs>
          <w:tab w:leader="none" w:pos="1015" w:val="left"/>
        </w:tabs>
        <w:numPr>
          <w:ilvl w:val="0"/>
          <w:numId w:val="40"/>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color w:val="auto"/>
        </w:rPr>
        <w:t>. Any notice required to be given or delivered to the Company under the terms of this Agreement shall be in writing and addressed to the Company in care of the Corporate</w:t>
      </w:r>
      <w:r>
        <w:rPr>
          <w:rFonts w:ascii="Arial" w:cs="Arial" w:eastAsia="Arial" w:hAnsi="Arial"/>
          <w:sz w:val="14"/>
          <w:szCs w:val="14"/>
          <w:b w:val="1"/>
          <w:bCs w:val="1"/>
          <w:color w:val="auto"/>
        </w:rPr>
        <w:t xml:space="preserve"> </w:t>
      </w:r>
      <w:r>
        <w:rPr>
          <w:rFonts w:ascii="Arial" w:cs="Arial" w:eastAsia="Arial" w:hAnsi="Arial"/>
          <w:sz w:val="14"/>
          <w:szCs w:val="14"/>
          <w:color w:val="auto"/>
        </w:rPr>
        <w:t>Secretary at its principal corporate offices. Any notice required to be given or delivered to Optionee shall be in writing and addressed to Optionee at the address indicated below Optionee’s signature line on the Grant Notice. All notices shall be deemed to have been given or delivered upon personal delivery or upon deposit in the U.S. mail, postage prepaid and properly addressed to the party to be notified.</w:t>
      </w:r>
    </w:p>
    <w:p>
      <w:pPr>
        <w:spacing w:after="0" w:line="125" w:lineRule="exact"/>
        <w:rPr>
          <w:rFonts w:ascii="Arial" w:cs="Arial" w:eastAsia="Arial" w:hAnsi="Arial"/>
          <w:sz w:val="14"/>
          <w:szCs w:val="14"/>
          <w:color w:val="auto"/>
        </w:rPr>
      </w:pPr>
    </w:p>
    <w:p>
      <w:pPr>
        <w:ind w:right="180" w:firstLine="514"/>
        <w:spacing w:after="0" w:line="239" w:lineRule="auto"/>
        <w:tabs>
          <w:tab w:leader="none" w:pos="1015" w:val="left"/>
        </w:tabs>
        <w:numPr>
          <w:ilvl w:val="0"/>
          <w:numId w:val="40"/>
        </w:numPr>
        <w:rPr>
          <w:rFonts w:ascii="Arial" w:cs="Arial" w:eastAsia="Arial" w:hAnsi="Arial"/>
          <w:sz w:val="14"/>
          <w:szCs w:val="14"/>
          <w:color w:val="auto"/>
        </w:rPr>
      </w:pPr>
      <w:r>
        <w:rPr>
          <w:rFonts w:ascii="Arial" w:cs="Arial" w:eastAsia="Arial" w:hAnsi="Arial"/>
          <w:sz w:val="14"/>
          <w:szCs w:val="14"/>
          <w:b w:val="1"/>
          <w:bCs w:val="1"/>
          <w:u w:val="single" w:color="auto"/>
          <w:color w:val="auto"/>
        </w:rPr>
        <w:t>Construction</w:t>
      </w:r>
      <w:r>
        <w:rPr>
          <w:rFonts w:ascii="Arial" w:cs="Arial" w:eastAsia="Arial" w:hAnsi="Arial"/>
          <w:sz w:val="14"/>
          <w:szCs w:val="14"/>
          <w:color w:val="auto"/>
        </w:rPr>
        <w:t>. This Agreement and the option evidenced hereby are made and granted pursuant to the Plan and are in all respects limited by and subject to the express terms and</w:t>
      </w:r>
      <w:r>
        <w:rPr>
          <w:rFonts w:ascii="Arial" w:cs="Arial" w:eastAsia="Arial" w:hAnsi="Arial"/>
          <w:sz w:val="14"/>
          <w:szCs w:val="14"/>
          <w:b w:val="1"/>
          <w:bCs w:val="1"/>
          <w:color w:val="auto"/>
        </w:rPr>
        <w:t xml:space="preserve"> </w:t>
      </w:r>
      <w:r>
        <w:rPr>
          <w:rFonts w:ascii="Arial" w:cs="Arial" w:eastAsia="Arial" w:hAnsi="Arial"/>
          <w:sz w:val="14"/>
          <w:szCs w:val="14"/>
          <w:color w:val="auto"/>
        </w:rPr>
        <w:t>provisions of the Plan.</w:t>
      </w:r>
    </w:p>
    <w:p>
      <w:pPr>
        <w:spacing w:after="0" w:line="124" w:lineRule="exact"/>
        <w:rPr>
          <w:rFonts w:ascii="Arial" w:cs="Arial" w:eastAsia="Arial" w:hAnsi="Arial"/>
          <w:sz w:val="14"/>
          <w:szCs w:val="14"/>
          <w:color w:val="auto"/>
        </w:rPr>
      </w:pPr>
    </w:p>
    <w:p>
      <w:pPr>
        <w:ind w:left="1020" w:hanging="506"/>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b w:val="1"/>
          <w:bCs w:val="1"/>
          <w:u w:val="single" w:color="auto"/>
          <w:color w:val="auto"/>
        </w:rPr>
        <w:t>Governing Law</w:t>
      </w:r>
      <w:r>
        <w:rPr>
          <w:rFonts w:ascii="Arial" w:cs="Arial" w:eastAsia="Arial" w:hAnsi="Arial"/>
          <w:sz w:val="12"/>
          <w:szCs w:val="12"/>
          <w:color w:val="auto"/>
        </w:rPr>
        <w:t>. The interpretation, performance, and enforcement of this Agreement shall be governed by the laws of the State of Delaware without resort to that State’s conflict-</w:t>
      </w:r>
    </w:p>
    <w:p>
      <w:pPr>
        <w:spacing w:after="0" w:line="1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of-laws rules.</w:t>
      </w:r>
    </w:p>
    <w:p>
      <w:pPr>
        <w:spacing w:after="0" w:line="130" w:lineRule="exact"/>
        <w:rPr>
          <w:rFonts w:ascii="Arial" w:cs="Arial" w:eastAsia="Arial" w:hAnsi="Arial"/>
          <w:sz w:val="12"/>
          <w:szCs w:val="12"/>
          <w:color w:val="auto"/>
        </w:rPr>
      </w:pPr>
    </w:p>
    <w:p>
      <w:pPr>
        <w:ind w:right="100" w:firstLine="514"/>
        <w:spacing w:after="0" w:line="266" w:lineRule="auto"/>
        <w:tabs>
          <w:tab w:leader="none" w:pos="1015" w:val="left"/>
        </w:tabs>
        <w:numPr>
          <w:ilvl w:val="0"/>
          <w:numId w:val="40"/>
        </w:numPr>
        <w:rPr>
          <w:rFonts w:ascii="Arial" w:cs="Arial" w:eastAsia="Arial" w:hAnsi="Arial"/>
          <w:sz w:val="12"/>
          <w:szCs w:val="12"/>
          <w:color w:val="auto"/>
        </w:rPr>
      </w:pPr>
      <w:r>
        <w:rPr>
          <w:rFonts w:ascii="Arial" w:cs="Arial" w:eastAsia="Arial" w:hAnsi="Arial"/>
          <w:sz w:val="12"/>
          <w:szCs w:val="12"/>
          <w:b w:val="1"/>
          <w:bCs w:val="1"/>
          <w:u w:val="single" w:color="auto"/>
          <w:color w:val="auto"/>
        </w:rPr>
        <w:t>Tandem Stock Appreciation Right</w:t>
      </w:r>
      <w:r>
        <w:rPr>
          <w:rFonts w:ascii="Arial" w:cs="Arial" w:eastAsia="Arial" w:hAnsi="Arial"/>
          <w:sz w:val="12"/>
          <w:szCs w:val="12"/>
          <w:color w:val="auto"/>
        </w:rPr>
        <w:t>. Optionee is hereby granted a tandem stock appreciation right, which entitles Optionee to surrender all or part of this option with respect to</w:t>
      </w:r>
      <w:r>
        <w:rPr>
          <w:rFonts w:ascii="Arial" w:cs="Arial" w:eastAsia="Arial" w:hAnsi="Arial"/>
          <w:sz w:val="12"/>
          <w:szCs w:val="12"/>
          <w:b w:val="1"/>
          <w:bCs w:val="1"/>
          <w:color w:val="auto"/>
        </w:rPr>
        <w:t xml:space="preserve"> </w:t>
      </w:r>
      <w:r>
        <w:rPr>
          <w:rFonts w:ascii="Arial" w:cs="Arial" w:eastAsia="Arial" w:hAnsi="Arial"/>
          <w:sz w:val="12"/>
          <w:szCs w:val="12"/>
          <w:color w:val="auto"/>
        </w:rPr>
        <w:t>Optioned Shares for which it is then vested and exercisable, for a distribution from the Company in an amount equal to the excess of (A) the Fair Market Value (on the option surrender date) of the Optioned Shares for which the option is surrendered, over (B) the Option Price for such Optioned Shares. The distribution shall be made in shares of Common Stock valued at Fair Market Value on the option surrender date. Any portion of this option that is surrendered in accordance with this Paragraph shall cease to be outstanding and shall no longer be exercisable by Optionee.</w:t>
      </w:r>
    </w:p>
    <w:p>
      <w:pPr>
        <w:sectPr>
          <w:pgSz w:w="11900" w:h="16838" w:orient="portrait"/>
          <w:cols w:equalWidth="0" w:num="1">
            <w:col w:w="11220"/>
          </w:cols>
          <w:pgMar w:left="300" w:top="1137" w:right="379" w:bottom="1440" w:gutter="0" w:footer="0" w:header="0"/>
        </w:sectPr>
      </w:pPr>
    </w:p>
    <w:bookmarkStart w:id="82" w:name="page83"/>
    <w:bookmarkEnd w:id="82"/>
    <w:p>
      <w:pPr>
        <w:jc w:val="right"/>
        <w:spacing w:after="0"/>
        <w:rPr>
          <w:sz w:val="20"/>
          <w:szCs w:val="20"/>
          <w:color w:val="auto"/>
        </w:rPr>
      </w:pPr>
      <w:r>
        <w:rPr>
          <w:rFonts w:ascii="Arial" w:cs="Arial" w:eastAsia="Arial" w:hAnsi="Arial"/>
          <w:sz w:val="14"/>
          <w:szCs w:val="14"/>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BIOCRYST PHARMACEUTICALS, INC.</w:t>
      </w:r>
    </w:p>
    <w:p>
      <w:pPr>
        <w:jc w:val="center"/>
        <w:spacing w:after="0"/>
        <w:rPr>
          <w:sz w:val="20"/>
          <w:szCs w:val="20"/>
          <w:color w:val="auto"/>
        </w:rPr>
      </w:pPr>
      <w:r>
        <w:rPr>
          <w:rFonts w:ascii="Arial" w:cs="Arial" w:eastAsia="Arial" w:hAnsi="Arial"/>
          <w:sz w:val="14"/>
          <w:szCs w:val="14"/>
          <w:b w:val="1"/>
          <w:bCs w:val="1"/>
          <w:color w:val="auto"/>
        </w:rPr>
        <w:t>STOCK INCENTIVE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GRANT OF NON-EMPLOYEE DIRECTOR RESTRICTED STOCK UNIT AWARD</w:t>
      </w:r>
    </w:p>
    <w:p>
      <w:pPr>
        <w:spacing w:after="0" w:line="15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4"/>
          <w:szCs w:val="14"/>
          <w:color w:val="auto"/>
        </w:rPr>
        <w:t>Notice is hereby given of the following grant of restricted stock units with respect to the Company’s Common Stock (such award referred to herein as the “Award”) pursuant to the Director Grant Program in effect under the BioCryst Pharmaceuticals, Inc. Stock Incentive Plan (the “Plan”):</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4"/>
          <w:szCs w:val="14"/>
          <w:u w:val="single" w:color="auto"/>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12065</wp:posOffset>
            </wp:positionV>
            <wp:extent cx="304546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3045460" cy="6985"/>
                    </a:xfrm>
                    <a:prstGeom prst="rect">
                      <a:avLst/>
                    </a:prstGeom>
                    <a:noFill/>
                  </pic:spPr>
                </pic:pic>
              </a:graphicData>
            </a:graphic>
          </wp:anchor>
        </w:drawing>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4"/>
          <w:szCs w:val="14"/>
          <w:u w:val="single" w:color="auto"/>
          <w:color w:val="auto"/>
        </w:rPr>
        <w:t>Number of Underlying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12065</wp:posOffset>
            </wp:positionV>
            <wp:extent cx="304546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3045460" cy="6985"/>
                    </a:xfrm>
                    <a:prstGeom prst="rect">
                      <a:avLst/>
                    </a:prstGeom>
                    <a:noFill/>
                  </pic:spPr>
                </pic:pic>
              </a:graphicData>
            </a:graphic>
          </wp:anchor>
        </w:drawing>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4"/>
          <w:szCs w:val="14"/>
          <w:u w:val="single" w:color="auto"/>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12065</wp:posOffset>
            </wp:positionV>
            <wp:extent cx="304546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3045460" cy="6985"/>
                    </a:xfrm>
                    <a:prstGeom prst="rect">
                      <a:avLst/>
                    </a:prstGeom>
                    <a:noFill/>
                  </pic:spPr>
                </pic:pic>
              </a:graphicData>
            </a:graphic>
          </wp:anchor>
        </w:drawing>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4"/>
          <w:szCs w:val="14"/>
          <w:u w:val="single" w:color="auto"/>
          <w:color w:val="auto"/>
        </w:rPr>
        <w:t>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12065</wp:posOffset>
            </wp:positionV>
            <wp:extent cx="30454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3045460" cy="6985"/>
                    </a:xfrm>
                    <a:prstGeom prst="rect">
                      <a:avLst/>
                    </a:prstGeom>
                    <a:noFill/>
                  </pic:spPr>
                </pic:pic>
              </a:graphicData>
            </a:graphic>
          </wp:anchor>
        </w:drawing>
      </w:r>
    </w:p>
    <w:p>
      <w:pPr>
        <w:spacing w:after="0" w:line="254" w:lineRule="exact"/>
        <w:rPr>
          <w:sz w:val="20"/>
          <w:szCs w:val="20"/>
          <w:color w:val="auto"/>
        </w:rPr>
      </w:pPr>
    </w:p>
    <w:p>
      <w:pPr>
        <w:jc w:val="both"/>
        <w:ind w:firstLine="509"/>
        <w:spacing w:after="0" w:line="221" w:lineRule="auto"/>
        <w:rPr>
          <w:sz w:val="20"/>
          <w:szCs w:val="20"/>
          <w:color w:val="auto"/>
        </w:rPr>
      </w:pPr>
      <w:r>
        <w:rPr>
          <w:rFonts w:ascii="Arial" w:cs="Arial" w:eastAsia="Arial" w:hAnsi="Arial"/>
          <w:sz w:val="14"/>
          <w:szCs w:val="14"/>
          <w:color w:val="auto"/>
        </w:rPr>
        <w:t>Grantee understands that the Award is granted subject to and in accordance with the express terms and conditions of the Plan and the BioCryst Pharmaceuticals, Inc. Non-Employee Director Compensation Policy (the “Policy”), and Grantee agrees to be bound by and conform to the terms and conditions of the Plan, the Plan Prospectus, this Notice of Grant of Non-Employee Director Restricted Stock Unit Award and its accompanying Non-Employee Director Restricted Stock Unit Agreement, and the Policy. Grantee acknowledges that copies of the Plan, the Plan Prospectus, the Non-Employee Director Restricted Stock Unit Agreement, and the Policy have been made available to Grantee.</w:t>
      </w:r>
    </w:p>
    <w:p>
      <w:pPr>
        <w:spacing w:after="0" w:line="150"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u w:val="single" w:color="auto"/>
          <w:color w:val="auto"/>
        </w:rPr>
        <w:t>No Guarantee of Board Service</w:t>
      </w:r>
      <w:r>
        <w:rPr>
          <w:rFonts w:ascii="Arial" w:cs="Arial" w:eastAsia="Arial" w:hAnsi="Arial"/>
          <w:sz w:val="14"/>
          <w:szCs w:val="14"/>
          <w:color w:val="auto"/>
        </w:rPr>
        <w:t>: Nothing in the Non-Employee Director Restricted Stock Unit Agreement, the Plan, or the Policy shall confer upon Grantee the right to continue in the Service of the Company for any period of specific duration or interfere with or otherwise restrict in any way the rights of the Company or the stockholders to remove Grantee from the Board in accordance with applicable law.</w:t>
      </w:r>
    </w:p>
    <w:p>
      <w:pPr>
        <w:spacing w:after="0" w:line="12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4"/>
          <w:szCs w:val="14"/>
          <w:color w:val="auto"/>
        </w:rPr>
        <w:t>By my signature below, I hereby acknowledge receipt of the Award granted to me on the Grant Date specified above and issued to me pursuant to the terms and conditions of the Plan and the attached Agreement.</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26"/>
        </w:trPr>
        <w:tc>
          <w:tcPr>
            <w:tcW w:w="4040" w:type="dxa"/>
            <w:vAlign w:val="bottom"/>
          </w:tcPr>
          <w:p>
            <w:pPr>
              <w:spacing w:after="0"/>
              <w:rPr>
                <w:sz w:val="20"/>
                <w:szCs w:val="20"/>
                <w:color w:val="auto"/>
              </w:rPr>
            </w:pPr>
            <w:r>
              <w:rPr>
                <w:rFonts w:ascii="Arial" w:cs="Arial" w:eastAsia="Arial" w:hAnsi="Arial"/>
                <w:sz w:val="14"/>
                <w:szCs w:val="14"/>
                <w:b w:val="1"/>
                <w:bCs w:val="1"/>
                <w:color w:val="auto"/>
              </w:rPr>
              <w:t>Agreed and Accepted:</w:t>
            </w:r>
          </w:p>
        </w:tc>
        <w:tc>
          <w:tcPr>
            <w:tcW w:w="4820" w:type="dxa"/>
            <w:vAlign w:val="bottom"/>
          </w:tcPr>
          <w:p>
            <w:pPr>
              <w:ind w:left="1700"/>
              <w:spacing w:after="0"/>
              <w:rPr>
                <w:sz w:val="20"/>
                <w:szCs w:val="20"/>
                <w:color w:val="auto"/>
              </w:rPr>
            </w:pPr>
            <w:r>
              <w:rPr>
                <w:rFonts w:ascii="Arial" w:cs="Arial" w:eastAsia="Arial" w:hAnsi="Arial"/>
                <w:sz w:val="14"/>
                <w:szCs w:val="14"/>
                <w:b w:val="1"/>
                <w:bCs w:val="1"/>
                <w:color w:val="auto"/>
              </w:rPr>
              <w:t>BIOCRYST PHARMACEUTICALS, INC.</w:t>
            </w:r>
          </w:p>
        </w:tc>
        <w:tc>
          <w:tcPr>
            <w:tcW w:w="0" w:type="dxa"/>
            <w:vAlign w:val="bottom"/>
          </w:tcPr>
          <w:p>
            <w:pPr>
              <w:spacing w:after="0"/>
              <w:rPr>
                <w:sz w:val="1"/>
                <w:szCs w:val="1"/>
                <w:color w:val="auto"/>
              </w:rPr>
            </w:pPr>
          </w:p>
        </w:tc>
      </w:tr>
      <w:tr>
        <w:trPr>
          <w:trHeight w:val="477"/>
        </w:trPr>
        <w:tc>
          <w:tcPr>
            <w:tcW w:w="4040" w:type="dxa"/>
            <w:vAlign w:val="bottom"/>
          </w:tcPr>
          <w:p>
            <w:pPr>
              <w:spacing w:after="0"/>
              <w:rPr>
                <w:sz w:val="20"/>
                <w:szCs w:val="20"/>
                <w:color w:val="auto"/>
              </w:rPr>
            </w:pPr>
            <w:r>
              <w:rPr>
                <w:rFonts w:ascii="Arial" w:cs="Arial" w:eastAsia="Arial" w:hAnsi="Arial"/>
                <w:sz w:val="14"/>
                <w:szCs w:val="14"/>
                <w:color w:val="auto"/>
              </w:rPr>
              <w:t>By: _____________________________</w:t>
            </w: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040" w:type="dxa"/>
            <w:vAlign w:val="bottom"/>
          </w:tcPr>
          <w:p>
            <w:pPr>
              <w:spacing w:after="0"/>
              <w:rPr>
                <w:sz w:val="20"/>
                <w:szCs w:val="20"/>
                <w:color w:val="auto"/>
              </w:rPr>
            </w:pPr>
            <w:r>
              <w:rPr>
                <w:rFonts w:ascii="Arial" w:cs="Arial" w:eastAsia="Arial" w:hAnsi="Arial"/>
                <w:sz w:val="14"/>
                <w:szCs w:val="14"/>
                <w:color w:val="auto"/>
              </w:rPr>
              <w:t>Grantee: ________________________</w:t>
            </w:r>
          </w:p>
        </w:tc>
        <w:tc>
          <w:tcPr>
            <w:tcW w:w="4820" w:type="dxa"/>
            <w:vAlign w:val="bottom"/>
            <w:vMerge w:val="restart"/>
          </w:tcPr>
          <w:p>
            <w:pPr>
              <w:ind w:left="1700"/>
              <w:spacing w:after="0"/>
              <w:rPr>
                <w:sz w:val="20"/>
                <w:szCs w:val="20"/>
                <w:color w:val="auto"/>
              </w:rPr>
            </w:pPr>
            <w:r>
              <w:rPr>
                <w:rFonts w:ascii="Arial" w:cs="Arial" w:eastAsia="Arial" w:hAnsi="Arial"/>
                <w:sz w:val="14"/>
                <w:szCs w:val="14"/>
                <w:color w:val="auto"/>
                <w:w w:val="90"/>
              </w:rPr>
              <w:t>____________________________________________</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4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4040" w:type="dxa"/>
            <w:vAlign w:val="bottom"/>
            <w:vMerge w:val="restart"/>
          </w:tcPr>
          <w:p>
            <w:pPr>
              <w:spacing w:after="0"/>
              <w:rPr>
                <w:sz w:val="20"/>
                <w:szCs w:val="20"/>
                <w:color w:val="auto"/>
              </w:rPr>
            </w:pPr>
            <w:r>
              <w:rPr>
                <w:rFonts w:ascii="Arial" w:cs="Arial" w:eastAsia="Arial" w:hAnsi="Arial"/>
                <w:sz w:val="14"/>
                <w:szCs w:val="14"/>
                <w:color w:val="auto"/>
              </w:rPr>
              <w:t>Dated: ___________________________</w:t>
            </w:r>
          </w:p>
        </w:tc>
        <w:tc>
          <w:tcPr>
            <w:tcW w:w="4820" w:type="dxa"/>
            <w:vAlign w:val="bottom"/>
          </w:tcPr>
          <w:p>
            <w:pPr>
              <w:ind w:left="1700"/>
              <w:spacing w:after="0" w:line="138" w:lineRule="exact"/>
              <w:rPr>
                <w:sz w:val="20"/>
                <w:szCs w:val="20"/>
                <w:color w:val="auto"/>
              </w:rPr>
            </w:pPr>
            <w:r>
              <w:rPr>
                <w:rFonts w:ascii="Arial" w:cs="Arial" w:eastAsia="Arial" w:hAnsi="Arial"/>
                <w:sz w:val="14"/>
                <w:szCs w:val="14"/>
                <w:color w:val="auto"/>
              </w:rPr>
              <w:t>Jon P. Stonehouse</w:t>
            </w:r>
          </w:p>
        </w:tc>
        <w:tc>
          <w:tcPr>
            <w:tcW w:w="0" w:type="dxa"/>
            <w:vAlign w:val="bottom"/>
          </w:tcPr>
          <w:p>
            <w:pPr>
              <w:spacing w:after="0"/>
              <w:rPr>
                <w:sz w:val="1"/>
                <w:szCs w:val="1"/>
                <w:color w:val="auto"/>
              </w:rPr>
            </w:pPr>
          </w:p>
        </w:tc>
      </w:tr>
      <w:tr>
        <w:trPr>
          <w:trHeight w:val="180"/>
        </w:trPr>
        <w:tc>
          <w:tcPr>
            <w:tcW w:w="4040" w:type="dxa"/>
            <w:vAlign w:val="bottom"/>
            <w:vMerge w:val="continue"/>
          </w:tcPr>
          <w:p>
            <w:pPr>
              <w:spacing w:after="0"/>
              <w:rPr>
                <w:sz w:val="15"/>
                <w:szCs w:val="15"/>
                <w:color w:val="auto"/>
              </w:rPr>
            </w:pPr>
          </w:p>
        </w:tc>
        <w:tc>
          <w:tcPr>
            <w:tcW w:w="4820" w:type="dxa"/>
            <w:vAlign w:val="bottom"/>
          </w:tcPr>
          <w:p>
            <w:pPr>
              <w:ind w:left="1700"/>
              <w:spacing w:after="0"/>
              <w:rPr>
                <w:sz w:val="20"/>
                <w:szCs w:val="20"/>
                <w:color w:val="auto"/>
              </w:rPr>
            </w:pPr>
            <w:r>
              <w:rPr>
                <w:rFonts w:ascii="Arial" w:cs="Arial" w:eastAsia="Arial" w:hAnsi="Arial"/>
                <w:sz w:val="14"/>
                <w:szCs w:val="14"/>
                <w:color w:val="auto"/>
              </w:rPr>
              <w:t>President &amp; CEO</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5" w:right="31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t>BIOCRYST PHARMACEUTICALS, INC.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NON-EMPLOYEE DIRECTOR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-4445</wp:posOffset>
            </wp:positionV>
            <wp:extent cx="20320" cy="1009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20320" cy="100965"/>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WITNESSETH:</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RECITALS</w:t>
      </w:r>
    </w:p>
    <w:p>
      <w:pPr>
        <w:spacing w:after="0" w:line="119" w:lineRule="exact"/>
        <w:rPr>
          <w:sz w:val="20"/>
          <w:szCs w:val="20"/>
          <w:color w:val="auto"/>
        </w:rPr>
      </w:pPr>
    </w:p>
    <w:p>
      <w:pPr>
        <w:ind w:firstLine="514"/>
        <w:spacing w:after="0" w:line="236" w:lineRule="auto"/>
        <w:tabs>
          <w:tab w:leader="none" w:pos="1018"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Company’s Board of Directors (the “Board”) has approved a director grant program under the Company’s Stock Incentive Plan (the “Plan”) pursuant to which the non-employee members of the Board will receive restricted stock units under the Plan.</w:t>
      </w:r>
    </w:p>
    <w:p>
      <w:pPr>
        <w:spacing w:after="0" w:line="150" w:lineRule="exact"/>
        <w:rPr>
          <w:rFonts w:ascii="Arial" w:cs="Arial" w:eastAsia="Arial" w:hAnsi="Arial"/>
          <w:sz w:val="14"/>
          <w:szCs w:val="14"/>
          <w:color w:val="auto"/>
        </w:rPr>
      </w:pPr>
    </w:p>
    <w:p>
      <w:pPr>
        <w:ind w:firstLine="514"/>
        <w:spacing w:after="0" w:line="236" w:lineRule="auto"/>
        <w:tabs>
          <w:tab w:leader="none" w:pos="101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Grantee is a non-employee member of the Board, and this Agreement is executed pursuant to, and is intended to carry out the purposes of, the Plan in connection with the grant of restricted stock units under the Plan.</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it is hereby agreed as follows: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 xml:space="preserve">The terms and conditions of the Award of restricted stock units with respect to Common Stock of the Company (the “RSUs”) made to the Grantee, as set forth in the accompanying </w:t>
      </w:r>
      <w:r>
        <w:rPr>
          <w:rFonts w:ascii="Arial" w:cs="Arial" w:eastAsia="Arial" w:hAnsi="Arial"/>
          <w:sz w:val="12"/>
          <w:szCs w:val="12"/>
          <w:u w:val="single" w:color="auto"/>
          <w:color w:val="auto"/>
        </w:rPr>
        <w:t>Notice of</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Non-Employee Director Restricted Stock Unit Award (the “Award Notice”)</w:t>
      </w:r>
      <w:r>
        <w:rPr>
          <w:rFonts w:ascii="Arial" w:cs="Arial" w:eastAsia="Arial" w:hAnsi="Arial"/>
          <w:sz w:val="14"/>
          <w:szCs w:val="14"/>
          <w:color w:val="auto"/>
        </w:rPr>
        <w:t>, are as follows:</w:t>
      </w:r>
    </w:p>
    <w:p>
      <w:pPr>
        <w:spacing w:after="0" w:line="103" w:lineRule="exact"/>
        <w:rPr>
          <w:sz w:val="20"/>
          <w:szCs w:val="20"/>
          <w:color w:val="auto"/>
        </w:rPr>
      </w:pPr>
    </w:p>
    <w:p>
      <w:pPr>
        <w:ind w:left="1020" w:hanging="506"/>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Issuance of RSUs</w:t>
      </w:r>
      <w:r>
        <w:rPr>
          <w:rFonts w:ascii="Arial" w:cs="Arial" w:eastAsia="Arial" w:hAnsi="Arial"/>
          <w:sz w:val="14"/>
          <w:szCs w:val="14"/>
          <w:color w:val="auto"/>
        </w:rPr>
        <w:t>.</w:t>
      </w:r>
    </w:p>
    <w:p>
      <w:pPr>
        <w:spacing w:after="0" w:line="114" w:lineRule="exact"/>
        <w:rPr>
          <w:rFonts w:ascii="Arial" w:cs="Arial" w:eastAsia="Arial" w:hAnsi="Arial"/>
          <w:sz w:val="14"/>
          <w:szCs w:val="14"/>
          <w:color w:val="auto"/>
        </w:rPr>
      </w:pPr>
    </w:p>
    <w:p>
      <w:pPr>
        <w:ind w:right="240" w:firstLine="1023"/>
        <w:spacing w:after="0" w:line="226" w:lineRule="auto"/>
        <w:tabs>
          <w:tab w:leader="none" w:pos="1526" w:val="left"/>
        </w:tabs>
        <w:numPr>
          <w:ilvl w:val="1"/>
          <w:numId w:val="42"/>
        </w:numPr>
        <w:rPr>
          <w:rFonts w:ascii="Arial" w:cs="Arial" w:eastAsia="Arial" w:hAnsi="Arial"/>
          <w:sz w:val="14"/>
          <w:szCs w:val="14"/>
          <w:color w:val="auto"/>
        </w:rPr>
      </w:pPr>
      <w:r>
        <w:rPr>
          <w:rFonts w:ascii="Arial" w:cs="Arial" w:eastAsia="Arial" w:hAnsi="Arial"/>
          <w:sz w:val="14"/>
          <w:szCs w:val="14"/>
          <w:color w:val="auto"/>
        </w:rPr>
        <w:t>The RSUs are hereby granted and issued to the Grantee, effective as of the Grant Date set forth in the accompanying Award Notice, in consideration of the services rendered and to be rendered by the Grantee to the Company. Each RSU represents the right to receive one share of Common Stock, subject to the terms and conditions hereof. This Award is made subject to and awarded upon the terms and conditions set forth in this Agreement and the Plan.</w:t>
      </w:r>
    </w:p>
    <w:p>
      <w:pPr>
        <w:spacing w:after="0" w:line="149" w:lineRule="exact"/>
        <w:rPr>
          <w:rFonts w:ascii="Arial" w:cs="Arial" w:eastAsia="Arial" w:hAnsi="Arial"/>
          <w:sz w:val="14"/>
          <w:szCs w:val="14"/>
          <w:color w:val="auto"/>
        </w:rPr>
      </w:pPr>
    </w:p>
    <w:p>
      <w:pPr>
        <w:ind w:right="60" w:firstLine="1023"/>
        <w:spacing w:after="0" w:line="226" w:lineRule="auto"/>
        <w:tabs>
          <w:tab w:leader="none" w:pos="1523" w:val="left"/>
        </w:tabs>
        <w:numPr>
          <w:ilvl w:val="1"/>
          <w:numId w:val="42"/>
        </w:numPr>
        <w:rPr>
          <w:rFonts w:ascii="Arial" w:cs="Arial" w:eastAsia="Arial" w:hAnsi="Arial"/>
          <w:sz w:val="14"/>
          <w:szCs w:val="14"/>
          <w:color w:val="auto"/>
        </w:rPr>
      </w:pPr>
      <w:r>
        <w:rPr>
          <w:rFonts w:ascii="Arial" w:cs="Arial" w:eastAsia="Arial" w:hAnsi="Arial"/>
          <w:sz w:val="14"/>
          <w:szCs w:val="14"/>
          <w:color w:val="auto"/>
        </w:rPr>
        <w:t>As promptly as practicable following the vesting of the RSUs pursuant to Section 2 (and in all events no later than March 15 of the year following the year of vesting (unless earlier delivery is required by Section 409A of the Code or delivery is deferred pursuant to a nonqualified deferred compensation plan in accordance with the requirements of Section 409A of the Code)), the Company shall issue, in the name of the Grantee, the number of shares of Common Stock that have vested.</w:t>
      </w:r>
    </w:p>
    <w:p>
      <w:pPr>
        <w:spacing w:after="0" w:line="149" w:lineRule="exact"/>
        <w:rPr>
          <w:rFonts w:ascii="Arial" w:cs="Arial" w:eastAsia="Arial" w:hAnsi="Arial"/>
          <w:sz w:val="14"/>
          <w:szCs w:val="14"/>
          <w:color w:val="auto"/>
        </w:rPr>
      </w:pPr>
    </w:p>
    <w:p>
      <w:pPr>
        <w:ind w:left="1540" w:hanging="517"/>
        <w:spacing w:after="0"/>
        <w:tabs>
          <w:tab w:leader="none" w:pos="1540" w:val="left"/>
        </w:tabs>
        <w:numPr>
          <w:ilvl w:val="1"/>
          <w:numId w:val="42"/>
        </w:numPr>
        <w:rPr>
          <w:rFonts w:ascii="Arial" w:cs="Arial" w:eastAsia="Arial" w:hAnsi="Arial"/>
          <w:sz w:val="12"/>
          <w:szCs w:val="12"/>
          <w:color w:val="auto"/>
        </w:rPr>
      </w:pPr>
      <w:r>
        <w:rPr>
          <w:rFonts w:ascii="Arial" w:cs="Arial" w:eastAsia="Arial" w:hAnsi="Arial"/>
          <w:sz w:val="12"/>
          <w:szCs w:val="12"/>
          <w:color w:val="auto"/>
        </w:rPr>
        <w:t>The Grantee agrees that the RSUs shall be subject to the forfeiture provisions set forth in Section 3 of this Agreement and the restrictions on transfer set forth in Section 4</w:t>
      </w:r>
    </w:p>
    <w:p>
      <w:pPr>
        <w:spacing w:after="0" w:line="1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of this Agreement.</w:t>
      </w:r>
    </w:p>
    <w:p>
      <w:pPr>
        <w:spacing w:after="0" w:line="102" w:lineRule="exact"/>
        <w:rPr>
          <w:rFonts w:ascii="Arial" w:cs="Arial" w:eastAsia="Arial" w:hAnsi="Arial"/>
          <w:sz w:val="12"/>
          <w:szCs w:val="12"/>
          <w:color w:val="auto"/>
        </w:rPr>
      </w:pPr>
    </w:p>
    <w:p>
      <w:pPr>
        <w:ind w:left="1020" w:hanging="506"/>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General Vesting Terms; Lapsing of Restrictions</w:t>
      </w:r>
      <w:r>
        <w:rPr>
          <w:rFonts w:ascii="Arial" w:cs="Arial" w:eastAsia="Arial" w:hAnsi="Arial"/>
          <w:sz w:val="14"/>
          <w:szCs w:val="14"/>
          <w:color w:val="auto"/>
        </w:rPr>
        <w:t>.</w:t>
      </w:r>
    </w:p>
    <w:p>
      <w:pPr>
        <w:spacing w:after="0" w:line="114" w:lineRule="exact"/>
        <w:rPr>
          <w:rFonts w:ascii="Arial" w:cs="Arial" w:eastAsia="Arial" w:hAnsi="Arial"/>
          <w:sz w:val="14"/>
          <w:szCs w:val="14"/>
          <w:color w:val="auto"/>
        </w:rPr>
      </w:pPr>
    </w:p>
    <w:p>
      <w:pPr>
        <w:ind w:left="1540" w:hanging="517"/>
        <w:spacing w:after="0"/>
        <w:tabs>
          <w:tab w:leader="none" w:pos="1540" w:val="left"/>
        </w:tabs>
        <w:numPr>
          <w:ilvl w:val="1"/>
          <w:numId w:val="42"/>
        </w:numPr>
        <w:rPr>
          <w:rFonts w:ascii="Arial" w:cs="Arial" w:eastAsia="Arial" w:hAnsi="Arial"/>
          <w:sz w:val="14"/>
          <w:szCs w:val="14"/>
          <w:color w:val="auto"/>
        </w:rPr>
      </w:pPr>
      <w:r>
        <w:rPr>
          <w:rFonts w:ascii="Arial" w:cs="Arial" w:eastAsia="Arial" w:hAnsi="Arial"/>
          <w:sz w:val="14"/>
          <w:szCs w:val="14"/>
          <w:u w:val="single" w:color="auto"/>
          <w:color w:val="auto"/>
        </w:rPr>
        <w:t>Vesting Schedule</w:t>
      </w:r>
      <w:r>
        <w:rPr>
          <w:rFonts w:ascii="Arial" w:cs="Arial" w:eastAsia="Arial" w:hAnsi="Arial"/>
          <w:sz w:val="14"/>
          <w:szCs w:val="14"/>
          <w:color w:val="auto"/>
        </w:rPr>
        <w:t>. The RSUs shall vest as set forth in the Award Notice (the date of vesting of the RSUs, the “</w:t>
      </w:r>
      <w:r>
        <w:rPr>
          <w:rFonts w:ascii="Arial" w:cs="Arial" w:eastAsia="Arial" w:hAnsi="Arial"/>
          <w:sz w:val="14"/>
          <w:szCs w:val="14"/>
          <w:u w:val="single" w:color="auto"/>
          <w:color w:val="auto"/>
        </w:rPr>
        <w:t>Vesting Date</w:t>
      </w:r>
      <w:r>
        <w:rPr>
          <w:rFonts w:ascii="Arial" w:cs="Arial" w:eastAsia="Arial" w:hAnsi="Arial"/>
          <w:sz w:val="14"/>
          <w:szCs w:val="14"/>
          <w:color w:val="auto"/>
        </w:rPr>
        <w:t>”).</w:t>
      </w:r>
    </w:p>
    <w:p>
      <w:pPr>
        <w:spacing w:after="0" w:line="167" w:lineRule="exact"/>
        <w:rPr>
          <w:rFonts w:ascii="Arial" w:cs="Arial" w:eastAsia="Arial" w:hAnsi="Arial"/>
          <w:sz w:val="14"/>
          <w:szCs w:val="14"/>
          <w:color w:val="auto"/>
        </w:rPr>
      </w:pPr>
    </w:p>
    <w:p>
      <w:pPr>
        <w:ind w:left="1520" w:hanging="497"/>
        <w:spacing w:after="0"/>
        <w:tabs>
          <w:tab w:leader="none" w:pos="1520" w:val="left"/>
        </w:tabs>
        <w:numPr>
          <w:ilvl w:val="1"/>
          <w:numId w:val="42"/>
        </w:numPr>
        <w:rPr>
          <w:rFonts w:ascii="Arial" w:cs="Arial" w:eastAsia="Arial" w:hAnsi="Arial"/>
          <w:sz w:val="13"/>
          <w:szCs w:val="13"/>
          <w:color w:val="auto"/>
        </w:rPr>
      </w:pPr>
      <w:r>
        <w:rPr>
          <w:rFonts w:ascii="Arial" w:cs="Arial" w:eastAsia="Arial" w:hAnsi="Arial"/>
          <w:sz w:val="13"/>
          <w:szCs w:val="13"/>
          <w:u w:val="single" w:color="auto"/>
          <w:color w:val="auto"/>
        </w:rPr>
        <w:t>Change in Control</w:t>
      </w:r>
      <w:r>
        <w:rPr>
          <w:rFonts w:ascii="Arial" w:cs="Arial" w:eastAsia="Arial" w:hAnsi="Arial"/>
          <w:sz w:val="13"/>
          <w:szCs w:val="13"/>
          <w:color w:val="auto"/>
        </w:rPr>
        <w:t>. If a Corporate Transaction or a Change in Control occurs, Article Three of the Plan shall govern the treatment of the RSUs in connection therewith.</w:t>
      </w:r>
    </w:p>
    <w:p>
      <w:pPr>
        <w:spacing w:after="0" w:line="179" w:lineRule="exact"/>
        <w:rPr>
          <w:rFonts w:ascii="Arial" w:cs="Arial" w:eastAsia="Arial" w:hAnsi="Arial"/>
          <w:sz w:val="13"/>
          <w:szCs w:val="13"/>
          <w:color w:val="auto"/>
        </w:rPr>
      </w:pPr>
    </w:p>
    <w:p>
      <w:pPr>
        <w:jc w:val="both"/>
        <w:ind w:firstLine="1023"/>
        <w:spacing w:after="0" w:line="212" w:lineRule="auto"/>
        <w:tabs>
          <w:tab w:leader="none" w:pos="1526" w:val="left"/>
        </w:tabs>
        <w:numPr>
          <w:ilvl w:val="1"/>
          <w:numId w:val="42"/>
        </w:numPr>
        <w:rPr>
          <w:rFonts w:ascii="Arial" w:cs="Arial" w:eastAsia="Arial" w:hAnsi="Arial"/>
          <w:sz w:val="14"/>
          <w:szCs w:val="14"/>
          <w:color w:val="auto"/>
        </w:rPr>
      </w:pPr>
      <w:r>
        <w:rPr>
          <w:rFonts w:ascii="Arial" w:cs="Arial" w:eastAsia="Arial" w:hAnsi="Arial"/>
          <w:sz w:val="14"/>
          <w:szCs w:val="14"/>
          <w:u w:val="single" w:color="auto"/>
          <w:color w:val="auto"/>
        </w:rPr>
        <w:t>Continuous Employment and Service</w:t>
      </w:r>
      <w:r>
        <w:rPr>
          <w:rFonts w:ascii="Arial" w:cs="Arial" w:eastAsia="Arial" w:hAnsi="Arial"/>
          <w:sz w:val="14"/>
          <w:szCs w:val="14"/>
          <w:color w:val="auto"/>
        </w:rPr>
        <w:t>. For purposes of this Agreement, Grantee shall be deemed to remain in continuous service with the Company for so long as the Grantee continues to render periodic services to the Company or any parent or subsidiary corporation, whether as an employee, a non-employee member of the Company’s Board of Directors or an independent consultant or advisor. The Grantee shall be deemed to be an “employee” if the Grantee is in the employ of the Company or one or more of its parent or subsidiary corporations subject to the control and direction of the employer entity as to both the work to be performed and the manner and method of performance. For purposes of this Agreement, a corporation shall be considered to be a subsidiary corporation of the Company if it is a member of an unbroken chain of corporations beginning with the Company, provided each such corporation in the chain (other than the last corporation) owns, at the time of determination, stock possessing 50% or more of the total combined voting power of all classes of stock in one of the other corporations in such chain. Similarly, for purposes of this Agreement, a corporation shall be considered to be a parent corporation of the Company if it is a member of an unbroken chain ending with the Company, provided each such corporation in the chain (other than the Company) owns, at the time of determination, stock possessing 50% or more of the total combined voting power of all classes of stock in one of the other corporations in such chain.</w:t>
      </w:r>
    </w:p>
    <w:p>
      <w:pPr>
        <w:spacing w:after="0" w:line="99" w:lineRule="exact"/>
        <w:rPr>
          <w:rFonts w:ascii="Arial" w:cs="Arial" w:eastAsia="Arial" w:hAnsi="Arial"/>
          <w:sz w:val="14"/>
          <w:szCs w:val="14"/>
          <w:color w:val="auto"/>
        </w:rPr>
      </w:pPr>
    </w:p>
    <w:p>
      <w:pPr>
        <w:ind w:left="1020" w:hanging="506"/>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Forfeiture of Unvested RSUs Upon Termination of Service</w:t>
      </w:r>
      <w:r>
        <w:rPr>
          <w:rFonts w:ascii="Arial" w:cs="Arial" w:eastAsia="Arial" w:hAnsi="Arial"/>
          <w:sz w:val="14"/>
          <w:szCs w:val="14"/>
          <w:color w:val="auto"/>
        </w:rPr>
        <w:t>.</w:t>
      </w:r>
    </w:p>
    <w:p>
      <w:pPr>
        <w:spacing w:after="0" w:line="115" w:lineRule="exact"/>
        <w:rPr>
          <w:sz w:val="20"/>
          <w:szCs w:val="20"/>
          <w:color w:val="auto"/>
        </w:rPr>
      </w:pPr>
    </w:p>
    <w:p>
      <w:pPr>
        <w:ind w:right="160" w:firstLine="509"/>
        <w:spacing w:after="0" w:line="236" w:lineRule="auto"/>
        <w:rPr>
          <w:sz w:val="20"/>
          <w:szCs w:val="20"/>
          <w:color w:val="auto"/>
        </w:rPr>
      </w:pPr>
      <w:r>
        <w:rPr>
          <w:rFonts w:ascii="Arial" w:cs="Arial" w:eastAsia="Arial" w:hAnsi="Arial"/>
          <w:sz w:val="14"/>
          <w:szCs w:val="14"/>
          <w:color w:val="auto"/>
        </w:rPr>
        <w:t>In the event that the Grantee ceases to be continuously in service to the Company or one or more of its parent or subsidiary corporations for any reason or no reason, with or without cause, except as otherwise expressly provided in</w:t>
      </w:r>
    </w:p>
    <w:p>
      <w:pPr>
        <w:sectPr>
          <w:pgSz w:w="11900" w:h="16838" w:orient="portrait"/>
          <w:cols w:equalWidth="0" w:num="1">
            <w:col w:w="11280"/>
          </w:cols>
          <w:pgMar w:left="300" w:top="1133" w:right="319" w:bottom="1440" w:gutter="0" w:footer="0" w:header="0"/>
        </w:sectPr>
      </w:pPr>
    </w:p>
    <w:bookmarkStart w:id="84" w:name="page85"/>
    <w:bookmarkEnd w:id="84"/>
    <w:p>
      <w:pPr>
        <w:jc w:val="both"/>
        <w:ind w:right="20"/>
        <w:spacing w:after="0" w:line="226" w:lineRule="auto"/>
        <w:rPr>
          <w:sz w:val="20"/>
          <w:szCs w:val="20"/>
          <w:color w:val="auto"/>
        </w:rPr>
      </w:pPr>
      <w:r>
        <w:rPr>
          <w:rFonts w:ascii="Arial" w:cs="Arial" w:eastAsia="Arial" w:hAnsi="Arial"/>
          <w:sz w:val="14"/>
          <w:szCs w:val="14"/>
          <w:color w:val="auto"/>
        </w:rPr>
        <w:t>Section 2 above, all of the RSUs that are unvested as of the time of such termination of service shall be forfeited immediately and automatically to the Company and no shares of Common Stock shall be issued with respect thereto, without the payment of any consideration to the Grantee, effective as of such separation from service. The Grantee shall have no further rights with respect to any RSUs that are so forfeited.</w:t>
      </w:r>
    </w:p>
    <w:p>
      <w:pPr>
        <w:spacing w:after="0" w:line="97" w:lineRule="exact"/>
        <w:rPr>
          <w:sz w:val="20"/>
          <w:szCs w:val="20"/>
          <w:color w:val="auto"/>
        </w:rPr>
      </w:pPr>
    </w:p>
    <w:p>
      <w:pPr>
        <w:ind w:left="1020" w:hanging="506"/>
        <w:spacing w:after="0"/>
        <w:tabs>
          <w:tab w:leader="none" w:pos="1020"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Restrictions on Transfer</w:t>
      </w:r>
      <w:r>
        <w:rPr>
          <w:rFonts w:ascii="Arial" w:cs="Arial" w:eastAsia="Arial" w:hAnsi="Arial"/>
          <w:sz w:val="14"/>
          <w:szCs w:val="14"/>
          <w:color w:val="auto"/>
        </w:rPr>
        <w:t>.</w:t>
      </w:r>
    </w:p>
    <w:p>
      <w:pPr>
        <w:spacing w:after="0" w:line="115" w:lineRule="exact"/>
        <w:rPr>
          <w:sz w:val="20"/>
          <w:szCs w:val="20"/>
          <w:color w:val="auto"/>
        </w:rPr>
      </w:pPr>
    </w:p>
    <w:p>
      <w:pPr>
        <w:ind w:right="60" w:firstLine="509"/>
        <w:spacing w:after="0" w:line="231" w:lineRule="auto"/>
        <w:rPr>
          <w:sz w:val="20"/>
          <w:szCs w:val="20"/>
          <w:color w:val="auto"/>
        </w:rPr>
      </w:pPr>
      <w:r>
        <w:rPr>
          <w:rFonts w:ascii="Arial" w:cs="Arial" w:eastAsia="Arial" w:hAnsi="Arial"/>
          <w:sz w:val="13"/>
          <w:szCs w:val="13"/>
          <w:color w:val="auto"/>
        </w:rPr>
        <w:t xml:space="preserve">The Grantee shall not sell, assign, transfer, pledge, hypothecate or otherwise dispose of, by operation of law or otherwise (collectively “transfer”) any RSUs, or any interest therein (but may transfer Common Stock after its issuance pursuant to Section 1(b) above). Notwithstanding the foregoing to the extent permitted by applicable law, the RSUs may be assigned in whole or part during the Grantee’s lifetime pursuant to a domestic relations order;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RSUs shall in all cases remain subject to this Agreement (including, without limitation, the forfeiture provisions set forth in Section 3 and the restrictions on transfer set forth in this Section 4) and such permitted transferee shall, as a condition to such transfer, deliver to the Company a written instrument confirming that such transferee shall be bound by all of the terms and conditions of this Agreement. The Company shall not be required: (i) to transfer on its books any of the RSUs (or issue shares of Common Stock with respect thereto) which have been transferred in violation of any of the provisions of this Agreement or (ii) to treat as owner of such RSUs any transferee to whom such RSUs have been transferred in violation of any of the provisions of this Agreement.</w:t>
      </w:r>
    </w:p>
    <w:p>
      <w:pPr>
        <w:spacing w:after="0" w:line="96" w:lineRule="exact"/>
        <w:rPr>
          <w:sz w:val="20"/>
          <w:szCs w:val="20"/>
          <w:color w:val="auto"/>
        </w:rPr>
      </w:pPr>
    </w:p>
    <w:p>
      <w:pPr>
        <w:ind w:left="1020" w:hanging="506"/>
        <w:spacing w:after="0"/>
        <w:tabs>
          <w:tab w:leader="none" w:pos="1020"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Rights as a Shareholder</w:t>
      </w:r>
      <w:r>
        <w:rPr>
          <w:rFonts w:ascii="Arial" w:cs="Arial" w:eastAsia="Arial" w:hAnsi="Arial"/>
          <w:sz w:val="14"/>
          <w:szCs w:val="14"/>
          <w:color w:val="auto"/>
        </w:rPr>
        <w:t>.</w:t>
      </w:r>
    </w:p>
    <w:p>
      <w:pPr>
        <w:spacing w:after="0" w:line="115" w:lineRule="exact"/>
        <w:rPr>
          <w:sz w:val="20"/>
          <w:szCs w:val="20"/>
          <w:color w:val="auto"/>
        </w:rPr>
      </w:pPr>
    </w:p>
    <w:p>
      <w:pPr>
        <w:ind w:right="20" w:firstLine="509"/>
        <w:spacing w:after="0" w:line="221" w:lineRule="auto"/>
        <w:rPr>
          <w:sz w:val="20"/>
          <w:szCs w:val="20"/>
          <w:color w:val="auto"/>
        </w:rPr>
      </w:pPr>
      <w:r>
        <w:rPr>
          <w:rFonts w:ascii="Arial" w:cs="Arial" w:eastAsia="Arial" w:hAnsi="Arial"/>
          <w:sz w:val="14"/>
          <w:szCs w:val="14"/>
          <w:color w:val="auto"/>
        </w:rPr>
        <w:t xml:space="preserve">The Grantee shall have no rights as a shareholder with respect to the RSUs until such times as shares of Common Stock are issued in settlement thereof;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any dividends and distributions with respect to the shares of Common Stock underlying the RSUs are paid in cash or shares, or consist of a dividend or distribution to holders of Common Stock other than an ordinary cash dividend, the shares, cash or other property will be credited to a notional account on behalf of the Grantee subject to the same restrictions on transferability and forfeitability as the related RSUs.</w:t>
      </w:r>
    </w:p>
    <w:p>
      <w:pPr>
        <w:spacing w:after="0" w:line="97" w:lineRule="exact"/>
        <w:rPr>
          <w:sz w:val="20"/>
          <w:szCs w:val="20"/>
          <w:color w:val="auto"/>
        </w:rPr>
      </w:pPr>
    </w:p>
    <w:p>
      <w:pPr>
        <w:ind w:left="1020" w:hanging="506"/>
        <w:spacing w:after="0"/>
        <w:tabs>
          <w:tab w:leader="none" w:pos="1020"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Tax Matters</w:t>
      </w:r>
      <w:r>
        <w:rPr>
          <w:rFonts w:ascii="Arial" w:cs="Arial" w:eastAsia="Arial" w:hAnsi="Arial"/>
          <w:sz w:val="14"/>
          <w:szCs w:val="14"/>
          <w:color w:val="auto"/>
        </w:rPr>
        <w:t>.</w:t>
      </w:r>
    </w:p>
    <w:p>
      <w:pPr>
        <w:spacing w:after="0" w:line="168" w:lineRule="exact"/>
        <w:rPr>
          <w:sz w:val="20"/>
          <w:szCs w:val="20"/>
          <w:color w:val="auto"/>
        </w:rPr>
      </w:pPr>
    </w:p>
    <w:p>
      <w:pPr>
        <w:ind w:right="140" w:firstLine="509"/>
        <w:spacing w:after="0" w:line="276" w:lineRule="auto"/>
        <w:rPr>
          <w:sz w:val="20"/>
          <w:szCs w:val="20"/>
          <w:color w:val="auto"/>
        </w:rPr>
      </w:pPr>
      <w:r>
        <w:rPr>
          <w:rFonts w:ascii="Arial" w:cs="Arial" w:eastAsia="Arial" w:hAnsi="Arial"/>
          <w:sz w:val="12"/>
          <w:szCs w:val="12"/>
          <w:color w:val="auto"/>
        </w:rPr>
        <w:t>Grantee acknowledges that Grantee is responsible for obtaining the advice of the Grantee’s own tax advisors with respect to the acquisition and vesting of the RSUs and that Grantee is relying solely on such advisors and not on any statements or representations of the Company or any of its agents with respect to the tax consequences relating to the RSUs. The Grantee understands that the Grantee (and not the Company) shall be responsible for any and all of Grantee’s tax liabilities that may arise in connection with the acquisition, vesting and/or settlement of the RSUs.</w:t>
      </w:r>
    </w:p>
    <w:p>
      <w:pPr>
        <w:spacing w:after="0" w:line="129" w:lineRule="exact"/>
        <w:rPr>
          <w:sz w:val="20"/>
          <w:szCs w:val="20"/>
          <w:color w:val="auto"/>
        </w:rPr>
      </w:pPr>
    </w:p>
    <w:p>
      <w:pPr>
        <w:ind w:left="1020" w:hanging="506"/>
        <w:spacing w:after="0"/>
        <w:tabs>
          <w:tab w:leader="none" w:pos="1020"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14" w:lineRule="exact"/>
        <w:rPr>
          <w:rFonts w:ascii="Arial" w:cs="Arial" w:eastAsia="Arial" w:hAnsi="Arial"/>
          <w:sz w:val="14"/>
          <w:szCs w:val="14"/>
          <w:color w:val="auto"/>
        </w:rPr>
      </w:pPr>
    </w:p>
    <w:p>
      <w:pPr>
        <w:ind w:firstLine="1023"/>
        <w:spacing w:after="0" w:line="226" w:lineRule="auto"/>
        <w:tabs>
          <w:tab w:leader="none" w:pos="1526" w:val="left"/>
        </w:tabs>
        <w:numPr>
          <w:ilvl w:val="1"/>
          <w:numId w:val="46"/>
        </w:numPr>
        <w:rPr>
          <w:rFonts w:ascii="Arial" w:cs="Arial" w:eastAsia="Arial" w:hAnsi="Arial"/>
          <w:sz w:val="14"/>
          <w:szCs w:val="14"/>
          <w:color w:val="auto"/>
        </w:rPr>
      </w:pPr>
      <w:r>
        <w:rPr>
          <w:rFonts w:ascii="Arial" w:cs="Arial" w:eastAsia="Arial" w:hAnsi="Arial"/>
          <w:sz w:val="14"/>
          <w:szCs w:val="14"/>
          <w:u w:val="single" w:color="auto"/>
          <w:color w:val="auto"/>
        </w:rPr>
        <w:t>Authority of the Plan Administrator</w:t>
      </w:r>
      <w:r>
        <w:rPr>
          <w:rFonts w:ascii="Arial" w:cs="Arial" w:eastAsia="Arial" w:hAnsi="Arial"/>
          <w:sz w:val="14"/>
          <w:szCs w:val="14"/>
          <w:color w:val="auto"/>
        </w:rPr>
        <w:t>. In making any decisions or taking any actions with respect to the matters covered by this Agreement, the Plan Administrator shall have full authority and discretion, and shall be subject to all of the protections provided for in the Plan. All decisions and actions by the Plan Administrator with respect to this Agreement shall be made in the Plan Administrator’s sole discretion and shall be final and binding on all.</w:t>
      </w:r>
    </w:p>
    <w:p>
      <w:pPr>
        <w:spacing w:after="0" w:line="149" w:lineRule="exact"/>
        <w:rPr>
          <w:rFonts w:ascii="Arial" w:cs="Arial" w:eastAsia="Arial" w:hAnsi="Arial"/>
          <w:sz w:val="14"/>
          <w:szCs w:val="14"/>
          <w:color w:val="auto"/>
        </w:rPr>
      </w:pPr>
    </w:p>
    <w:p>
      <w:pPr>
        <w:ind w:right="140" w:firstLine="1023"/>
        <w:spacing w:after="0" w:line="218" w:lineRule="auto"/>
        <w:tabs>
          <w:tab w:leader="none" w:pos="1523" w:val="left"/>
        </w:tabs>
        <w:numPr>
          <w:ilvl w:val="1"/>
          <w:numId w:val="46"/>
        </w:numPr>
        <w:rPr>
          <w:rFonts w:ascii="Arial" w:cs="Arial" w:eastAsia="Arial" w:hAnsi="Arial"/>
          <w:sz w:val="14"/>
          <w:szCs w:val="14"/>
          <w:color w:val="auto"/>
        </w:rPr>
      </w:pPr>
      <w:r>
        <w:rPr>
          <w:rFonts w:ascii="Arial" w:cs="Arial" w:eastAsia="Arial" w:hAnsi="Arial"/>
          <w:sz w:val="14"/>
          <w:szCs w:val="14"/>
          <w:u w:val="single" w:color="auto"/>
          <w:color w:val="auto"/>
        </w:rPr>
        <w:t>No Service Contract</w:t>
      </w:r>
      <w:r>
        <w:rPr>
          <w:rFonts w:ascii="Arial" w:cs="Arial" w:eastAsia="Arial" w:hAnsi="Arial"/>
          <w:sz w:val="14"/>
          <w:szCs w:val="14"/>
          <w:color w:val="auto"/>
        </w:rPr>
        <w:t>. The Grantee acknowledges and agrees that, notwithstanding the fact that vesting and settlement of the RSUs is contingent upon Grantee’s continued service to the Company (or any parent or subsidiary corporation of the Company employing or retaining Grantee), this Agreement does not constitute an express or implied promise of continued service and nothing herein or in the Plan shall confer upon the Grantee any rights to continue in the service of the Company (or any parent or subsidiary corporation of the Company employing or retaining Grantee) for any period of time or interfere with or otherwise restrict in any way the rights of the Company or the stockholders to remove the Grantee from the Board in accordance with applicable law.</w:t>
      </w:r>
    </w:p>
    <w:p>
      <w:pPr>
        <w:spacing w:after="0" w:line="149" w:lineRule="exact"/>
        <w:rPr>
          <w:rFonts w:ascii="Arial" w:cs="Arial" w:eastAsia="Arial" w:hAnsi="Arial"/>
          <w:sz w:val="14"/>
          <w:szCs w:val="14"/>
          <w:color w:val="auto"/>
        </w:rPr>
      </w:pPr>
    </w:p>
    <w:p>
      <w:pPr>
        <w:ind w:right="60" w:firstLine="1023"/>
        <w:spacing w:after="0" w:line="221" w:lineRule="auto"/>
        <w:tabs>
          <w:tab w:leader="none" w:pos="1526" w:val="left"/>
        </w:tabs>
        <w:numPr>
          <w:ilvl w:val="1"/>
          <w:numId w:val="46"/>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Any notice required to be given or delivered to the Company under the terms of this Agreement shall be in writing and addressed to the Company in care of the Corporate Secretary at its principal corporate offices. Any notice required to be given or delivered to Grantee shall be in writing and addressed to the Grantee at the address indicated below Grantee’s signature line of the Award Notice or such address as Grantee may provide for the Company to keep on file as updated from time to time. All notices shall be deemed to have been given or delivered upon personal delivery or upon deposit in the U. S. Mail, postage prepaid and properly addressed to the party to be notified.</w:t>
      </w:r>
    </w:p>
    <w:p>
      <w:pPr>
        <w:spacing w:after="0" w:line="149" w:lineRule="exact"/>
        <w:rPr>
          <w:rFonts w:ascii="Arial" w:cs="Arial" w:eastAsia="Arial" w:hAnsi="Arial"/>
          <w:sz w:val="14"/>
          <w:szCs w:val="14"/>
          <w:color w:val="auto"/>
        </w:rPr>
      </w:pPr>
    </w:p>
    <w:p>
      <w:pPr>
        <w:jc w:val="both"/>
        <w:ind w:firstLine="1023"/>
        <w:spacing w:after="0" w:line="238" w:lineRule="auto"/>
        <w:tabs>
          <w:tab w:leader="none" w:pos="1523" w:val="left"/>
        </w:tabs>
        <w:numPr>
          <w:ilvl w:val="1"/>
          <w:numId w:val="46"/>
        </w:numPr>
        <w:rPr>
          <w:rFonts w:ascii="Arial" w:cs="Arial" w:eastAsia="Arial" w:hAnsi="Arial"/>
          <w:sz w:val="13"/>
          <w:szCs w:val="13"/>
          <w:color w:val="auto"/>
        </w:rPr>
      </w:pPr>
      <w:r>
        <w:rPr>
          <w:rFonts w:ascii="Arial" w:cs="Arial" w:eastAsia="Arial" w:hAnsi="Arial"/>
          <w:sz w:val="13"/>
          <w:szCs w:val="13"/>
          <w:u w:val="single" w:color="auto"/>
          <w:color w:val="auto"/>
        </w:rPr>
        <w:t>Construction; Amendment</w:t>
      </w:r>
      <w:r>
        <w:rPr>
          <w:rFonts w:ascii="Arial" w:cs="Arial" w:eastAsia="Arial" w:hAnsi="Arial"/>
          <w:sz w:val="13"/>
          <w:szCs w:val="13"/>
          <w:color w:val="auto"/>
        </w:rPr>
        <w:t>. The Grantee acknowledges that Grantee has read this Agreement, has received and read the Plan, and understands the terms and conditions of this Agreement and the Plan. This Agreement and the RSUs evidenced hereby are made and granted pursuant to the Plan and are in all respects limited by and subject to the express terms and provisions of the Plan. All decisions of the Plan Administrator with respect to any question or issue arising under the Plan or this Agreement shall be conclusive and binding on all persons having or claiming an interest in the RSUs. This Agreement may only be amended by a writing executed by the parties hereto expressly providing for</w:t>
      </w:r>
    </w:p>
    <w:p>
      <w:pPr>
        <w:sectPr>
          <w:pgSz w:w="11900" w:h="16838" w:orient="portrait"/>
          <w:cols w:equalWidth="0" w:num="1">
            <w:col w:w="11280"/>
          </w:cols>
          <w:pgMar w:left="300" w:top="1137" w:right="319" w:bottom="1440" w:gutter="0" w:footer="0" w:header="0"/>
        </w:sectPr>
      </w:pPr>
    </w:p>
    <w:bookmarkStart w:id="85" w:name="page86"/>
    <w:bookmarkEnd w:id="85"/>
    <w:p>
      <w:pPr>
        <w:spacing w:after="0" w:line="236" w:lineRule="auto"/>
        <w:rPr>
          <w:sz w:val="20"/>
          <w:szCs w:val="20"/>
          <w:color w:val="auto"/>
        </w:rPr>
      </w:pPr>
      <w:r>
        <w:rPr>
          <w:rFonts w:ascii="Arial" w:cs="Arial" w:eastAsia="Arial" w:hAnsi="Arial"/>
          <w:sz w:val="14"/>
          <w:szCs w:val="14"/>
          <w:color w:val="auto"/>
        </w:rPr>
        <w:t>amendment of this Agreement except that the Plan Administrator may unilaterally make amendments that do not adversely affect Grantee’s rights hereunder, provided timely notice of such amendments is provided to Grantee.</w:t>
      </w:r>
    </w:p>
    <w:p>
      <w:pPr>
        <w:spacing w:after="0" w:line="150" w:lineRule="exact"/>
        <w:rPr>
          <w:sz w:val="20"/>
          <w:szCs w:val="20"/>
          <w:color w:val="auto"/>
        </w:rPr>
      </w:pPr>
    </w:p>
    <w:p>
      <w:pPr>
        <w:ind w:firstLine="1023"/>
        <w:spacing w:after="0" w:line="236" w:lineRule="auto"/>
        <w:tabs>
          <w:tab w:leader="none" w:pos="1526"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Except to the extent otherwise expressly provided herein, the provisions of this Agreement shall inure to the benefit of, and be binding upon, the successors, administrators, heirs, legal representatives and assigns of Grantee and the successors and assigns of the Company.</w:t>
      </w:r>
    </w:p>
    <w:p>
      <w:pPr>
        <w:spacing w:after="0" w:line="150" w:lineRule="exact"/>
        <w:rPr>
          <w:rFonts w:ascii="Arial" w:cs="Arial" w:eastAsia="Arial" w:hAnsi="Arial"/>
          <w:sz w:val="14"/>
          <w:szCs w:val="14"/>
          <w:color w:val="auto"/>
        </w:rPr>
      </w:pPr>
    </w:p>
    <w:p>
      <w:pPr>
        <w:jc w:val="both"/>
        <w:ind w:firstLine="1023"/>
        <w:spacing w:after="0" w:line="234" w:lineRule="auto"/>
        <w:tabs>
          <w:tab w:leader="none" w:pos="1521" w:val="left"/>
        </w:tabs>
        <w:numPr>
          <w:ilvl w:val="0"/>
          <w:numId w:val="47"/>
        </w:numPr>
        <w:rPr>
          <w:rFonts w:ascii="Arial" w:cs="Arial" w:eastAsia="Arial" w:hAnsi="Arial"/>
          <w:sz w:val="13"/>
          <w:szCs w:val="13"/>
          <w:color w:val="auto"/>
        </w:rPr>
      </w:pPr>
      <w:r>
        <w:rPr>
          <w:rFonts w:ascii="Arial" w:cs="Arial" w:eastAsia="Arial" w:hAnsi="Arial"/>
          <w:sz w:val="13"/>
          <w:szCs w:val="13"/>
          <w:u w:val="single" w:color="auto"/>
          <w:color w:val="auto"/>
        </w:rPr>
        <w:t>Liability of the Company</w:t>
      </w:r>
      <w:r>
        <w:rPr>
          <w:rFonts w:ascii="Arial" w:cs="Arial" w:eastAsia="Arial" w:hAnsi="Arial"/>
          <w:sz w:val="13"/>
          <w:szCs w:val="13"/>
          <w:color w:val="auto"/>
        </w:rPr>
        <w:t>. If the RSUs exceed, as of the Grant Date, the number of shares of Common Stock which may without shareholder approval be issued under the Plan, then this Award shall be void with respect to such excess shares unless shareholder approval of an amendment sufficiently increasing the number of shares of Common Stock issuable under the Plan is obtained in accordance with the provisions of this Plan and all applicable laws. The inability of the Company to obtain approval from any regulatory body having authority deemed by the Company to be necessary to the lawful issuance and sale of any Common Stock pursuant to this Agreement shall relieve the Company of any liability with respect to the non-issuance or sale of the Common Stock as to which such approval shall not have been obtained. The Company, however, shall use its best efforts to obtain all such approvals.</w:t>
      </w:r>
    </w:p>
    <w:p>
      <w:pPr>
        <w:spacing w:after="0" w:line="151" w:lineRule="exact"/>
        <w:rPr>
          <w:rFonts w:ascii="Arial" w:cs="Arial" w:eastAsia="Arial" w:hAnsi="Arial"/>
          <w:sz w:val="13"/>
          <w:szCs w:val="13"/>
          <w:color w:val="auto"/>
        </w:rPr>
      </w:pPr>
    </w:p>
    <w:p>
      <w:pPr>
        <w:jc w:val="both"/>
        <w:ind w:firstLine="1023"/>
        <w:spacing w:after="0" w:line="221" w:lineRule="auto"/>
        <w:tabs>
          <w:tab w:leader="none" w:pos="1523"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Compliance with Laws and Regulations</w:t>
      </w:r>
      <w:r>
        <w:rPr>
          <w:rFonts w:ascii="Arial" w:cs="Arial" w:eastAsia="Arial" w:hAnsi="Arial"/>
          <w:sz w:val="14"/>
          <w:szCs w:val="14"/>
          <w:color w:val="auto"/>
        </w:rPr>
        <w:t>. The award of RSUs hereunder and the settlement thereof is subject to compliance by the Company and Grantee with all applicable requirements of law relating thereto and all applicable regulations of any stock exchange or over-the-counter market on which such shares may be listed or traded at the time of such exercise and issuance. In connection with the settlement of RSUs, Grantee shall execute and deliver to the Company such representations in writing as may be requested by the Company in order for it to comply with the applicable requirements of federal and state securities laws.</w:t>
      </w:r>
    </w:p>
    <w:p>
      <w:pPr>
        <w:spacing w:after="0" w:line="149" w:lineRule="exact"/>
        <w:rPr>
          <w:rFonts w:ascii="Arial" w:cs="Arial" w:eastAsia="Arial" w:hAnsi="Arial"/>
          <w:sz w:val="14"/>
          <w:szCs w:val="14"/>
          <w:color w:val="auto"/>
        </w:rPr>
      </w:pPr>
    </w:p>
    <w:p>
      <w:pPr>
        <w:ind w:right="420" w:firstLine="1023"/>
        <w:spacing w:after="0" w:line="236" w:lineRule="auto"/>
        <w:tabs>
          <w:tab w:leader="none" w:pos="1523"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Capitalized Terms/Conflict</w:t>
      </w:r>
      <w:r>
        <w:rPr>
          <w:rFonts w:ascii="Arial" w:cs="Arial" w:eastAsia="Arial" w:hAnsi="Arial"/>
          <w:sz w:val="14"/>
          <w:szCs w:val="14"/>
          <w:color w:val="auto"/>
        </w:rPr>
        <w:t>. Capitalized terms not specifically defined herein have the meaning specified in the Plan. In the event of a conflict between the terms and conditions of this Agreement and the Plan, the Plan controls.</w:t>
      </w:r>
    </w:p>
    <w:p>
      <w:pPr>
        <w:spacing w:after="0" w:line="150" w:lineRule="exact"/>
        <w:rPr>
          <w:rFonts w:ascii="Arial" w:cs="Arial" w:eastAsia="Arial" w:hAnsi="Arial"/>
          <w:sz w:val="14"/>
          <w:szCs w:val="14"/>
          <w:color w:val="auto"/>
        </w:rPr>
      </w:pPr>
    </w:p>
    <w:p>
      <w:pPr>
        <w:ind w:right="360" w:firstLine="1023"/>
        <w:spacing w:after="0" w:line="236" w:lineRule="auto"/>
        <w:tabs>
          <w:tab w:leader="none" w:pos="1523"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Grantee hereby consents to the delivery of information (including, without limitation, information required to be delivered to Grantee pursuant to applicable securities laws) regarding the Company and its subsidiaries and affiliates, the Plan, and the RSUs via Company web site or other electronic delivery.</w:t>
      </w:r>
    </w:p>
    <w:p>
      <w:pPr>
        <w:spacing w:after="0" w:line="150" w:lineRule="exact"/>
        <w:rPr>
          <w:rFonts w:ascii="Arial" w:cs="Arial" w:eastAsia="Arial" w:hAnsi="Arial"/>
          <w:sz w:val="14"/>
          <w:szCs w:val="14"/>
          <w:color w:val="auto"/>
        </w:rPr>
      </w:pPr>
    </w:p>
    <w:p>
      <w:pPr>
        <w:ind w:right="20" w:firstLine="1023"/>
        <w:spacing w:after="0" w:line="236" w:lineRule="auto"/>
        <w:tabs>
          <w:tab w:leader="none" w:pos="1523"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preceding the text of the sections hereof are inserted solely for convenience of reference, and shall not constitute a part of this Agreement, nor shall they affect its meaning, construction or effect.</w:t>
      </w:r>
    </w:p>
    <w:p>
      <w:pPr>
        <w:spacing w:after="0" w:line="150" w:lineRule="exact"/>
        <w:rPr>
          <w:rFonts w:ascii="Arial" w:cs="Arial" w:eastAsia="Arial" w:hAnsi="Arial"/>
          <w:sz w:val="14"/>
          <w:szCs w:val="14"/>
          <w:color w:val="auto"/>
        </w:rPr>
      </w:pPr>
    </w:p>
    <w:p>
      <w:pPr>
        <w:ind w:firstLine="1023"/>
        <w:spacing w:after="0" w:line="236" w:lineRule="auto"/>
        <w:tabs>
          <w:tab w:leader="none" w:pos="1523"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The interpretation, performance, and enforcement of this Agreement shall be governed by the internal laws of the State of Delaware without regard to that state’s conflict-of-laws rules.</w:t>
      </w:r>
    </w:p>
    <w:p>
      <w:pPr>
        <w:sectPr>
          <w:pgSz w:w="11900" w:h="16838" w:orient="portrait"/>
          <w:cols w:equalWidth="0" w:num="1">
            <w:col w:w="11280"/>
          </w:cols>
          <w:pgMar w:left="300" w:top="1137" w:right="319" w:bottom="1440" w:gutter="0" w:footer="0" w:header="0"/>
        </w:sectPr>
      </w:pPr>
    </w:p>
    <w:bookmarkStart w:id="86" w:name="page87"/>
    <w:bookmarkEnd w:id="86"/>
    <w:p>
      <w:pPr>
        <w:spacing w:after="0" w:line="236" w:lineRule="auto"/>
        <w:tabs>
          <w:tab w:leader="none" w:pos="152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36" w:lineRule="auto"/>
        <w:tabs>
          <w:tab w:leader="none" w:pos="1523" w:val="left"/>
        </w:tabs>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Arial" w:cs="Arial" w:eastAsia="Arial" w:hAnsi="Arial"/>
          <w:sz w:val="14"/>
          <w:szCs w:val="14"/>
          <w:b w:val="1"/>
          <w:bCs w:val="1"/>
          <w:color w:val="auto"/>
        </w:rPr>
        <w:t>Exhibit 31.1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Jon P. Stonehouse, certify that:</w:t>
      </w:r>
    </w:p>
    <w:p>
      <w:pPr>
        <w:spacing w:after="0" w:line="147" w:lineRule="exact"/>
        <w:rPr>
          <w:sz w:val="20"/>
          <w:szCs w:val="20"/>
          <w:color w:val="auto"/>
        </w:rPr>
      </w:pPr>
    </w:p>
    <w:p>
      <w:pPr>
        <w:ind w:left="1160" w:hanging="264"/>
        <w:spacing w:after="0"/>
        <w:tabs>
          <w:tab w:leader="none" w:pos="11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BioCryst Pharmaceuticals, Inc.;</w:t>
      </w:r>
    </w:p>
    <w:p>
      <w:pPr>
        <w:spacing w:after="0" w:line="157" w:lineRule="exact"/>
        <w:rPr>
          <w:rFonts w:ascii="Arial" w:cs="Arial" w:eastAsia="Arial" w:hAnsi="Arial"/>
          <w:sz w:val="14"/>
          <w:szCs w:val="14"/>
          <w:color w:val="auto"/>
        </w:rPr>
      </w:pPr>
    </w:p>
    <w:p>
      <w:pPr>
        <w:ind w:left="1160" w:right="100" w:hanging="264"/>
        <w:spacing w:after="0" w:line="281" w:lineRule="auto"/>
        <w:tabs>
          <w:tab w:leader="none" w:pos="11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4"/>
          <w:szCs w:val="14"/>
          <w:color w:val="auto"/>
        </w:rPr>
      </w:pPr>
    </w:p>
    <w:p>
      <w:pPr>
        <w:ind w:left="1160" w:right="180" w:hanging="264"/>
        <w:spacing w:after="0" w:line="281" w:lineRule="auto"/>
        <w:tabs>
          <w:tab w:leader="none" w:pos="11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4"/>
          <w:szCs w:val="14"/>
          <w:color w:val="auto"/>
        </w:rPr>
      </w:pPr>
    </w:p>
    <w:p>
      <w:pPr>
        <w:ind w:left="1160" w:right="140" w:hanging="264"/>
        <w:spacing w:after="0" w:line="321" w:lineRule="auto"/>
        <w:tabs>
          <w:tab w:leader="none" w:pos="11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1400" w:right="40" w:hanging="249"/>
        <w:spacing w:after="0" w:line="267" w:lineRule="auto"/>
        <w:tabs>
          <w:tab w:leader="none" w:pos="13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4"/>
          <w:szCs w:val="14"/>
          <w:color w:val="auto"/>
        </w:rPr>
      </w:pPr>
    </w:p>
    <w:p>
      <w:pPr>
        <w:jc w:val="both"/>
        <w:ind w:left="1400" w:right="200" w:hanging="249"/>
        <w:spacing w:after="0" w:line="267" w:lineRule="auto"/>
        <w:tabs>
          <w:tab w:leader="none" w:pos="1400"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4"/>
          <w:szCs w:val="14"/>
          <w:color w:val="auto"/>
        </w:rPr>
      </w:pPr>
    </w:p>
    <w:p>
      <w:pPr>
        <w:ind w:left="1400" w:right="60" w:hanging="249"/>
        <w:spacing w:after="0" w:line="281" w:lineRule="auto"/>
        <w:tabs>
          <w:tab w:leader="none" w:pos="13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4"/>
          <w:szCs w:val="14"/>
          <w:color w:val="auto"/>
        </w:rPr>
      </w:pPr>
    </w:p>
    <w:p>
      <w:pPr>
        <w:ind w:left="1400" w:right="180" w:hanging="249"/>
        <w:spacing w:after="0" w:line="267" w:lineRule="auto"/>
        <w:tabs>
          <w:tab w:leader="none" w:pos="1400" w:val="left"/>
        </w:tabs>
        <w:numPr>
          <w:ilvl w:val="1"/>
          <w:numId w:val="4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4"/>
          <w:szCs w:val="14"/>
          <w:color w:val="auto"/>
        </w:rPr>
      </w:pPr>
    </w:p>
    <w:p>
      <w:pPr>
        <w:ind w:left="1160" w:right="60" w:hanging="264"/>
        <w:spacing w:after="0" w:line="281" w:lineRule="auto"/>
        <w:tabs>
          <w:tab w:leader="none" w:pos="11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4"/>
          <w:szCs w:val="14"/>
          <w:color w:val="auto"/>
        </w:rPr>
      </w:pPr>
    </w:p>
    <w:p>
      <w:pPr>
        <w:ind w:left="1400" w:right="180" w:hanging="249"/>
        <w:spacing w:after="0" w:line="281" w:lineRule="auto"/>
        <w:tabs>
          <w:tab w:leader="none" w:pos="13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4"/>
          <w:szCs w:val="14"/>
          <w:color w:val="auto"/>
        </w:rPr>
      </w:pPr>
    </w:p>
    <w:p>
      <w:pPr>
        <w:ind w:left="1400" w:hanging="249"/>
        <w:spacing w:after="0"/>
        <w:tabs>
          <w:tab w:leader="none" w:pos="1400" w:val="left"/>
        </w:tabs>
        <w:numPr>
          <w:ilvl w:val="1"/>
          <w:numId w:val="4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020" w:type="dxa"/>
            <w:vAlign w:val="bottom"/>
          </w:tcPr>
          <w:p>
            <w:pPr>
              <w:spacing w:after="0"/>
              <w:rPr>
                <w:sz w:val="20"/>
                <w:szCs w:val="20"/>
                <w:color w:val="auto"/>
              </w:rPr>
            </w:pPr>
            <w:r>
              <w:rPr>
                <w:rFonts w:ascii="Arial" w:cs="Arial" w:eastAsia="Arial" w:hAnsi="Arial"/>
                <w:sz w:val="14"/>
                <w:szCs w:val="14"/>
                <w:color w:val="auto"/>
              </w:rPr>
              <w:t>Date: August 5, 2022</w:t>
            </w:r>
          </w:p>
        </w:tc>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Jon P. Stonehouse</w:t>
            </w:r>
          </w:p>
        </w:tc>
      </w:tr>
      <w:tr>
        <w:trPr>
          <w:trHeight w:val="171"/>
        </w:trPr>
        <w:tc>
          <w:tcPr>
            <w:tcW w:w="60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Jon P. Stonehouse</w:t>
            </w:r>
          </w:p>
        </w:tc>
      </w:tr>
      <w:tr>
        <w:trPr>
          <w:trHeight w:val="180"/>
        </w:trPr>
        <w:tc>
          <w:tcPr>
            <w:tcW w:w="60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bl>
    <w:p>
      <w:pPr>
        <w:sectPr>
          <w:pgSz w:w="11900" w:h="16838" w:orient="portrait"/>
          <w:cols w:equalWidth="0" w:num="1">
            <w:col w:w="11280"/>
          </w:cols>
          <w:pgMar w:left="300" w:top="899" w:right="31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b w:val="1"/>
          <w:bCs w:val="1"/>
          <w:color w:val="auto"/>
        </w:rPr>
        <w:t>Exhibit 31.2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Anthony Doyle, certify that:</w:t>
      </w:r>
    </w:p>
    <w:p>
      <w:pPr>
        <w:spacing w:after="0" w:line="147" w:lineRule="exact"/>
        <w:rPr>
          <w:sz w:val="20"/>
          <w:szCs w:val="20"/>
          <w:color w:val="auto"/>
        </w:rPr>
      </w:pPr>
    </w:p>
    <w:p>
      <w:pPr>
        <w:ind w:left="1160" w:hanging="264"/>
        <w:spacing w:after="0"/>
        <w:tabs>
          <w:tab w:leader="none" w:pos="11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BioCryst Pharmaceuticals, Inc.;</w:t>
      </w:r>
    </w:p>
    <w:p>
      <w:pPr>
        <w:spacing w:after="0" w:line="157" w:lineRule="exact"/>
        <w:rPr>
          <w:rFonts w:ascii="Arial" w:cs="Arial" w:eastAsia="Arial" w:hAnsi="Arial"/>
          <w:sz w:val="14"/>
          <w:szCs w:val="14"/>
          <w:color w:val="auto"/>
        </w:rPr>
      </w:pPr>
    </w:p>
    <w:p>
      <w:pPr>
        <w:ind w:left="1160" w:right="100" w:hanging="264"/>
        <w:spacing w:after="0" w:line="281" w:lineRule="auto"/>
        <w:tabs>
          <w:tab w:leader="none" w:pos="11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4"/>
          <w:szCs w:val="14"/>
          <w:color w:val="auto"/>
        </w:rPr>
      </w:pPr>
    </w:p>
    <w:p>
      <w:pPr>
        <w:ind w:left="1160" w:right="180" w:hanging="264"/>
        <w:spacing w:after="0" w:line="281" w:lineRule="auto"/>
        <w:tabs>
          <w:tab w:leader="none" w:pos="11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4"/>
          <w:szCs w:val="14"/>
          <w:color w:val="auto"/>
        </w:rPr>
      </w:pPr>
    </w:p>
    <w:p>
      <w:pPr>
        <w:ind w:left="1160" w:right="140" w:hanging="264"/>
        <w:spacing w:after="0" w:line="321" w:lineRule="auto"/>
        <w:tabs>
          <w:tab w:leader="none" w:pos="11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1400" w:right="40" w:hanging="249"/>
        <w:spacing w:after="0" w:line="267" w:lineRule="auto"/>
        <w:tabs>
          <w:tab w:leader="none" w:pos="13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4"/>
          <w:szCs w:val="14"/>
          <w:color w:val="auto"/>
        </w:rPr>
      </w:pPr>
    </w:p>
    <w:p>
      <w:pPr>
        <w:jc w:val="both"/>
        <w:ind w:left="1400" w:right="200" w:hanging="249"/>
        <w:spacing w:after="0" w:line="267" w:lineRule="auto"/>
        <w:tabs>
          <w:tab w:leader="none" w:pos="1400"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4"/>
          <w:szCs w:val="14"/>
          <w:color w:val="auto"/>
        </w:rPr>
      </w:pPr>
    </w:p>
    <w:p>
      <w:pPr>
        <w:ind w:left="1400" w:right="60" w:hanging="249"/>
        <w:spacing w:after="0" w:line="281" w:lineRule="auto"/>
        <w:tabs>
          <w:tab w:leader="none" w:pos="13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4"/>
          <w:szCs w:val="14"/>
          <w:color w:val="auto"/>
        </w:rPr>
      </w:pPr>
    </w:p>
    <w:p>
      <w:pPr>
        <w:ind w:left="1400" w:right="180" w:hanging="249"/>
        <w:spacing w:after="0" w:line="267" w:lineRule="auto"/>
        <w:tabs>
          <w:tab w:leader="none" w:pos="1400" w:val="left"/>
        </w:tabs>
        <w:numPr>
          <w:ilvl w:val="1"/>
          <w:numId w:val="4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4"/>
          <w:szCs w:val="14"/>
          <w:color w:val="auto"/>
        </w:rPr>
      </w:pPr>
    </w:p>
    <w:p>
      <w:pPr>
        <w:ind w:left="1160" w:right="60" w:hanging="264"/>
        <w:spacing w:after="0" w:line="281" w:lineRule="auto"/>
        <w:tabs>
          <w:tab w:leader="none" w:pos="11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4"/>
          <w:szCs w:val="14"/>
          <w:color w:val="auto"/>
        </w:rPr>
      </w:pPr>
    </w:p>
    <w:p>
      <w:pPr>
        <w:ind w:left="1400" w:right="180" w:hanging="249"/>
        <w:spacing w:after="0" w:line="281" w:lineRule="auto"/>
        <w:tabs>
          <w:tab w:leader="none" w:pos="13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4"/>
          <w:szCs w:val="14"/>
          <w:color w:val="auto"/>
        </w:rPr>
      </w:pPr>
    </w:p>
    <w:p>
      <w:pPr>
        <w:ind w:left="1400" w:hanging="249"/>
        <w:spacing w:after="0"/>
        <w:tabs>
          <w:tab w:leader="none" w:pos="1400" w:val="left"/>
        </w:tabs>
        <w:numPr>
          <w:ilvl w:val="1"/>
          <w:numId w:val="4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020" w:type="dxa"/>
            <w:vAlign w:val="bottom"/>
          </w:tcPr>
          <w:p>
            <w:pPr>
              <w:spacing w:after="0"/>
              <w:rPr>
                <w:sz w:val="20"/>
                <w:szCs w:val="20"/>
                <w:color w:val="auto"/>
              </w:rPr>
            </w:pPr>
            <w:r>
              <w:rPr>
                <w:rFonts w:ascii="Arial" w:cs="Arial" w:eastAsia="Arial" w:hAnsi="Arial"/>
                <w:sz w:val="14"/>
                <w:szCs w:val="14"/>
                <w:color w:val="auto"/>
              </w:rPr>
              <w:t>Date: August 5, 2022</w:t>
            </w:r>
          </w:p>
        </w:tc>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Anthony Doyle</w:t>
            </w:r>
          </w:p>
        </w:tc>
      </w:tr>
      <w:tr>
        <w:trPr>
          <w:trHeight w:val="171"/>
        </w:trPr>
        <w:tc>
          <w:tcPr>
            <w:tcW w:w="60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Anthony Doyle</w:t>
            </w:r>
          </w:p>
        </w:tc>
      </w:tr>
      <w:tr>
        <w:trPr>
          <w:trHeight w:val="180"/>
        </w:trPr>
        <w:tc>
          <w:tcPr>
            <w:tcW w:w="60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80"/>
          </w:cols>
          <w:pgMar w:left="300" w:top="899" w:right="31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t>Exhibit 32.1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36"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In connection with the Quarterly Report of BioCryst Pharmaceuticals, Inc. (the “Company”) on Form 10-Q for the period ended June 30, 2022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10" w:lineRule="exact"/>
        <w:rPr>
          <w:sz w:val="20"/>
          <w:szCs w:val="20"/>
          <w:color w:val="auto"/>
        </w:rPr>
      </w:pPr>
    </w:p>
    <w:p>
      <w:pPr>
        <w:ind w:left="500" w:hanging="240"/>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57" w:lineRule="exact"/>
        <w:rPr>
          <w:rFonts w:ascii="Arial" w:cs="Arial" w:eastAsia="Arial" w:hAnsi="Arial"/>
          <w:sz w:val="14"/>
          <w:szCs w:val="14"/>
          <w:color w:val="auto"/>
        </w:rPr>
      </w:pPr>
    </w:p>
    <w:p>
      <w:pPr>
        <w:ind w:left="500" w:hanging="240"/>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8394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Jon P. Stonehouse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President and Chief Executive Officer</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August 5, 2022</w:t>
      </w:r>
    </w:p>
    <w:p>
      <w:pPr>
        <w:sectPr>
          <w:pgSz w:w="11900" w:h="16838" w:orient="portrait"/>
          <w:cols w:equalWidth="0" w:num="1">
            <w:col w:w="11280"/>
          </w:cols>
          <w:pgMar w:left="300" w:top="899" w:right="31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b w:val="1"/>
          <w:bCs w:val="1"/>
          <w:color w:val="auto"/>
        </w:rPr>
        <w:t>Exhibit 32.2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36" w:lineRule="exact"/>
        <w:rPr>
          <w:sz w:val="20"/>
          <w:szCs w:val="20"/>
          <w:color w:val="auto"/>
        </w:rPr>
      </w:pPr>
    </w:p>
    <w:p>
      <w:pPr>
        <w:jc w:val="both"/>
        <w:ind w:right="80"/>
        <w:spacing w:after="0" w:line="267" w:lineRule="auto"/>
        <w:rPr>
          <w:sz w:val="20"/>
          <w:szCs w:val="20"/>
          <w:color w:val="auto"/>
        </w:rPr>
      </w:pPr>
      <w:r>
        <w:rPr>
          <w:rFonts w:ascii="Arial" w:cs="Arial" w:eastAsia="Arial" w:hAnsi="Arial"/>
          <w:sz w:val="14"/>
          <w:szCs w:val="14"/>
          <w:color w:val="auto"/>
        </w:rPr>
        <w:t>In connection with the Quarterly Report of BioCryst Pharmaceuticals, Inc. (the “Company”) on Form 10-Q for the period ended June 30, 2022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spacing w:after="0" w:line="110" w:lineRule="exact"/>
        <w:rPr>
          <w:sz w:val="20"/>
          <w:szCs w:val="20"/>
          <w:color w:val="auto"/>
        </w:rPr>
      </w:pPr>
    </w:p>
    <w:p>
      <w:pPr>
        <w:ind w:left="500" w:hanging="240"/>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57" w:lineRule="exact"/>
        <w:rPr>
          <w:rFonts w:ascii="Arial" w:cs="Arial" w:eastAsia="Arial" w:hAnsi="Arial"/>
          <w:sz w:val="14"/>
          <w:szCs w:val="14"/>
          <w:color w:val="auto"/>
        </w:rPr>
      </w:pPr>
    </w:p>
    <w:p>
      <w:pPr>
        <w:ind w:left="500" w:hanging="240"/>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8394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Anthony Doyle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Financial Officer</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August 5, 2022</w:t>
      </w:r>
    </w:p>
    <w:sectPr>
      <w:pgSz w:w="11900" w:h="16838" w:orient="portrait"/>
      <w:cols w:equalWidth="0" w:num="1">
        <w:col w:w="11280"/>
      </w:cols>
      <w:pgMar w:left="300" w:top="8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lowerRoman"/>
      <w:start w:val="1"/>
    </w:lvl>
  </w:abstractNum>
  <w:abstractNum w:abstractNumId="33">
    <w:nsid w:val="6A2342EC"/>
    <w:multiLevelType w:val="hybridMultilevel"/>
    <w:lvl w:ilvl="0">
      <w:lvlJc w:val="left"/>
      <w:lvlText w:val="%1."/>
      <w:numFmt w:val="upperLetter"/>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6">
    <w:nsid w:val="725A06F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7">
    <w:nsid w:val="2CD89A32"/>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38">
    <w:nsid w:val="57E4CCAF"/>
    <w:multiLevelType w:val="hybridMultilevel"/>
    <w:lvl w:ilvl="0">
      <w:lvlJc w:val="left"/>
      <w:lvlText w:val="%1"/>
      <w:numFmt w:val="decimal"/>
      <w:start w:val="1"/>
    </w:lvl>
    <w:lvl w:ilvl="1">
      <w:lvlJc w:val="left"/>
      <w:lvlText w:val="(%2)"/>
      <w:numFmt w:val="lowerLetter"/>
      <w:start w:val="2"/>
    </w:lvl>
  </w:abstractNum>
  <w:abstractNum w:abstractNumId="39">
    <w:nsid w:val="7A6D8D3C"/>
    <w:multiLevelType w:val="hybridMultilevel"/>
    <w:lvl w:ilvl="0">
      <w:lvlJc w:val="left"/>
      <w:lvlText w:val="%1."/>
      <w:numFmt w:val="decimal"/>
      <w:start w:val="13"/>
    </w:lvl>
    <w:lvl w:ilvl="1">
      <w:lvlJc w:val="left"/>
      <w:lvlText w:val="%2"/>
      <w:numFmt w:val="lowerLetter"/>
      <w:start w:val="1"/>
    </w:lvl>
  </w:abstractNum>
  <w:abstractNum w:abstractNumId="40">
    <w:nsid w:val="4B588F54"/>
    <w:multiLevelType w:val="hybridMultilevel"/>
    <w:lvl w:ilvl="0">
      <w:lvlJc w:val="left"/>
      <w:lvlText w:val="%1."/>
      <w:numFmt w:val="upperLetter"/>
      <w:start w:val="1"/>
    </w:lvl>
  </w:abstractNum>
  <w:abstractNum w:abstractNumId="41">
    <w:nsid w:val="542289EC"/>
    <w:multiLevelType w:val="hybridMultilevel"/>
    <w:lvl w:ilvl="0">
      <w:lvlJc w:val="left"/>
      <w:lvlText w:val="%1."/>
      <w:numFmt w:val="decimal"/>
      <w:start w:val="1"/>
    </w:lvl>
    <w:lvl w:ilvl="1">
      <w:lvlJc w:val="left"/>
      <w:lvlText w:val="(%2)"/>
      <w:numFmt w:val="lowerLetter"/>
      <w:start w:val="1"/>
    </w:lvl>
  </w:abstractNum>
  <w:abstractNum w:abstractNumId="42">
    <w:nsid w:val="6DE91B18"/>
    <w:multiLevelType w:val="hybridMultilevel"/>
    <w:lvl w:ilvl="0">
      <w:lvlJc w:val="left"/>
      <w:lvlText w:val="%1."/>
      <w:numFmt w:val="decimal"/>
      <w:start w:val="4"/>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decimal"/>
      <w:start w:val="6"/>
    </w:lvl>
  </w:abstractNum>
  <w:abstractNum w:abstractNumId="45">
    <w:nsid w:val="32FFF902"/>
    <w:multiLevelType w:val="hybridMultilevel"/>
    <w:lvl w:ilvl="0">
      <w:lvlJc w:val="left"/>
      <w:lvlText w:val="%1."/>
      <w:numFmt w:val="decimal"/>
      <w:start w:val="7"/>
    </w:lvl>
    <w:lvl w:ilvl="1">
      <w:lvlJc w:val="left"/>
      <w:lvlText w:val="(%2)"/>
      <w:numFmt w:val="lowerLetter"/>
      <w:start w:val="1"/>
    </w:lvl>
  </w:abstractNum>
  <w:abstractNum w:abstractNumId="46">
    <w:nsid w:val="684A481A"/>
    <w:multiLevelType w:val="hybridMultilevel"/>
    <w:lvl w:ilvl="0">
      <w:lvlJc w:val="left"/>
      <w:lvlText w:val="(%1)"/>
      <w:numFmt w:val="lowerLetter"/>
      <w:start w:val="5"/>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89" Type="http://schemas.openxmlformats.org/officeDocument/2006/relationships/hyperlink" Target="http://www.sec.gov/Archives/edgar/data/882796/000103570406000836/d42297exv3w1.htm" TargetMode="External"/><Relationship Id="rId90" Type="http://schemas.openxmlformats.org/officeDocument/2006/relationships/hyperlink" Target="http://www.sec.gov/Archives/edgar/data/882796/000136231007001386/c70813exv3w1.htm" TargetMode="External"/><Relationship Id="rId91" Type="http://schemas.openxmlformats.org/officeDocument/2006/relationships/hyperlink" Target="http://www.sec.gov/Archives/edgar/data/882796/000119312514186707/d722313dex31.htm" TargetMode="External"/><Relationship Id="rId92" Type="http://schemas.openxmlformats.org/officeDocument/2006/relationships/hyperlink" Target="http://www.sec.gov/Archives/edgar/data/882796/000117184320003680/exh_31.htm" TargetMode="External"/><Relationship Id="rId93" Type="http://schemas.openxmlformats.org/officeDocument/2006/relationships/hyperlink" Target="http://www.sec.gov/Archives/edgar/data/882796/000117184320003680/exh_32.htm" TargetMode="External"/><Relationship Id="rId94" Type="http://schemas.openxmlformats.org/officeDocument/2006/relationships/hyperlink" Target="http://www.sec.gov/Archives/edgar/data/882796/000136231008006580/c76716exv3w2.htm" TargetMode="External"/><Relationship Id="rId95" Type="http://schemas.openxmlformats.org/officeDocument/2006/relationships/hyperlink" Target="http://www.sec.gov/Archives/edgar/data/882796/000110465918003194/a18-3548_1ex3d1.htm#Exhibit3_1_084143" TargetMode="External"/><Relationship Id="rId96" Type="http://schemas.openxmlformats.org/officeDocument/2006/relationships/hyperlink" Target="https://www.sec.gov/Archives/edgar/data/0000882796/000117184322004206/exh_101.htm" TargetMode="External"/><Relationship Id="rId97" Type="http://schemas.openxmlformats.org/officeDocument/2006/relationships/hyperlink" Target="https://www.sec.gov/Archives/edgar/data/882796/000117184322004206/exh_101.htm" TargetMode="External"/><Relationship Id="rId98" Type="http://schemas.openxmlformats.org/officeDocument/2006/relationships/hyperlink" Target="https://www.sec.gov/Archives/edgar/data/882796/000117184322003423/ex_37128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2022-08-05T15:36:23Z</dcterms:created>
  <dcterms:modified xsi:type="dcterms:W3CDTF">2022-08-05T15:36:23Z</dcterms:modified>
</cp:coreProperties>
</file>