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4" w:lineRule="exact"/>
        <w:rPr>
          <w:sz w:val="24"/>
          <w:szCs w:val="24"/>
          <w:color w:val="auto"/>
        </w:rPr>
      </w:pPr>
    </w:p>
    <w:p>
      <w:pPr>
        <w:ind w:right="2460" w:firstLine="7"/>
        <w:spacing w:after="0" w:line="495" w:lineRule="auto"/>
        <w:tabs>
          <w:tab w:leader="none" w:pos="20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2021</w:t>
      </w:r>
    </w:p>
    <w:p>
      <w:pPr>
        <w:jc w:val="center"/>
        <w:spacing w:after="0"/>
        <w:rPr>
          <w:sz w:val="20"/>
          <w:szCs w:val="20"/>
          <w:color w:val="auto"/>
        </w:rPr>
      </w:pPr>
      <w:r>
        <w:rPr>
          <w:rFonts w:ascii="Arial" w:cs="Arial" w:eastAsia="Arial" w:hAnsi="Arial"/>
          <w:sz w:val="18"/>
          <w:szCs w:val="18"/>
          <w:color w:val="auto"/>
        </w:rPr>
        <w:t>or</w:t>
      </w:r>
    </w:p>
    <w:p>
      <w:pPr>
        <w:spacing w:after="0" w:line="220" w:lineRule="exact"/>
        <w:rPr>
          <w:sz w:val="24"/>
          <w:szCs w:val="24"/>
          <w:color w:val="auto"/>
        </w:rPr>
      </w:pPr>
    </w:p>
    <w:p>
      <w:pPr>
        <w:ind w:right="2440" w:firstLine="7"/>
        <w:spacing w:after="0" w:line="492" w:lineRule="auto"/>
        <w:tabs>
          <w:tab w:leader="none" w:pos="20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______________________ to ______________________</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80" w:type="dxa"/>
            <w:vAlign w:val="bottom"/>
            <w:gridSpan w:val="3"/>
          </w:tcPr>
          <w:p>
            <w:pPr>
              <w:jc w:val="center"/>
              <w:ind w:right="2571"/>
              <w:spacing w:after="0"/>
              <w:rPr>
                <w:sz w:val="20"/>
                <w:szCs w:val="20"/>
                <w:color w:val="auto"/>
              </w:rPr>
            </w:pPr>
            <w:r>
              <w:rPr>
                <w:rFonts w:ascii="Arial" w:cs="Arial" w:eastAsia="Arial" w:hAnsi="Arial"/>
                <w:sz w:val="18"/>
                <w:szCs w:val="18"/>
                <w:b w:val="1"/>
                <w:bCs w:val="1"/>
                <w:color w:val="auto"/>
                <w:w w:val="89"/>
              </w:rPr>
              <w:t>Commission File Number 000-23186</w:t>
            </w:r>
          </w:p>
        </w:tc>
      </w:tr>
      <w:tr>
        <w:trPr>
          <w:trHeight w:val="414"/>
        </w:trPr>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80" w:type="dxa"/>
            <w:vAlign w:val="bottom"/>
            <w:gridSpan w:val="3"/>
          </w:tcPr>
          <w:p>
            <w:pPr>
              <w:jc w:val="center"/>
              <w:ind w:right="2551"/>
              <w:spacing w:after="0"/>
              <w:rPr>
                <w:sz w:val="20"/>
                <w:szCs w:val="20"/>
                <w:color w:val="auto"/>
              </w:rPr>
            </w:pPr>
            <w:r>
              <w:rPr>
                <w:rFonts w:ascii="Arial" w:cs="Arial" w:eastAsia="Arial" w:hAnsi="Arial"/>
                <w:sz w:val="18"/>
                <w:szCs w:val="18"/>
                <w:b w:val="1"/>
                <w:bCs w:val="1"/>
                <w:color w:val="auto"/>
                <w:w w:val="99"/>
              </w:rPr>
              <w:t>BIOCRYST PHARMACEUTICALS, INC.</w:t>
            </w:r>
          </w:p>
        </w:tc>
      </w:tr>
      <w:tr>
        <w:trPr>
          <w:trHeight w:val="226"/>
        </w:trPr>
        <w:tc>
          <w:tcPr>
            <w:tcW w:w="2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580" w:type="dxa"/>
            <w:vAlign w:val="bottom"/>
            <w:gridSpan w:val="3"/>
          </w:tcPr>
          <w:p>
            <w:pPr>
              <w:jc w:val="center"/>
              <w:ind w:right="2571"/>
              <w:spacing w:after="0"/>
              <w:rPr>
                <w:sz w:val="20"/>
                <w:szCs w:val="20"/>
                <w:color w:val="auto"/>
              </w:rPr>
            </w:pPr>
            <w:r>
              <w:rPr>
                <w:rFonts w:ascii="Arial" w:cs="Arial" w:eastAsia="Arial" w:hAnsi="Arial"/>
                <w:sz w:val="18"/>
                <w:szCs w:val="18"/>
                <w:color w:val="auto"/>
                <w:w w:val="89"/>
              </w:rPr>
              <w:t>(Exact name of registrant as specified in its charter)</w:t>
            </w:r>
          </w:p>
        </w:tc>
      </w:tr>
      <w:tr>
        <w:trPr>
          <w:trHeight w:val="414"/>
        </w:trPr>
        <w:tc>
          <w:tcPr>
            <w:tcW w:w="2220" w:type="dxa"/>
            <w:vAlign w:val="bottom"/>
          </w:tcPr>
          <w:p>
            <w:pPr>
              <w:spacing w:after="0"/>
              <w:rPr>
                <w:sz w:val="24"/>
                <w:szCs w:val="24"/>
                <w:color w:val="auto"/>
              </w:rPr>
            </w:pPr>
          </w:p>
        </w:tc>
        <w:tc>
          <w:tcPr>
            <w:tcW w:w="2580" w:type="dxa"/>
            <w:vAlign w:val="bottom"/>
            <w:gridSpan w:val="2"/>
          </w:tcPr>
          <w:p>
            <w:pPr>
              <w:jc w:val="center"/>
              <w:ind w:right="1291"/>
              <w:spacing w:after="0"/>
              <w:rPr>
                <w:sz w:val="20"/>
                <w:szCs w:val="20"/>
                <w:color w:val="auto"/>
              </w:rPr>
            </w:pPr>
            <w:r>
              <w:rPr>
                <w:rFonts w:ascii="Arial" w:cs="Arial" w:eastAsia="Arial" w:hAnsi="Arial"/>
                <w:sz w:val="18"/>
                <w:szCs w:val="18"/>
                <w:b w:val="1"/>
                <w:bCs w:val="1"/>
                <w:color w:val="auto"/>
                <w:w w:val="91"/>
              </w:rPr>
              <w:t>Delaware</w:t>
            </w:r>
          </w:p>
        </w:tc>
        <w:tc>
          <w:tcPr>
            <w:tcW w:w="6440" w:type="dxa"/>
            <w:vAlign w:val="bottom"/>
            <w:gridSpan w:val="2"/>
          </w:tcPr>
          <w:p>
            <w:pPr>
              <w:jc w:val="right"/>
              <w:ind w:right="2291"/>
              <w:spacing w:after="0"/>
              <w:rPr>
                <w:sz w:val="20"/>
                <w:szCs w:val="20"/>
                <w:color w:val="auto"/>
              </w:rPr>
            </w:pPr>
            <w:r>
              <w:rPr>
                <w:rFonts w:ascii="Arial" w:cs="Arial" w:eastAsia="Arial" w:hAnsi="Arial"/>
                <w:sz w:val="18"/>
                <w:szCs w:val="18"/>
                <w:b w:val="1"/>
                <w:bCs w:val="1"/>
                <w:color w:val="auto"/>
              </w:rPr>
              <w:t>62-1413174</w:t>
            </w:r>
          </w:p>
        </w:tc>
      </w:tr>
      <w:tr>
        <w:trPr>
          <w:trHeight w:val="213"/>
        </w:trPr>
        <w:tc>
          <w:tcPr>
            <w:tcW w:w="4800" w:type="dxa"/>
            <w:vAlign w:val="bottom"/>
            <w:gridSpan w:val="3"/>
          </w:tcPr>
          <w:p>
            <w:pPr>
              <w:jc w:val="center"/>
              <w:ind w:left="731"/>
              <w:spacing w:after="0"/>
              <w:rPr>
                <w:sz w:val="20"/>
                <w:szCs w:val="20"/>
                <w:color w:val="auto"/>
              </w:rPr>
            </w:pPr>
            <w:r>
              <w:rPr>
                <w:rFonts w:ascii="Arial" w:cs="Arial" w:eastAsia="Arial" w:hAnsi="Arial"/>
                <w:sz w:val="18"/>
                <w:szCs w:val="18"/>
                <w:color w:val="auto"/>
                <w:w w:val="91"/>
              </w:rPr>
              <w:t>(State or other jurisdiction of</w:t>
            </w:r>
          </w:p>
        </w:tc>
        <w:tc>
          <w:tcPr>
            <w:tcW w:w="420" w:type="dxa"/>
            <w:vAlign w:val="bottom"/>
          </w:tcPr>
          <w:p>
            <w:pPr>
              <w:spacing w:after="0"/>
              <w:rPr>
                <w:sz w:val="18"/>
                <w:szCs w:val="18"/>
                <w:color w:val="auto"/>
              </w:rPr>
            </w:pPr>
          </w:p>
        </w:tc>
        <w:tc>
          <w:tcPr>
            <w:tcW w:w="6020" w:type="dxa"/>
            <w:vAlign w:val="bottom"/>
          </w:tcPr>
          <w:p>
            <w:pPr>
              <w:jc w:val="center"/>
              <w:ind w:left="311"/>
              <w:spacing w:after="0"/>
              <w:rPr>
                <w:sz w:val="20"/>
                <w:szCs w:val="20"/>
                <w:color w:val="auto"/>
              </w:rPr>
            </w:pPr>
            <w:r>
              <w:rPr>
                <w:rFonts w:ascii="Arial" w:cs="Arial" w:eastAsia="Arial" w:hAnsi="Arial"/>
                <w:sz w:val="18"/>
                <w:szCs w:val="18"/>
                <w:color w:val="auto"/>
                <w:w w:val="92"/>
              </w:rPr>
              <w:t>(I.R.S. Employer</w:t>
            </w:r>
          </w:p>
        </w:tc>
      </w:tr>
      <w:tr>
        <w:trPr>
          <w:trHeight w:val="226"/>
        </w:trPr>
        <w:tc>
          <w:tcPr>
            <w:tcW w:w="4800" w:type="dxa"/>
            <w:vAlign w:val="bottom"/>
            <w:gridSpan w:val="3"/>
          </w:tcPr>
          <w:p>
            <w:pPr>
              <w:jc w:val="center"/>
              <w:ind w:left="731"/>
              <w:spacing w:after="0"/>
              <w:rPr>
                <w:sz w:val="20"/>
                <w:szCs w:val="20"/>
                <w:color w:val="auto"/>
              </w:rPr>
            </w:pPr>
            <w:r>
              <w:rPr>
                <w:rFonts w:ascii="Arial" w:cs="Arial" w:eastAsia="Arial" w:hAnsi="Arial"/>
                <w:sz w:val="18"/>
                <w:szCs w:val="18"/>
                <w:color w:val="auto"/>
                <w:w w:val="91"/>
              </w:rPr>
              <w:t>incorporation or organization)</w:t>
            </w:r>
          </w:p>
        </w:tc>
        <w:tc>
          <w:tcPr>
            <w:tcW w:w="420" w:type="dxa"/>
            <w:vAlign w:val="bottom"/>
          </w:tcPr>
          <w:p>
            <w:pPr>
              <w:spacing w:after="0"/>
              <w:rPr>
                <w:sz w:val="19"/>
                <w:szCs w:val="19"/>
                <w:color w:val="auto"/>
              </w:rPr>
            </w:pPr>
          </w:p>
        </w:tc>
        <w:tc>
          <w:tcPr>
            <w:tcW w:w="6020" w:type="dxa"/>
            <w:vAlign w:val="bottom"/>
          </w:tcPr>
          <w:p>
            <w:pPr>
              <w:jc w:val="center"/>
              <w:ind w:left="331"/>
              <w:spacing w:after="0"/>
              <w:rPr>
                <w:sz w:val="20"/>
                <w:szCs w:val="20"/>
                <w:color w:val="auto"/>
              </w:rPr>
            </w:pPr>
            <w:r>
              <w:rPr>
                <w:rFonts w:ascii="Arial" w:cs="Arial" w:eastAsia="Arial" w:hAnsi="Arial"/>
                <w:sz w:val="18"/>
                <w:szCs w:val="18"/>
                <w:color w:val="auto"/>
                <w:w w:val="94"/>
              </w:rPr>
              <w:t>Identification No.)</w:t>
            </w:r>
          </w:p>
        </w:tc>
      </w:tr>
      <w:tr>
        <w:trPr>
          <w:trHeight w:val="410"/>
        </w:trPr>
        <w:tc>
          <w:tcPr>
            <w:tcW w:w="4800" w:type="dxa"/>
            <w:vAlign w:val="bottom"/>
            <w:gridSpan w:val="3"/>
          </w:tcPr>
          <w:p>
            <w:pPr>
              <w:jc w:val="center"/>
              <w:ind w:left="751"/>
              <w:spacing w:after="0"/>
              <w:rPr>
                <w:sz w:val="20"/>
                <w:szCs w:val="20"/>
                <w:color w:val="auto"/>
              </w:rPr>
            </w:pPr>
            <w:r>
              <w:rPr>
                <w:rFonts w:ascii="Arial" w:cs="Arial" w:eastAsia="Arial" w:hAnsi="Arial"/>
                <w:sz w:val="18"/>
                <w:szCs w:val="18"/>
                <w:b w:val="1"/>
                <w:bCs w:val="1"/>
                <w:color w:val="auto"/>
                <w:w w:val="90"/>
              </w:rPr>
              <w:t>4505 Emperor Blvd., Suite 200</w:t>
            </w:r>
          </w:p>
        </w:tc>
        <w:tc>
          <w:tcPr>
            <w:tcW w:w="42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217"/>
        </w:trPr>
        <w:tc>
          <w:tcPr>
            <w:tcW w:w="4800" w:type="dxa"/>
            <w:vAlign w:val="bottom"/>
            <w:gridSpan w:val="3"/>
          </w:tcPr>
          <w:p>
            <w:pPr>
              <w:jc w:val="center"/>
              <w:ind w:left="731"/>
              <w:spacing w:after="0"/>
              <w:rPr>
                <w:sz w:val="20"/>
                <w:szCs w:val="20"/>
                <w:color w:val="auto"/>
              </w:rPr>
            </w:pPr>
            <w:r>
              <w:rPr>
                <w:rFonts w:ascii="Arial" w:cs="Arial" w:eastAsia="Arial" w:hAnsi="Arial"/>
                <w:sz w:val="18"/>
                <w:szCs w:val="18"/>
                <w:b w:val="1"/>
                <w:bCs w:val="1"/>
                <w:color w:val="auto"/>
                <w:w w:val="93"/>
              </w:rPr>
              <w:t>Durham, North Carolina</w:t>
            </w:r>
          </w:p>
        </w:tc>
        <w:tc>
          <w:tcPr>
            <w:tcW w:w="6440" w:type="dxa"/>
            <w:vAlign w:val="bottom"/>
            <w:gridSpan w:val="2"/>
          </w:tcPr>
          <w:p>
            <w:pPr>
              <w:jc w:val="right"/>
              <w:ind w:right="2491"/>
              <w:spacing w:after="0"/>
              <w:rPr>
                <w:sz w:val="20"/>
                <w:szCs w:val="20"/>
                <w:color w:val="auto"/>
              </w:rPr>
            </w:pPr>
            <w:r>
              <w:rPr>
                <w:rFonts w:ascii="Arial" w:cs="Arial" w:eastAsia="Arial" w:hAnsi="Arial"/>
                <w:sz w:val="18"/>
                <w:szCs w:val="18"/>
                <w:b w:val="1"/>
                <w:bCs w:val="1"/>
                <w:color w:val="auto"/>
              </w:rPr>
              <w:t>27703</w:t>
            </w:r>
          </w:p>
        </w:tc>
      </w:tr>
      <w:tr>
        <w:trPr>
          <w:trHeight w:val="226"/>
        </w:trPr>
        <w:tc>
          <w:tcPr>
            <w:tcW w:w="4800" w:type="dxa"/>
            <w:vAlign w:val="bottom"/>
            <w:gridSpan w:val="3"/>
          </w:tcPr>
          <w:p>
            <w:pPr>
              <w:jc w:val="center"/>
              <w:ind w:left="731"/>
              <w:spacing w:after="0"/>
              <w:rPr>
                <w:sz w:val="20"/>
                <w:szCs w:val="20"/>
                <w:color w:val="auto"/>
              </w:rPr>
            </w:pPr>
            <w:r>
              <w:rPr>
                <w:rFonts w:ascii="Arial" w:cs="Arial" w:eastAsia="Arial" w:hAnsi="Arial"/>
                <w:sz w:val="18"/>
                <w:szCs w:val="18"/>
                <w:color w:val="auto"/>
                <w:w w:val="91"/>
              </w:rPr>
              <w:t>(Address of principal executive offices)</w:t>
            </w:r>
          </w:p>
        </w:tc>
        <w:tc>
          <w:tcPr>
            <w:tcW w:w="420" w:type="dxa"/>
            <w:vAlign w:val="bottom"/>
          </w:tcPr>
          <w:p>
            <w:pPr>
              <w:spacing w:after="0"/>
              <w:rPr>
                <w:sz w:val="19"/>
                <w:szCs w:val="19"/>
                <w:color w:val="auto"/>
              </w:rPr>
            </w:pPr>
          </w:p>
        </w:tc>
        <w:tc>
          <w:tcPr>
            <w:tcW w:w="6020" w:type="dxa"/>
            <w:vAlign w:val="bottom"/>
          </w:tcPr>
          <w:p>
            <w:pPr>
              <w:jc w:val="center"/>
              <w:ind w:left="311"/>
              <w:spacing w:after="0"/>
              <w:rPr>
                <w:sz w:val="20"/>
                <w:szCs w:val="20"/>
                <w:color w:val="auto"/>
              </w:rPr>
            </w:pPr>
            <w:r>
              <w:rPr>
                <w:rFonts w:ascii="Arial" w:cs="Arial" w:eastAsia="Arial" w:hAnsi="Arial"/>
                <w:sz w:val="18"/>
                <w:szCs w:val="18"/>
                <w:color w:val="auto"/>
                <w:w w:val="91"/>
              </w:rPr>
              <w:t>(Zip Code)</w:t>
            </w:r>
          </w:p>
        </w:tc>
      </w:tr>
      <w:tr>
        <w:trPr>
          <w:trHeight w:val="414"/>
        </w:trPr>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440" w:type="dxa"/>
            <w:vAlign w:val="bottom"/>
            <w:gridSpan w:val="2"/>
          </w:tcPr>
          <w:p>
            <w:pPr>
              <w:jc w:val="center"/>
              <w:ind w:right="4691"/>
              <w:spacing w:after="0"/>
              <w:rPr>
                <w:sz w:val="20"/>
                <w:szCs w:val="20"/>
                <w:color w:val="auto"/>
              </w:rPr>
            </w:pPr>
            <w:r>
              <w:rPr>
                <w:rFonts w:ascii="Arial" w:cs="Arial" w:eastAsia="Arial" w:hAnsi="Arial"/>
                <w:sz w:val="18"/>
                <w:szCs w:val="18"/>
                <w:b w:val="1"/>
                <w:bCs w:val="1"/>
                <w:color w:val="auto"/>
                <w:w w:val="90"/>
              </w:rPr>
              <w:t>+1-919-859-1302</w:t>
            </w:r>
          </w:p>
        </w:tc>
      </w:tr>
      <w:tr>
        <w:trPr>
          <w:trHeight w:val="226"/>
        </w:trPr>
        <w:tc>
          <w:tcPr>
            <w:tcW w:w="2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580" w:type="dxa"/>
            <w:vAlign w:val="bottom"/>
            <w:gridSpan w:val="3"/>
          </w:tcPr>
          <w:p>
            <w:pPr>
              <w:jc w:val="center"/>
              <w:ind w:right="2571"/>
              <w:spacing w:after="0"/>
              <w:rPr>
                <w:sz w:val="20"/>
                <w:szCs w:val="20"/>
                <w:color w:val="auto"/>
              </w:rPr>
            </w:pPr>
            <w:r>
              <w:rPr>
                <w:rFonts w:ascii="Arial" w:cs="Arial" w:eastAsia="Arial" w:hAnsi="Arial"/>
                <w:sz w:val="18"/>
                <w:szCs w:val="18"/>
                <w:color w:val="auto"/>
                <w:w w:val="88"/>
              </w:rPr>
              <w:t>(Registrant’s telephone number, including area code)</w:t>
            </w:r>
          </w:p>
        </w:tc>
      </w:tr>
      <w:tr>
        <w:trPr>
          <w:trHeight w:val="427"/>
        </w:trPr>
        <w:tc>
          <w:tcPr>
            <w:tcW w:w="48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232"/>
        </w:trPr>
        <w:tc>
          <w:tcPr>
            <w:tcW w:w="2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spacing w:after="0"/>
              <w:rPr>
                <w:sz w:val="20"/>
                <w:szCs w:val="20"/>
                <w:color w:val="auto"/>
              </w:rPr>
            </w:pPr>
          </w:p>
        </w:tc>
      </w:tr>
      <w:tr>
        <w:trPr>
          <w:trHeight w:val="207"/>
        </w:trPr>
        <w:tc>
          <w:tcPr>
            <w:tcW w:w="2220" w:type="dxa"/>
            <w:vAlign w:val="bottom"/>
            <w:tcBorders>
              <w:left w:val="single" w:sz="8" w:color="auto"/>
              <w:bottom w:val="single" w:sz="8" w:color="auto"/>
            </w:tcBorders>
          </w:tcPr>
          <w:p>
            <w:pPr>
              <w:jc w:val="center"/>
              <w:ind w:left="331"/>
              <w:spacing w:after="0" w:line="187" w:lineRule="exact"/>
              <w:rPr>
                <w:sz w:val="20"/>
                <w:szCs w:val="20"/>
                <w:color w:val="auto"/>
              </w:rPr>
            </w:pPr>
            <w:r>
              <w:rPr>
                <w:rFonts w:ascii="Arial" w:cs="Arial" w:eastAsia="Arial" w:hAnsi="Arial"/>
                <w:sz w:val="18"/>
                <w:szCs w:val="18"/>
                <w:color w:val="auto"/>
                <w:w w:val="88"/>
              </w:rPr>
              <w:t>Title of each class</w:t>
            </w:r>
          </w:p>
        </w:tc>
        <w:tc>
          <w:tcPr>
            <w:tcW w:w="4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tcBorders>
          </w:tcPr>
          <w:p>
            <w:pPr>
              <w:jc w:val="center"/>
              <w:ind w:left="311"/>
              <w:spacing w:after="0" w:line="187" w:lineRule="exact"/>
              <w:rPr>
                <w:sz w:val="20"/>
                <w:szCs w:val="20"/>
                <w:color w:val="auto"/>
              </w:rPr>
            </w:pPr>
            <w:r>
              <w:rPr>
                <w:rFonts w:ascii="Arial" w:cs="Arial" w:eastAsia="Arial" w:hAnsi="Arial"/>
                <w:sz w:val="18"/>
                <w:szCs w:val="18"/>
                <w:color w:val="auto"/>
                <w:w w:val="91"/>
              </w:rPr>
              <w:t>Trading Symbol(s)</w:t>
            </w:r>
          </w:p>
        </w:tc>
        <w:tc>
          <w:tcPr>
            <w:tcW w:w="420" w:type="dxa"/>
            <w:vAlign w:val="bottom"/>
            <w:tcBorders>
              <w:bottom w:val="single" w:sz="8" w:color="auto"/>
              <w:right w:val="single" w:sz="8" w:color="auto"/>
            </w:tcBorders>
          </w:tcPr>
          <w:p>
            <w:pPr>
              <w:spacing w:after="0"/>
              <w:rPr>
                <w:sz w:val="17"/>
                <w:szCs w:val="17"/>
                <w:color w:val="auto"/>
              </w:rPr>
            </w:pPr>
          </w:p>
        </w:tc>
        <w:tc>
          <w:tcPr>
            <w:tcW w:w="60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color w:val="auto"/>
                <w:w w:val="88"/>
              </w:rPr>
              <w:t>Name of each exchange on which registered</w:t>
            </w:r>
          </w:p>
        </w:tc>
      </w:tr>
      <w:tr>
        <w:trPr>
          <w:trHeight w:val="190"/>
        </w:trPr>
        <w:tc>
          <w:tcPr>
            <w:tcW w:w="2220" w:type="dxa"/>
            <w:vAlign w:val="bottom"/>
            <w:tcBorders>
              <w:left w:val="single" w:sz="8" w:color="auto"/>
              <w:bottom w:val="single" w:sz="8" w:color="auto"/>
            </w:tcBorders>
          </w:tcPr>
          <w:p>
            <w:pPr>
              <w:jc w:val="center"/>
              <w:ind w:left="351"/>
              <w:spacing w:after="0" w:line="190" w:lineRule="exact"/>
              <w:rPr>
                <w:sz w:val="20"/>
                <w:szCs w:val="20"/>
                <w:color w:val="auto"/>
              </w:rPr>
            </w:pPr>
            <w:r>
              <w:rPr>
                <w:rFonts w:ascii="Arial" w:cs="Arial" w:eastAsia="Arial" w:hAnsi="Arial"/>
                <w:sz w:val="18"/>
                <w:szCs w:val="18"/>
                <w:color w:val="auto"/>
                <w:w w:val="89"/>
              </w:rPr>
              <w:t>Common Stock</w:t>
            </w:r>
          </w:p>
        </w:tc>
        <w:tc>
          <w:tcPr>
            <w:tcW w:w="440" w:type="dxa"/>
            <w:vAlign w:val="bottom"/>
            <w:tcBorders>
              <w:bottom w:val="single" w:sz="8" w:color="auto"/>
              <w:right w:val="single" w:sz="8" w:color="auto"/>
            </w:tcBorders>
          </w:tcPr>
          <w:p>
            <w:pPr>
              <w:spacing w:after="0"/>
              <w:rPr>
                <w:sz w:val="16"/>
                <w:szCs w:val="16"/>
                <w:color w:val="auto"/>
              </w:rPr>
            </w:pPr>
          </w:p>
        </w:tc>
        <w:tc>
          <w:tcPr>
            <w:tcW w:w="2140" w:type="dxa"/>
            <w:vAlign w:val="bottom"/>
            <w:tcBorders>
              <w:bottom w:val="single" w:sz="8" w:color="auto"/>
            </w:tcBorders>
          </w:tcPr>
          <w:p>
            <w:pPr>
              <w:jc w:val="center"/>
              <w:ind w:left="311"/>
              <w:spacing w:after="0" w:line="190" w:lineRule="exact"/>
              <w:rPr>
                <w:sz w:val="20"/>
                <w:szCs w:val="20"/>
                <w:color w:val="auto"/>
              </w:rPr>
            </w:pPr>
            <w:r>
              <w:rPr>
                <w:rFonts w:ascii="Arial" w:cs="Arial" w:eastAsia="Arial" w:hAnsi="Arial"/>
                <w:sz w:val="18"/>
                <w:szCs w:val="18"/>
                <w:color w:val="auto"/>
                <w:w w:val="99"/>
              </w:rPr>
              <w:t>BCRX</w:t>
            </w:r>
          </w:p>
        </w:tc>
        <w:tc>
          <w:tcPr>
            <w:tcW w:w="420" w:type="dxa"/>
            <w:vAlign w:val="bottom"/>
            <w:tcBorders>
              <w:bottom w:val="single" w:sz="8" w:color="auto"/>
              <w:right w:val="single" w:sz="8" w:color="auto"/>
            </w:tcBorders>
          </w:tcPr>
          <w:p>
            <w:pPr>
              <w:spacing w:after="0"/>
              <w:rPr>
                <w:sz w:val="16"/>
                <w:szCs w:val="16"/>
                <w:color w:val="auto"/>
              </w:rPr>
            </w:pPr>
          </w:p>
        </w:tc>
        <w:tc>
          <w:tcPr>
            <w:tcW w:w="6020" w:type="dxa"/>
            <w:vAlign w:val="bottom"/>
            <w:tcBorders>
              <w:bottom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89"/>
              </w:rPr>
              <w:t>Nasdaq Global Select Market</w:t>
            </w:r>
          </w:p>
        </w:tc>
      </w:tr>
    </w:tbl>
    <w:p>
      <w:pPr>
        <w:spacing w:after="0" w:line="199" w:lineRule="exact"/>
        <w:rPr>
          <w:sz w:val="24"/>
          <w:szCs w:val="24"/>
          <w:color w:val="auto"/>
        </w:rPr>
      </w:pPr>
    </w:p>
    <w:p>
      <w:pPr>
        <w:ind w:right="4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6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3"/>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6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0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920" w:type="dxa"/>
            <w:vAlign w:val="bottom"/>
          </w:tcPr>
          <w:p>
            <w:pPr>
              <w:ind w:left="246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0" w:lineRule="exact"/>
        <w:rPr>
          <w:sz w:val="24"/>
          <w:szCs w:val="24"/>
          <w:color w:val="auto"/>
        </w:rPr>
      </w:pPr>
    </w:p>
    <w:p>
      <w:pPr>
        <w:ind w:right="10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spacing w:after="0" w:line="207" w:lineRule="exact"/>
        <w:tabs>
          <w:tab w:leader="none" w:pos="8460" w:val="left"/>
          <w:tab w:leader="none" w:pos="93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par value $0.01, of the Registrant outstanding as of October 29, 2021 was 179,936,171.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760" w:type="dxa"/>
            <w:vAlign w:val="bottom"/>
            <w:gridSpan w:val="7"/>
          </w:tcPr>
          <w:p>
            <w:pPr>
              <w:jc w:val="center"/>
              <w:ind w:right="2500"/>
              <w:spacing w:after="0"/>
              <w:rPr>
                <w:sz w:val="20"/>
                <w:szCs w:val="20"/>
                <w:color w:val="auto"/>
              </w:rPr>
            </w:pPr>
            <w:r>
              <w:rPr>
                <w:rFonts w:ascii="Arial" w:cs="Arial" w:eastAsia="Arial" w:hAnsi="Arial"/>
                <w:sz w:val="18"/>
                <w:szCs w:val="18"/>
                <w:b w:val="1"/>
                <w:bCs w:val="1"/>
                <w:color w:val="auto"/>
                <w:w w:val="99"/>
              </w:rPr>
              <w:t>BIOCRYST PHARMACEUTICALS, INC.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2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0" w:type="dxa"/>
            <w:vAlign w:val="bottom"/>
            <w:gridSpan w:val="5"/>
          </w:tcPr>
          <w:p>
            <w:pPr>
              <w:jc w:val="center"/>
              <w:ind w:right="386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54"/>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Page No.</w:t>
            </w:r>
          </w:p>
        </w:tc>
      </w:tr>
      <w:tr>
        <w:trPr>
          <w:trHeight w:val="381"/>
        </w:trPr>
        <w:tc>
          <w:tcPr>
            <w:tcW w:w="102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Cautionary Note Regarding Forward-Looking Statements</w:t>
              </w:r>
            </w:hyperlink>
          </w:p>
        </w:tc>
        <w:tc>
          <w:tcPr>
            <w:tcW w:w="98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193"/>
        </w:trPr>
        <w:tc>
          <w:tcPr>
            <w:tcW w:w="4100" w:type="dxa"/>
            <w:vAlign w:val="bottom"/>
            <w:tcBorders>
              <w:top w:val="single" w:sz="8" w:color="0000EE"/>
            </w:tcBorders>
            <w:gridSpan w:val="13"/>
          </w:tcPr>
          <w:p>
            <w:pPr>
              <w:spacing w:after="0" w:line="194" w:lineRule="exact"/>
              <w:rPr>
                <w:rFonts w:ascii="Arial" w:cs="Arial" w:eastAsia="Arial" w:hAnsi="Arial"/>
                <w:sz w:val="18"/>
                <w:szCs w:val="18"/>
                <w:color w:val="0000EE"/>
              </w:rPr>
            </w:pPr>
            <w:hyperlink w:anchor="page4">
              <w:r>
                <w:rPr>
                  <w:rFonts w:ascii="Arial" w:cs="Arial" w:eastAsia="Arial" w:hAnsi="Arial"/>
                  <w:sz w:val="18"/>
                  <w:szCs w:val="18"/>
                  <w:color w:val="0000EE"/>
                </w:rPr>
                <w:t>Risk Factor Summary</w:t>
              </w:r>
            </w:hyperlink>
          </w:p>
        </w:tc>
        <w:tc>
          <w:tcPr>
            <w:tcW w:w="6160" w:type="dxa"/>
            <w:vAlign w:val="bottom"/>
            <w:gridSpan w:val="6"/>
          </w:tcPr>
          <w:p>
            <w:pPr>
              <w:spacing w:after="0"/>
              <w:rPr>
                <w:sz w:val="16"/>
                <w:szCs w:val="16"/>
                <w:color w:val="auto"/>
              </w:rPr>
            </w:pPr>
          </w:p>
        </w:tc>
        <w:tc>
          <w:tcPr>
            <w:tcW w:w="980" w:type="dxa"/>
            <w:vAlign w:val="bottom"/>
            <w:gridSpan w:val="3"/>
          </w:tcPr>
          <w:p>
            <w:pPr>
              <w:spacing w:after="0" w:line="194"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r>
      <w:tr>
        <w:trPr>
          <w:trHeight w:val="20"/>
        </w:trPr>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3"/>
        </w:trPr>
        <w:tc>
          <w:tcPr>
            <w:tcW w:w="10260" w:type="dxa"/>
            <w:vAlign w:val="bottom"/>
            <w:gridSpan w:val="19"/>
          </w:tcPr>
          <w:p>
            <w:pPr>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Part I. Financial Information</w:t>
              </w:r>
            </w:hyperlink>
          </w:p>
        </w:tc>
        <w:tc>
          <w:tcPr>
            <w:tcW w:w="80" w:type="dxa"/>
            <w:vAlign w:val="bottom"/>
          </w:tcPr>
          <w:p>
            <w:pPr>
              <w:spacing w:after="0"/>
              <w:rPr>
                <w:rFonts w:ascii="Arial" w:cs="Arial" w:eastAsia="Arial" w:hAnsi="Arial"/>
                <w:sz w:val="10"/>
                <w:szCs w:val="10"/>
                <w:color w:val="0000EE"/>
                <w:w w:val="71"/>
              </w:rPr>
            </w:pPr>
            <w:hyperlink w:anchor="page6">
              <w:r>
                <w:rPr>
                  <w:rFonts w:ascii="Arial" w:cs="Arial" w:eastAsia="Arial" w:hAnsi="Arial"/>
                  <w:sz w:val="10"/>
                  <w:szCs w:val="10"/>
                  <w:color w:val="0000EE"/>
                  <w:w w:val="71"/>
                </w:rPr>
                <w:t>1</w:t>
              </w:r>
            </w:hyperlink>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3"/>
        </w:trPr>
        <w:tc>
          <w:tcPr>
            <w:tcW w:w="2100" w:type="dxa"/>
            <w:vAlign w:val="bottom"/>
            <w:gridSpan w:val="10"/>
          </w:tcPr>
          <w:p>
            <w:pPr>
              <w:spacing w:after="0" w:line="194"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Item 1. Financial Statements:</w:t>
              </w:r>
            </w:hyperlink>
          </w:p>
        </w:tc>
        <w:tc>
          <w:tcPr>
            <w:tcW w:w="8160" w:type="dxa"/>
            <w:vAlign w:val="bottom"/>
            <w:gridSpan w:val="9"/>
          </w:tcPr>
          <w:p>
            <w:pPr>
              <w:spacing w:after="0"/>
              <w:rPr>
                <w:sz w:val="16"/>
                <w:szCs w:val="16"/>
                <w:color w:val="auto"/>
              </w:rPr>
            </w:pPr>
          </w:p>
        </w:tc>
        <w:tc>
          <w:tcPr>
            <w:tcW w:w="80" w:type="dxa"/>
            <w:vAlign w:val="bottom"/>
          </w:tcPr>
          <w:p>
            <w:pPr>
              <w:spacing w:after="0"/>
              <w:rPr>
                <w:rFonts w:ascii="Arial" w:cs="Arial" w:eastAsia="Arial" w:hAnsi="Arial"/>
                <w:sz w:val="10"/>
                <w:szCs w:val="10"/>
                <w:color w:val="0000EE"/>
                <w:w w:val="71"/>
              </w:rPr>
            </w:pPr>
            <w:hyperlink w:anchor="page6">
              <w:r>
                <w:rPr>
                  <w:rFonts w:ascii="Arial" w:cs="Arial" w:eastAsia="Arial" w:hAnsi="Arial"/>
                  <w:sz w:val="10"/>
                  <w:szCs w:val="10"/>
                  <w:color w:val="0000EE"/>
                  <w:w w:val="71"/>
                </w:rPr>
                <w:t>1</w:t>
              </w:r>
            </w:hyperlink>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9860" w:type="dxa"/>
            <w:vAlign w:val="bottom"/>
            <w:gridSpan w:val="18"/>
          </w:tcPr>
          <w:p>
            <w:pPr>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Consolidated Balance Sheets - September 30, 2021 and December 31, 2020</w:t>
              </w:r>
            </w:hyperlink>
          </w:p>
        </w:tc>
        <w:tc>
          <w:tcPr>
            <w:tcW w:w="80" w:type="dxa"/>
            <w:vAlign w:val="bottom"/>
          </w:tcPr>
          <w:p>
            <w:pPr>
              <w:spacing w:after="0"/>
              <w:rPr>
                <w:rFonts w:ascii="Arial" w:cs="Arial" w:eastAsia="Arial" w:hAnsi="Arial"/>
                <w:sz w:val="10"/>
                <w:szCs w:val="10"/>
                <w:color w:val="0000EE"/>
                <w:w w:val="71"/>
              </w:rPr>
            </w:pPr>
            <w:hyperlink w:anchor="page6">
              <w:r>
                <w:rPr>
                  <w:rFonts w:ascii="Arial" w:cs="Arial" w:eastAsia="Arial" w:hAnsi="Arial"/>
                  <w:sz w:val="10"/>
                  <w:szCs w:val="10"/>
                  <w:color w:val="0000EE"/>
                  <w:w w:val="71"/>
                </w:rPr>
                <w:t>1</w:t>
              </w:r>
            </w:hyperlink>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9860" w:type="dxa"/>
            <w:vAlign w:val="bottom"/>
            <w:gridSpan w:val="18"/>
          </w:tcPr>
          <w:p>
            <w:pPr>
              <w:spacing w:after="0" w:line="194"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Comprehensive Loss - Three and Nine Months Ended September 30, 2021 and 2020</w:t>
              </w:r>
            </w:hyperlink>
          </w:p>
        </w:tc>
        <w:tc>
          <w:tcPr>
            <w:tcW w:w="80" w:type="dxa"/>
            <w:vAlign w:val="bottom"/>
          </w:tcPr>
          <w:p>
            <w:pPr>
              <w:spacing w:after="0"/>
              <w:rPr>
                <w:rFonts w:ascii="Arial" w:cs="Arial" w:eastAsia="Arial" w:hAnsi="Arial"/>
                <w:sz w:val="10"/>
                <w:szCs w:val="10"/>
                <w:color w:val="0000EE"/>
                <w:w w:val="71"/>
              </w:rPr>
            </w:pPr>
            <w:hyperlink w:anchor="page7">
              <w:r>
                <w:rPr>
                  <w:rFonts w:ascii="Arial" w:cs="Arial" w:eastAsia="Arial" w:hAnsi="Arial"/>
                  <w:sz w:val="10"/>
                  <w:szCs w:val="10"/>
                  <w:color w:val="0000EE"/>
                  <w:w w:val="71"/>
                </w:rPr>
                <w:t>2</w:t>
              </w:r>
            </w:hyperlink>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12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8000" w:type="dxa"/>
            <w:vAlign w:val="bottom"/>
            <w:gridSpan w:val="16"/>
          </w:tcPr>
          <w:p>
            <w:pPr>
              <w:spacing w:after="0" w:line="194"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 Nine Months Ended September 30, 2021 and 2020</w:t>
              </w:r>
            </w:hyperlink>
          </w:p>
        </w:tc>
        <w:tc>
          <w:tcPr>
            <w:tcW w:w="1860" w:type="dxa"/>
            <w:vAlign w:val="bottom"/>
            <w:gridSpan w:val="2"/>
          </w:tcPr>
          <w:p>
            <w:pPr>
              <w:spacing w:after="0"/>
              <w:rPr>
                <w:sz w:val="16"/>
                <w:szCs w:val="16"/>
                <w:color w:val="auto"/>
              </w:rPr>
            </w:pPr>
          </w:p>
        </w:tc>
        <w:tc>
          <w:tcPr>
            <w:tcW w:w="80" w:type="dxa"/>
            <w:vAlign w:val="bottom"/>
          </w:tcPr>
          <w:p>
            <w:pPr>
              <w:spacing w:after="0"/>
              <w:rPr>
                <w:rFonts w:ascii="Arial" w:cs="Arial" w:eastAsia="Arial" w:hAnsi="Arial"/>
                <w:sz w:val="10"/>
                <w:szCs w:val="10"/>
                <w:color w:val="0000EE"/>
                <w:w w:val="71"/>
              </w:rPr>
            </w:pPr>
            <w:hyperlink w:anchor="page8">
              <w:r>
                <w:rPr>
                  <w:rFonts w:ascii="Arial" w:cs="Arial" w:eastAsia="Arial" w:hAnsi="Arial"/>
                  <w:sz w:val="10"/>
                  <w:szCs w:val="10"/>
                  <w:color w:val="0000EE"/>
                  <w:w w:val="71"/>
                </w:rPr>
                <w:t>3</w:t>
              </w:r>
            </w:hyperlink>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120" w:type="dxa"/>
            <w:vAlign w:val="bottom"/>
            <w:tcBorders>
              <w:right w:val="single" w:sz="8" w:color="0000EE"/>
            </w:tcBorders>
            <w:gridSpan w:val="2"/>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9860" w:type="dxa"/>
            <w:vAlign w:val="bottom"/>
            <w:gridSpan w:val="18"/>
          </w:tcPr>
          <w:p>
            <w:pPr>
              <w:spacing w:after="0" w:line="194"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Statements of Stockholders’ Equity (Deficit) – Three and Nine Months Ended September 30, 2021 and 2020</w:t>
              </w:r>
            </w:hyperlink>
          </w:p>
        </w:tc>
        <w:tc>
          <w:tcPr>
            <w:tcW w:w="80" w:type="dxa"/>
            <w:vAlign w:val="bottom"/>
          </w:tcPr>
          <w:p>
            <w:pPr>
              <w:spacing w:after="0"/>
              <w:rPr>
                <w:rFonts w:ascii="Arial" w:cs="Arial" w:eastAsia="Arial" w:hAnsi="Arial"/>
                <w:sz w:val="10"/>
                <w:szCs w:val="10"/>
                <w:color w:val="0000EE"/>
                <w:w w:val="71"/>
              </w:rPr>
            </w:pPr>
            <w:hyperlink w:anchor="page9">
              <w:r>
                <w:rPr>
                  <w:rFonts w:ascii="Arial" w:cs="Arial" w:eastAsia="Arial" w:hAnsi="Arial"/>
                  <w:sz w:val="10"/>
                  <w:szCs w:val="10"/>
                  <w:color w:val="0000EE"/>
                  <w:w w:val="71"/>
                </w:rPr>
                <w:t>4</w:t>
              </w:r>
            </w:hyperlink>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120" w:type="dxa"/>
            <w:vAlign w:val="bottom"/>
            <w:tcBorders>
              <w:right w:val="single" w:sz="8" w:color="0000EE"/>
            </w:tcBorders>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8680" w:type="dxa"/>
            <w:vAlign w:val="bottom"/>
            <w:gridSpan w:val="17"/>
          </w:tcPr>
          <w:p>
            <w:pPr>
              <w:spacing w:after="0" w:line="194" w:lineRule="exact"/>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w:t>
              </w:r>
            </w:hyperlink>
          </w:p>
        </w:tc>
        <w:tc>
          <w:tcPr>
            <w:tcW w:w="1180" w:type="dxa"/>
            <w:vAlign w:val="bottom"/>
          </w:tcPr>
          <w:p>
            <w:pPr>
              <w:spacing w:after="0"/>
              <w:rPr>
                <w:sz w:val="16"/>
                <w:szCs w:val="16"/>
                <w:color w:val="auto"/>
              </w:rPr>
            </w:pPr>
          </w:p>
        </w:tc>
        <w:tc>
          <w:tcPr>
            <w:tcW w:w="80" w:type="dxa"/>
            <w:vAlign w:val="bottom"/>
          </w:tcPr>
          <w:p>
            <w:pPr>
              <w:spacing w:after="0"/>
              <w:rPr>
                <w:rFonts w:ascii="Arial" w:cs="Arial" w:eastAsia="Arial" w:hAnsi="Arial"/>
                <w:sz w:val="10"/>
                <w:szCs w:val="10"/>
                <w:color w:val="0000EE"/>
                <w:w w:val="71"/>
              </w:rPr>
            </w:pPr>
            <w:hyperlink w:anchor="page10">
              <w:r>
                <w:rPr>
                  <w:rFonts w:ascii="Arial" w:cs="Arial" w:eastAsia="Arial" w:hAnsi="Arial"/>
                  <w:sz w:val="10"/>
                  <w:szCs w:val="10"/>
                  <w:color w:val="0000EE"/>
                  <w:w w:val="71"/>
                </w:rPr>
                <w:t>5</w:t>
              </w:r>
            </w:hyperlink>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3"/>
        </w:trPr>
        <w:tc>
          <w:tcPr>
            <w:tcW w:w="6980" w:type="dxa"/>
            <w:vAlign w:val="bottom"/>
            <w:tcBorders>
              <w:bottom w:val="single" w:sz="8" w:color="0000EE"/>
            </w:tcBorders>
            <w:gridSpan w:val="16"/>
          </w:tcPr>
          <w:p>
            <w:pPr>
              <w:spacing w:after="0" w:line="194"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2. Management’s Discussion and Analysis of Financial Condition and Results of Operations</w:t>
              </w:r>
            </w:hyperlink>
          </w:p>
        </w:tc>
        <w:tc>
          <w:tcPr>
            <w:tcW w:w="3280" w:type="dxa"/>
            <w:vAlign w:val="bottom"/>
            <w:gridSpan w:val="3"/>
          </w:tcPr>
          <w:p>
            <w:pPr>
              <w:spacing w:after="0"/>
              <w:rPr>
                <w:sz w:val="16"/>
                <w:szCs w:val="16"/>
                <w:color w:val="auto"/>
              </w:rPr>
            </w:pPr>
          </w:p>
        </w:tc>
        <w:tc>
          <w:tcPr>
            <w:tcW w:w="180" w:type="dxa"/>
            <w:vAlign w:val="bottom"/>
            <w:tcBorders>
              <w:bottom w:val="single" w:sz="8" w:color="0000EE"/>
            </w:tcBorders>
            <w:gridSpan w:val="2"/>
          </w:tcPr>
          <w:p>
            <w:pPr>
              <w:spacing w:after="0" w:line="194"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22</w:t>
              </w:r>
            </w:hyperlink>
          </w:p>
        </w:tc>
        <w:tc>
          <w:tcPr>
            <w:tcW w:w="800" w:type="dxa"/>
            <w:vAlign w:val="bottom"/>
          </w:tcPr>
          <w:p>
            <w:pPr>
              <w:spacing w:after="0"/>
              <w:rPr>
                <w:sz w:val="16"/>
                <w:szCs w:val="16"/>
                <w:color w:val="auto"/>
              </w:rPr>
            </w:pPr>
          </w:p>
        </w:tc>
      </w:tr>
      <w:tr>
        <w:trPr>
          <w:trHeight w:val="193"/>
        </w:trPr>
        <w:tc>
          <w:tcPr>
            <w:tcW w:w="10260" w:type="dxa"/>
            <w:vAlign w:val="bottom"/>
            <w:gridSpan w:val="19"/>
          </w:tcPr>
          <w:p>
            <w:pPr>
              <w:spacing w:after="0" w:line="194" w:lineRule="exact"/>
              <w:rPr>
                <w:rFonts w:ascii="Arial" w:cs="Arial" w:eastAsia="Arial" w:hAnsi="Arial"/>
                <w:sz w:val="18"/>
                <w:szCs w:val="18"/>
                <w:color w:val="0000EE"/>
              </w:rPr>
            </w:pPr>
            <w:hyperlink w:anchor="page38">
              <w:r>
                <w:rPr>
                  <w:rFonts w:ascii="Arial" w:cs="Arial" w:eastAsia="Arial" w:hAnsi="Arial"/>
                  <w:sz w:val="18"/>
                  <w:szCs w:val="18"/>
                  <w:color w:val="0000EE"/>
                </w:rPr>
                <w:t>Item 3. Quantitative and Qualitative Disclosures About Market Risk</w:t>
              </w:r>
            </w:hyperlink>
          </w:p>
        </w:tc>
        <w:tc>
          <w:tcPr>
            <w:tcW w:w="980" w:type="dxa"/>
            <w:vAlign w:val="bottom"/>
            <w:gridSpan w:val="3"/>
          </w:tcPr>
          <w:p>
            <w:pPr>
              <w:spacing w:after="0" w:line="194" w:lineRule="exact"/>
              <w:rPr>
                <w:rFonts w:ascii="Arial" w:cs="Arial" w:eastAsia="Arial" w:hAnsi="Arial"/>
                <w:sz w:val="18"/>
                <w:szCs w:val="18"/>
                <w:color w:val="0000EE"/>
              </w:rPr>
            </w:pPr>
            <w:hyperlink w:anchor="page38">
              <w:r>
                <w:rPr>
                  <w:rFonts w:ascii="Arial" w:cs="Arial" w:eastAsia="Arial" w:hAnsi="Arial"/>
                  <w:sz w:val="18"/>
                  <w:szCs w:val="18"/>
                  <w:color w:val="0000EE"/>
                </w:rPr>
                <w:t>33</w:t>
              </w:r>
            </w:hyperlink>
          </w:p>
        </w:tc>
      </w:tr>
      <w:tr>
        <w:trPr>
          <w:trHeight w:val="193"/>
        </w:trPr>
        <w:tc>
          <w:tcPr>
            <w:tcW w:w="4860" w:type="dxa"/>
            <w:vAlign w:val="bottom"/>
            <w:tcBorders>
              <w:top w:val="single" w:sz="8" w:color="0000EE"/>
            </w:tcBorders>
            <w:gridSpan w:val="14"/>
          </w:tcPr>
          <w:p>
            <w:pPr>
              <w:spacing w:after="0" w:line="194" w:lineRule="exact"/>
              <w:rPr>
                <w:rFonts w:ascii="Arial" w:cs="Arial" w:eastAsia="Arial" w:hAnsi="Arial"/>
                <w:sz w:val="18"/>
                <w:szCs w:val="18"/>
                <w:color w:val="0000EE"/>
              </w:rPr>
            </w:pPr>
            <w:hyperlink w:anchor="page38">
              <w:r>
                <w:rPr>
                  <w:rFonts w:ascii="Arial" w:cs="Arial" w:eastAsia="Arial" w:hAnsi="Arial"/>
                  <w:sz w:val="18"/>
                  <w:szCs w:val="18"/>
                  <w:color w:val="0000EE"/>
                </w:rPr>
                <w:t>Item 4. Controls and Procedures</w:t>
              </w:r>
            </w:hyperlink>
          </w:p>
        </w:tc>
        <w:tc>
          <w:tcPr>
            <w:tcW w:w="5400" w:type="dxa"/>
            <w:vAlign w:val="bottom"/>
            <w:gridSpan w:val="5"/>
          </w:tcPr>
          <w:p>
            <w:pPr>
              <w:spacing w:after="0"/>
              <w:rPr>
                <w:sz w:val="16"/>
                <w:szCs w:val="16"/>
                <w:color w:val="auto"/>
              </w:rPr>
            </w:pPr>
          </w:p>
        </w:tc>
        <w:tc>
          <w:tcPr>
            <w:tcW w:w="180" w:type="dxa"/>
            <w:vAlign w:val="bottom"/>
            <w:tcBorders>
              <w:top w:val="single" w:sz="8" w:color="0000EE"/>
            </w:tcBorders>
            <w:gridSpan w:val="2"/>
          </w:tcPr>
          <w:p>
            <w:pPr>
              <w:spacing w:after="0" w:line="194"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33</w:t>
              </w:r>
            </w:hyperlink>
          </w:p>
        </w:tc>
        <w:tc>
          <w:tcPr>
            <w:tcW w:w="800" w:type="dxa"/>
            <w:vAlign w:val="bottom"/>
          </w:tcPr>
          <w:p>
            <w:pPr>
              <w:spacing w:after="0"/>
              <w:rPr>
                <w:sz w:val="16"/>
                <w:szCs w:val="16"/>
                <w:color w:val="auto"/>
              </w:rPr>
            </w:pPr>
          </w:p>
        </w:tc>
      </w:tr>
      <w:tr>
        <w:trPr>
          <w:trHeight w:val="193"/>
        </w:trPr>
        <w:tc>
          <w:tcPr>
            <w:tcW w:w="2300" w:type="dxa"/>
            <w:vAlign w:val="bottom"/>
            <w:tcBorders>
              <w:top w:val="single" w:sz="8" w:color="0000EE"/>
            </w:tcBorders>
            <w:gridSpan w:val="11"/>
          </w:tcPr>
          <w:p>
            <w:pPr>
              <w:spacing w:after="0" w:line="194" w:lineRule="exact"/>
              <w:rPr>
                <w:rFonts w:ascii="Arial" w:cs="Arial" w:eastAsia="Arial" w:hAnsi="Arial"/>
                <w:sz w:val="18"/>
                <w:szCs w:val="18"/>
                <w:color w:val="0000EE"/>
              </w:rPr>
            </w:pPr>
            <w:hyperlink w:anchor="page39">
              <w:r>
                <w:rPr>
                  <w:rFonts w:ascii="Arial" w:cs="Arial" w:eastAsia="Arial" w:hAnsi="Arial"/>
                  <w:sz w:val="18"/>
                  <w:szCs w:val="18"/>
                  <w:color w:val="0000EE"/>
                </w:rPr>
                <w:t>Part II. Other Information</w:t>
              </w:r>
            </w:hyperlink>
          </w:p>
        </w:tc>
        <w:tc>
          <w:tcPr>
            <w:tcW w:w="7960" w:type="dxa"/>
            <w:vAlign w:val="bottom"/>
            <w:gridSpan w:val="8"/>
          </w:tcPr>
          <w:p>
            <w:pPr>
              <w:spacing w:after="0"/>
              <w:rPr>
                <w:sz w:val="16"/>
                <w:szCs w:val="16"/>
                <w:color w:val="auto"/>
              </w:rPr>
            </w:pPr>
          </w:p>
        </w:tc>
        <w:tc>
          <w:tcPr>
            <w:tcW w:w="180" w:type="dxa"/>
            <w:vAlign w:val="bottom"/>
            <w:tcBorders>
              <w:top w:val="single" w:sz="8" w:color="0000EE"/>
            </w:tcBorders>
            <w:gridSpan w:val="2"/>
          </w:tcPr>
          <w:p>
            <w:pPr>
              <w:spacing w:after="0" w:line="194"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34</w:t>
              </w:r>
            </w:hyperlink>
          </w:p>
        </w:tc>
        <w:tc>
          <w:tcPr>
            <w:tcW w:w="800" w:type="dxa"/>
            <w:vAlign w:val="bottom"/>
          </w:tcPr>
          <w:p>
            <w:pPr>
              <w:spacing w:after="0"/>
              <w:rPr>
                <w:sz w:val="16"/>
                <w:szCs w:val="16"/>
                <w:color w:val="auto"/>
              </w:rPr>
            </w:pPr>
          </w:p>
        </w:tc>
      </w:tr>
      <w:tr>
        <w:trPr>
          <w:trHeight w:val="193"/>
        </w:trPr>
        <w:tc>
          <w:tcPr>
            <w:tcW w:w="1580" w:type="dxa"/>
            <w:vAlign w:val="bottom"/>
            <w:tcBorders>
              <w:top w:val="single" w:sz="8" w:color="0000EE"/>
              <w:bottom w:val="single" w:sz="8" w:color="0000EE"/>
            </w:tcBorders>
            <w:gridSpan w:val="7"/>
          </w:tcPr>
          <w:p>
            <w:pPr>
              <w:spacing w:after="0" w:line="194"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1A. Risk Factors</w:t>
              </w:r>
            </w:hyperlink>
          </w:p>
        </w:tc>
        <w:tc>
          <w:tcPr>
            <w:tcW w:w="260" w:type="dxa"/>
            <w:vAlign w:val="bottom"/>
            <w:tcBorders>
              <w:top w:val="single" w:sz="8" w:color="0000EE"/>
            </w:tcBorders>
          </w:tcPr>
          <w:p>
            <w:pPr>
              <w:spacing w:after="0"/>
              <w:rPr>
                <w:sz w:val="16"/>
                <w:szCs w:val="16"/>
                <w:color w:val="auto"/>
              </w:rPr>
            </w:pPr>
          </w:p>
        </w:tc>
        <w:tc>
          <w:tcPr>
            <w:tcW w:w="8420" w:type="dxa"/>
            <w:vAlign w:val="bottom"/>
            <w:gridSpan w:val="11"/>
          </w:tcPr>
          <w:p>
            <w:pPr>
              <w:spacing w:after="0"/>
              <w:rPr>
                <w:sz w:val="16"/>
                <w:szCs w:val="16"/>
                <w:color w:val="auto"/>
              </w:rPr>
            </w:pPr>
          </w:p>
        </w:tc>
        <w:tc>
          <w:tcPr>
            <w:tcW w:w="18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34</w:t>
              </w:r>
            </w:hyperlink>
          </w:p>
        </w:tc>
        <w:tc>
          <w:tcPr>
            <w:tcW w:w="800" w:type="dxa"/>
            <w:vAlign w:val="bottom"/>
          </w:tcPr>
          <w:p>
            <w:pPr>
              <w:spacing w:after="0"/>
              <w:rPr>
                <w:sz w:val="16"/>
                <w:szCs w:val="16"/>
                <w:color w:val="auto"/>
              </w:rPr>
            </w:pPr>
          </w:p>
        </w:tc>
      </w:tr>
      <w:tr>
        <w:trPr>
          <w:trHeight w:val="193"/>
        </w:trPr>
        <w:tc>
          <w:tcPr>
            <w:tcW w:w="10260" w:type="dxa"/>
            <w:vAlign w:val="bottom"/>
            <w:gridSpan w:val="19"/>
          </w:tcPr>
          <w:p>
            <w:pPr>
              <w:spacing w:after="0" w:line="194" w:lineRule="exact"/>
              <w:rPr>
                <w:rFonts w:ascii="Arial" w:cs="Arial" w:eastAsia="Arial" w:hAnsi="Arial"/>
                <w:sz w:val="18"/>
                <w:szCs w:val="18"/>
                <w:color w:val="0000EE"/>
              </w:rPr>
            </w:pPr>
            <w:hyperlink w:anchor="page61">
              <w:r>
                <w:rPr>
                  <w:rFonts w:ascii="Arial" w:cs="Arial" w:eastAsia="Arial" w:hAnsi="Arial"/>
                  <w:sz w:val="18"/>
                  <w:szCs w:val="18"/>
                  <w:color w:val="0000EE"/>
                </w:rPr>
                <w:t>Item 6. Exhibits</w:t>
              </w:r>
            </w:hyperlink>
          </w:p>
        </w:tc>
        <w:tc>
          <w:tcPr>
            <w:tcW w:w="980" w:type="dxa"/>
            <w:vAlign w:val="bottom"/>
            <w:gridSpan w:val="3"/>
          </w:tcPr>
          <w:p>
            <w:pPr>
              <w:spacing w:after="0" w:line="194" w:lineRule="exact"/>
              <w:rPr>
                <w:rFonts w:ascii="Arial" w:cs="Arial" w:eastAsia="Arial" w:hAnsi="Arial"/>
                <w:sz w:val="18"/>
                <w:szCs w:val="18"/>
                <w:color w:val="0000EE"/>
              </w:rPr>
            </w:pPr>
            <w:hyperlink w:anchor="page61">
              <w:r>
                <w:rPr>
                  <w:rFonts w:ascii="Arial" w:cs="Arial" w:eastAsia="Arial" w:hAnsi="Arial"/>
                  <w:sz w:val="18"/>
                  <w:szCs w:val="18"/>
                  <w:color w:val="0000EE"/>
                </w:rPr>
                <w:t>56</w:t>
              </w:r>
            </w:hyperlink>
          </w:p>
        </w:tc>
      </w:tr>
      <w:tr>
        <w:trPr>
          <w:trHeight w:val="193"/>
        </w:trPr>
        <w:tc>
          <w:tcPr>
            <w:tcW w:w="760" w:type="dxa"/>
            <w:vAlign w:val="bottom"/>
            <w:tcBorders>
              <w:top w:val="single" w:sz="8" w:color="0000EE"/>
              <w:bottom w:val="single" w:sz="8" w:color="0000EE"/>
            </w:tcBorders>
            <w:gridSpan w:val="4"/>
          </w:tcPr>
          <w:p>
            <w:pPr>
              <w:spacing w:after="0" w:line="194"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Signatures</w:t>
              </w:r>
            </w:hyperlink>
          </w:p>
        </w:tc>
        <w:tc>
          <w:tcPr>
            <w:tcW w:w="380" w:type="dxa"/>
            <w:vAlign w:val="bottom"/>
            <w:tcBorders>
              <w:top w:val="single" w:sz="8" w:color="0000EE"/>
            </w:tcBorders>
          </w:tcPr>
          <w:p>
            <w:pPr>
              <w:spacing w:after="0"/>
              <w:rPr>
                <w:sz w:val="16"/>
                <w:szCs w:val="16"/>
                <w:color w:val="auto"/>
              </w:rPr>
            </w:pPr>
          </w:p>
        </w:tc>
        <w:tc>
          <w:tcPr>
            <w:tcW w:w="9120" w:type="dxa"/>
            <w:vAlign w:val="bottom"/>
            <w:gridSpan w:val="14"/>
          </w:tcPr>
          <w:p>
            <w:pPr>
              <w:spacing w:after="0"/>
              <w:rPr>
                <w:sz w:val="16"/>
                <w:szCs w:val="16"/>
                <w:color w:val="auto"/>
              </w:rPr>
            </w:pPr>
          </w:p>
        </w:tc>
        <w:tc>
          <w:tcPr>
            <w:tcW w:w="18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58</w:t>
              </w:r>
            </w:hyperlink>
          </w:p>
        </w:tc>
        <w:tc>
          <w:tcPr>
            <w:tcW w:w="800" w:type="dxa"/>
            <w:vAlign w:val="bottom"/>
          </w:tcPr>
          <w:p>
            <w:pPr>
              <w:spacing w:after="0"/>
              <w:rPr>
                <w:sz w:val="16"/>
                <w:szCs w:val="16"/>
                <w:color w:val="auto"/>
              </w:rPr>
            </w:pPr>
          </w:p>
        </w:tc>
      </w:tr>
      <w:tr>
        <w:trPr>
          <w:trHeight w:val="407"/>
        </w:trPr>
        <w:tc>
          <w:tcPr>
            <w:tcW w:w="6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EX-10.7</w:t>
              </w:r>
            </w:hyperlink>
          </w:p>
        </w:tc>
        <w:tc>
          <w:tcPr>
            <w:tcW w:w="9640" w:type="dxa"/>
            <w:vAlign w:val="bottom"/>
            <w:gridSpan w:val="1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620" w:type="dxa"/>
            <w:vAlign w:val="bottom"/>
            <w:tcBorders>
              <w:bottom w:val="single" w:sz="8" w:color="0000EE"/>
            </w:tcBorders>
            <w:gridSpan w:val="2"/>
          </w:tcPr>
          <w:p>
            <w:pPr>
              <w:spacing w:after="0" w:line="194"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EX-10.8</w:t>
              </w:r>
            </w:hyperlink>
          </w:p>
        </w:tc>
        <w:tc>
          <w:tcPr>
            <w:tcW w:w="9640" w:type="dxa"/>
            <w:vAlign w:val="bottom"/>
            <w:gridSpan w:val="17"/>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20" w:type="dxa"/>
            <w:vAlign w:val="bottom"/>
            <w:tcBorders>
              <w:bottom w:val="single" w:sz="8" w:color="0000EE"/>
            </w:tcBorders>
            <w:gridSpan w:val="2"/>
          </w:tcPr>
          <w:p>
            <w:pPr>
              <w:spacing w:after="0" w:line="194"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EX-10.9</w:t>
              </w:r>
            </w:hyperlink>
          </w:p>
        </w:tc>
        <w:tc>
          <w:tcPr>
            <w:tcW w:w="9640" w:type="dxa"/>
            <w:vAlign w:val="bottom"/>
            <w:gridSpan w:val="17"/>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10260" w:type="dxa"/>
            <w:vAlign w:val="bottom"/>
            <w:gridSpan w:val="19"/>
          </w:tcPr>
          <w:p>
            <w:pPr>
              <w:spacing w:after="0" w:line="194" w:lineRule="exact"/>
              <w:rPr>
                <w:rFonts w:ascii="Arial" w:cs="Arial" w:eastAsia="Arial" w:hAnsi="Arial"/>
                <w:sz w:val="18"/>
                <w:szCs w:val="18"/>
                <w:color w:val="0000EE"/>
              </w:rPr>
            </w:pPr>
            <w:hyperlink w:anchor="page70">
              <w:r>
                <w:rPr>
                  <w:rFonts w:ascii="Arial" w:cs="Arial" w:eastAsia="Arial" w:hAnsi="Arial"/>
                  <w:sz w:val="18"/>
                  <w:szCs w:val="18"/>
                  <w:color w:val="0000EE"/>
                </w:rPr>
                <w:t>EX-10.10</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2"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EX-31.1</w:t>
        </w:r>
      </w:hyperlink>
    </w:p>
    <w:p>
      <w:pPr>
        <w:spacing w:after="0" w:line="19"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EX-31.2</w:t>
        </w:r>
      </w:hyperlink>
    </w:p>
    <w:p>
      <w:pPr>
        <w:spacing w:after="0" w:line="6"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EX-32.1</w:t>
        </w:r>
      </w:hyperlink>
    </w:p>
    <w:p>
      <w:pPr>
        <w:spacing w:after="0" w:line="6"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EX-32.2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513080</wp:posOffset>
            </wp:positionV>
            <wp:extent cx="71342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2" w:name="page3"/>
    <w:bookmarkEnd w:id="2"/>
    <w:p>
      <w:pPr>
        <w:ind w:right="100" w:firstLine="480"/>
        <w:spacing w:after="0" w:line="270" w:lineRule="auto"/>
        <w:rPr>
          <w:sz w:val="20"/>
          <w:szCs w:val="20"/>
          <w:color w:val="auto"/>
        </w:rPr>
      </w:pPr>
      <w:r>
        <w:rPr>
          <w:rFonts w:ascii="Arial" w:cs="Arial" w:eastAsia="Arial" w:hAnsi="Arial"/>
          <w:sz w:val="18"/>
          <w:szCs w:val="18"/>
          <w:i w:val="1"/>
          <w:iCs w:val="1"/>
          <w:color w:val="auto"/>
        </w:rPr>
        <w:t xml:space="preserve">When used in this report, unless otherwise indicated, </w:t>
      </w:r>
      <w:r>
        <w:rPr>
          <w:rFonts w:ascii="Arial" w:cs="Arial" w:eastAsia="Arial" w:hAnsi="Arial"/>
          <w:sz w:val="18"/>
          <w:szCs w:val="18"/>
          <w:color w:val="auto"/>
        </w:rPr>
        <w:t>“</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the </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BioCryst</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BioCryst Pharmaceuticals, Inc. and, where appropriate, its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4" w:lineRule="exact"/>
        <w:rPr>
          <w:sz w:val="20"/>
          <w:szCs w:val="20"/>
          <w:color w:val="auto"/>
        </w:rPr>
      </w:pPr>
    </w:p>
    <w:p>
      <w:pPr>
        <w:ind w:firstLine="480"/>
        <w:spacing w:after="0" w:line="266" w:lineRule="auto"/>
        <w:rPr>
          <w:sz w:val="20"/>
          <w:szCs w:val="20"/>
          <w:color w:val="auto"/>
        </w:rPr>
      </w:pPr>
      <w:r>
        <w:rPr>
          <w:rFonts w:ascii="Arial" w:cs="Arial" w:eastAsia="Arial" w:hAnsi="Arial"/>
          <w:sz w:val="17"/>
          <w:szCs w:val="17"/>
          <w:color w:val="auto"/>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spacing w:after="0" w:line="182" w:lineRule="exact"/>
        <w:rPr>
          <w:sz w:val="20"/>
          <w:szCs w:val="20"/>
          <w:color w:val="auto"/>
        </w:rPr>
      </w:pPr>
    </w:p>
    <w:p>
      <w:pPr>
        <w:ind w:left="960" w:right="520" w:hanging="313"/>
        <w:spacing w:after="0" w:line="333"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preclinical development, clinical development, commercialization, or post-marketing studies of our products and product candidates, including ORLADEYO® (berotralstat), BCX9930, BCX9250, peramivir, galidesivir, and early-stage discovery programs;</w:t>
      </w:r>
    </w:p>
    <w:p>
      <w:pPr>
        <w:spacing w:after="0" w:line="129" w:lineRule="exact"/>
        <w:rPr>
          <w:rFonts w:ascii="Arial" w:cs="Arial" w:eastAsia="Arial" w:hAnsi="Arial"/>
          <w:sz w:val="16"/>
          <w:szCs w:val="16"/>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our commercialization of ORLADEYO in the U.S. and elsewhere;</w:t>
      </w:r>
    </w:p>
    <w:p>
      <w:pPr>
        <w:spacing w:after="0" w:line="219" w:lineRule="exact"/>
        <w:rPr>
          <w:rFonts w:ascii="Arial" w:cs="Arial" w:eastAsia="Arial" w:hAnsi="Arial"/>
          <w:sz w:val="18"/>
          <w:szCs w:val="18"/>
          <w:color w:val="auto"/>
        </w:rPr>
      </w:pPr>
    </w:p>
    <w:p>
      <w:pPr>
        <w:ind w:left="960" w:right="140" w:hanging="313"/>
        <w:spacing w:after="0" w:line="27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government stockpiling orders of our products and product candidates, including the timing or likelihood of entering into any U.S. government stockpile order and our ability to execute any such order;</w:t>
      </w:r>
    </w:p>
    <w:p>
      <w:pPr>
        <w:spacing w:after="0" w:line="174" w:lineRule="exact"/>
        <w:rPr>
          <w:rFonts w:ascii="Arial" w:cs="Arial" w:eastAsia="Arial" w:hAnsi="Arial"/>
          <w:sz w:val="18"/>
          <w:szCs w:val="18"/>
          <w:color w:val="auto"/>
        </w:rPr>
      </w:pPr>
    </w:p>
    <w:p>
      <w:pPr>
        <w:jc w:val="both"/>
        <w:ind w:left="960" w:right="160" w:hanging="313"/>
        <w:spacing w:after="0" w:line="258"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funding from our contracts with the Biomedical Advanced Research and Development Authority within the U.S. Department of Health and Human Services (“BARDA/HHS”) and the National Institute of Allergy and Infectious Diseases within the HHS (“NIAID/HHS”) for the development of galidesivir;</w:t>
      </w:r>
    </w:p>
    <w:p>
      <w:pPr>
        <w:spacing w:after="0" w:line="186"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regulatory approvals, or milestones, royalties or profit from sales of our products by us or our partners;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products, product candidates and technology;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out-license rights to our products and product candidates;</w:t>
      </w:r>
    </w:p>
    <w:p>
      <w:pPr>
        <w:spacing w:after="0" w:line="219" w:lineRule="exact"/>
        <w:rPr>
          <w:rFonts w:ascii="Arial" w:cs="Arial" w:eastAsia="Arial" w:hAnsi="Arial"/>
          <w:sz w:val="18"/>
          <w:szCs w:val="18"/>
          <w:color w:val="auto"/>
        </w:rPr>
      </w:pPr>
    </w:p>
    <w:p>
      <w:pPr>
        <w:jc w:val="both"/>
        <w:ind w:left="960" w:right="60" w:hanging="313"/>
        <w:spacing w:after="0" w:line="258"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programs, progress and potential success of our collaborations, including with Torii Pharmaceutical Co., Ltd. (“Torii”) for ORLADEYO in Japan, Shionogi &amp; Co., Ltd. (“Shionogi”) and Green Cross Corporation (“Green Cross”) for peramivir in their territories, and Mundipharma International Corporation Limited (“Mundipharma”) for mundesine;</w:t>
      </w:r>
    </w:p>
    <w:p>
      <w:pPr>
        <w:spacing w:after="0" w:line="186"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subsidiary guarantors’ ability to satisfy obligations under our Credit Agreement and to comply with the covenants as set forth in the agreements governing our debt obligations;</w:t>
      </w:r>
    </w:p>
    <w:p>
      <w:pPr>
        <w:spacing w:after="0" w:line="174" w:lineRule="exact"/>
        <w:rPr>
          <w:rFonts w:ascii="Arial" w:cs="Arial" w:eastAsia="Arial" w:hAnsi="Arial"/>
          <w:sz w:val="18"/>
          <w:szCs w:val="18"/>
          <w:color w:val="auto"/>
        </w:rPr>
      </w:pPr>
    </w:p>
    <w:p>
      <w:pPr>
        <w:ind w:left="960" w:right="20" w:hanging="313"/>
        <w:spacing w:after="0" w:line="258"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subsidiary, JPR Royalty Sub LLC (“Royalty Sub”), to satisfy its obligations in respect of the PhaRMA Notes (as defined in “Note 2 Royalty Monetizations RAPIACTA Royalty Monetization” in the Notes to Consolidated Financial Statements in Part I, Item 1 of this report);</w:t>
      </w:r>
    </w:p>
    <w:p>
      <w:pPr>
        <w:spacing w:after="0" w:line="186" w:lineRule="exact"/>
        <w:rPr>
          <w:rFonts w:ascii="Arial" w:cs="Arial" w:eastAsia="Arial" w:hAnsi="Arial"/>
          <w:sz w:val="18"/>
          <w:szCs w:val="18"/>
          <w:color w:val="auto"/>
        </w:rPr>
      </w:pPr>
    </w:p>
    <w:p>
      <w:pPr>
        <w:ind w:left="960" w:right="380" w:hanging="313"/>
        <w:spacing w:after="0" w:line="27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products, product candidates, and technology;</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revenues, capital requirements, annual cash utilization, and our needs for additional financing;</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or regulatory agreements, deferrals, and approvals;</w:t>
      </w:r>
    </w:p>
    <w:p>
      <w:pPr>
        <w:spacing w:after="0" w:line="219" w:lineRule="exact"/>
        <w:rPr>
          <w:rFonts w:ascii="Arial" w:cs="Arial" w:eastAsia="Arial" w:hAnsi="Arial"/>
          <w:sz w:val="18"/>
          <w:szCs w:val="18"/>
          <w:color w:val="auto"/>
        </w:rPr>
      </w:pPr>
    </w:p>
    <w:p>
      <w:pPr>
        <w:ind w:left="960" w:right="380" w:hanging="313"/>
        <w:spacing w:after="0" w:line="27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liquidity needs, including our ability to raise additional capital, to fund our operations or repay our recourse debt obligations;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companies, technologies, and our industry.</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3" w:name="page4"/>
    <w:bookmarkEnd w:id="3"/>
    <w:p>
      <w:pPr>
        <w:ind w:right="100" w:firstLine="480"/>
        <w:spacing w:after="0" w:line="266" w:lineRule="auto"/>
        <w:rPr>
          <w:sz w:val="20"/>
          <w:szCs w:val="20"/>
          <w:color w:val="auto"/>
        </w:rPr>
      </w:pPr>
      <w:r>
        <w:rPr>
          <w:rFonts w:ascii="Arial" w:cs="Arial" w:eastAsia="Arial" w:hAnsi="Arial"/>
          <w:sz w:val="17"/>
          <w:szCs w:val="17"/>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224" w:lineRule="exact"/>
        <w:rPr>
          <w:sz w:val="20"/>
          <w:szCs w:val="20"/>
          <w:color w:val="auto"/>
        </w:rPr>
      </w:pPr>
    </w:p>
    <w:p>
      <w:pPr>
        <w:jc w:val="both"/>
        <w:ind w:firstLine="569"/>
        <w:spacing w:after="0" w:line="274" w:lineRule="auto"/>
        <w:rPr>
          <w:sz w:val="20"/>
          <w:szCs w:val="20"/>
          <w:color w:val="auto"/>
        </w:rPr>
      </w:pPr>
      <w:r>
        <w:rPr>
          <w:rFonts w:ascii="Arial" w:cs="Arial" w:eastAsia="Arial" w:hAnsi="Arial"/>
          <w:sz w:val="17"/>
          <w:szCs w:val="17"/>
          <w:color w:val="auto"/>
        </w:rPr>
        <w:t>An investment in the Company involves risks. You should carefully read this entire report and consider the uncertainties and risks discussed in the “Risk Factors” section in Part II, Item 1A of this report, which may adversely affect our business, financial condition, or results of operations, along with the other information included in our other filings with the Securities and Exchange Commission, before deciding to invest in the Company. A summary of the principal factors that make an investment in the Company speculative or risky is set forth below.</w:t>
      </w:r>
    </w:p>
    <w:p>
      <w:pPr>
        <w:spacing w:after="0" w:line="175" w:lineRule="exact"/>
        <w:rPr>
          <w:sz w:val="20"/>
          <w:szCs w:val="20"/>
          <w:color w:val="auto"/>
        </w:rPr>
      </w:pPr>
    </w:p>
    <w:p>
      <w:pPr>
        <w:ind w:left="640" w:hanging="313"/>
        <w:spacing w:after="0" w:line="25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novel coronavirus (“COVID-19”) pandemic could create challenges in all aspects of our business, including, without limitation, delays, stoppages, difficulties, and increased expenses with respect to our and our partners’ development, regulatory processes, and supply chains, negatively impact our ability to access the capital or credit markets to finance our operations, or have the effect of heightening many of the risks described below or in the “Risk Factors” section in Part II, Item 1A of this report.</w:t>
      </w:r>
    </w:p>
    <w:p>
      <w:pPr>
        <w:spacing w:after="0" w:line="187"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losses since our inception, expect to continue to incur losses, and may never be profitable.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need to raise additional capital in the future. If we are unable to raise capital when needed, we may need to adjust our operations.</w:t>
      </w:r>
    </w:p>
    <w:p>
      <w:pPr>
        <w:spacing w:after="0" w:line="231" w:lineRule="exact"/>
        <w:rPr>
          <w:rFonts w:ascii="Arial" w:cs="Arial" w:eastAsia="Arial" w:hAnsi="Arial"/>
          <w:sz w:val="17"/>
          <w:szCs w:val="17"/>
          <w:color w:val="auto"/>
        </w:rPr>
      </w:pPr>
    </w:p>
    <w:p>
      <w:pPr>
        <w:ind w:left="640" w:right="60" w:hanging="313"/>
        <w:spacing w:after="0" w:line="26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success depends upon our ability to advance our product candidates through the various stages of development, especially through the clinical trial process, to receive and maintain regulatory approval for the commercial sale of our product candidates, and to successfully commercialize any approved products.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or take other actions that could materially impact the cost, timing, and success of our planned development strategies.</w:t>
      </w:r>
    </w:p>
    <w:p>
      <w:pPr>
        <w:spacing w:after="0" w:line="179" w:lineRule="exact"/>
        <w:rPr>
          <w:rFonts w:ascii="Arial" w:cs="Arial" w:eastAsia="Arial" w:hAnsi="Arial"/>
          <w:sz w:val="17"/>
          <w:szCs w:val="17"/>
          <w:color w:val="auto"/>
        </w:rPr>
      </w:pPr>
    </w:p>
    <w:p>
      <w:pPr>
        <w:ind w:left="640" w:right="300" w:hanging="313"/>
        <w:spacing w:after="0" w:line="25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spacing w:after="0" w:line="189" w:lineRule="exact"/>
        <w:rPr>
          <w:rFonts w:ascii="Arial" w:cs="Arial" w:eastAsia="Arial" w:hAnsi="Arial"/>
          <w:sz w:val="18"/>
          <w:szCs w:val="18"/>
          <w:color w:val="auto"/>
        </w:rPr>
      </w:pPr>
    </w:p>
    <w:p>
      <w:pPr>
        <w:ind w:left="640" w:right="1180" w:hanging="313"/>
        <w:spacing w:after="0" w:line="27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obtain additional financing or acceptable partnership arrangements, we may be unable to complete the development and commercialization of our products and product candidates or continue operations.</w:t>
      </w:r>
    </w:p>
    <w:p>
      <w:pPr>
        <w:spacing w:after="0" w:line="174" w:lineRule="exact"/>
        <w:rPr>
          <w:rFonts w:ascii="Arial" w:cs="Arial" w:eastAsia="Arial" w:hAnsi="Arial"/>
          <w:sz w:val="18"/>
          <w:szCs w:val="18"/>
          <w:color w:val="auto"/>
        </w:rPr>
      </w:pPr>
    </w:p>
    <w:p>
      <w:pPr>
        <w:ind w:left="640" w:right="220" w:hanging="313"/>
        <w:spacing w:after="0" w:line="25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 viability of any approved product could be compromised if the product is less effective than expected, causes undesirable side effects that were not previously identified, or fails to achieve market acceptance by physicians, patients, third-party payors, health authorities, and others.</w:t>
      </w:r>
    </w:p>
    <w:p>
      <w:pPr>
        <w:spacing w:after="0" w:line="186" w:lineRule="exact"/>
        <w:rPr>
          <w:rFonts w:ascii="Arial" w:cs="Arial" w:eastAsia="Arial" w:hAnsi="Arial"/>
          <w:sz w:val="18"/>
          <w:szCs w:val="18"/>
          <w:color w:val="auto"/>
        </w:rPr>
      </w:pPr>
    </w:p>
    <w:p>
      <w:pPr>
        <w:ind w:left="640" w:right="60" w:hanging="313"/>
        <w:spacing w:after="0" w:line="27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can be no assurance that our or our partners’ commercialization efforts, methods, and strategies for our products or technologies will succeed, and our future revenue generation is uncertain.</w:t>
      </w:r>
    </w:p>
    <w:p>
      <w:pPr>
        <w:spacing w:after="0" w:line="174" w:lineRule="exact"/>
        <w:rPr>
          <w:rFonts w:ascii="Arial" w:cs="Arial" w:eastAsia="Arial" w:hAnsi="Arial"/>
          <w:sz w:val="18"/>
          <w:szCs w:val="18"/>
          <w:color w:val="auto"/>
        </w:rPr>
      </w:pPr>
    </w:p>
    <w:p>
      <w:pPr>
        <w:ind w:left="640" w:right="100" w:hanging="313"/>
        <w:spacing w:after="0" w:line="27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continue expanding our development and regulatory capabilities and implementing sales, marketing, and distribution capabilities, and as a result, we may encounter difficulties managing our growth, which could disrupt our operations.</w:t>
      </w:r>
    </w:p>
    <w:p>
      <w:pPr>
        <w:spacing w:after="0" w:line="174" w:lineRule="exact"/>
        <w:rPr>
          <w:rFonts w:ascii="Arial" w:cs="Arial" w:eastAsia="Arial" w:hAnsi="Arial"/>
          <w:sz w:val="18"/>
          <w:szCs w:val="18"/>
          <w:color w:val="auto"/>
        </w:rPr>
      </w:pPr>
    </w:p>
    <w:p>
      <w:pPr>
        <w:ind w:left="640" w:right="220" w:hanging="313"/>
        <w:spacing w:after="0" w:line="27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 w:name="page5"/>
    <w:bookmarkEnd w:id="4"/>
    <w:p>
      <w:pPr>
        <w:ind w:left="320" w:right="160" w:hanging="313"/>
        <w:spacing w:after="0" w:line="274"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174" w:lineRule="exact"/>
        <w:rPr>
          <w:rFonts w:ascii="Arial" w:cs="Arial" w:eastAsia="Arial" w:hAnsi="Arial"/>
          <w:sz w:val="17"/>
          <w:szCs w:val="17"/>
          <w:color w:val="auto"/>
        </w:rPr>
      </w:pPr>
    </w:p>
    <w:p>
      <w:pPr>
        <w:ind w:left="320" w:right="580" w:hanging="313"/>
        <w:spacing w:after="0" w:line="258"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adequately protect or enforce our intellectual property rights or secure rights to patents of others, the value of those rights would diminish. Legal proceedings to protect or enforce our patents, the patents of our partners, or our other intellectual property rights could be expensive, time consuming, and unsuccessful.</w:t>
      </w:r>
    </w:p>
    <w:p>
      <w:pPr>
        <w:spacing w:after="0" w:line="186" w:lineRule="exact"/>
        <w:rPr>
          <w:rFonts w:ascii="Arial" w:cs="Arial" w:eastAsia="Arial" w:hAnsi="Arial"/>
          <w:sz w:val="18"/>
          <w:szCs w:val="18"/>
          <w:color w:val="auto"/>
        </w:rPr>
      </w:pPr>
    </w:p>
    <w:p>
      <w:pPr>
        <w:ind w:left="320" w:right="120" w:hanging="313"/>
        <w:spacing w:after="0" w:line="270"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an inherent risk of liability in the event that the use or misuse of our products or product candidates results in personal injury or death, and our product liability insurance coverage may be insufficient.</w:t>
      </w:r>
    </w:p>
    <w:p>
      <w:pPr>
        <w:spacing w:after="0" w:line="174" w:lineRule="exact"/>
        <w:rPr>
          <w:rFonts w:ascii="Arial" w:cs="Arial" w:eastAsia="Arial" w:hAnsi="Arial"/>
          <w:sz w:val="18"/>
          <w:szCs w:val="18"/>
          <w:color w:val="auto"/>
        </w:rPr>
      </w:pPr>
    </w:p>
    <w:p>
      <w:pPr>
        <w:ind w:left="320" w:right="200" w:hanging="313"/>
        <w:spacing w:after="0" w:line="258"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risks related to our government-funded programs and are subject to various U.S. Government contract requirements, which typically contain a number of extraordinary provisions that would not typically be found in commercial contracts and which may create a disadvantage and additional risks to us as compared to competitors that do not rely on U.S. Government contracts.</w:t>
      </w:r>
    </w:p>
    <w:p>
      <w:pPr>
        <w:spacing w:after="0" w:line="186" w:lineRule="exact"/>
        <w:rPr>
          <w:rFonts w:ascii="Arial" w:cs="Arial" w:eastAsia="Arial" w:hAnsi="Arial"/>
          <w:sz w:val="18"/>
          <w:szCs w:val="18"/>
          <w:color w:val="auto"/>
        </w:rPr>
      </w:pPr>
    </w:p>
    <w:p>
      <w:pPr>
        <w:ind w:left="320" w:right="20" w:hanging="313"/>
        <w:spacing w:after="0" w:line="270"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reach milestones or to make annual minimum payments or otherwise breach our obligations under our license agreements, our licensors may terminate our agreements with them and seek additional remedies.</w:t>
      </w:r>
    </w:p>
    <w:p>
      <w:pPr>
        <w:spacing w:after="0" w:line="174" w:lineRule="exact"/>
        <w:rPr>
          <w:rFonts w:ascii="Arial" w:cs="Arial" w:eastAsia="Arial" w:hAnsi="Arial"/>
          <w:sz w:val="18"/>
          <w:szCs w:val="18"/>
          <w:color w:val="auto"/>
        </w:rPr>
      </w:pPr>
    </w:p>
    <w:p>
      <w:pPr>
        <w:ind w:left="320" w:hanging="313"/>
        <w:spacing w:after="0" w:line="255"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Credit Agreement contains conditions and restrictions that limit our flexibility in drawing on the additional funds thereunder and in operating our business. We may be required to make a prepayment or repay our outstanding indebtedness under the Credit Agreement earlier than we expect if a prepayment event or an event of default occurs, including a material adverse change with respect to us, which could have a material adverse effect on our business.</w:t>
      </w:r>
    </w:p>
    <w:p>
      <w:pPr>
        <w:spacing w:after="0" w:line="187" w:lineRule="exact"/>
        <w:rPr>
          <w:rFonts w:ascii="Arial" w:cs="Arial" w:eastAsia="Arial" w:hAnsi="Arial"/>
          <w:sz w:val="18"/>
          <w:szCs w:val="18"/>
          <w:color w:val="auto"/>
        </w:rPr>
      </w:pPr>
    </w:p>
    <w:p>
      <w:pPr>
        <w:ind w:left="320" w:right="280" w:hanging="313"/>
        <w:spacing w:after="0" w:line="253"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expansion of our business exposes us to business, regulatory, political, operational, financial, and economic risks. For example, our actual or perceived failure to comply with European governmental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89"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facilities incur damage or power is lost for a significant length of time, our business will suffer.</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disruption in our information technology systems or a cybersecurity breach could adversely affect our business.</w:t>
      </w:r>
    </w:p>
    <w:p>
      <w:pPr>
        <w:spacing w:after="0" w:line="219" w:lineRule="exact"/>
        <w:rPr>
          <w:rFonts w:ascii="Arial" w:cs="Arial" w:eastAsia="Arial" w:hAnsi="Arial"/>
          <w:sz w:val="18"/>
          <w:szCs w:val="18"/>
          <w:color w:val="auto"/>
        </w:rPr>
      </w:pPr>
    </w:p>
    <w:p>
      <w:pPr>
        <w:ind w:left="320" w:right="280" w:hanging="313"/>
        <w:spacing w:after="0" w:line="270"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existing principal stockholders hold a substantial amount of our common stock and may be able to influence significant corporate decisions, which may conflict with the interests of other stockholders.</w:t>
      </w:r>
    </w:p>
    <w:p>
      <w:pPr>
        <w:spacing w:after="0" w:line="174" w:lineRule="exact"/>
        <w:rPr>
          <w:rFonts w:ascii="Arial" w:cs="Arial" w:eastAsia="Arial" w:hAnsi="Arial"/>
          <w:sz w:val="18"/>
          <w:szCs w:val="18"/>
          <w:color w:val="auto"/>
        </w:rPr>
      </w:pPr>
    </w:p>
    <w:p>
      <w:pPr>
        <w:ind w:left="320" w:right="440" w:hanging="313"/>
        <w:spacing w:after="0" w:line="270"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stock price has been, and is likely to continue to be, highly volatile, which could cause the value of an investment in our common stock to decline significantly.</w:t>
      </w:r>
    </w:p>
    <w:p>
      <w:pPr>
        <w:spacing w:after="0" w:line="174" w:lineRule="exact"/>
        <w:rPr>
          <w:rFonts w:ascii="Arial" w:cs="Arial" w:eastAsia="Arial" w:hAnsi="Arial"/>
          <w:sz w:val="18"/>
          <w:szCs w:val="18"/>
          <w:color w:val="auto"/>
        </w:rPr>
      </w:pPr>
    </w:p>
    <w:p>
      <w:pPr>
        <w:ind w:left="320" w:right="220" w:hanging="313"/>
        <w:spacing w:after="0" w:line="333"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Natural disasters, epidemic or pandemic disease outbreaks, trade wars, political unrest, or other events could disrupt our business or operations or those of our development partners, manufacturers, regulators, or third parties with whom we conduct business now or in the future.</w:t>
      </w:r>
    </w:p>
    <w:p>
      <w:pPr>
        <w:spacing w:after="0" w:line="129" w:lineRule="exact"/>
        <w:rPr>
          <w:rFonts w:ascii="Arial" w:cs="Arial" w:eastAsia="Arial" w:hAnsi="Arial"/>
          <w:sz w:val="16"/>
          <w:szCs w:val="16"/>
          <w:color w:val="auto"/>
        </w:rPr>
      </w:pPr>
    </w:p>
    <w:p>
      <w:pPr>
        <w:ind w:left="320" w:hanging="313"/>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subject to legal proceedings, which could harm our reputation or result in other losses or unexpected expenditure of time and resources.</w:t>
      </w:r>
    </w:p>
    <w:p>
      <w:pPr>
        <w:spacing w:after="0" w:line="242" w:lineRule="exact"/>
        <w:rPr>
          <w:rFonts w:ascii="Arial" w:cs="Arial" w:eastAsia="Arial" w:hAnsi="Arial"/>
          <w:sz w:val="16"/>
          <w:szCs w:val="16"/>
          <w:color w:val="auto"/>
        </w:rPr>
      </w:pPr>
    </w:p>
    <w:p>
      <w:pPr>
        <w:ind w:left="320" w:right="240" w:hanging="313"/>
        <w:spacing w:after="0" w:line="270"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7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81280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00"/>
          </w:cols>
          <w:pgMar w:left="640" w:top="579"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7820" w:type="dxa"/>
            <w:vAlign w:val="bottom"/>
          </w:tcPr>
          <w:p>
            <w:pPr>
              <w:jc w:val="center"/>
              <w:ind w:left="3331"/>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667"/>
        </w:trPr>
        <w:tc>
          <w:tcPr>
            <w:tcW w:w="78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7"/>
        </w:trPr>
        <w:tc>
          <w:tcPr>
            <w:tcW w:w="7820" w:type="dxa"/>
            <w:vAlign w:val="bottom"/>
          </w:tcPr>
          <w:p>
            <w:pPr>
              <w:jc w:val="center"/>
              <w:ind w:left="3351"/>
              <w:spacing w:after="0"/>
              <w:rPr>
                <w:sz w:val="20"/>
                <w:szCs w:val="20"/>
                <w:color w:val="auto"/>
              </w:rPr>
            </w:pPr>
            <w:r>
              <w:rPr>
                <w:rFonts w:ascii="Arial" w:cs="Arial" w:eastAsia="Arial" w:hAnsi="Arial"/>
                <w:sz w:val="18"/>
                <w:szCs w:val="18"/>
                <w:b w:val="1"/>
                <w:bCs w:val="1"/>
                <w:color w:val="auto"/>
                <w:w w:val="99"/>
              </w:rPr>
              <w:t>BIOCRYST PHARMACEUTICALS, INC.</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7"/>
        </w:trPr>
        <w:tc>
          <w:tcPr>
            <w:tcW w:w="7820" w:type="dxa"/>
            <w:vAlign w:val="bottom"/>
          </w:tcPr>
          <w:p>
            <w:pPr>
              <w:jc w:val="center"/>
              <w:ind w:left="3331"/>
              <w:spacing w:after="0"/>
              <w:rPr>
                <w:sz w:val="20"/>
                <w:szCs w:val="20"/>
                <w:color w:val="auto"/>
              </w:rPr>
            </w:pPr>
            <w:r>
              <w:rPr>
                <w:rFonts w:ascii="Arial" w:cs="Arial" w:eastAsia="Arial" w:hAnsi="Arial"/>
                <w:sz w:val="18"/>
                <w:szCs w:val="18"/>
                <w:b w:val="1"/>
                <w:bCs w:val="1"/>
                <w:color w:val="auto"/>
                <w:w w:val="98"/>
              </w:rPr>
              <w:t>CONSOLIDATED BALANCE SHEETS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7"/>
        </w:trPr>
        <w:tc>
          <w:tcPr>
            <w:tcW w:w="7820" w:type="dxa"/>
            <w:vAlign w:val="bottom"/>
          </w:tcPr>
          <w:p>
            <w:pPr>
              <w:jc w:val="center"/>
              <w:ind w:left="3351"/>
              <w:spacing w:after="0"/>
              <w:rPr>
                <w:sz w:val="20"/>
                <w:szCs w:val="20"/>
                <w:color w:val="auto"/>
              </w:rPr>
            </w:pPr>
            <w:r>
              <w:rPr>
                <w:rFonts w:ascii="Arial" w:cs="Arial" w:eastAsia="Arial" w:hAnsi="Arial"/>
                <w:sz w:val="18"/>
                <w:szCs w:val="18"/>
                <w:b w:val="1"/>
                <w:bCs w:val="1"/>
                <w:color w:val="auto"/>
                <w:w w:val="88"/>
              </w:rPr>
              <w:t>September 30, 2021 and December 31, 2020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7"/>
        </w:trPr>
        <w:tc>
          <w:tcPr>
            <w:tcW w:w="7820" w:type="dxa"/>
            <w:vAlign w:val="bottom"/>
          </w:tcPr>
          <w:p>
            <w:pPr>
              <w:jc w:val="center"/>
              <w:ind w:left="3351"/>
              <w:spacing w:after="0"/>
              <w:rPr>
                <w:sz w:val="20"/>
                <w:szCs w:val="20"/>
                <w:color w:val="auto"/>
              </w:rPr>
            </w:pPr>
            <w:r>
              <w:rPr>
                <w:rFonts w:ascii="Arial" w:cs="Arial" w:eastAsia="Arial" w:hAnsi="Arial"/>
                <w:sz w:val="18"/>
                <w:szCs w:val="18"/>
                <w:b w:val="1"/>
                <w:bCs w:val="1"/>
                <w:color w:val="auto"/>
                <w:w w:val="88"/>
              </w:rPr>
              <w:t>(In thousands, except per share data)</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0"/>
        </w:trPr>
        <w:tc>
          <w:tcPr>
            <w:tcW w:w="7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2020</w:t>
            </w:r>
          </w:p>
        </w:tc>
      </w:tr>
      <w:tr>
        <w:trPr>
          <w:trHeight w:val="231"/>
        </w:trPr>
        <w:tc>
          <w:tcPr>
            <w:tcW w:w="7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9"/>
              </w:rPr>
              <w:t>(Unaudited)</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(Note 1)</w:t>
            </w:r>
          </w:p>
        </w:tc>
      </w:tr>
      <w:tr>
        <w:trPr>
          <w:trHeight w:val="208"/>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199,597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272,127</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2,221</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28,239</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8,646</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13,663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7,039</w:t>
            </w:r>
          </w:p>
        </w:tc>
      </w:tr>
      <w:tr>
        <w:trPr>
          <w:trHeight w:val="213"/>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8,975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5,528</w:t>
            </w:r>
          </w:p>
        </w:tc>
      </w:tr>
      <w:tr>
        <w:trPr>
          <w:trHeight w:val="207"/>
        </w:trPr>
        <w:tc>
          <w:tcPr>
            <w:tcW w:w="78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252,743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323,800</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7,113</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3,802</w:t>
            </w:r>
          </w:p>
        </w:tc>
      </w:tr>
      <w:tr>
        <w:trPr>
          <w:trHeight w:val="247"/>
        </w:trPr>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265,763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334,715</w:t>
            </w:r>
          </w:p>
        </w:tc>
      </w:tr>
      <w:tr>
        <w:trPr>
          <w:trHeight w:val="194"/>
        </w:trPr>
        <w:tc>
          <w:tcPr>
            <w:tcW w:w="78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19,693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18,713</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56,308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33,942</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Interest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25,553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21,670</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Lease financing obligation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1,179</w:t>
            </w:r>
          </w:p>
        </w:tc>
      </w:tr>
      <w:tr>
        <w:trPr>
          <w:trHeight w:val="213"/>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Non-recourse notes payable</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30,000</w:t>
            </w:r>
          </w:p>
        </w:tc>
      </w:tr>
      <w:tr>
        <w:trPr>
          <w:trHeight w:val="207"/>
        </w:trPr>
        <w:tc>
          <w:tcPr>
            <w:tcW w:w="78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133,608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105,654</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Lease financing obligation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3,871</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Royalty financing obligation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142,114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124,717</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Secured term loan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132,050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119,735</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3"/>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shares authorized - 5,000; no shares issued and outstanding</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199"/>
        </w:trPr>
        <w:tc>
          <w:tcPr>
            <w:tcW w:w="7820" w:type="dxa"/>
            <w:vAlign w:val="bottom"/>
          </w:tcPr>
          <w:p>
            <w:pPr>
              <w:ind w:left="160"/>
              <w:spacing w:after="0" w:line="199" w:lineRule="exact"/>
              <w:rPr>
                <w:sz w:val="20"/>
                <w:szCs w:val="20"/>
                <w:color w:val="auto"/>
              </w:rPr>
            </w:pPr>
            <w:r>
              <w:rPr>
                <w:rFonts w:ascii="Arial" w:cs="Arial" w:eastAsia="Arial" w:hAnsi="Arial"/>
                <w:sz w:val="18"/>
                <w:szCs w:val="18"/>
                <w:color w:val="auto"/>
                <w:w w:val="90"/>
              </w:rPr>
              <w:t>Common stock, $0.01 par value; shares authorized - 450,000; shares issued and outstanding – 179,791 in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7"/>
        </w:trPr>
        <w:tc>
          <w:tcPr>
            <w:tcW w:w="7820" w:type="dxa"/>
            <w:vAlign w:val="bottom"/>
          </w:tcPr>
          <w:p>
            <w:pPr>
              <w:ind w:left="160"/>
              <w:spacing w:after="0"/>
              <w:rPr>
                <w:sz w:val="20"/>
                <w:szCs w:val="20"/>
                <w:color w:val="auto"/>
              </w:rPr>
            </w:pPr>
            <w:r>
              <w:rPr>
                <w:rFonts w:ascii="Arial" w:cs="Arial" w:eastAsia="Arial" w:hAnsi="Arial"/>
                <w:sz w:val="18"/>
                <w:szCs w:val="18"/>
                <w:color w:val="auto"/>
              </w:rPr>
              <w:t>2021 and 176,883 in 2020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1,769</w:t>
            </w:r>
          </w:p>
        </w:tc>
      </w:tr>
      <w:tr>
        <w:trPr>
          <w:trHeight w:val="214"/>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1,040,769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1,002,408</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13"/>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(1,189,725)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(1,023,442)</w:t>
            </w:r>
          </w:p>
        </w:tc>
      </w:tr>
      <w:tr>
        <w:trPr>
          <w:trHeight w:val="207"/>
        </w:trPr>
        <w:tc>
          <w:tcPr>
            <w:tcW w:w="782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(19,262)</w:t>
            </w:r>
          </w:p>
        </w:tc>
      </w:tr>
      <w:tr>
        <w:trPr>
          <w:trHeight w:val="227"/>
        </w:trPr>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265,763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334,715</w:t>
            </w:r>
          </w:p>
        </w:tc>
      </w:tr>
      <w:tr>
        <w:trPr>
          <w:trHeight w:val="20"/>
        </w:trPr>
        <w:tc>
          <w:tcPr>
            <w:tcW w:w="7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2021 and 2020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751"/>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731"/>
              <w:spacing w:after="0"/>
              <w:rPr>
                <w:sz w:val="20"/>
                <w:szCs w:val="20"/>
                <w:color w:val="auto"/>
              </w:rPr>
            </w:pPr>
            <w:r>
              <w:rPr>
                <w:rFonts w:ascii="Arial" w:cs="Arial" w:eastAsia="Arial" w:hAnsi="Arial"/>
                <w:sz w:val="18"/>
                <w:szCs w:val="18"/>
                <w:b w:val="1"/>
                <w:bCs w:val="1"/>
                <w:color w:val="auto"/>
              </w:rPr>
              <w:t>Nine Months</w:t>
            </w:r>
          </w:p>
        </w:tc>
      </w:tr>
      <w:tr>
        <w:trPr>
          <w:trHeight w:val="23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r>
      <w:tr>
        <w:trPr>
          <w:trHeight w:val="208"/>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39,141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2,478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90,442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2,696</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2,243</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Milestone revenue</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Collaborative and other research and development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8,857</w:t>
            </w:r>
          </w:p>
        </w:tc>
      </w:tr>
      <w:tr>
        <w:trPr>
          <w:trHeight w:val="207"/>
        </w:trPr>
        <w:tc>
          <w:tcPr>
            <w:tcW w:w="59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40,994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6,102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110,012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13,796</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1,517</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49,971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30,245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145,279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87,610</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34,992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17,195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83,431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46,943</w:t>
            </w:r>
          </w:p>
        </w:tc>
      </w:tr>
      <w:tr>
        <w:trPr>
          <w:trHeight w:val="21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Royalty</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07"/>
        </w:trPr>
        <w:tc>
          <w:tcPr>
            <w:tcW w:w="59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85,578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48,966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235,555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136,148</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(122,352)</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8,892</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(Loss) gain on foreign currency</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(122,321)</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 (loss) on available for sale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7"/>
        </w:trPr>
        <w:tc>
          <w:tcPr>
            <w:tcW w:w="598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(58,774)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(46,109)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(166,172)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(122,351)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4"/>
        </w:trPr>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(0.33)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(0.26)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(0.93)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(0.75)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1"/>
              <w:spacing w:after="0" w:line="194" w:lineRule="exact"/>
              <w:rPr>
                <w:sz w:val="20"/>
                <w:szCs w:val="20"/>
                <w:color w:val="auto"/>
              </w:rPr>
            </w:pPr>
            <w:r>
              <w:rPr>
                <w:rFonts w:ascii="Arial" w:cs="Arial" w:eastAsia="Arial" w:hAnsi="Arial"/>
                <w:sz w:val="18"/>
                <w:szCs w:val="18"/>
                <w:b w:val="1"/>
                <w:bCs w:val="1"/>
                <w:color w:val="auto"/>
              </w:rPr>
              <w:t>179,106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1"/>
              <w:spacing w:after="0" w:line="194" w:lineRule="exact"/>
              <w:rPr>
                <w:sz w:val="20"/>
                <w:szCs w:val="20"/>
                <w:color w:val="auto"/>
              </w:rPr>
            </w:pPr>
            <w:r>
              <w:rPr>
                <w:rFonts w:ascii="Arial" w:cs="Arial" w:eastAsia="Arial" w:hAnsi="Arial"/>
                <w:sz w:val="18"/>
                <w:szCs w:val="18"/>
                <w:b w:val="1"/>
                <w:bCs w:val="1"/>
                <w:color w:val="auto"/>
              </w:rPr>
              <w:t>176,521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1"/>
              <w:spacing w:after="0" w:line="194" w:lineRule="exact"/>
              <w:rPr>
                <w:sz w:val="20"/>
                <w:szCs w:val="20"/>
                <w:color w:val="auto"/>
              </w:rPr>
            </w:pPr>
            <w:r>
              <w:rPr>
                <w:rFonts w:ascii="Arial" w:cs="Arial" w:eastAsia="Arial" w:hAnsi="Arial"/>
                <w:sz w:val="18"/>
                <w:szCs w:val="18"/>
                <w:b w:val="1"/>
                <w:bCs w:val="1"/>
                <w:color w:val="auto"/>
              </w:rPr>
              <w:t>178,199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1"/>
              <w:spacing w:after="0" w:line="194" w:lineRule="exact"/>
              <w:rPr>
                <w:sz w:val="20"/>
                <w:szCs w:val="20"/>
                <w:color w:val="auto"/>
              </w:rPr>
            </w:pPr>
            <w:r>
              <w:rPr>
                <w:rFonts w:ascii="Arial" w:cs="Arial" w:eastAsia="Arial" w:hAnsi="Arial"/>
                <w:sz w:val="18"/>
                <w:szCs w:val="18"/>
                <w:b w:val="1"/>
                <w:bCs w:val="1"/>
                <w:color w:val="auto"/>
              </w:rPr>
              <w:t>164,127</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99"/>
              </w:rPr>
              <w:t>BIOCRYST PHARMACEUTICALS, INC.</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7"/>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7"/>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89"/>
              </w:rPr>
              <w:t>Nine Months Ended September 30, 2021 and 2020</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7"/>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89"/>
              </w:rPr>
              <w:t>(In thousands-Unaudited)</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8"/>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2020</w:t>
            </w:r>
          </w:p>
        </w:tc>
      </w:tr>
      <w:tr>
        <w:trPr>
          <w:trHeight w:val="208"/>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(166,283)</w:t>
            </w:r>
          </w:p>
        </w:tc>
        <w:tc>
          <w:tcPr>
            <w:tcW w:w="4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(122,321)</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568</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8,907</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Non-cash interest expense on royalty financing obligation</w:t>
            </w:r>
          </w:p>
        </w:tc>
        <w:tc>
          <w:tcPr>
            <w:tcW w:w="32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24,125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paid in-kind interest on secured term loan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1,061</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premium/discount on investments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Change in fair value of foreign currency derivative</w:t>
            </w:r>
          </w:p>
        </w:tc>
        <w:tc>
          <w:tcPr>
            <w:tcW w:w="32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630</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16,724</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16,692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6,725</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Interest payable</w:t>
            </w:r>
          </w:p>
        </w:tc>
        <w:tc>
          <w:tcPr>
            <w:tcW w:w="32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4,400</w:t>
            </w:r>
          </w:p>
        </w:tc>
      </w:tr>
      <w:tr>
        <w:trPr>
          <w:trHeight w:val="213"/>
        </w:trPr>
        <w:tc>
          <w:tcPr>
            <w:tcW w:w="8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r>
      <w:tr>
        <w:trPr>
          <w:trHeight w:val="207"/>
        </w:trPr>
        <w:tc>
          <w:tcPr>
            <w:tcW w:w="8000" w:type="dxa"/>
            <w:vAlign w:val="bottom"/>
          </w:tcPr>
          <w:p>
            <w:pPr>
              <w:ind w:left="320"/>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(109,698)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(92,577)</w:t>
            </w:r>
          </w:p>
        </w:tc>
      </w:tr>
      <w:tr>
        <w:trPr>
          <w:trHeight w:val="213"/>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property and equipment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(49,818)</w:t>
            </w:r>
          </w:p>
        </w:tc>
      </w:tr>
      <w:tr>
        <w:trPr>
          <w:trHeight w:val="21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maturities of investments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28,201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21,907</w:t>
            </w:r>
          </w:p>
        </w:tc>
      </w:tr>
      <w:tr>
        <w:trPr>
          <w:trHeight w:val="207"/>
        </w:trPr>
        <w:tc>
          <w:tcPr>
            <w:tcW w:w="8000" w:type="dxa"/>
            <w:vAlign w:val="bottom"/>
          </w:tcPr>
          <w:p>
            <w:pPr>
              <w:ind w:left="3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Pr>
          <w:p>
            <w:pPr>
              <w:spacing w:after="0"/>
              <w:rPr>
                <w:sz w:val="17"/>
                <w:szCs w:val="17"/>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26,924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(28,270)</w:t>
            </w:r>
          </w:p>
        </w:tc>
      </w:tr>
      <w:tr>
        <w:trPr>
          <w:trHeight w:val="213"/>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92,848</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Sale of pre-funded warrants</w:t>
            </w:r>
          </w:p>
        </w:tc>
        <w:tc>
          <w:tcPr>
            <w:tcW w:w="32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14,817</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Payment of senior credit facility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proceeds from common stock issued under stock-based compensation plans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12,250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1,164</w:t>
            </w:r>
          </w:p>
        </w:tc>
      </w:tr>
      <w:tr>
        <w:trPr>
          <w:trHeight w:val="20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12,250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103,829</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(70,455)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(17,018)</w:t>
            </w:r>
          </w:p>
        </w:tc>
      </w:tr>
      <w:tr>
        <w:trPr>
          <w:trHeight w:val="21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274,348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115,723</w:t>
            </w:r>
          </w:p>
        </w:tc>
      </w:tr>
      <w:tr>
        <w:trPr>
          <w:trHeight w:val="20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203,893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98,705</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8" w:name="page9"/>
    <w:bookmarkEnd w:id="8"/>
    <w:p>
      <w:pPr>
        <w:jc w:val="center"/>
        <w:ind w:left="460"/>
        <w:spacing w:after="0"/>
        <w:rPr>
          <w:sz w:val="20"/>
          <w:szCs w:val="20"/>
          <w:color w:val="auto"/>
        </w:rPr>
      </w:pPr>
      <w:r>
        <w:rPr>
          <w:rFonts w:ascii="Arial" w:cs="Arial" w:eastAsia="Arial" w:hAnsi="Arial"/>
          <w:sz w:val="18"/>
          <w:szCs w:val="18"/>
          <w:b w:val="1"/>
          <w:bCs w:val="1"/>
          <w:color w:val="auto"/>
        </w:rPr>
        <w:t>BIOCRYST PHARMACEUTICALS, INC.</w:t>
      </w:r>
    </w:p>
    <w:p>
      <w:pPr>
        <w:spacing w:after="0" w:line="220"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(DEFICIT)</w:t>
      </w:r>
    </w:p>
    <w:p>
      <w:pPr>
        <w:spacing w:after="0" w:line="22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Three and Nine Months Ended September 30, 2021 and 2020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1"/>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1"/>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23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191"/>
              <w:spacing w:after="0"/>
              <w:rPr>
                <w:sz w:val="20"/>
                <w:szCs w:val="20"/>
                <w:color w:val="auto"/>
              </w:rPr>
            </w:pPr>
            <w:r>
              <w:rPr>
                <w:rFonts w:ascii="Arial" w:cs="Arial" w:eastAsia="Arial" w:hAnsi="Arial"/>
                <w:sz w:val="18"/>
                <w:szCs w:val="18"/>
                <w:b w:val="1"/>
                <w:bCs w:val="1"/>
                <w:color w:val="auto"/>
                <w:w w:val="92"/>
              </w:rPr>
              <w:t>Total</w:t>
            </w:r>
          </w:p>
        </w:tc>
      </w:tr>
      <w:tr>
        <w:trPr>
          <w:trHeight w:val="213"/>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1"/>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3"/>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8"/>
                <w:szCs w:val="18"/>
                <w:color w:val="auto"/>
              </w:rPr>
            </w:pPr>
          </w:p>
        </w:tc>
        <w:tc>
          <w:tcPr>
            <w:tcW w:w="122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87"/>
              </w:rPr>
              <w:t>Stockholders’</w:t>
            </w:r>
          </w:p>
        </w:tc>
      </w:tr>
      <w:tr>
        <w:trPr>
          <w:trHeight w:val="213"/>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191"/>
              <w:spacing w:after="0"/>
              <w:rPr>
                <w:sz w:val="20"/>
                <w:szCs w:val="20"/>
                <w:color w:val="auto"/>
              </w:rPr>
            </w:pPr>
            <w:r>
              <w:rPr>
                <w:rFonts w:ascii="Arial" w:cs="Arial" w:eastAsia="Arial" w:hAnsi="Arial"/>
                <w:sz w:val="18"/>
                <w:szCs w:val="18"/>
                <w:b w:val="1"/>
                <w:bCs w:val="1"/>
                <w:color w:val="auto"/>
                <w:w w:val="94"/>
              </w:rPr>
              <w:t>Equity</w:t>
            </w:r>
          </w:p>
        </w:tc>
      </w:tr>
      <w:tr>
        <w:trPr>
          <w:trHeight w:val="23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8"/>
                <w:szCs w:val="18"/>
                <w:b w:val="1"/>
                <w:bCs w:val="1"/>
                <w:color w:val="auto"/>
                <w:w w:val="88"/>
              </w:rPr>
              <w:t>(Loss) Income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95"/>
              </w:rPr>
              <w:t>(Deficit)</w:t>
            </w:r>
          </w:p>
        </w:tc>
      </w:tr>
      <w:tr>
        <w:trPr>
          <w:trHeight w:val="208"/>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1,002,408</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(1,023,442)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(19,262)</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(64,284)</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Employee stock purchase plan sales, 193 shares, net</w:t>
            </w:r>
          </w:p>
        </w:tc>
        <w:tc>
          <w:tcPr>
            <w:tcW w:w="1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723</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593 shares, net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2,177</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5,479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5,479</w:t>
            </w:r>
          </w:p>
        </w:tc>
      </w:tr>
      <w:tr>
        <w:trPr>
          <w:trHeight w:val="207"/>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1,010,779</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182</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(1,087,726)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(74,988)</w:t>
            </w:r>
          </w:p>
        </w:tc>
      </w:tr>
      <w:tr>
        <w:trPr>
          <w:trHeight w:val="207"/>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(43,198)</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(43,198)</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Exercise of stock options, 1,056 shares, net</w:t>
            </w:r>
          </w:p>
        </w:tc>
        <w:tc>
          <w:tcPr>
            <w:tcW w:w="1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4,574</w:t>
            </w:r>
          </w:p>
        </w:tc>
      </w:tr>
      <w:tr>
        <w:trPr>
          <w:trHeight w:val="21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7,632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7,632</w:t>
            </w:r>
          </w:p>
        </w:tc>
      </w:tr>
      <w:tr>
        <w:trPr>
          <w:trHeight w:val="207"/>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1,787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1,022,975</w:t>
            </w: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87</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(1,130,924)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(106,075)</w:t>
            </w:r>
          </w:p>
        </w:tc>
      </w:tr>
      <w:tr>
        <w:trPr>
          <w:trHeight w:val="20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(58,801)</w:t>
            </w: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(58,801)</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sales, 123 shares, net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1,241</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Exercise of stock options, 942 shares, net</w:t>
            </w:r>
          </w:p>
        </w:tc>
        <w:tc>
          <w:tcPr>
            <w:tcW w:w="1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3,535</w:t>
            </w:r>
          </w:p>
        </w:tc>
      </w:tr>
      <w:tr>
        <w:trPr>
          <w:trHeight w:val="21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13,029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13,029</w:t>
            </w:r>
          </w:p>
        </w:tc>
      </w:tr>
      <w:tr>
        <w:trPr>
          <w:trHeight w:val="207"/>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1,798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1,040,769</w:t>
            </w: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114</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(1,189,725)</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(147,044)</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816"/>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1"/>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1"/>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23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191"/>
              <w:spacing w:after="0"/>
              <w:rPr>
                <w:sz w:val="20"/>
                <w:szCs w:val="20"/>
                <w:color w:val="auto"/>
              </w:rPr>
            </w:pPr>
            <w:r>
              <w:rPr>
                <w:rFonts w:ascii="Arial" w:cs="Arial" w:eastAsia="Arial" w:hAnsi="Arial"/>
                <w:sz w:val="18"/>
                <w:szCs w:val="18"/>
                <w:b w:val="1"/>
                <w:bCs w:val="1"/>
                <w:color w:val="auto"/>
                <w:w w:val="92"/>
              </w:rPr>
              <w:t>Total</w:t>
            </w:r>
          </w:p>
        </w:tc>
      </w:tr>
      <w:tr>
        <w:trPr>
          <w:trHeight w:val="213"/>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1"/>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3"/>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8"/>
                <w:szCs w:val="18"/>
                <w:color w:val="auto"/>
              </w:rPr>
            </w:pPr>
          </w:p>
        </w:tc>
        <w:tc>
          <w:tcPr>
            <w:tcW w:w="122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87"/>
              </w:rPr>
              <w:t>Stockholders’</w:t>
            </w:r>
          </w:p>
        </w:tc>
      </w:tr>
      <w:tr>
        <w:trPr>
          <w:trHeight w:val="213"/>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191"/>
              <w:spacing w:after="0"/>
              <w:rPr>
                <w:sz w:val="20"/>
                <w:szCs w:val="20"/>
                <w:color w:val="auto"/>
              </w:rPr>
            </w:pPr>
            <w:r>
              <w:rPr>
                <w:rFonts w:ascii="Arial" w:cs="Arial" w:eastAsia="Arial" w:hAnsi="Arial"/>
                <w:sz w:val="18"/>
                <w:szCs w:val="18"/>
                <w:b w:val="1"/>
                <w:bCs w:val="1"/>
                <w:color w:val="auto"/>
                <w:w w:val="94"/>
              </w:rPr>
              <w:t>Equity</w:t>
            </w:r>
          </w:p>
        </w:tc>
      </w:tr>
      <w:tr>
        <w:trPr>
          <w:trHeight w:val="23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8"/>
                <w:szCs w:val="18"/>
                <w:b w:val="1"/>
                <w:bCs w:val="1"/>
                <w:color w:val="auto"/>
                <w:w w:val="88"/>
              </w:rPr>
              <w:t>(Loss) Income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95"/>
              </w:rPr>
              <w:t>(Deficit)</w:t>
            </w:r>
          </w:p>
        </w:tc>
      </w:tr>
      <w:tr>
        <w:trPr>
          <w:trHeight w:val="208"/>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877,300</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(840,628)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38,252</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(37,599)</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Employee stock purchase plan sales, 110 shares, net</w:t>
            </w:r>
          </w:p>
        </w:tc>
        <w:tc>
          <w:tcPr>
            <w:tcW w:w="1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266</w:t>
            </w:r>
          </w:p>
        </w:tc>
      </w:tr>
      <w:tr>
        <w:trPr>
          <w:trHeight w:val="21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2,754</w:t>
            </w:r>
          </w:p>
        </w:tc>
      </w:tr>
      <w:tr>
        <w:trPr>
          <w:trHeight w:val="207"/>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1,542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880,319</w:t>
            </w: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14</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(878,227)</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3,648</w:t>
            </w:r>
          </w:p>
        </w:tc>
      </w:tr>
      <w:tr>
        <w:trPr>
          <w:trHeight w:val="20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(38,607)</w:t>
            </w: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(38,607)</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193 shares, net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Issuance of common stock, 22,044 shares, net</w:t>
            </w:r>
          </w:p>
        </w:tc>
        <w:tc>
          <w:tcPr>
            <w:tcW w:w="1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92,628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92,848</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pre-funded warrants, 3,511 warrants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14,817</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3,280</w:t>
            </w:r>
          </w:p>
        </w:tc>
      </w:tr>
      <w:tr>
        <w:trPr>
          <w:trHeight w:val="207"/>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991,574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(916,834)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76,507</w:t>
            </w:r>
          </w:p>
        </w:tc>
      </w:tr>
      <w:tr>
        <w:trPr>
          <w:trHeight w:val="207"/>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(46,115)</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(46,115)</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Employee stock purchase plan sales, 137 shares, net</w:t>
            </w:r>
          </w:p>
        </w:tc>
        <w:tc>
          <w:tcPr>
            <w:tcW w:w="1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366</w:t>
            </w:r>
          </w:p>
        </w:tc>
      </w:tr>
      <w:tr>
        <w:trPr>
          <w:trHeight w:val="21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2,873</w:t>
            </w:r>
          </w:p>
        </w:tc>
      </w:tr>
      <w:tr>
        <w:trPr>
          <w:trHeight w:val="207"/>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at September 30, 2020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1,766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994,811</w:t>
            </w: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9</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(962,949)</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33,637</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5" w:right="339" w:bottom="917"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BIOCRYST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0" w:lineRule="exact"/>
        <w:rPr>
          <w:sz w:val="20"/>
          <w:szCs w:val="20"/>
          <w:color w:val="auto"/>
        </w:rPr>
      </w:pPr>
    </w:p>
    <w:p>
      <w:pPr>
        <w:ind w:firstLine="480"/>
        <w:spacing w:after="0" w:line="252" w:lineRule="auto"/>
        <w:rPr>
          <w:sz w:val="20"/>
          <w:szCs w:val="20"/>
          <w:color w:val="auto"/>
        </w:rPr>
      </w:pPr>
      <w:r>
        <w:rPr>
          <w:rFonts w:ascii="Arial" w:cs="Arial" w:eastAsia="Arial" w:hAnsi="Arial"/>
          <w:sz w:val="18"/>
          <w:szCs w:val="18"/>
          <w:color w:val="auto"/>
        </w:rPr>
        <w:t>BioCryst Pharmaceuticals, Inc. (the “Company”) is a commercial-stage biotechnology company that discovers novel, small-molecule medicines. The Company focuses on the treatment of rare diseases in which significant unmet medical needs exist and an enzyme plays the key role in the biological pathway of the disease. The Company was founded in 1986 and incorporated in Delaware in 1991, and its headquarters is located in Durham, North Carolina. The Company integrates the disciplines of biology, crystallography, medicinal chemistry and computer modeling to discover and develop small molecule pharmaceuticals through the process known as structure-guided drug design. The Company has incurred losses and negative cash flows from operations since inception.</w:t>
      </w:r>
    </w:p>
    <w:p>
      <w:pPr>
        <w:spacing w:after="0" w:line="190" w:lineRule="exact"/>
        <w:rPr>
          <w:sz w:val="20"/>
          <w:szCs w:val="20"/>
          <w:color w:val="auto"/>
        </w:rPr>
      </w:pPr>
    </w:p>
    <w:p>
      <w:pPr>
        <w:ind w:right="20" w:firstLine="480"/>
        <w:spacing w:after="0" w:line="282" w:lineRule="auto"/>
        <w:rPr>
          <w:sz w:val="20"/>
          <w:szCs w:val="20"/>
          <w:color w:val="auto"/>
        </w:rPr>
      </w:pPr>
      <w:r>
        <w:rPr>
          <w:rFonts w:ascii="Arial" w:cs="Arial" w:eastAsia="Arial" w:hAnsi="Arial"/>
          <w:sz w:val="16"/>
          <w:szCs w:val="16"/>
          <w:color w:val="auto"/>
        </w:rPr>
        <w:t>Based on the Company’s expectations for revenue, operating expenses, and its option to access an additional $75 million from its existing credit facility, the Company believes its financial resources available at September 30, 2021 will be sufficient to fund its operations into 2023. The Company has sustained operating losses for the majority of its corporate history and expects that its 2021 expenses will exceed its 2021 revenues. The Company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regularly evaluates other opportunities to fund future operations, including: (1) securing or increasing U.S. Government funding of its programs, including obtaining procurement contracts; (2) out-licensing rights to certain of its products or product candidates, pursuant to which the Company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its overhead structure. The Company may issue securities, including common stock, preferred stock, depositary shares, purchase contracts, warrants, debt securities and units, through private placement transactions or registered public offerings in the future. The Company’s future liquidity needs, and ability to address those needs, will largely be determined by the success of its products and product candidates, the timing, scope and magnitude of its commercial expenses and key development and regulatory events, and its decisions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transactions and balances among the consolidated entities have been eliminated from the consolidated financial statements.</w:t>
      </w:r>
    </w:p>
    <w:p>
      <w:pPr>
        <w:spacing w:after="0" w:line="175" w:lineRule="exact"/>
        <w:rPr>
          <w:sz w:val="20"/>
          <w:szCs w:val="20"/>
          <w:color w:val="auto"/>
        </w:rPr>
      </w:pPr>
    </w:p>
    <w:p>
      <w:pPr>
        <w:ind w:right="20" w:firstLine="516"/>
        <w:spacing w:after="0" w:line="253"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consolidated financial position, results of operations, and cash flows. There were no adjustments other than normal recurring adjustments.</w:t>
      </w:r>
    </w:p>
    <w:p>
      <w:pPr>
        <w:spacing w:after="0" w:line="190" w:lineRule="exact"/>
        <w:rPr>
          <w:sz w:val="20"/>
          <w:szCs w:val="20"/>
          <w:color w:val="auto"/>
        </w:rPr>
      </w:pPr>
    </w:p>
    <w:p>
      <w:pPr>
        <w:ind w:right="200" w:firstLine="516"/>
        <w:spacing w:after="0" w:line="255" w:lineRule="auto"/>
        <w:rPr>
          <w:sz w:val="20"/>
          <w:szCs w:val="20"/>
          <w:color w:val="auto"/>
        </w:rPr>
      </w:pPr>
      <w:r>
        <w:rPr>
          <w:rFonts w:ascii="Arial" w:cs="Arial" w:eastAsia="Arial" w:hAnsi="Arial"/>
          <w:sz w:val="18"/>
          <w:szCs w:val="18"/>
          <w:color w:val="auto"/>
        </w:rPr>
        <w:t>These financial statements should be read in conjunction with the financial statements for the year ended December 31, 2020 and the notes thereto included in the Company’s 2020 Annual Report on Form 10-K. Interim operating results are not necessarily indicative of operating results for the full year. The balance sheet as of December 31, 2020 has been derived from the audited consolidated financial statements included in the Company’s most recent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0" w:lineRule="exact"/>
        <w:rPr>
          <w:sz w:val="20"/>
          <w:szCs w:val="20"/>
          <w:color w:val="auto"/>
        </w:rPr>
      </w:pPr>
    </w:p>
    <w:p>
      <w:pPr>
        <w:ind w:right="180" w:firstLine="516"/>
        <w:spacing w:after="0" w:line="258" w:lineRule="auto"/>
        <w:rPr>
          <w:sz w:val="20"/>
          <w:szCs w:val="20"/>
          <w:color w:val="auto"/>
        </w:rPr>
      </w:pPr>
      <w:r>
        <w:rPr>
          <w:rFonts w:ascii="Arial" w:cs="Arial" w:eastAsia="Arial" w:hAnsi="Arial"/>
          <w:sz w:val="18"/>
          <w:szCs w:val="18"/>
          <w:color w:val="auto"/>
        </w:rPr>
        <w:t>The Company generally considers cash equivalents to be all cash held in commercial checking accounts, certificates of deposit, money market accounts or investments in debt instruments with maturities of three months or less at the time of purchase. The carrying value of cash and cash equivalents approximates fair value due to the short-term nature of these items.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0" w:lineRule="exact"/>
        <w:rPr>
          <w:sz w:val="20"/>
          <w:szCs w:val="20"/>
          <w:color w:val="auto"/>
        </w:rPr>
      </w:pPr>
    </w:p>
    <w:p>
      <w:pPr>
        <w:ind w:right="140" w:firstLine="516"/>
        <w:spacing w:after="0" w:line="306" w:lineRule="auto"/>
        <w:rPr>
          <w:sz w:val="20"/>
          <w:szCs w:val="20"/>
          <w:color w:val="auto"/>
        </w:rPr>
      </w:pPr>
      <w:r>
        <w:rPr>
          <w:rFonts w:ascii="Arial" w:cs="Arial" w:eastAsia="Arial" w:hAnsi="Arial"/>
          <w:sz w:val="16"/>
          <w:szCs w:val="16"/>
          <w:color w:val="auto"/>
        </w:rPr>
        <w:t>Restricted cash as of September 30, 2021 and December 31, 2020 reflects $2,872 and $796, respectively, in royalty revenue paid by Shionogi &amp; Co., Ltd. (“Shionogi”) designated for interest on the PhaRMA Notes (defined in Note 2) and $1,424 and $1,425, respectively, the Company is required to maintain as collateral for a letter of credit associated with the lease execution and build-out of its Birmingham research facilities.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0"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municipal and corporate notes and bonds, commercial paper and asset or mortgage-backed securities, among others. The Company’s investment policy requires it to purchase high-quality marketable securities with a maximum individual maturity of three years and requires an average portfolio maturity of no more than 18 months. Some of the securities the Company invests in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167" w:lineRule="exact"/>
        <w:rPr>
          <w:sz w:val="20"/>
          <w:szCs w:val="20"/>
          <w:color w:val="auto"/>
        </w:rPr>
      </w:pPr>
    </w:p>
    <w:p>
      <w:pPr>
        <w:ind w:right="80" w:firstLine="480"/>
        <w:spacing w:after="0" w:line="286" w:lineRule="auto"/>
        <w:rPr>
          <w:sz w:val="20"/>
          <w:szCs w:val="20"/>
          <w:color w:val="auto"/>
        </w:rPr>
      </w:pPr>
      <w:r>
        <w:rPr>
          <w:rFonts w:ascii="Arial" w:cs="Arial" w:eastAsia="Arial" w:hAnsi="Arial"/>
          <w:sz w:val="16"/>
          <w:szCs w:val="16"/>
          <w:color w:val="auto"/>
        </w:rPr>
        <w:t>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At September 30, 2021, the Company had no investments.</w:t>
      </w:r>
    </w:p>
    <w:p>
      <w:pPr>
        <w:spacing w:after="0" w:line="167" w:lineRule="exact"/>
        <w:rPr>
          <w:sz w:val="20"/>
          <w:szCs w:val="20"/>
          <w:color w:val="auto"/>
        </w:rPr>
      </w:pPr>
    </w:p>
    <w:p>
      <w:pPr>
        <w:ind w:right="60" w:firstLine="516"/>
        <w:spacing w:after="0" w:line="296" w:lineRule="auto"/>
        <w:rPr>
          <w:sz w:val="20"/>
          <w:szCs w:val="20"/>
          <w:color w:val="auto"/>
        </w:rPr>
      </w:pPr>
      <w:r>
        <w:rPr>
          <w:rFonts w:ascii="Arial" w:cs="Arial" w:eastAsia="Arial" w:hAnsi="Arial"/>
          <w:sz w:val="16"/>
          <w:szCs w:val="16"/>
          <w:color w:val="auto"/>
        </w:rPr>
        <w:t>The following table summarizes the fair value of the Company’s investments by type as of December 31, 2020. The estimated fair values of the Company’s fixed income investments are classified as Level 2 in the fair value hierarchy as defined in U.S. GAAP.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which utilize Level 2 inputs.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 2020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89"/>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1"/>
              <w:spacing w:after="0" w:line="18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1"/>
              <w:spacing w:after="0" w:line="18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3"/>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91"/>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w w:val="99"/>
              </w:rPr>
              <w:t>Accrued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31"/>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1"/>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w w:val="95"/>
              </w:rPr>
              <w:t>Estimated</w:t>
            </w:r>
          </w:p>
        </w:tc>
      </w:tr>
      <w:tr>
        <w:trPr>
          <w:trHeight w:val="231"/>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Interest</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77"/>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5"/>
              </w:rPr>
              <w:t>Fair Value</w:t>
            </w:r>
          </w:p>
        </w:tc>
      </w:tr>
      <w:tr>
        <w:trPr>
          <w:trHeight w:val="20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 and its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24,986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3,239</w:t>
            </w:r>
          </w:p>
        </w:tc>
      </w:tr>
      <w:tr>
        <w:trPr>
          <w:trHeight w:val="22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28,211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28,239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19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investments at December 31, 2020 had maturities of one year or less.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0" w:lineRule="exact"/>
        <w:rPr>
          <w:sz w:val="20"/>
          <w:szCs w:val="20"/>
          <w:color w:val="auto"/>
        </w:rPr>
      </w:pPr>
    </w:p>
    <w:p>
      <w:pPr>
        <w:ind w:right="100" w:firstLine="409"/>
        <w:spacing w:after="0" w:line="292" w:lineRule="auto"/>
        <w:rPr>
          <w:sz w:val="20"/>
          <w:szCs w:val="20"/>
          <w:color w:val="auto"/>
        </w:rPr>
      </w:pPr>
      <w:r>
        <w:rPr>
          <w:rFonts w:ascii="Arial" w:cs="Arial" w:eastAsia="Arial" w:hAnsi="Arial"/>
          <w:sz w:val="16"/>
          <w:szCs w:val="16"/>
          <w:color w:val="auto"/>
        </w:rPr>
        <w:t>Receivables from product sales are recorded for amounts due to the Company related to sales of ORLADEYO® and RAPIVAB®. At September 30, 2021 and December 31, 2020, receivables related to sales of ORLADEYO were $22,893 and $149, respectively. At September 30, 2021 and December 31, 2020, receivables related to sales of RAPIVAB were $33 and $254, respectively. Receivables from product sales are evaluated to determine if any reserve or allowance should be recorded based on consideration of the current economic environment, expectations of future economic conditions and the Company’s own historical collection experience. No reserve or allowance amounts were recorded as of September 30, 2021 and December 31, 2020,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Collaborations</w:t>
      </w:r>
    </w:p>
    <w:p>
      <w:pPr>
        <w:spacing w:after="0" w:line="220"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Receivables from collaborations are recorded for amounts due to the Company related to reimbursable research and development costs from the U.S. Department of Health and Human Services, royalty receivables from Shionogi, Green Cross Corporation (“Green Cross”), Torii Pharmaceutical Co., Ltd. (“Torii”) and Mundipharma International Holdings Limited (“Mundipharma”). These receivables are evaluated to determine if any reserve or allowance should be established at each reporting date based on historical collection experience or specific circumstances, and no amounts were recorded at September 30, 2021 and December 31,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At September 30, 2021 and December 31, 2020, the Company had the following receivables.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w w:val="91"/>
              </w:rPr>
              <w:t>September 30, 2021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8"/>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Billed</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Unbilled</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Total</w:t>
            </w:r>
          </w:p>
        </w:tc>
      </w:t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Health and Human Services</w:t>
            </w:r>
          </w:p>
        </w:tc>
        <w:tc>
          <w:tcPr>
            <w:tcW w:w="2520" w:type="dxa"/>
            <w:vAlign w:val="bottom"/>
            <w:gridSpan w:val="2"/>
            <w:shd w:val="clear" w:color="auto" w:fill="CCEEFF"/>
          </w:tcPr>
          <w:p>
            <w:pPr>
              <w:jc w:val="right"/>
              <w:ind w:right="9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3,086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3,086</w:t>
            </w:r>
          </w:p>
        </w:tc>
      </w:tr>
      <w:tr>
        <w:trPr>
          <w:trHeight w:val="213"/>
        </w:trPr>
        <w:tc>
          <w:tcPr>
            <w:tcW w:w="4880" w:type="dxa"/>
            <w:vAlign w:val="bottom"/>
          </w:tcPr>
          <w:p>
            <w:pPr>
              <w:spacing w:after="0"/>
              <w:rPr>
                <w:sz w:val="20"/>
                <w:szCs w:val="20"/>
                <w:color w:val="auto"/>
              </w:rPr>
            </w:pPr>
            <w:r>
              <w:rPr>
                <w:rFonts w:ascii="Arial" w:cs="Arial" w:eastAsia="Arial" w:hAnsi="Arial"/>
                <w:sz w:val="18"/>
                <w:szCs w:val="18"/>
                <w:color w:val="auto"/>
              </w:rPr>
              <w:t>Royalty receivables from partners</w:t>
            </w:r>
          </w:p>
        </w:tc>
        <w:tc>
          <w:tcPr>
            <w:tcW w:w="14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200</w:t>
            </w:r>
          </w:p>
        </w:tc>
      </w:tr>
      <w:tr>
        <w:trPr>
          <w:trHeight w:val="22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receivables</w:t>
            </w:r>
          </w:p>
        </w:tc>
        <w:tc>
          <w:tcPr>
            <w:tcW w:w="2520" w:type="dxa"/>
            <w:vAlign w:val="bottom"/>
            <w:gridSpan w:val="2"/>
            <w:shd w:val="clear" w:color="auto" w:fill="CCEEFF"/>
          </w:tcPr>
          <w:p>
            <w:pPr>
              <w:jc w:val="right"/>
              <w:ind w:right="9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3,086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3,286</w:t>
            </w:r>
          </w:p>
        </w:tc>
      </w:tr>
      <w:tr>
        <w:trPr>
          <w:trHeight w:val="20"/>
        </w:trPr>
        <w:tc>
          <w:tcPr>
            <w:tcW w:w="48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6"/>
              </w:rPr>
              <w:t>December 31, 2020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8"/>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Billed</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Unbilled</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Total</w:t>
            </w:r>
          </w:p>
        </w:tc>
      </w:t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Health and Human Services</w:t>
            </w:r>
          </w:p>
        </w:tc>
        <w:tc>
          <w:tcPr>
            <w:tcW w:w="2460" w:type="dxa"/>
            <w:vAlign w:val="bottom"/>
            <w:gridSpan w:val="2"/>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5,402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5,402</w:t>
            </w:r>
          </w:p>
        </w:tc>
      </w:tr>
      <w:tr>
        <w:trPr>
          <w:trHeight w:val="213"/>
        </w:trPr>
        <w:tc>
          <w:tcPr>
            <w:tcW w:w="4880" w:type="dxa"/>
            <w:vAlign w:val="bottom"/>
          </w:tcPr>
          <w:p>
            <w:pPr>
              <w:spacing w:after="0"/>
              <w:rPr>
                <w:sz w:val="20"/>
                <w:szCs w:val="20"/>
                <w:color w:val="auto"/>
              </w:rPr>
            </w:pPr>
            <w:r>
              <w:rPr>
                <w:rFonts w:ascii="Arial" w:cs="Arial" w:eastAsia="Arial" w:hAnsi="Arial"/>
                <w:sz w:val="18"/>
                <w:szCs w:val="18"/>
                <w:color w:val="auto"/>
              </w:rPr>
              <w:t>Royalty receivables from partners</w:t>
            </w:r>
          </w:p>
        </w:tc>
        <w:tc>
          <w:tcPr>
            <w:tcW w:w="14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2,816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2,841</w:t>
            </w:r>
          </w:p>
        </w:tc>
      </w:tr>
      <w:tr>
        <w:trPr>
          <w:trHeight w:val="22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receivables</w:t>
            </w:r>
          </w:p>
        </w:tc>
        <w:tc>
          <w:tcPr>
            <w:tcW w:w="2460" w:type="dxa"/>
            <w:vAlign w:val="bottom"/>
            <w:gridSpan w:val="2"/>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2,816</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5,427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8,243</w:t>
            </w:r>
          </w:p>
        </w:tc>
      </w:tr>
      <w:tr>
        <w:trPr>
          <w:trHeight w:val="20"/>
        </w:trPr>
        <w:tc>
          <w:tcPr>
            <w:tcW w:w="48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199" w:lineRule="exact"/>
        <w:rPr>
          <w:sz w:val="20"/>
          <w:szCs w:val="20"/>
          <w:color w:val="auto"/>
        </w:rPr>
      </w:pPr>
    </w:p>
    <w:p>
      <w:pPr>
        <w:jc w:val="both"/>
        <w:ind w:firstLine="516"/>
        <w:spacing w:after="0" w:line="258" w:lineRule="auto"/>
        <w:rPr>
          <w:sz w:val="20"/>
          <w:szCs w:val="20"/>
          <w:color w:val="auto"/>
        </w:rPr>
      </w:pPr>
      <w:r>
        <w:rPr>
          <w:rFonts w:ascii="Arial" w:cs="Arial" w:eastAsia="Arial" w:hAnsi="Arial"/>
          <w:sz w:val="18"/>
          <w:szCs w:val="18"/>
          <w:color w:val="auto"/>
        </w:rPr>
        <w:t>Monthly invoices are submitted to the U.S. Department of Health and Human Services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0" w:lineRule="exact"/>
        <w:rPr>
          <w:sz w:val="20"/>
          <w:szCs w:val="20"/>
          <w:color w:val="auto"/>
        </w:rPr>
      </w:pPr>
    </w:p>
    <w:p>
      <w:pPr>
        <w:ind w:right="220" w:firstLine="480"/>
        <w:spacing w:after="0" w:line="292" w:lineRule="auto"/>
        <w:rPr>
          <w:sz w:val="20"/>
          <w:szCs w:val="20"/>
          <w:color w:val="auto"/>
        </w:rPr>
      </w:pPr>
      <w:r>
        <w:rPr>
          <w:rFonts w:ascii="Arial" w:cs="Arial" w:eastAsia="Arial" w:hAnsi="Arial"/>
          <w:sz w:val="16"/>
          <w:szCs w:val="16"/>
          <w:color w:val="auto"/>
        </w:rPr>
        <w:t>At September 30, 2021 and December 31, 2020, the Company’s inventory related to ORLADEYO and peramivir, which are being manufactured for the Company’s partners and, in the case of peramivir, the U.S. Government. The Company values its inventories at the lower of cost or estimated net realizable value. The Company determines the cost of its inventories, which includes amounts related to materials, labor, manufacturing overhead and shipping and handling costs on a first-in, first-out (FIFO) basis. Raw materials and work-in-process include all inventory costs prior to packaging and labelling, including raw material, active product ingredient, and drug product. Finished goods include packaged and labelled products.</w:t>
      </w:r>
    </w:p>
    <w:p>
      <w:pPr>
        <w:spacing w:after="0" w:line="162" w:lineRule="exact"/>
        <w:rPr>
          <w:sz w:val="20"/>
          <w:szCs w:val="20"/>
          <w:color w:val="auto"/>
        </w:rPr>
      </w:pPr>
    </w:p>
    <w:p>
      <w:pPr>
        <w:ind w:right="140" w:firstLine="480"/>
        <w:spacing w:after="0" w:line="255" w:lineRule="auto"/>
        <w:rPr>
          <w:sz w:val="20"/>
          <w:szCs w:val="20"/>
          <w:color w:val="auto"/>
        </w:rPr>
      </w:pPr>
      <w:r>
        <w:rPr>
          <w:rFonts w:ascii="Arial" w:cs="Arial" w:eastAsia="Arial" w:hAnsi="Arial"/>
          <w:sz w:val="18"/>
          <w:szCs w:val="18"/>
          <w:color w:val="auto"/>
        </w:rPr>
        <w:t>The Company’s inventories are subject to expiration dating. The Company regularly evaluates the carrying value of its inventories and provides valuation reserves for any estimated obsolete, short-dated or unmarketable inventories. In addition, the Company may experience spoilage of its raw materials and supplies. The Company’s determination that a valuation reserve might be required, in addition to the quantification of such reserve, requires it to utilize significant judgment.</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inventories as of September 30, 2021 and December 31, 2020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11"/>
              <w:spacing w:after="0"/>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23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2020</w:t>
            </w:r>
          </w:p>
        </w:tc>
      </w:tr>
      <w:tr>
        <w:trPr>
          <w:trHeight w:val="208"/>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2,555</w:t>
            </w:r>
          </w:p>
        </w:tc>
      </w:tr>
      <w:tr>
        <w:trPr>
          <w:trHeight w:val="21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4,548</w:t>
            </w:r>
          </w:p>
        </w:tc>
      </w:tr>
      <w:tr>
        <w:trPr>
          <w:trHeight w:val="207"/>
        </w:trPr>
        <w:tc>
          <w:tcPr>
            <w:tcW w:w="8000" w:type="dxa"/>
            <w:vAlign w:val="bottom"/>
          </w:tcPr>
          <w:p>
            <w:pPr>
              <w:ind w:left="320"/>
              <w:spacing w:after="0"/>
              <w:rPr>
                <w:sz w:val="20"/>
                <w:szCs w:val="20"/>
                <w:color w:val="auto"/>
              </w:rPr>
            </w:pPr>
            <w:r>
              <w:rPr>
                <w:rFonts w:ascii="Arial" w:cs="Arial" w:eastAsia="Arial" w:hAnsi="Arial"/>
                <w:sz w:val="18"/>
                <w:szCs w:val="18"/>
                <w:color w:val="auto"/>
              </w:rPr>
              <w:t>Total Inventory</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14,086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7,309</w:t>
            </w:r>
          </w:p>
        </w:tc>
      </w:tr>
      <w:tr>
        <w:trPr>
          <w:trHeight w:val="207"/>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07"/>
        </w:trPr>
        <w:tc>
          <w:tcPr>
            <w:tcW w:w="8000" w:type="dxa"/>
            <w:vAlign w:val="bottom"/>
          </w:tcPr>
          <w:p>
            <w:pPr>
              <w:ind w:left="320"/>
              <w:spacing w:after="0"/>
              <w:rPr>
                <w:sz w:val="20"/>
                <w:szCs w:val="20"/>
                <w:color w:val="auto"/>
              </w:rPr>
            </w:pPr>
            <w:r>
              <w:rPr>
                <w:rFonts w:ascii="Arial" w:cs="Arial" w:eastAsia="Arial" w:hAnsi="Arial"/>
                <w:sz w:val="18"/>
                <w:szCs w:val="18"/>
                <w:color w:val="auto"/>
              </w:rPr>
              <w:t>Total Inventory, net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13,663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7,039</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516"/>
        <w:spacing w:after="0" w:line="258" w:lineRule="auto"/>
        <w:rPr>
          <w:sz w:val="20"/>
          <w:szCs w:val="20"/>
          <w:color w:val="auto"/>
        </w:rPr>
      </w:pPr>
      <w:r>
        <w:rPr>
          <w:rFonts w:ascii="Arial" w:cs="Arial" w:eastAsia="Arial" w:hAnsi="Arial"/>
          <w:sz w:val="18"/>
          <w:szCs w:val="18"/>
          <w:color w:val="auto"/>
        </w:rPr>
        <w:t>The Company expenses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the Company capitalizes subsequent costs related to the production of inventories.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0" w:lineRule="exact"/>
        <w:rPr>
          <w:sz w:val="20"/>
          <w:szCs w:val="20"/>
          <w:color w:val="auto"/>
        </w:rPr>
      </w:pPr>
    </w:p>
    <w:p>
      <w:pPr>
        <w:ind w:right="80" w:firstLine="480"/>
        <w:spacing w:after="0" w:line="255"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w:t>
      </w:r>
    </w:p>
    <w:p>
      <w:pPr>
        <w:spacing w:after="0" w:line="188" w:lineRule="exact"/>
        <w:rPr>
          <w:sz w:val="20"/>
          <w:szCs w:val="20"/>
          <w:color w:val="auto"/>
        </w:rPr>
      </w:pPr>
    </w:p>
    <w:p>
      <w:pPr>
        <w:ind w:right="20" w:firstLine="516"/>
        <w:spacing w:after="0" w:line="253" w:lineRule="auto"/>
        <w:rPr>
          <w:sz w:val="20"/>
          <w:szCs w:val="20"/>
          <w:color w:val="auto"/>
        </w:rPr>
      </w:pPr>
      <w:r>
        <w:rPr>
          <w:rFonts w:ascii="Arial" w:cs="Arial" w:eastAsia="Arial" w:hAnsi="Arial"/>
          <w:sz w:val="18"/>
          <w:szCs w:val="18"/>
          <w:color w:val="auto"/>
        </w:rPr>
        <w:t>In accordance with U.S. GAAP, 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220" w:lineRule="exact"/>
        <w:rPr>
          <w:sz w:val="20"/>
          <w:szCs w:val="20"/>
          <w:color w:val="auto"/>
        </w:rPr>
      </w:pPr>
    </w:p>
    <w:p>
      <w:pPr>
        <w:ind w:right="100" w:firstLine="516"/>
        <w:spacing w:after="0" w:line="270" w:lineRule="auto"/>
        <w:rPr>
          <w:sz w:val="20"/>
          <w:szCs w:val="20"/>
          <w:color w:val="auto"/>
        </w:rPr>
      </w:pPr>
      <w:r>
        <w:rPr>
          <w:rFonts w:ascii="Arial" w:cs="Arial" w:eastAsia="Arial" w:hAnsi="Arial"/>
          <w:sz w:val="18"/>
          <w:szCs w:val="18"/>
          <w:color w:val="auto"/>
        </w:rPr>
        <w:t>The Company seeks patent protection on all internally developed processes and products. All patent related costs are expensed to selling, general and administrative expenses when incurred as recoverability of such expenditures is uncertain.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0" w:lineRule="exact"/>
        <w:rPr>
          <w:sz w:val="20"/>
          <w:szCs w:val="20"/>
          <w:color w:val="auto"/>
        </w:rPr>
      </w:pPr>
    </w:p>
    <w:p>
      <w:pPr>
        <w:ind w:right="60" w:firstLine="551"/>
        <w:spacing w:after="0" w:line="266" w:lineRule="auto"/>
        <w:rPr>
          <w:sz w:val="20"/>
          <w:szCs w:val="20"/>
          <w:color w:val="auto"/>
        </w:rPr>
      </w:pPr>
      <w:r>
        <w:rPr>
          <w:rFonts w:ascii="Arial" w:cs="Arial" w:eastAsia="Arial" w:hAnsi="Arial"/>
          <w:sz w:val="17"/>
          <w:szCs w:val="17"/>
          <w:color w:val="auto"/>
        </w:rPr>
        <w:t>The Company generally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The Company periodically confirms the accuracy of its estimates with the service providers and makes adjustments if necessary. Examples of estimated accrued expenses include:</w:t>
      </w:r>
    </w:p>
    <w:p>
      <w:pPr>
        <w:spacing w:after="0" w:line="185" w:lineRule="exact"/>
        <w:rPr>
          <w:sz w:val="20"/>
          <w:szCs w:val="20"/>
          <w:color w:val="auto"/>
        </w:rPr>
      </w:pPr>
    </w:p>
    <w:p>
      <w:pPr>
        <w:ind w:left="800" w:hanging="31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paid to clinical research organizations (“CROs”) in connection with preclinical and toxicology studies and clinical trials;</w:t>
      </w:r>
    </w:p>
    <w:p>
      <w:pPr>
        <w:spacing w:after="0" w:line="219" w:lineRule="exact"/>
        <w:rPr>
          <w:rFonts w:ascii="Arial" w:cs="Arial" w:eastAsia="Arial" w:hAnsi="Arial"/>
          <w:sz w:val="18"/>
          <w:szCs w:val="18"/>
          <w:color w:val="auto"/>
        </w:rPr>
      </w:pPr>
    </w:p>
    <w:p>
      <w:pPr>
        <w:ind w:left="800" w:hanging="31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219" w:lineRule="exact"/>
        <w:rPr>
          <w:rFonts w:ascii="Arial" w:cs="Arial" w:eastAsia="Arial" w:hAnsi="Arial"/>
          <w:sz w:val="18"/>
          <w:szCs w:val="18"/>
          <w:color w:val="auto"/>
        </w:rPr>
      </w:pPr>
    </w:p>
    <w:p>
      <w:pPr>
        <w:ind w:left="800" w:right="20" w:hanging="313"/>
        <w:spacing w:after="0" w:line="270"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paid to contract manufacturers in connection with the production of the Company’s raw materials, drug substance, drug products, and product candidates; and</w:t>
      </w:r>
    </w:p>
    <w:p>
      <w:pPr>
        <w:spacing w:after="0" w:line="174" w:lineRule="exact"/>
        <w:rPr>
          <w:rFonts w:ascii="Arial" w:cs="Arial" w:eastAsia="Arial" w:hAnsi="Arial"/>
          <w:sz w:val="18"/>
          <w:szCs w:val="18"/>
          <w:color w:val="auto"/>
        </w:rPr>
      </w:pPr>
    </w:p>
    <w:p>
      <w:pPr>
        <w:ind w:left="800" w:hanging="31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220" w:lineRule="exact"/>
        <w:rPr>
          <w:sz w:val="20"/>
          <w:szCs w:val="20"/>
          <w:color w:val="auto"/>
        </w:rPr>
      </w:pPr>
    </w:p>
    <w:p>
      <w:pPr>
        <w:ind w:right="40" w:firstLine="551"/>
        <w:spacing w:after="0" w:line="268" w:lineRule="auto"/>
        <w:rPr>
          <w:sz w:val="20"/>
          <w:szCs w:val="20"/>
          <w:color w:val="auto"/>
        </w:rPr>
      </w:pPr>
      <w:r>
        <w:rPr>
          <w:rFonts w:ascii="Arial" w:cs="Arial" w:eastAsia="Arial" w:hAnsi="Arial"/>
          <w:sz w:val="17"/>
          <w:szCs w:val="17"/>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As of September 30, 2021 and December 31, 2020, the carrying value of accrued expenses approximates their fair value due to their short-term settlement.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ind w:firstLine="516"/>
        <w:spacing w:after="0" w:line="258" w:lineRule="auto"/>
        <w:rPr>
          <w:sz w:val="20"/>
          <w:szCs w:val="20"/>
          <w:color w:val="auto"/>
        </w:rPr>
      </w:pPr>
      <w:r>
        <w:rPr>
          <w:rFonts w:ascii="Arial" w:cs="Arial" w:eastAsia="Arial" w:hAnsi="Arial"/>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0" w:lineRule="exact"/>
        <w:rPr>
          <w:sz w:val="20"/>
          <w:szCs w:val="20"/>
          <w:color w:val="auto"/>
        </w:rPr>
      </w:pPr>
    </w:p>
    <w:p>
      <w:pPr>
        <w:ind w:right="200" w:firstLine="516"/>
        <w:spacing w:after="0" w:line="292" w:lineRule="auto"/>
        <w:rPr>
          <w:sz w:val="20"/>
          <w:szCs w:val="20"/>
          <w:color w:val="auto"/>
        </w:rPr>
      </w:pPr>
      <w:r>
        <w:rPr>
          <w:rFonts w:ascii="Arial" w:cs="Arial" w:eastAsia="Arial" w:hAnsi="Arial"/>
          <w:sz w:val="16"/>
          <w:szCs w:val="16"/>
          <w:color w:val="auto"/>
        </w:rPr>
        <w:t>Accumulated other comprehensive loss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loss and recorded as interest and other income on the Consolidated Statements of Comprehensive Loss. For the nine months ended September 30, 2021, realized gains of $1 were reclassified out of accumulated other comprehensive loss. For the nine months ended September 30, 2020, realized gains of $1 were reclassified out of accumulated other comprehensive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0" w:lineRule="exact"/>
        <w:rPr>
          <w:sz w:val="20"/>
          <w:szCs w:val="20"/>
          <w:color w:val="auto"/>
        </w:rPr>
      </w:pPr>
    </w:p>
    <w:p>
      <w:pPr>
        <w:ind w:right="60" w:firstLine="640"/>
        <w:spacing w:after="0" w:line="253" w:lineRule="auto"/>
        <w:rPr>
          <w:sz w:val="20"/>
          <w:szCs w:val="20"/>
          <w:color w:val="auto"/>
        </w:rPr>
      </w:pPr>
      <w:r>
        <w:rPr>
          <w:rFonts w:ascii="Arial" w:cs="Arial" w:eastAsia="Arial" w:hAnsi="Arial"/>
          <w:sz w:val="18"/>
          <w:szCs w:val="18"/>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90" w:lineRule="exact"/>
        <w:rPr>
          <w:sz w:val="20"/>
          <w:szCs w:val="20"/>
          <w:color w:val="auto"/>
        </w:rPr>
      </w:pPr>
    </w:p>
    <w:p>
      <w:pPr>
        <w:jc w:val="both"/>
        <w:ind w:right="80" w:firstLine="640"/>
        <w:spacing w:after="0" w:line="258" w:lineRule="auto"/>
        <w:rPr>
          <w:sz w:val="20"/>
          <w:szCs w:val="20"/>
          <w:color w:val="auto"/>
        </w:rPr>
      </w:pPr>
      <w:r>
        <w:rPr>
          <w:rFonts w:ascii="Arial" w:cs="Arial" w:eastAsia="Arial" w:hAnsi="Arial"/>
          <w:sz w:val="18"/>
          <w:szCs w:val="18"/>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Company recorded the following revenues for the three and nine months ended September 30, 2021 and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rPr>
              <w:t>Nine Months Ended</w:t>
            </w:r>
          </w:p>
        </w:tc>
      </w:tr>
      <w:tr>
        <w:trPr>
          <w:trHeight w:val="23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8"/>
                <w:szCs w:val="18"/>
                <w:b w:val="1"/>
                <w:bCs w:val="1"/>
                <w:color w:val="auto"/>
              </w:rPr>
              <w:t>September 30,</w:t>
            </w:r>
          </w:p>
        </w:tc>
      </w:tr>
      <w:tr>
        <w:trPr>
          <w:trHeight w:val="208"/>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5980" w:type="dxa"/>
            <w:vAlign w:val="bottom"/>
          </w:tcPr>
          <w:p>
            <w:pPr>
              <w:ind w:left="160"/>
              <w:spacing w:after="0"/>
              <w:rPr>
                <w:sz w:val="20"/>
                <w:szCs w:val="20"/>
                <w:color w:val="auto"/>
              </w:rPr>
            </w:pPr>
            <w:r>
              <w:rPr>
                <w:rFonts w:ascii="Arial" w:cs="Arial" w:eastAsia="Arial" w:hAnsi="Arial"/>
                <w:sz w:val="18"/>
                <w:szCs w:val="18"/>
                <w:color w:val="auto"/>
              </w:rPr>
              <w:t>ORLADEYO</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36,711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76,023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RAPIVAB</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13"/>
        </w:trPr>
        <w:tc>
          <w:tcPr>
            <w:tcW w:w="5980" w:type="dxa"/>
            <w:vAlign w:val="bottom"/>
          </w:tcPr>
          <w:p>
            <w:pPr>
              <w:ind w:left="160"/>
              <w:spacing w:after="0"/>
              <w:rPr>
                <w:sz w:val="20"/>
                <w:szCs w:val="20"/>
                <w:color w:val="auto"/>
              </w:rPr>
            </w:pPr>
            <w:r>
              <w:rPr>
                <w:rFonts w:ascii="Arial" w:cs="Arial" w:eastAsia="Arial" w:hAnsi="Arial"/>
                <w:sz w:val="18"/>
                <w:szCs w:val="18"/>
                <w:color w:val="auto"/>
              </w:rPr>
              <w:t>Peramivir</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2,685</w:t>
            </w: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product sales,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39,141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90,442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2,696</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Royalty revenue</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2,243</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Milestone revenue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Collaborative and other research and development revenues: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Department of Health and Human Services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7,240</w:t>
            </w:r>
          </w:p>
        </w:tc>
      </w:tr>
      <w:tr>
        <w:trPr>
          <w:trHeight w:val="213"/>
        </w:trPr>
        <w:tc>
          <w:tcPr>
            <w:tcW w:w="5980" w:type="dxa"/>
            <w:vAlign w:val="bottom"/>
          </w:tcPr>
          <w:p>
            <w:pPr>
              <w:ind w:left="160"/>
              <w:spacing w:after="0"/>
              <w:rPr>
                <w:sz w:val="20"/>
                <w:szCs w:val="20"/>
                <w:color w:val="auto"/>
              </w:rPr>
            </w:pPr>
            <w:r>
              <w:rPr>
                <w:rFonts w:ascii="Arial" w:cs="Arial" w:eastAsia="Arial" w:hAnsi="Arial"/>
                <w:sz w:val="18"/>
                <w:szCs w:val="18"/>
                <w:color w:val="auto"/>
              </w:rPr>
              <w:t>Torii Pharmaceutical Co., Ltd.</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1,617</w:t>
            </w:r>
          </w:p>
        </w:tc>
      </w:tr>
      <w:tr>
        <w:trPr>
          <w:trHeight w:val="20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collaborative and other research and development revenues</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8,857</w:t>
            </w:r>
          </w:p>
        </w:tc>
      </w:tr>
      <w:tr>
        <w:trPr>
          <w:trHeight w:val="207"/>
        </w:trPr>
        <w:tc>
          <w:tcPr>
            <w:tcW w:w="598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40,994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6,102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110,012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13,796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0" w:lineRule="exact"/>
        <w:rPr>
          <w:sz w:val="20"/>
          <w:szCs w:val="20"/>
          <w:color w:val="auto"/>
        </w:rPr>
      </w:pPr>
    </w:p>
    <w:p>
      <w:pPr>
        <w:ind w:right="180" w:firstLine="516"/>
        <w:spacing w:after="0" w:line="271" w:lineRule="auto"/>
        <w:rPr>
          <w:sz w:val="20"/>
          <w:szCs w:val="20"/>
          <w:color w:val="auto"/>
        </w:rPr>
      </w:pPr>
      <w:r>
        <w:rPr>
          <w:rFonts w:ascii="Arial" w:cs="Arial" w:eastAsia="Arial" w:hAnsi="Arial"/>
          <w:sz w:val="17"/>
          <w:szCs w:val="17"/>
          <w:color w:val="auto"/>
        </w:rPr>
        <w:t>The Company’s principal sources of product sales are sales of ORLADEYO, which the Company began shipping to customers in December 2020, sales of peramivir to the Company’s licensing partners and sales of RAPIVAB to the U.S. Department of Health and Human Services under the Company’s procurement contract. The Company recognizes revenue for sales when the customer obtains control of the product, which generally occurs upon delivery. For ORLADEYO, the Company classifies payments to its customer for certain services provided by its customer as selling, general and administrative expenses to the extent such services provided are determined to be distinct from the sale of its product.</w:t>
      </w:r>
    </w:p>
    <w:p>
      <w:pPr>
        <w:spacing w:after="0" w:line="177" w:lineRule="exact"/>
        <w:rPr>
          <w:sz w:val="20"/>
          <w:szCs w:val="20"/>
          <w:color w:val="auto"/>
        </w:rPr>
      </w:pPr>
    </w:p>
    <w:p>
      <w:pPr>
        <w:ind w:firstLine="516"/>
        <w:spacing w:after="0" w:line="284" w:lineRule="auto"/>
        <w:rPr>
          <w:sz w:val="20"/>
          <w:szCs w:val="20"/>
          <w:color w:val="auto"/>
        </w:rPr>
      </w:pPr>
      <w:r>
        <w:rPr>
          <w:rFonts w:ascii="Arial" w:cs="Arial" w:eastAsia="Arial" w:hAnsi="Arial"/>
          <w:sz w:val="16"/>
          <w:szCs w:val="16"/>
          <w:color w:val="auto"/>
        </w:rPr>
        <w:t>The Company sells ORLADEYO directly to patients through a single specialty pharmacy in the United States. 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Where appropriate, these estimates take into consideration a range of possible outcomes, which are probability-weighted for relevant factors, such as the Company’s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67" w:lineRule="exact"/>
        <w:rPr>
          <w:sz w:val="20"/>
          <w:szCs w:val="20"/>
          <w:color w:val="auto"/>
        </w:rPr>
      </w:pPr>
    </w:p>
    <w:p>
      <w:pPr>
        <w:ind w:right="80" w:firstLine="640"/>
        <w:spacing w:after="0" w:line="287" w:lineRule="auto"/>
        <w:rPr>
          <w:sz w:val="20"/>
          <w:szCs w:val="20"/>
          <w:color w:val="auto"/>
        </w:rPr>
      </w:pPr>
      <w:r>
        <w:rPr>
          <w:rFonts w:ascii="Arial" w:cs="Arial" w:eastAsia="Arial" w:hAnsi="Arial"/>
          <w:sz w:val="16"/>
          <w:szCs w:val="16"/>
          <w:i w:val="1"/>
          <w:iCs w:val="1"/>
          <w:color w:val="auto"/>
        </w:rPr>
        <w:t>Government and Managed Care Rebates</w:t>
      </w:r>
      <w:r>
        <w:rPr>
          <w:rFonts w:ascii="Arial" w:cs="Arial" w:eastAsia="Arial" w:hAnsi="Arial"/>
          <w:sz w:val="16"/>
          <w:szCs w:val="16"/>
          <w:color w:val="auto"/>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spacing w:after="0" w:line="168" w:lineRule="exact"/>
        <w:rPr>
          <w:sz w:val="20"/>
          <w:szCs w:val="20"/>
          <w:color w:val="auto"/>
        </w:rPr>
      </w:pPr>
    </w:p>
    <w:p>
      <w:pPr>
        <w:ind w:firstLine="640"/>
        <w:spacing w:after="0" w:line="269" w:lineRule="auto"/>
        <w:rPr>
          <w:sz w:val="20"/>
          <w:szCs w:val="20"/>
          <w:color w:val="auto"/>
        </w:rPr>
      </w:pPr>
      <w:r>
        <w:rPr>
          <w:rFonts w:ascii="Arial" w:cs="Arial" w:eastAsia="Arial" w:hAnsi="Arial"/>
          <w:sz w:val="17"/>
          <w:szCs w:val="17"/>
          <w:i w:val="1"/>
          <w:iCs w:val="1"/>
          <w:color w:val="auto"/>
        </w:rPr>
        <w:t>Chargebacks</w:t>
      </w:r>
      <w:r>
        <w:rPr>
          <w:rFonts w:ascii="Arial" w:cs="Arial" w:eastAsia="Arial" w:hAnsi="Arial"/>
          <w:sz w:val="17"/>
          <w:szCs w:val="17"/>
          <w:color w:val="auto"/>
        </w:rPr>
        <w:t>. Chargebacks are discounts that occur when certain contracted customers, pharmacy benefit managers, insurance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programs and group purchasing organizations purchase directly from the Company’s specialty pharmacy. These customers purchase the Company’s product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spacing w:after="0" w:line="180" w:lineRule="exact"/>
        <w:rPr>
          <w:sz w:val="20"/>
          <w:szCs w:val="20"/>
          <w:color w:val="auto"/>
        </w:rPr>
      </w:pPr>
    </w:p>
    <w:p>
      <w:pPr>
        <w:ind w:right="100" w:firstLine="640"/>
        <w:spacing w:after="0" w:line="289" w:lineRule="auto"/>
        <w:rPr>
          <w:sz w:val="20"/>
          <w:szCs w:val="20"/>
          <w:color w:val="auto"/>
        </w:rPr>
      </w:pPr>
      <w:r>
        <w:rPr>
          <w:rFonts w:ascii="Arial" w:cs="Arial" w:eastAsia="Arial" w:hAnsi="Arial"/>
          <w:sz w:val="16"/>
          <w:szCs w:val="16"/>
          <w:i w:val="1"/>
          <w:iCs w:val="1"/>
          <w:color w:val="auto"/>
        </w:rPr>
        <w:t>Co-payment assistance and patient assistance programs</w:t>
      </w:r>
      <w:r>
        <w:rPr>
          <w:rFonts w:ascii="Arial" w:cs="Arial" w:eastAsia="Arial" w:hAnsi="Arial"/>
          <w:sz w:val="16"/>
          <w:szCs w:val="16"/>
          <w:color w:val="auto"/>
        </w:rPr>
        <w:t>. Patients who have commercial insurance and meet certain eligibility requirements may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4" w:name="page15"/>
    <w:bookmarkEnd w:id="14"/>
    <w:p>
      <w:pPr>
        <w:ind w:right="80" w:firstLine="640"/>
        <w:spacing w:after="0" w:line="253" w:lineRule="auto"/>
        <w:rPr>
          <w:sz w:val="20"/>
          <w:szCs w:val="20"/>
          <w:color w:val="auto"/>
        </w:rPr>
      </w:pPr>
      <w:r>
        <w:rPr>
          <w:rFonts w:ascii="Arial" w:cs="Arial" w:eastAsia="Arial" w:hAnsi="Arial"/>
          <w:sz w:val="18"/>
          <w:szCs w:val="18"/>
          <w:i w:val="1"/>
          <w:iCs w:val="1"/>
          <w:color w:val="auto"/>
        </w:rPr>
        <w:t>Product returns</w:t>
      </w:r>
      <w:r>
        <w:rPr>
          <w:rFonts w:ascii="Arial" w:cs="Arial" w:eastAsia="Arial" w:hAnsi="Arial"/>
          <w:sz w:val="18"/>
          <w:szCs w:val="18"/>
          <w:color w:val="auto"/>
        </w:rPr>
        <w:t>. The Company does not provide contractual return rights to its customer, except in instances where the product is damaged or</w:t>
      </w:r>
      <w:r>
        <w:rPr>
          <w:rFonts w:ascii="Arial" w:cs="Arial" w:eastAsia="Arial" w:hAnsi="Arial"/>
          <w:sz w:val="18"/>
          <w:szCs w:val="18"/>
          <w:i w:val="1"/>
          <w:iCs w:val="1"/>
          <w:color w:val="auto"/>
        </w:rPr>
        <w:t xml:space="preserve"> </w:t>
      </w:r>
      <w:r>
        <w:rPr>
          <w:rFonts w:ascii="Arial" w:cs="Arial" w:eastAsia="Arial" w:hAnsi="Arial"/>
          <w:sz w:val="18"/>
          <w:szCs w:val="18"/>
          <w:color w:val="auto"/>
        </w:rPr>
        <w:t>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Other Research and Development Arrangements and Royalties</w:t>
      </w:r>
    </w:p>
    <w:p>
      <w:pPr>
        <w:spacing w:after="0" w:line="220" w:lineRule="exact"/>
        <w:rPr>
          <w:sz w:val="20"/>
          <w:szCs w:val="20"/>
          <w:color w:val="auto"/>
        </w:rPr>
      </w:pPr>
    </w:p>
    <w:p>
      <w:pPr>
        <w:ind w:right="260" w:firstLine="409"/>
        <w:spacing w:after="0" w:line="258" w:lineRule="auto"/>
        <w:rPr>
          <w:sz w:val="20"/>
          <w:szCs w:val="20"/>
          <w:color w:val="auto"/>
        </w:rPr>
      </w:pPr>
      <w:r>
        <w:rPr>
          <w:rFonts w:ascii="Arial" w:cs="Arial" w:eastAsia="Arial" w:hAnsi="Arial"/>
          <w:sz w:val="18"/>
          <w:szCs w:val="18"/>
          <w:color w:val="auto"/>
        </w:rPr>
        <w:t>The Company has collaboration and license agreements with a number of third parties, as well as research and development agreements with certain government entities. The Company’s primary sources of revenue from these collaborative and other research and development arrangements are license, service and royalty revenues.</w:t>
      </w:r>
    </w:p>
    <w:p>
      <w:pPr>
        <w:spacing w:after="0" w:line="186" w:lineRule="exact"/>
        <w:rPr>
          <w:sz w:val="20"/>
          <w:szCs w:val="20"/>
          <w:color w:val="auto"/>
        </w:rPr>
      </w:pPr>
    </w:p>
    <w:p>
      <w:pPr>
        <w:ind w:right="180" w:firstLine="409"/>
        <w:spacing w:after="0" w:line="258" w:lineRule="auto"/>
        <w:rPr>
          <w:sz w:val="20"/>
          <w:szCs w:val="20"/>
          <w:color w:val="auto"/>
        </w:rPr>
      </w:pPr>
      <w:r>
        <w:rPr>
          <w:rFonts w:ascii="Arial" w:cs="Arial" w:eastAsia="Arial" w:hAnsi="Arial"/>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86" w:lineRule="exact"/>
        <w:rPr>
          <w:sz w:val="20"/>
          <w:szCs w:val="20"/>
          <w:color w:val="auto"/>
        </w:rPr>
      </w:pPr>
    </w:p>
    <w:p>
      <w:pPr>
        <w:ind w:right="20" w:firstLine="409"/>
        <w:spacing w:after="0" w:line="282" w:lineRule="auto"/>
        <w:rPr>
          <w:sz w:val="20"/>
          <w:szCs w:val="20"/>
          <w:color w:val="auto"/>
        </w:rPr>
      </w:pPr>
      <w:r>
        <w:rPr>
          <w:rFonts w:ascii="Arial" w:cs="Arial" w:eastAsia="Arial" w:hAnsi="Arial"/>
          <w:sz w:val="16"/>
          <w:szCs w:val="16"/>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76" w:lineRule="exact"/>
        <w:rPr>
          <w:sz w:val="20"/>
          <w:szCs w:val="20"/>
          <w:color w:val="auto"/>
        </w:rPr>
      </w:pPr>
    </w:p>
    <w:p>
      <w:pPr>
        <w:jc w:val="both"/>
        <w:ind w:right="160" w:firstLine="409"/>
        <w:spacing w:after="0" w:line="258" w:lineRule="auto"/>
        <w:rPr>
          <w:sz w:val="20"/>
          <w:szCs w:val="20"/>
          <w:color w:val="auto"/>
        </w:rPr>
      </w:pPr>
      <w:r>
        <w:rPr>
          <w:rFonts w:ascii="Arial" w:cs="Arial" w:eastAsia="Arial" w:hAnsi="Arial"/>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the Company has a right to payment. Any milestone payments received prior to satisfying these revenue recognition criteria are recorded as deferred revenue.</w:t>
      </w:r>
    </w:p>
    <w:p>
      <w:pPr>
        <w:spacing w:after="0" w:line="186" w:lineRule="exact"/>
        <w:rPr>
          <w:sz w:val="20"/>
          <w:szCs w:val="20"/>
          <w:color w:val="auto"/>
        </w:rPr>
      </w:pPr>
    </w:p>
    <w:p>
      <w:pPr>
        <w:jc w:val="both"/>
        <w:ind w:right="400" w:firstLine="409"/>
        <w:spacing w:after="0" w:line="296" w:lineRule="auto"/>
        <w:rPr>
          <w:sz w:val="20"/>
          <w:szCs w:val="20"/>
          <w:color w:val="auto"/>
        </w:rPr>
      </w:pPr>
      <w:r>
        <w:rPr>
          <w:rFonts w:ascii="Arial" w:cs="Arial" w:eastAsia="Arial" w:hAnsi="Arial"/>
          <w:sz w:val="16"/>
          <w:szCs w:val="16"/>
          <w:color w:val="auto"/>
        </w:rPr>
        <w:t>Reimbursements received for direct out-of-pocket expenses related to research and development costs are recorded as revenue in the Consolidated Statements of Comprehensive Loss rather than as a reduction in expenses. Under the Company’s contracts with the Biomedical Advanced Research and Development Authority within the United States Department of Health and Human Services (”BARDA/HHS”) and the National Institute of Allergy and Infectious Diseases (“NIAID/HHS”), revenue is recognized as reimbursable direct and indirect costs are incurred.</w:t>
      </w:r>
    </w:p>
    <w:p>
      <w:pPr>
        <w:spacing w:after="0" w:line="160" w:lineRule="exact"/>
        <w:rPr>
          <w:sz w:val="20"/>
          <w:szCs w:val="20"/>
          <w:color w:val="auto"/>
        </w:rPr>
      </w:pPr>
    </w:p>
    <w:p>
      <w:pPr>
        <w:ind w:firstLine="409"/>
        <w:spacing w:after="0" w:line="258" w:lineRule="auto"/>
        <w:rPr>
          <w:sz w:val="20"/>
          <w:szCs w:val="20"/>
          <w:color w:val="auto"/>
        </w:rPr>
      </w:pPr>
      <w:r>
        <w:rPr>
          <w:rFonts w:ascii="Arial" w:cs="Arial" w:eastAsia="Arial" w:hAnsi="Arial"/>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20" w:lineRule="exact"/>
        <w:rPr>
          <w:sz w:val="20"/>
          <w:szCs w:val="20"/>
          <w:color w:val="auto"/>
        </w:rPr>
      </w:pPr>
    </w:p>
    <w:p>
      <w:pPr>
        <w:ind w:right="380" w:firstLine="516"/>
        <w:spacing w:after="0" w:line="258" w:lineRule="auto"/>
        <w:rPr>
          <w:sz w:val="20"/>
          <w:szCs w:val="20"/>
          <w:color w:val="auto"/>
        </w:rPr>
      </w:pPr>
      <w:r>
        <w:rPr>
          <w:rFonts w:ascii="Arial" w:cs="Arial" w:eastAsia="Arial" w:hAnsi="Arial"/>
          <w:sz w:val="18"/>
          <w:szCs w:val="18"/>
          <w:color w:val="auto"/>
        </w:rPr>
        <w:t>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0" w:lineRule="exact"/>
        <w:rPr>
          <w:sz w:val="20"/>
          <w:szCs w:val="20"/>
          <w:color w:val="auto"/>
        </w:rPr>
      </w:pPr>
    </w:p>
    <w:p>
      <w:pPr>
        <w:jc w:val="both"/>
        <w:ind w:right="300" w:firstLine="516"/>
        <w:spacing w:after="0" w:line="258" w:lineRule="auto"/>
        <w:rPr>
          <w:sz w:val="20"/>
          <w:szCs w:val="20"/>
          <w:color w:val="auto"/>
        </w:rPr>
      </w:pPr>
      <w:r>
        <w:rPr>
          <w:rFonts w:ascii="Arial" w:cs="Arial" w:eastAsia="Arial" w:hAnsi="Arial"/>
          <w:sz w:val="18"/>
          <w:szCs w:val="18"/>
          <w:color w:val="auto"/>
        </w:rPr>
        <w:t>Advertising and promotional costs are expensed in “Selling, general and administrative” as the costs are incurred. Advertising expenses related to ORLADEYO were $1,492 and $4,696 for the three and nine months ended September 30, 2021, respectively. The Company did not incur advertising and product promotion expenses in the corresponding prior year period.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0" w:lineRule="exact"/>
        <w:rPr>
          <w:sz w:val="20"/>
          <w:szCs w:val="20"/>
          <w:color w:val="auto"/>
        </w:rPr>
      </w:pPr>
    </w:p>
    <w:p>
      <w:pPr>
        <w:ind w:right="20" w:firstLine="516"/>
        <w:spacing w:after="0" w:line="286" w:lineRule="auto"/>
        <w:rPr>
          <w:sz w:val="20"/>
          <w:szCs w:val="20"/>
          <w:color w:val="auto"/>
        </w:rPr>
      </w:pPr>
      <w:r>
        <w:rPr>
          <w:rFonts w:ascii="Arial" w:cs="Arial" w:eastAsia="Arial" w:hAnsi="Arial"/>
          <w:sz w:val="16"/>
          <w:szCs w:val="16"/>
          <w:color w:val="auto"/>
        </w:rPr>
        <w:t>The Company’s research and development costs are charged to expense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the Company’s 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spacing w:after="0" w:line="167" w:lineRule="exact"/>
        <w:rPr>
          <w:sz w:val="20"/>
          <w:szCs w:val="20"/>
          <w:color w:val="auto"/>
        </w:rPr>
      </w:pPr>
    </w:p>
    <w:p>
      <w:pPr>
        <w:ind w:right="20" w:firstLine="516"/>
        <w:spacing w:after="0" w:line="296" w:lineRule="auto"/>
        <w:rPr>
          <w:sz w:val="20"/>
          <w:szCs w:val="20"/>
          <w:color w:val="auto"/>
        </w:rPr>
      </w:pPr>
      <w:r>
        <w:rPr>
          <w:rFonts w:ascii="Arial" w:cs="Arial" w:eastAsia="Arial" w:hAnsi="Arial"/>
          <w:sz w:val="16"/>
          <w:szCs w:val="16"/>
          <w:color w:val="auto"/>
        </w:rPr>
        <w:t>Additionally, the Company has license agreements with third parties, such as Albert Einstein College of Medicine of Yeshiva University (“AECOM”), Industrial Research, Ltd. (“IRL”), and the University of Alabama at Birmingham (“UAB”),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spacing w:after="0" w:line="160" w:lineRule="exact"/>
        <w:rPr>
          <w:sz w:val="20"/>
          <w:szCs w:val="20"/>
          <w:color w:val="auto"/>
        </w:rPr>
      </w:pPr>
    </w:p>
    <w:p>
      <w:pPr>
        <w:ind w:right="40" w:firstLine="516"/>
        <w:spacing w:after="0" w:line="253" w:lineRule="auto"/>
        <w:rPr>
          <w:sz w:val="20"/>
          <w:szCs w:val="20"/>
          <w:color w:val="auto"/>
        </w:rPr>
      </w:pPr>
      <w:r>
        <w:rPr>
          <w:rFonts w:ascii="Arial" w:cs="Arial" w:eastAsia="Arial" w:hAnsi="Arial"/>
          <w:sz w:val="18"/>
          <w:szCs w:val="18"/>
          <w:color w:val="auto"/>
        </w:rPr>
        <w:t>Deferred collaboration expenses represent sub-license payments, paid to the Company’s academic partners upon receipt of consideration from various commercial partners, and other consideration paid to the Company’s academic partners for modification to existing license agreements. These deferred expenses would not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ind w:right="280" w:firstLine="516"/>
        <w:spacing w:after="0" w:line="271" w:lineRule="auto"/>
        <w:rPr>
          <w:sz w:val="20"/>
          <w:szCs w:val="20"/>
          <w:color w:val="auto"/>
        </w:rPr>
      </w:pPr>
      <w:r>
        <w:rPr>
          <w:rFonts w:ascii="Arial" w:cs="Arial" w:eastAsia="Arial" w:hAnsi="Arial"/>
          <w:sz w:val="17"/>
          <w:szCs w:val="17"/>
          <w:color w:val="auto"/>
        </w:rPr>
        <w:t>All share-based payments, including grants of stock option awards and restricted stock unit awards, are recognized in the Company’s Consolidated Statements of Comprehensive Loss based on their fair values. The fair value of stock option awards is estimated using the Black-Scholes option pricing model. The fair value of restricted stock unit awards is based on the grant date closing price of the common stock. Stock-based compensation cost is recognized as expense on a straight-line basis over the requisite service period of the award. In addition, we have outstanding performance-based stock options for which no compensation expense is recognized until “performance” is deemed to have occurred.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Deferred Financing Costs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Interest expense for the three and nine months ended September 30, 2021 was $14,115 and $40,514, respectively, and primarily relates to the royalty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financing obligation (Note 2), the secured term loan borrowing from the Credit Agreement (Note 3) and the PhaRMA Notes (Note 2). Interest expense for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three and nine months ended September 30, 2020 was $2,927 and $8,892, respectively, and primarily relates to the secured term loan borrowing from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PhaRMA Notes (Note 2) and the Senior Credit Facility (Note 4). Costs directly associated with the borrowings have been capitalized and are netted against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corresponding debt liabilities on the Consolidated Balance Sheets. These costs are being amortized to interest expense over the terms of the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corresponding borrowings using the effective interest rate method. Amortization of deferred financing costs included in interest expense was $(158)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$(369) for the three and nine months ended September 30, 2021, respectively. Amortization of deferred financing costs and original issue discount included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 interest expense was $381 and $1,061 for the three and nine months ended September 30,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Royalty Financing Obligation</w:t>
      </w:r>
    </w:p>
    <w:p>
      <w:pPr>
        <w:spacing w:after="0" w:line="220" w:lineRule="exact"/>
        <w:rPr>
          <w:sz w:val="20"/>
          <w:szCs w:val="20"/>
          <w:color w:val="auto"/>
        </w:rPr>
      </w:pPr>
    </w:p>
    <w:p>
      <w:pPr>
        <w:ind w:right="40" w:firstLine="516"/>
        <w:spacing w:after="0" w:line="286" w:lineRule="auto"/>
        <w:rPr>
          <w:sz w:val="20"/>
          <w:szCs w:val="20"/>
          <w:color w:val="auto"/>
        </w:rPr>
      </w:pPr>
      <w:r>
        <w:rPr>
          <w:rFonts w:ascii="Arial" w:cs="Arial" w:eastAsia="Arial" w:hAnsi="Arial"/>
          <w:sz w:val="16"/>
          <w:szCs w:val="16"/>
          <w:color w:val="auto"/>
        </w:rPr>
        <w:t>The royalty financing obligation is eligible to be repaid based on royalties from net sales of ORLADEYO. Interest expense is accrued using the effective interest rate method over the estimated period the related liability will be paid. This requires the Company to estimate the total amount of future royalty payments to be generated from product sales over the life of the agreement. The Company imputes interest on the carrying value of the royalty financing obligation and records interest expense using an imputed effective interest rate. The Company will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the liability, as well as the period over which associated issuance costs will be amortized. A significant increase or decrease in forecasted net sales could materially impact the liability balance, interest expense and the time period for repayment.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Hedge Agreement</w:t>
      </w:r>
    </w:p>
    <w:p>
      <w:pPr>
        <w:spacing w:after="0" w:line="220" w:lineRule="exact"/>
        <w:rPr>
          <w:sz w:val="20"/>
          <w:szCs w:val="20"/>
          <w:color w:val="auto"/>
        </w:rPr>
      </w:pPr>
    </w:p>
    <w:p>
      <w:pPr>
        <w:ind w:right="200" w:firstLine="516"/>
        <w:spacing w:after="0" w:line="252" w:lineRule="auto"/>
        <w:rPr>
          <w:sz w:val="20"/>
          <w:szCs w:val="20"/>
          <w:color w:val="auto"/>
        </w:rPr>
      </w:pPr>
      <w:r>
        <w:rPr>
          <w:rFonts w:ascii="Arial" w:cs="Arial" w:eastAsia="Arial" w:hAnsi="Arial"/>
          <w:sz w:val="18"/>
          <w:szCs w:val="18"/>
          <w:color w:val="auto"/>
        </w:rPr>
        <w:t>In connection with the issuance by JPR Royalty Sub LLC of the PhaRMA Notes, the Company entered into a Currency Hedge Agreement to hedge certain risks associated with changes in the value of the Japanese yen relative to the U.S. dollar. The final tranche of the options under the Currency Hedge Agreement expired in November 2020. The Currency Hedge Agreement did not qualify for hedge accounting treatment; therefore mark-to-market adjustments were recognized in the Company’s Consolidated Statements of Comprehensive Loss. For the nine months ended September 30, 2020, cumulative mark-to-market adjustments resulted in a loss of $630. In addition, the Company realized currency exchange gains of $660 during the first nine months of 2020.</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0" w:lineRule="exact"/>
        <w:rPr>
          <w:sz w:val="20"/>
          <w:szCs w:val="20"/>
          <w:color w:val="auto"/>
        </w:rPr>
      </w:pPr>
    </w:p>
    <w:p>
      <w:pPr>
        <w:ind w:firstLine="516"/>
        <w:spacing w:after="0" w:line="269" w:lineRule="auto"/>
        <w:rPr>
          <w:sz w:val="20"/>
          <w:szCs w:val="20"/>
          <w:color w:val="auto"/>
        </w:rPr>
      </w:pPr>
      <w:r>
        <w:rPr>
          <w:rFonts w:ascii="Arial" w:cs="Arial" w:eastAsia="Arial" w:hAnsi="Arial"/>
          <w:sz w:val="17"/>
          <w:szCs w:val="17"/>
          <w:color w:val="auto"/>
        </w:rPr>
        <w:t>Net loss per share is based upon the weighted average number of common shares outstanding during the period. Diluted loss per share is equivalent to basic net loss per share for all periods presented herein because common equivalent shares from unexercised stock options, warrants and common shares expected to be issued under the Company’s equity compensation plans were anti-dilutive. The calculation of diluted earnings per share for the three months ended September 30, 2021 and 2020 does not include 28,472 and 16,544, respectively, of such potential common shares, as their impact would be anti-dilutive. The calculation of diluted earnings per share for the nine months ended September 30, 2021 and 2020 does not include 26,131 and 14,154, respectively, of such potential common shares, as their impact would be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ind w:right="40" w:firstLine="516"/>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The most significant estimates in the Company’s consolidated financial statements relate to the valuation of stock options, the ORLADEYO royalty financing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Customers and Other Risks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0" w:lineRule="exact"/>
        <w:rPr>
          <w:sz w:val="20"/>
          <w:szCs w:val="20"/>
          <w:color w:val="auto"/>
        </w:rPr>
      </w:pPr>
    </w:p>
    <w:p>
      <w:pPr>
        <w:ind w:right="300" w:firstLine="480"/>
        <w:spacing w:after="0" w:line="255" w:lineRule="auto"/>
        <w:rPr>
          <w:sz w:val="20"/>
          <w:szCs w:val="20"/>
          <w:color w:val="auto"/>
        </w:rPr>
      </w:pPr>
      <w:r>
        <w:rPr>
          <w:rFonts w:ascii="Arial" w:cs="Arial" w:eastAsia="Arial" w:hAnsi="Arial"/>
          <w:sz w:val="18"/>
          <w:szCs w:val="18"/>
          <w:color w:val="auto"/>
        </w:rPr>
        <w:t>The Company’s primary sources of revenue and cash flow are the sales of ORLADEYO to a specialty pharmacy, the reimbursement of galidesivir (formerly BCX4430) development expenses earned under cost-plus-fixed-fee contracts with BARDA/HHS and NIAID/HHS and sales of RAPIVAB (peramivir injection) under our procurement contract with the Assistant Secretary for Preparedness and Response within the United States Department of Health and Human Services.</w:t>
      </w:r>
    </w:p>
    <w:p>
      <w:pPr>
        <w:spacing w:after="0" w:line="188" w:lineRule="exact"/>
        <w:rPr>
          <w:sz w:val="20"/>
          <w:szCs w:val="20"/>
          <w:color w:val="auto"/>
        </w:rPr>
      </w:pPr>
    </w:p>
    <w:p>
      <w:pPr>
        <w:ind w:right="80" w:firstLine="480"/>
        <w:spacing w:after="0" w:line="255" w:lineRule="auto"/>
        <w:rPr>
          <w:sz w:val="20"/>
          <w:szCs w:val="20"/>
          <w:color w:val="auto"/>
        </w:rPr>
      </w:pPr>
      <w:r>
        <w:rPr>
          <w:rFonts w:ascii="Arial" w:cs="Arial" w:eastAsia="Arial" w:hAnsi="Arial"/>
          <w:sz w:val="18"/>
          <w:szCs w:val="18"/>
          <w:color w:val="auto"/>
        </w:rPr>
        <w:t>ORLADEYO is distributed through an arrangement with a single specialty pharmacy in the U.S.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spacing w:after="0" w:line="188" w:lineRule="exact"/>
        <w:rPr>
          <w:sz w:val="20"/>
          <w:szCs w:val="20"/>
          <w:color w:val="auto"/>
        </w:rPr>
      </w:pPr>
    </w:p>
    <w:p>
      <w:pPr>
        <w:ind w:right="60" w:firstLine="480"/>
        <w:spacing w:after="0" w:line="253" w:lineRule="auto"/>
        <w:rPr>
          <w:sz w:val="20"/>
          <w:szCs w:val="20"/>
          <w:color w:val="auto"/>
        </w:rPr>
      </w:pPr>
      <w:r>
        <w:rPr>
          <w:rFonts w:ascii="Arial" w:cs="Arial" w:eastAsia="Arial" w:hAnsi="Arial"/>
          <w:sz w:val="18"/>
          <w:szCs w:val="18"/>
          <w:color w:val="auto"/>
        </w:rPr>
        <w:t>The Company relies on BARDA/HHS and NIAID/HHS to reimburse predominantly all of the development costs for its galidesivir program and stockpiling sales of RAPIVAB to HHS. Accordingly, reimbursement of these expenses represents a significant portion of the Company’s collaborative and other research and development revenues. Additionally, HHS is the primary customer for RABIVAB. The completion or termination of the NIAID/HHS and BARDA/HHS galidesivir contracts or the reduction or stoppage of purchases of RAPIVAB by HHS could adversely impact the Company’s business, results of operations and financial condition.</w:t>
      </w:r>
    </w:p>
    <w:p>
      <w:pPr>
        <w:spacing w:after="0" w:line="190" w:lineRule="exact"/>
        <w:rPr>
          <w:sz w:val="20"/>
          <w:szCs w:val="20"/>
          <w:color w:val="auto"/>
        </w:rPr>
      </w:pPr>
    </w:p>
    <w:p>
      <w:pPr>
        <w:ind w:right="200" w:firstLine="480"/>
        <w:spacing w:after="0" w:line="270" w:lineRule="auto"/>
        <w:rPr>
          <w:sz w:val="20"/>
          <w:szCs w:val="20"/>
          <w:color w:val="auto"/>
        </w:rPr>
      </w:pPr>
      <w:r>
        <w:rPr>
          <w:rFonts w:ascii="Arial" w:cs="Arial" w:eastAsia="Arial" w:hAnsi="Arial"/>
          <w:sz w:val="18"/>
          <w:szCs w:val="18"/>
          <w:color w:val="auto"/>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from Third-Party Manufacturing and Distribution Concentration</w:t>
      </w:r>
    </w:p>
    <w:p>
      <w:pPr>
        <w:spacing w:after="0" w:line="220" w:lineRule="exact"/>
        <w:rPr>
          <w:sz w:val="20"/>
          <w:szCs w:val="20"/>
          <w:color w:val="auto"/>
        </w:rPr>
      </w:pPr>
    </w:p>
    <w:p>
      <w:pPr>
        <w:ind w:right="380" w:firstLine="480"/>
        <w:spacing w:after="0" w:line="306" w:lineRule="auto"/>
        <w:rPr>
          <w:sz w:val="20"/>
          <w:szCs w:val="20"/>
          <w:color w:val="auto"/>
        </w:rPr>
      </w:pPr>
      <w:r>
        <w:rPr>
          <w:rFonts w:ascii="Arial" w:cs="Arial" w:eastAsia="Arial" w:hAnsi="Arial"/>
          <w:sz w:val="16"/>
          <w:szCs w:val="16"/>
          <w:color w:val="auto"/>
        </w:rPr>
        <w:t>The Company relies on single source manufacturers for active pharmaceutical ingredient and finished drug product manufacturing of product candidates in development and on single source distributors for distribution of approved drug products. Delays in the manufacture or distribution of any product could adversely impact the commercial revenue and future procurement stockpiling of the Company’s product candidates.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0" w:lineRule="exact"/>
        <w:rPr>
          <w:sz w:val="20"/>
          <w:szCs w:val="20"/>
          <w:color w:val="auto"/>
        </w:rPr>
      </w:pPr>
    </w:p>
    <w:p>
      <w:pPr>
        <w:ind w:right="80" w:firstLine="480"/>
        <w:spacing w:after="0" w:line="271" w:lineRule="auto"/>
        <w:rPr>
          <w:sz w:val="20"/>
          <w:szCs w:val="20"/>
          <w:color w:val="auto"/>
        </w:rPr>
      </w:pPr>
      <w:r>
        <w:rPr>
          <w:rFonts w:ascii="Arial" w:cs="Arial" w:eastAsia="Arial" w:hAnsi="Arial"/>
          <w:sz w:val="17"/>
          <w:szCs w:val="17"/>
          <w:color w:val="auto"/>
        </w:rPr>
        <w:t>Cash equivalents and investments are financial instruments that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18 months or less.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605" w:right="379" w:bottom="1440" w:gutter="0" w:footer="0" w:header="0"/>
        </w:sectPr>
      </w:pPr>
    </w:p>
    <w:bookmarkStart w:id="17" w:name="page18"/>
    <w:bookmarkEnd w:id="17"/>
    <w:p>
      <w:pPr>
        <w:ind w:right="80" w:firstLine="480"/>
        <w:spacing w:after="0" w:line="281" w:lineRule="auto"/>
        <w:rPr>
          <w:sz w:val="20"/>
          <w:szCs w:val="20"/>
          <w:color w:val="auto"/>
        </w:rPr>
      </w:pPr>
      <w:r>
        <w:rPr>
          <w:rFonts w:ascii="Arial" w:cs="Arial" w:eastAsia="Arial" w:hAnsi="Arial"/>
          <w:sz w:val="17"/>
          <w:szCs w:val="17"/>
          <w:color w:val="auto"/>
        </w:rPr>
        <w:t>The Company’s receivables from sales of ORLADEYO are primarily due from one customer, resulting in a concentration of credit risk. Sales of ORLADEYO from the Company to the specialty pharmacy only occur once an order of product has been received by the specialty pharmacy from one of its customers, which include pharmacy benefit managers, insurance companies, government programs and group purchasing organizations.</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majority of the Company’s receivables from collaborations are due from the U.S. Government, for which there is no assumed credit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0" w:lineRule="exact"/>
        <w:rPr>
          <w:sz w:val="20"/>
          <w:szCs w:val="20"/>
          <w:color w:val="auto"/>
        </w:rPr>
      </w:pPr>
    </w:p>
    <w:p>
      <w:pPr>
        <w:ind w:right="280" w:firstLine="480"/>
        <w:spacing w:after="0" w:line="255" w:lineRule="auto"/>
        <w:rPr>
          <w:sz w:val="20"/>
          <w:szCs w:val="20"/>
          <w:color w:val="auto"/>
        </w:rPr>
      </w:pPr>
      <w:r>
        <w:rPr>
          <w:rFonts w:ascii="Arial" w:cs="Arial" w:eastAsia="Arial" w:hAnsi="Arial"/>
          <w:sz w:val="18"/>
          <w:szCs w:val="18"/>
          <w:color w:val="auto"/>
        </w:rPr>
        <w:t xml:space="preserve">In December 2019, the FASB issued ASU No. 2019-12 (ASC Topic 740),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simplifies accounting for income taxes by removing certain exceptions to the general principles and clarifying existing guidance. This standard is effective for fiscal years, and interim periods within those years, beginning after December 15, 2020. The adoption of this standard did not have a material impact to the Company’s financial position, results of operations or cash flows.</w:t>
      </w:r>
    </w:p>
    <w:p>
      <w:pPr>
        <w:spacing w:after="0" w:line="188" w:lineRule="exact"/>
        <w:rPr>
          <w:sz w:val="20"/>
          <w:szCs w:val="20"/>
          <w:color w:val="auto"/>
        </w:rPr>
      </w:pPr>
    </w:p>
    <w:p>
      <w:pPr>
        <w:ind w:right="680" w:firstLine="480"/>
        <w:spacing w:after="0" w:line="333" w:lineRule="auto"/>
        <w:rPr>
          <w:sz w:val="20"/>
          <w:szCs w:val="20"/>
          <w:color w:val="auto"/>
        </w:rPr>
      </w:pPr>
      <w:r>
        <w:rPr>
          <w:rFonts w:ascii="Arial" w:cs="Arial" w:eastAsia="Arial" w:hAnsi="Arial"/>
          <w:sz w:val="16"/>
          <w:szCs w:val="16"/>
          <w:color w:val="auto"/>
        </w:rPr>
        <w:t>The Company has reviewed other new accounting pronouncements that were issued as of September 30, 2021 and does not believe that these pronouncements are either applicable to the Company, or that they will have a material impact on its financial position or results of operations.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r>
        <w:rPr>
          <w:rFonts w:ascii="Arial" w:cs="Arial" w:eastAsia="Arial" w:hAnsi="Arial"/>
          <w:sz w:val="18"/>
          <w:szCs w:val="18"/>
          <w:color w:val="auto"/>
        </w:rPr>
        <w:t>—</w:t>
      </w:r>
      <w:r>
        <w:rPr>
          <w:rFonts w:ascii="Arial" w:cs="Arial" w:eastAsia="Arial" w:hAnsi="Arial"/>
          <w:sz w:val="18"/>
          <w:szCs w:val="18"/>
          <w:b w:val="1"/>
          <w:bCs w:val="1"/>
          <w:color w:val="auto"/>
        </w:rPr>
        <w:t>Royalty Monetizations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RAPIACTA Royalty Monetization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0" w:lineRule="exact"/>
        <w:rPr>
          <w:sz w:val="20"/>
          <w:szCs w:val="20"/>
          <w:color w:val="auto"/>
        </w:rPr>
      </w:pPr>
    </w:p>
    <w:p>
      <w:pPr>
        <w:ind w:right="20" w:firstLine="480"/>
        <w:spacing w:after="0" w:line="271" w:lineRule="auto"/>
        <w:rPr>
          <w:sz w:val="20"/>
          <w:szCs w:val="20"/>
          <w:color w:val="auto"/>
        </w:rPr>
      </w:pPr>
      <w:r>
        <w:rPr>
          <w:rFonts w:ascii="Arial" w:cs="Arial" w:eastAsia="Arial" w:hAnsi="Arial"/>
          <w:sz w:val="17"/>
          <w:szCs w:val="17"/>
          <w:color w:val="auto"/>
        </w:rPr>
        <w:t>On March 9, 2011, the Company completed a $30,000 financing transaction to monetize certain future royalty and milestone payments under the Company’s agreement with Shionogi (the “Shionogi Agreement”), pursuant to which Shionogi licensed from the Company the rights to market RAPIACTA in Japan and Taiwan. The Company received net proceeds of $22,691 from the transaction after transaction costs of $4,309 and the establishment of a $3,000 interest reserve account by JPR Royalty Sub LLC, a wholly-owned subsidiary of the Company (“Royalty Sub”), available to help cover interest shortfalls in the future. All of the interest reserve account has been fully utilized with the September 2012 interest payment.</w:t>
      </w:r>
    </w:p>
    <w:p>
      <w:pPr>
        <w:spacing w:after="0" w:line="177" w:lineRule="exact"/>
        <w:rPr>
          <w:sz w:val="20"/>
          <w:szCs w:val="20"/>
          <w:color w:val="auto"/>
        </w:rPr>
      </w:pPr>
    </w:p>
    <w:p>
      <w:pPr>
        <w:ind w:right="80" w:firstLine="480"/>
        <w:spacing w:after="0" w:line="292" w:lineRule="auto"/>
        <w:rPr>
          <w:sz w:val="20"/>
          <w:szCs w:val="20"/>
          <w:color w:val="auto"/>
        </w:rPr>
      </w:pPr>
      <w:r>
        <w:rPr>
          <w:rFonts w:ascii="Arial" w:cs="Arial" w:eastAsia="Arial" w:hAnsi="Arial"/>
          <w:sz w:val="16"/>
          <w:szCs w:val="16"/>
          <w:color w:val="auto"/>
        </w:rPr>
        <w:t>As part of the transaction, the Company entered into a purchase and sale agreement dated as of March 9, 2011 with Royalty Sub, whereby the Company transferred to Royalty Sub, among other things, (i) its rights to receive certain royalty and milestone payments from Shionogi arising under the Shionogi Agreement, and (ii) the right to receive payments under a Japanese yen/US dollar foreign currency hedge arrangement (as further described below, the “Currency Hedge Agreement”) put into place by the Company in connection with the transaction. Royalty payments are paid by Shionogi in Japanese yen, and any milestone payments will be paid in U.S. dollars. The Company’s collaboration with Shionogi was not impacted as a result of this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Notes Payable</w:t>
      </w:r>
    </w:p>
    <w:p>
      <w:pPr>
        <w:spacing w:after="0" w:line="220" w:lineRule="exact"/>
        <w:rPr>
          <w:sz w:val="20"/>
          <w:szCs w:val="20"/>
          <w:color w:val="auto"/>
        </w:rPr>
      </w:pPr>
    </w:p>
    <w:p>
      <w:pPr>
        <w:ind w:right="20" w:firstLine="480"/>
        <w:spacing w:after="0" w:line="268" w:lineRule="auto"/>
        <w:rPr>
          <w:sz w:val="20"/>
          <w:szCs w:val="20"/>
          <w:color w:val="auto"/>
        </w:rPr>
      </w:pPr>
      <w:r>
        <w:rPr>
          <w:rFonts w:ascii="Arial" w:cs="Arial" w:eastAsia="Arial" w:hAnsi="Arial"/>
          <w:sz w:val="17"/>
          <w:szCs w:val="17"/>
          <w:color w:val="auto"/>
        </w:rPr>
        <w:t>On March 9, 2011, Royalty Sub completed a private placement to institutional investors of $30,000 in aggregate principal amount of its PhaRMA Senior Secured 14.0% Notes due on December 1, 2020 (the “PhaRMA Notes”). The PhaRMA Notes were issued by Royalty Sub under an Indenture, dated as of March 9, 2011 (the “Indenture”), by and between Royalty Sub and U.S. Bank National Association, as Trustee. Principal and interest on the PhaRMA Notes are payable from, and are secured by, the rights to royalty and milestone payments under the Shionogi Agreement transferred by the Company to Royalty Sub and payments, if any, made to Royalty Sub under the Currency Hedge Agreement. The PhaRMA Notes bear interest at 14% per annum, payable annually in arrears on September 1st of each year. The Company remains entitled to receive any royalties and milestone payments related to sales of peramivir by Shionogi following repayment of the PhaRMA Notes.</w:t>
      </w:r>
    </w:p>
    <w:p>
      <w:pPr>
        <w:spacing w:after="0" w:line="180" w:lineRule="exact"/>
        <w:rPr>
          <w:sz w:val="20"/>
          <w:szCs w:val="20"/>
          <w:color w:val="auto"/>
        </w:rPr>
      </w:pPr>
    </w:p>
    <w:p>
      <w:pPr>
        <w:ind w:right="200" w:firstLine="480"/>
        <w:spacing w:after="0" w:line="255" w:lineRule="auto"/>
        <w:rPr>
          <w:sz w:val="20"/>
          <w:szCs w:val="20"/>
          <w:color w:val="auto"/>
        </w:rPr>
      </w:pPr>
      <w:r>
        <w:rPr>
          <w:rFonts w:ascii="Arial" w:cs="Arial" w:eastAsia="Arial" w:hAnsi="Arial"/>
          <w:sz w:val="18"/>
          <w:szCs w:val="18"/>
          <w:color w:val="auto"/>
        </w:rPr>
        <w:t>Royalty Sub’s obligations to pay principal and interest on the PhaRMA Notes are obligations solely of Royalty Sub and are without recourse to any other person, including the Company, except to the extent of the Company’s pledge of its equity interests in Royalty Sub in support of the PhaRMA Notes. The Company may, but is not obligated to, make capital contributions to a capital account that may be used to redeem, or on up to one occasion pay any interest shortfall on, the PhaRMA Notes.</w:t>
      </w:r>
    </w:p>
    <w:p>
      <w:pPr>
        <w:spacing w:after="0" w:line="188" w:lineRule="exact"/>
        <w:rPr>
          <w:sz w:val="20"/>
          <w:szCs w:val="20"/>
          <w:color w:val="auto"/>
        </w:rPr>
      </w:pPr>
    </w:p>
    <w:p>
      <w:pPr>
        <w:ind w:firstLine="480"/>
        <w:spacing w:after="0" w:line="282" w:lineRule="auto"/>
        <w:rPr>
          <w:sz w:val="20"/>
          <w:szCs w:val="20"/>
          <w:color w:val="auto"/>
        </w:rPr>
      </w:pPr>
      <w:r>
        <w:rPr>
          <w:rFonts w:ascii="Arial" w:cs="Arial" w:eastAsia="Arial" w:hAnsi="Arial"/>
          <w:sz w:val="16"/>
          <w:szCs w:val="16"/>
          <w:color w:val="auto"/>
        </w:rPr>
        <w:t>In September 2014, Royalty Sub was unable to pay the accrued interest obligation due September 3, 2013. Under the terms of the Indenture, Royalty Sub’s inability to pay the full amount of interest payable in September 2013 by the next succeeding payment date for the PhaRMA Notes, which was September 1, 2014, constituted an event of default. Accordingly, the PhaRMA Notes and related accrued interest have been classified as current liabilities on the December 31, 2014 balance sheet and thereafter. The PhaRMA Notes had a final legal maturity date of December 1, 2020, at which time the outstanding principal amount of the PhaRMA Notes, together with accrued and unpaid interest, was due in full. As of September 30, 2021, the PhaRMA Notes remained outstanding and in default, and the Company will continue to record the liability and accrued interest owed until the Company is determined to no longer be the financial obligor, which is anticipated during 2021. As a result of the continuing events of default under the PhaRMA Notes, the holders of the PhaRMA Notes may foreclose on the collateral securing the PhaRMA Notes and the equity interest in Royalty Sub and exercise other remedies available to them under the Indenture in respect of the PhaRMA Notes. In such event, the Company may not realize the benefit of future royalty payments that might otherwise accrue to it following repayment of the PhaRMA Notes and it might otherwise be adversely affected. Due to the non-recourse nature of the PhaRMA Notes, in the event of any potential foreclosure, the primary impact to the Company would be the loss of future royalty payments from Shionogi and legal costs associated with retiring the PhaRMA Notes. As the PhaRMA Notes are the obligation of Royalty Sub and non-recourse to the Company, the events of default of the PhaRMA Notes are not expected to have a significant impact on the Company’s future results of operations or cash flows. As of September 30, 2021, the outstanding principal amount of the PhaRMA Notes was $30,000 and accrued and unpaid interest was $25,553.</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605" w:right="359" w:bottom="1440" w:gutter="0" w:footer="0" w:header="0"/>
        </w:sectPr>
      </w:pPr>
    </w:p>
    <w:bookmarkStart w:id="18" w:name="page19"/>
    <w:bookmarkEnd w:id="18"/>
    <w:p>
      <w:pPr>
        <w:ind w:right="100" w:firstLine="480"/>
        <w:spacing w:after="0" w:line="258" w:lineRule="auto"/>
        <w:rPr>
          <w:sz w:val="20"/>
          <w:szCs w:val="20"/>
          <w:color w:val="auto"/>
        </w:rPr>
      </w:pPr>
      <w:r>
        <w:rPr>
          <w:rFonts w:ascii="Arial" w:cs="Arial" w:eastAsia="Arial" w:hAnsi="Arial"/>
          <w:sz w:val="18"/>
          <w:szCs w:val="18"/>
          <w:color w:val="auto"/>
        </w:rPr>
        <w:t>The Indenture does not contain any financial covenants. The Indenture includes customary representations and warranties of Royalty Sub, affirmative and negative covenants of Royalty Sub, Events of Default and related remedies, and provisions regarding the duties of the Trustee, indemnification of the Trustee, and other matters typical for indentures used in structured financings of this type.</w:t>
      </w:r>
    </w:p>
    <w:p>
      <w:pPr>
        <w:spacing w:after="0" w:line="186" w:lineRule="exact"/>
        <w:rPr>
          <w:sz w:val="20"/>
          <w:szCs w:val="20"/>
          <w:color w:val="auto"/>
        </w:rPr>
      </w:pPr>
    </w:p>
    <w:p>
      <w:pPr>
        <w:ind w:right="60" w:firstLine="480"/>
        <w:spacing w:after="0" w:line="270" w:lineRule="auto"/>
        <w:rPr>
          <w:sz w:val="20"/>
          <w:szCs w:val="20"/>
          <w:color w:val="auto"/>
        </w:rPr>
      </w:pPr>
      <w:r>
        <w:rPr>
          <w:rFonts w:ascii="Arial" w:cs="Arial" w:eastAsia="Arial" w:hAnsi="Arial"/>
          <w:sz w:val="18"/>
          <w:szCs w:val="18"/>
          <w:color w:val="auto"/>
        </w:rPr>
        <w:t>As of September 30, 2021, the aggregate fair value of the PhaRMA Notes was estimated to be approximately 3% of its carrying value of $30,000. The estimated fair value of the PhaRMA Notes is classified as Level 3 in the fair value hierarchy as defined in U.S. GAAP.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Hedge</w:t>
      </w:r>
    </w:p>
    <w:p>
      <w:pPr>
        <w:spacing w:after="0" w:line="220" w:lineRule="exact"/>
        <w:rPr>
          <w:sz w:val="20"/>
          <w:szCs w:val="20"/>
          <w:color w:val="auto"/>
        </w:rPr>
      </w:pPr>
    </w:p>
    <w:p>
      <w:pPr>
        <w:ind w:right="60" w:firstLine="480"/>
        <w:spacing w:after="0" w:line="253" w:lineRule="auto"/>
        <w:rPr>
          <w:sz w:val="20"/>
          <w:szCs w:val="20"/>
          <w:color w:val="auto"/>
        </w:rPr>
      </w:pPr>
      <w:r>
        <w:rPr>
          <w:rFonts w:ascii="Arial" w:cs="Arial" w:eastAsia="Arial" w:hAnsi="Arial"/>
          <w:sz w:val="18"/>
          <w:szCs w:val="18"/>
          <w:color w:val="auto"/>
        </w:rPr>
        <w:t>In connection with the issuance by Royalty Sub of the PhaRMA Notes, the Company entered into a Currency Hedge Agreement to hedge certain risks associated with changes in the value of the Japanese yen relative to the U.S. dollar. Under the Currency Hedge Agreement, the Company had the right to purchase dollars and sell yen at a rate of 100 yen per dollar. The Currency Hedge Agreement did not qualify for hedge accounting treatment; therefore mark-to-market adjustments were recognized in the Company’s Consolidated Statements of Comprehensive Loss. The final tranche of the options under the Currency Hedge Agreement expired in November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ORLADEYO Royalty Monetization</w:t>
      </w:r>
    </w:p>
    <w:p>
      <w:pPr>
        <w:spacing w:after="0" w:line="220" w:lineRule="exact"/>
        <w:rPr>
          <w:sz w:val="20"/>
          <w:szCs w:val="20"/>
          <w:color w:val="auto"/>
        </w:rPr>
      </w:pPr>
    </w:p>
    <w:p>
      <w:pPr>
        <w:ind w:right="60" w:firstLine="480"/>
        <w:spacing w:after="0" w:line="287" w:lineRule="auto"/>
        <w:rPr>
          <w:sz w:val="20"/>
          <w:szCs w:val="20"/>
          <w:color w:val="auto"/>
        </w:rPr>
      </w:pPr>
      <w:r>
        <w:rPr>
          <w:rFonts w:ascii="Arial" w:cs="Arial" w:eastAsia="Arial" w:hAnsi="Arial"/>
          <w:sz w:val="16"/>
          <w:szCs w:val="16"/>
          <w:color w:val="auto"/>
        </w:rPr>
        <w:t>On December 7, 2020, the Company and RPI 2019 Intermediate Finance Trust (“RPI”) entered into a Purchase and Sale Agreement (the “Royalty Purchase Agreement”), pursuant to which the Company sold to RPI the right to receive certain royalty payments from the Company for a purchase price of $125,000 in cash (the “Royalty Sale”). Under the Royalty Purchase Agreement, RPI is entitled to receive tiered, sales-based royalties on net product sales of ORLADEYO in the United States, certain key European markets, and other markets where the Company sells ORLADEYO directly or through distributors (collectively, the “Key Territories”) in an amount equal to: (i) 8.75% of aggregate annual net sales of ORLADEYO in the Key Territories for annual net sales up to $350,000 and (ii) 2.75% of annual net sales in the Key Territories for annual net sales between $350,000 and $550,000. No royalty payments are payable on annual net sales in the Key Territories over $550,000. In addition, RPI will be entitled to receive 1.0% of global net sales, if any, of BCX9930.</w:t>
      </w:r>
    </w:p>
    <w:p>
      <w:pPr>
        <w:spacing w:after="0" w:line="168" w:lineRule="exact"/>
        <w:rPr>
          <w:sz w:val="20"/>
          <w:szCs w:val="20"/>
          <w:color w:val="auto"/>
        </w:rPr>
      </w:pPr>
    </w:p>
    <w:p>
      <w:pPr>
        <w:ind w:right="240" w:firstLine="480"/>
        <w:spacing w:after="0" w:line="252" w:lineRule="auto"/>
        <w:rPr>
          <w:sz w:val="20"/>
          <w:szCs w:val="20"/>
          <w:color w:val="auto"/>
        </w:rPr>
      </w:pPr>
      <w:r>
        <w:rPr>
          <w:rFonts w:ascii="Arial" w:cs="Arial" w:eastAsia="Arial" w:hAnsi="Arial"/>
          <w:sz w:val="18"/>
          <w:szCs w:val="18"/>
          <w:color w:val="auto"/>
        </w:rPr>
        <w:t>Under the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 No payment will be due to RPI for any achievement milestone which may be payable under the existing out-license for ORLADEYO.</w:t>
      </w:r>
    </w:p>
    <w:p>
      <w:pPr>
        <w:spacing w:after="0" w:line="190" w:lineRule="exact"/>
        <w:rPr>
          <w:sz w:val="20"/>
          <w:szCs w:val="20"/>
          <w:color w:val="auto"/>
        </w:rPr>
      </w:pPr>
    </w:p>
    <w:p>
      <w:pPr>
        <w:ind w:right="620" w:firstLine="480"/>
        <w:spacing w:after="0" w:line="270" w:lineRule="auto"/>
        <w:rPr>
          <w:sz w:val="20"/>
          <w:szCs w:val="20"/>
          <w:color w:val="auto"/>
        </w:rPr>
      </w:pPr>
      <w:r>
        <w:rPr>
          <w:rFonts w:ascii="Arial" w:cs="Arial" w:eastAsia="Arial" w:hAnsi="Arial"/>
          <w:sz w:val="18"/>
          <w:szCs w:val="18"/>
          <w:color w:val="auto"/>
        </w:rPr>
        <w:t>The Company will be required to make royalty payments of amounts owed to RPI each calendar quarter following the first commercial sale of ORLADEYO in any country.</w:t>
      </w:r>
    </w:p>
    <w:p>
      <w:pPr>
        <w:spacing w:after="0" w:line="175" w:lineRule="exact"/>
        <w:rPr>
          <w:sz w:val="20"/>
          <w:szCs w:val="20"/>
          <w:color w:val="auto"/>
        </w:rPr>
      </w:pPr>
    </w:p>
    <w:p>
      <w:pPr>
        <w:ind w:firstLine="480"/>
        <w:spacing w:after="0" w:line="252" w:lineRule="auto"/>
        <w:rPr>
          <w:sz w:val="20"/>
          <w:szCs w:val="20"/>
          <w:color w:val="auto"/>
        </w:rPr>
      </w:pPr>
      <w:r>
        <w:rPr>
          <w:rFonts w:ascii="Arial" w:cs="Arial" w:eastAsia="Arial" w:hAnsi="Arial"/>
          <w:sz w:val="18"/>
          <w:szCs w:val="18"/>
          <w:color w:val="auto"/>
        </w:rPr>
        <w:t>Under the Royalty Purchase Agreement, the Company has agreed to specified affirmative and negative covenants, including covenants regarding periodic reporting of information by the Company to RPI, third-party audits of royalties paid under the Royalty Purchase Agreement, and restrictions on the ability of the Company or any of its subsidiaries to incur indebtedness other than certain royalty sales and as is permitted to be incurred under the terms of the Company’s Credit Agreement with Athyrium Opportunities III Co-Invest 1 LP. Refer to Note 3 for further details on the Credit Agreement. The restrictions on the ability of the Company or any of its subsidiaries to incur indebtedness are eliminated after the achievement of certain specified milestones in the Royalty Purchase Agreement.</w:t>
      </w:r>
    </w:p>
    <w:p>
      <w:pPr>
        <w:spacing w:after="0" w:line="190" w:lineRule="exact"/>
        <w:rPr>
          <w:sz w:val="20"/>
          <w:szCs w:val="20"/>
          <w:color w:val="auto"/>
        </w:rPr>
      </w:pPr>
    </w:p>
    <w:p>
      <w:pPr>
        <w:ind w:right="160" w:firstLine="480"/>
        <w:spacing w:after="0" w:line="265" w:lineRule="auto"/>
        <w:rPr>
          <w:sz w:val="20"/>
          <w:szCs w:val="20"/>
          <w:color w:val="auto"/>
        </w:rPr>
      </w:pPr>
      <w:r>
        <w:rPr>
          <w:rFonts w:ascii="Arial" w:cs="Arial" w:eastAsia="Arial" w:hAnsi="Arial"/>
          <w:sz w:val="17"/>
          <w:szCs w:val="17"/>
          <w:color w:val="auto"/>
        </w:rPr>
        <w:t>The cash consideration of $125,000 obtained pursuant to the Royalty Purchase Agreement is recorded in “Royalty financing obligation” on the Company’s consolidated balance sheet as of December 31, 2020. The fair value for the royalty financing obligation at the time of the transaction was based on the Company’s estimates of future royalties expected to be paid to RPI over the life of the arrangement. The estimates of future net product sales (and resulting royalty payments) are based on key assumptions including population, penetration and sales price and are determined using forecasts from market data sources, which are considered Level 3 inputs. Deferred issuance costs, which consist primarily of advisory and legal fees, totaled $2,370 as of September 30, 2021. The royalty financing obligation and the deferred issuance costs are amortized using the effective interest method over the term of the arrangement, in accordance with the respective guidance. The effective interest rate as of September 30, 2021 was approximately 24%. For the nine months ended September 30, 2021, accrued interest expense in the amount of $24,125 was added to the balance of the royalty financing obligation. Additionally, as of September 30, 2021, the Company has made royalty payments of $3,459 and had accrued royalties payable to RPI of $3,269, which reduced the royalty financing obligation. The Company will utilize the prospective method to account for subsequent changes in the estimated future payments to be made to RPI.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Credit Agreement</w:t>
      </w:r>
    </w:p>
    <w:p>
      <w:pPr>
        <w:spacing w:after="0" w:line="224" w:lineRule="exact"/>
        <w:rPr>
          <w:sz w:val="20"/>
          <w:szCs w:val="20"/>
          <w:color w:val="auto"/>
        </w:rPr>
      </w:pPr>
    </w:p>
    <w:p>
      <w:pPr>
        <w:ind w:right="260" w:firstLine="480"/>
        <w:spacing w:after="0" w:line="269" w:lineRule="auto"/>
        <w:rPr>
          <w:sz w:val="20"/>
          <w:szCs w:val="20"/>
          <w:color w:val="auto"/>
        </w:rPr>
      </w:pPr>
      <w:r>
        <w:rPr>
          <w:rFonts w:ascii="Arial" w:cs="Arial" w:eastAsia="Arial" w:hAnsi="Arial"/>
          <w:sz w:val="17"/>
          <w:szCs w:val="17"/>
          <w:color w:val="auto"/>
        </w:rPr>
        <w:t>On December 7, 2020, the Company entered into a $200,000 Credit Agreement with Athyrium Opportunities III Co-Invest 1 LP (“Athyrium”), as lender and as administrative agent for the lenders. BioCryst Ireland Limited, BioCryst US Sales Co., LLC, and BioCryst UK Limited, each of which is a wholly-owned subsidiary of the Company, are guarantors to the Credit Agreement. The Credit Agreement provided for an initial term loan in the principal amount of $125,000 (the “Term A Loan”), which was received by the Company on December 7, 2020 and is recorded in “Secured term loan” on the Company’s balance sheet. The Company used a portion of the proceeds from the Term A Loan to repay $43,298 of outstanding indebtedness, including accrued interest, under its then-existing credit facility with MidCap Financial Trust.</w:t>
      </w:r>
    </w:p>
    <w:p>
      <w:pPr>
        <w:spacing w:after="0" w:line="180" w:lineRule="exact"/>
        <w:rPr>
          <w:sz w:val="20"/>
          <w:szCs w:val="20"/>
          <w:color w:val="auto"/>
        </w:rPr>
      </w:pPr>
    </w:p>
    <w:p>
      <w:pPr>
        <w:ind w:right="20" w:firstLine="480"/>
        <w:spacing w:after="0" w:line="296" w:lineRule="auto"/>
        <w:rPr>
          <w:sz w:val="20"/>
          <w:szCs w:val="20"/>
          <w:color w:val="auto"/>
        </w:rPr>
      </w:pPr>
      <w:r>
        <w:rPr>
          <w:rFonts w:ascii="Arial" w:cs="Arial" w:eastAsia="Arial" w:hAnsi="Arial"/>
          <w:sz w:val="16"/>
          <w:szCs w:val="16"/>
          <w:color w:val="auto"/>
        </w:rPr>
        <w:t>The Credit Agreement also provides for two additional term loans, at the Company’s option, in the respective principal amounts of $25,000 (the “Term B Loan”) and $50,000 (the “Term C Loan” and collectively with the Term A Loan and the Term B Loan, the “Term Loans”). The Term B Loan and the Term C Loan may be drawn upon if, among other conditions, the Company reaches defined revenue milestones and, with respect to a draw on the Term C Loan, the Term B Loan has been funded prior to or contemporaneously with the Term C Loan. The maturity date of the Credit Agreement is December 7, 2025.</w:t>
      </w:r>
    </w:p>
    <w:p>
      <w:pPr>
        <w:spacing w:after="0" w:line="160" w:lineRule="exact"/>
        <w:rPr>
          <w:sz w:val="20"/>
          <w:szCs w:val="20"/>
          <w:color w:val="auto"/>
        </w:rPr>
      </w:pPr>
    </w:p>
    <w:p>
      <w:pPr>
        <w:ind w:right="60" w:firstLine="480"/>
        <w:spacing w:after="0" w:line="252" w:lineRule="auto"/>
        <w:rPr>
          <w:sz w:val="20"/>
          <w:szCs w:val="20"/>
          <w:color w:val="auto"/>
        </w:rPr>
      </w:pPr>
      <w:r>
        <w:rPr>
          <w:rFonts w:ascii="Arial" w:cs="Arial" w:eastAsia="Arial" w:hAnsi="Arial"/>
          <w:sz w:val="18"/>
          <w:szCs w:val="18"/>
          <w:color w:val="auto"/>
        </w:rPr>
        <w:t>The Credit Agreement provides for quarterly interest-only payments until the maturity date, with the unpaid principal amount of the outstanding Term Loans due and payable on the maturity date. For each of the first eight full fiscal quarters following December 7, 2020, the Company has the option to make the applicable interest payment in-kind (a “PIK Interest Payment”) by capitalizing the entire amount of interest accrued during the applicable interest period with the unpaid original principal amount outstanding on the last day of such period. The Term Loans will bear interest at a rate equal to the three-month LIBOR rate, which shall be no less than 1.75% and no more than 3.50% (“LIBOR”), plus 8.25%, or for each interest period in which a PIK Interest Payment is made, LIBOR plus 10.25%.</w:t>
      </w:r>
    </w:p>
    <w:p>
      <w:pPr>
        <w:spacing w:after="0" w:line="190" w:lineRule="exact"/>
        <w:rPr>
          <w:sz w:val="20"/>
          <w:szCs w:val="20"/>
          <w:color w:val="auto"/>
        </w:rPr>
      </w:pPr>
    </w:p>
    <w:p>
      <w:pPr>
        <w:ind w:firstLine="480"/>
        <w:spacing w:after="0" w:line="283" w:lineRule="auto"/>
        <w:rPr>
          <w:sz w:val="20"/>
          <w:szCs w:val="20"/>
          <w:color w:val="auto"/>
        </w:rPr>
      </w:pPr>
      <w:r>
        <w:rPr>
          <w:rFonts w:ascii="Arial" w:cs="Arial" w:eastAsia="Arial" w:hAnsi="Arial"/>
          <w:sz w:val="16"/>
          <w:szCs w:val="16"/>
          <w:color w:val="auto"/>
        </w:rPr>
        <w:t>Subject to certain exceptions, the Company is required to make mandatory prepayments of the Term Loans with the proceeds of certain asset sales, certain ORLADEYO out-licensing or royalty monetization transactions (excluding the Royalty Sale), extraordinary receipts, debt issuances, or upon a change of control of the Company and specified other events, subject to certain exceptions. The Company may make voluntary prepayments in whole or in part. Prepayments are subject to a premium equal to, (i) with respect to any voluntary prepayment and certain mandatory prepayments paid on or prior to the second anniversary of the applicable Term Loan borrowing date, the amount, if any, by which (a) the sum of (1) 102.00% of the principal amount of the Term Loan being prepaid plus (2) the present value of all interest that would have accrued on the principal amount of the Term Loan being prepaid through and including the second anniversary of the date of the borrowing of such Term Loan, plus 0.50%, exceeds (b) the principal amount of the Term Loan being prepaid; (ii) with respect to any prepayment made between the second and third anniversaries of the applicable Term Loan borrowing date, 2.00% of the principal amount of the Term Loan being prepaid; (iii) with respect to any prepayment made between the third and fourth anniversaries of the applicable Term Loan borrowing date, 1.00% of the principal amount of the Term Loan being prepaid; and (iv) with respect to any prepayment made after the fourth anniversary of the applicable Term Loan borrowing date, 0.00% of the principal amount of the Term Loan being prepaid. Upon the prepayment or repayment, including at maturity, of all or any of the Term Loans, the Company is obligated to pay an exit fee in an amount equal to 2.00% of the principal amount of the Term Loans prepaid or repaid. In addition, each Term Loan is subject to a 1.00% commitment fee at its respective borrowing date.</w:t>
      </w:r>
    </w:p>
    <w:p>
      <w:pPr>
        <w:spacing w:after="0" w:line="168" w:lineRule="exact"/>
        <w:rPr>
          <w:sz w:val="20"/>
          <w:szCs w:val="20"/>
          <w:color w:val="auto"/>
        </w:rPr>
      </w:pPr>
    </w:p>
    <w:p>
      <w:pPr>
        <w:ind w:right="20" w:firstLine="480"/>
        <w:spacing w:after="0" w:line="282" w:lineRule="auto"/>
        <w:rPr>
          <w:sz w:val="20"/>
          <w:szCs w:val="20"/>
          <w:color w:val="auto"/>
        </w:rPr>
      </w:pPr>
      <w:r>
        <w:rPr>
          <w:rFonts w:ascii="Arial" w:cs="Arial" w:eastAsia="Arial" w:hAnsi="Arial"/>
          <w:sz w:val="16"/>
          <w:szCs w:val="16"/>
          <w:color w:val="auto"/>
        </w:rPr>
        <w:t>The Credit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grant liens, make investments, incur additional indebtedness, engage in mergers, acquisitions, and similar transactions, dispose of assets, license certain property, distribute dividends, make certain restricted payments, change the nature of the Company’s business, engage in transactions with affiliates and insiders, prepay other indebtedness, or engage in sale and leaseback transactions, subject to certain exceptions. Additionally, as of the last day of each fiscal quarter (a “Test Date”), beginning with the first Test Date occurring immediately after the Term C Loan is drawn, if applicable, the Company may not permit consolidated net revenues from ORLADEYO sales in the United States for the four-fiscal quarter period ending on such Test Date to be less than the specified amounts set forth in the Credit Agreement (collectively, the “Revenue Tests”). If the Company fails to satisfy the Revenue Tests as of any Test Date, it will have a one-time right (the “Cure Right”) to repay in full the entire amount of the Term C Loan outstanding at such time together with all accrued and unpaid interest thereon plus the prepayment premium, exit fee, and any other fees or amounts payable under the Credit Agreement at such time. In addition, the Credit Agreement contains a minimum liquidity covenant requiring the Company to maintain at all times, as applicable, at least $15,000 of unrestricted cash and cash equivalents if only the Term A Loan has been drawn; at least $20,000 of unrestricted cash and cash equivalents if the Term B Loan has been drawn but the Term C Loan has not been drawn; and at least $15,000 (or, if the Cure Right has been exercised, $20,000) of unrestricted cash and cash equivalents if the Term C Loan has been drawn, subject to certain exceptions.</w:t>
      </w:r>
    </w:p>
    <w:p>
      <w:pPr>
        <w:spacing w:after="0" w:line="176" w:lineRule="exact"/>
        <w:rPr>
          <w:sz w:val="20"/>
          <w:szCs w:val="20"/>
          <w:color w:val="auto"/>
        </w:rPr>
      </w:pPr>
    </w:p>
    <w:p>
      <w:pPr>
        <w:ind w:right="480" w:firstLine="480"/>
        <w:spacing w:after="0" w:line="270" w:lineRule="auto"/>
        <w:rPr>
          <w:sz w:val="20"/>
          <w:szCs w:val="20"/>
          <w:color w:val="auto"/>
        </w:rPr>
      </w:pPr>
      <w:r>
        <w:rPr>
          <w:rFonts w:ascii="Arial" w:cs="Arial" w:eastAsia="Arial" w:hAnsi="Arial"/>
          <w:sz w:val="18"/>
          <w:szCs w:val="18"/>
          <w:color w:val="auto"/>
        </w:rPr>
        <w:t>A failure to comply with the covenants in the Credit Agreement could permit the Lenders under the Credit Agreement to declare the outstanding principal as well as accrued interest and fees, to be immediately due and payable.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0" w:name="page21"/>
    <w:bookmarkEnd w:id="20"/>
    <w:p>
      <w:pPr>
        <w:ind w:right="440" w:firstLine="480"/>
        <w:spacing w:after="0" w:line="270" w:lineRule="auto"/>
        <w:rPr>
          <w:sz w:val="20"/>
          <w:szCs w:val="20"/>
          <w:color w:val="auto"/>
        </w:rPr>
      </w:pPr>
      <w:r>
        <w:rPr>
          <w:rFonts w:ascii="Arial" w:cs="Arial" w:eastAsia="Arial" w:hAnsi="Arial"/>
          <w:sz w:val="18"/>
          <w:szCs w:val="18"/>
          <w:color w:val="auto"/>
        </w:rPr>
        <w:t>The Company's obligations under the Credit Agreement are secured by a security interest in, subject to certain exceptions, substantially all of the Company's assets.</w:t>
      </w:r>
    </w:p>
    <w:p>
      <w:pPr>
        <w:spacing w:after="0" w:line="175" w:lineRule="exact"/>
        <w:rPr>
          <w:sz w:val="20"/>
          <w:szCs w:val="20"/>
          <w:color w:val="auto"/>
        </w:rPr>
      </w:pPr>
    </w:p>
    <w:p>
      <w:pPr>
        <w:ind w:right="80" w:firstLine="480"/>
        <w:spacing w:after="0" w:line="287" w:lineRule="auto"/>
        <w:rPr>
          <w:sz w:val="20"/>
          <w:szCs w:val="20"/>
          <w:color w:val="auto"/>
        </w:rPr>
      </w:pPr>
      <w:r>
        <w:rPr>
          <w:rFonts w:ascii="Arial" w:cs="Arial" w:eastAsia="Arial" w:hAnsi="Arial"/>
          <w:sz w:val="16"/>
          <w:szCs w:val="16"/>
          <w:color w:val="auto"/>
        </w:rPr>
        <w:t>The Credit Agreement provides for quarterly interest-only payments until the maturity date, with the unpaid principal amount of the outstanding Term Loans due and payable on the maturity date of December 7, 2025. The Term Loan is accruing interest at a rate of 12.17%. The Company has elected each of the quarterly interest payments in 2021 to be PIK Interest Payments. For the nine months ended September 30, 2021, total PIK Interest Payments of $12,871 were added to the outstanding balance of the Term Loan. As of September 30, 2021, debt fees and issuance costs totaled $8,321 and are being amortized as part of interest expense on an effective interest rate method over the term of the Term A Loan. As of September 30, 2021, borrowings, including the PIK Interest Payment, under the Credit Agreement totaled $137,871. The fair value of the debt approximates its carrying value based on prevailing interest rates as of the balance sheet date and is considered as Level 2 in the fair value hierarchy.</w:t>
      </w:r>
    </w:p>
    <w:p>
      <w:pPr>
        <w:spacing w:after="0" w:line="168" w:lineRule="exact"/>
        <w:rPr>
          <w:sz w:val="20"/>
          <w:szCs w:val="20"/>
          <w:color w:val="auto"/>
        </w:rPr>
      </w:pPr>
    </w:p>
    <w:p>
      <w:pPr>
        <w:ind w:right="180" w:firstLine="480"/>
        <w:spacing w:after="0" w:line="270" w:lineRule="auto"/>
        <w:rPr>
          <w:sz w:val="20"/>
          <w:szCs w:val="20"/>
          <w:color w:val="auto"/>
        </w:rPr>
      </w:pPr>
      <w:r>
        <w:rPr>
          <w:rFonts w:ascii="Arial" w:cs="Arial" w:eastAsia="Arial" w:hAnsi="Arial"/>
          <w:sz w:val="18"/>
          <w:szCs w:val="18"/>
          <w:color w:val="auto"/>
        </w:rPr>
        <w:t>The Credit Agreement contains two provisions that, if deemed probable, would create the recognition of an embedded feature; however, at this time, the Company does not believe either provision is probable.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Senior Credit Facility</w:t>
      </w:r>
    </w:p>
    <w:p>
      <w:pPr>
        <w:spacing w:after="0" w:line="224" w:lineRule="exact"/>
        <w:rPr>
          <w:sz w:val="20"/>
          <w:szCs w:val="20"/>
          <w:color w:val="auto"/>
        </w:rPr>
      </w:pPr>
    </w:p>
    <w:p>
      <w:pPr>
        <w:ind w:right="280" w:firstLine="480"/>
        <w:spacing w:after="0" w:line="282" w:lineRule="auto"/>
        <w:rPr>
          <w:sz w:val="20"/>
          <w:szCs w:val="20"/>
          <w:color w:val="auto"/>
        </w:rPr>
      </w:pPr>
      <w:r>
        <w:rPr>
          <w:rFonts w:ascii="Arial" w:cs="Arial" w:eastAsia="Arial" w:hAnsi="Arial"/>
          <w:sz w:val="16"/>
          <w:szCs w:val="16"/>
          <w:color w:val="auto"/>
        </w:rPr>
        <w:t>On February 5, 2019, the Company entered into a $100,000 Senior Credit Facility with an affiliate of MidCap Financial Services, LLC, as administrative agent (the “Second Amended and Restated Senior Credit Facility”). Borrowings under the Second Amended and Restated Senior Credit Facility were available in three tranches, with (i) the first tranche comprised of $50,000 funded at closing, which included $30,000 of proceeds that were deemed rolled over from the outstanding principal amount under the Company’s prior credit agreement, (ii) the second tranche comprised of $30,000, and</w:t>
      </w:r>
    </w:p>
    <w:p>
      <w:pPr>
        <w:spacing w:after="0" w:line="2" w:lineRule="exact"/>
        <w:rPr>
          <w:sz w:val="20"/>
          <w:szCs w:val="20"/>
          <w:color w:val="auto"/>
        </w:rPr>
      </w:pPr>
    </w:p>
    <w:p>
      <w:pPr>
        <w:ind w:right="200" w:firstLine="7"/>
        <w:spacing w:after="0" w:line="284" w:lineRule="auto"/>
        <w:tabs>
          <w:tab w:leader="none" w:pos="31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third tranche comprised of $20,000, with the second and third tranches to have been funded upon the completion of certain contingencies related to the Company’s development activities of its product candidates and the establishment of certain financial covenants.</w:t>
      </w:r>
    </w:p>
    <w:p>
      <w:pPr>
        <w:spacing w:after="0" w:line="165" w:lineRule="exact"/>
        <w:rPr>
          <w:sz w:val="20"/>
          <w:szCs w:val="20"/>
          <w:color w:val="auto"/>
        </w:rPr>
      </w:pPr>
    </w:p>
    <w:p>
      <w:pPr>
        <w:ind w:right="280" w:firstLine="480"/>
        <w:spacing w:after="0" w:line="258" w:lineRule="auto"/>
        <w:rPr>
          <w:sz w:val="20"/>
          <w:szCs w:val="20"/>
          <w:color w:val="auto"/>
        </w:rPr>
      </w:pPr>
      <w:r>
        <w:rPr>
          <w:rFonts w:ascii="Arial" w:cs="Arial" w:eastAsia="Arial" w:hAnsi="Arial"/>
          <w:sz w:val="18"/>
          <w:szCs w:val="18"/>
          <w:color w:val="auto"/>
        </w:rPr>
        <w:t>The Second Amended and Restated Senior Credit Facility had a variable interest rate of LIBOR (which was not to be less than 0.5%) plus 8%. The Second Amended and Restated Senior Credit Facility included an interest-only payment period through June 2020 and scheduled monthly principal and interest payments for the subsequent 30 months.</w:t>
      </w:r>
    </w:p>
    <w:p>
      <w:pPr>
        <w:spacing w:after="0" w:line="186" w:lineRule="exact"/>
        <w:rPr>
          <w:sz w:val="20"/>
          <w:szCs w:val="20"/>
          <w:color w:val="auto"/>
        </w:rPr>
      </w:pPr>
    </w:p>
    <w:p>
      <w:pPr>
        <w:jc w:val="both"/>
        <w:ind w:right="380" w:firstLine="480"/>
        <w:spacing w:after="0" w:line="255" w:lineRule="auto"/>
        <w:rPr>
          <w:sz w:val="20"/>
          <w:szCs w:val="20"/>
          <w:color w:val="auto"/>
        </w:rPr>
      </w:pPr>
      <w:r>
        <w:rPr>
          <w:rFonts w:ascii="Arial" w:cs="Arial" w:eastAsia="Arial" w:hAnsi="Arial"/>
          <w:sz w:val="18"/>
          <w:szCs w:val="18"/>
          <w:color w:val="auto"/>
        </w:rPr>
        <w:t>For the nine months ended September 30, 2020, the Company recognized $4,064 in interest expense related to the Second Amended and Restated Senior Credit Facility. In December 2020, the Company repaid the outstanding principal of the Second Amended and Restated Senior Credit Facility of $40,000 along with exit fees and accrued interest through the payoff date that totaled $3,298. The unamortized deferred financing cost and original issue discount of $1,211 was expensed as a loss on debt extinguishment.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Lease Obligations and Other Contingencies</w:t>
      </w:r>
    </w:p>
    <w:p>
      <w:pPr>
        <w:spacing w:after="0" w:line="224" w:lineRule="exact"/>
        <w:rPr>
          <w:sz w:val="20"/>
          <w:szCs w:val="20"/>
          <w:color w:val="auto"/>
        </w:rPr>
      </w:pPr>
    </w:p>
    <w:p>
      <w:pPr>
        <w:ind w:right="20" w:firstLine="480"/>
        <w:spacing w:after="0" w:line="284" w:lineRule="auto"/>
        <w:rPr>
          <w:sz w:val="20"/>
          <w:szCs w:val="20"/>
          <w:color w:val="auto"/>
        </w:rPr>
      </w:pPr>
      <w:r>
        <w:rPr>
          <w:rFonts w:ascii="Arial" w:cs="Arial" w:eastAsia="Arial" w:hAnsi="Arial"/>
          <w:sz w:val="16"/>
          <w:szCs w:val="16"/>
          <w:color w:val="auto"/>
        </w:rPr>
        <w:t xml:space="preserve">The Company leases certain assets under operating leases, which primarily consisted of real estate leases, laboratory equipment leases and office equipment leases as of September 30, 2021. The Company accounts for its leases in accordance with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ASU requires a lessee to recognize a right-of-use asset and a lease liability on its balance sheet for most operating leases. Certain operating leases provide for renewal options, which can vary by lease. The right-of-use asset and lease liabilities on the Company’s Consolidated Balance Sheets represent payments over the lease term, which includes renewal options for certain real estate leases that we are likely to exercise. As part of the Company’s assessment of the lease term, the Company elected the hindsight practical expedient, which allows companies to use current knowledge and expectations when determining the likelihood to extend lease options. Renewal options for the Company’s leases range from 1 to 5 years in length and begin from 2024 through 2026. The weighted average lease term for the Company’s operating leases was 11.4 years. The discount rate used in the calculation of the Company’s right-of-use asset and lease liability was determined based on the stated rate within each contract when available, or the Company’s collateralized borrowing rate from lending institutions. The weighted average discount rate for the Company’s operating leases was 12.5%.</w:t>
      </w:r>
    </w:p>
    <w:p>
      <w:pPr>
        <w:spacing w:after="0" w:line="171" w:lineRule="exact"/>
        <w:rPr>
          <w:sz w:val="20"/>
          <w:szCs w:val="20"/>
          <w:color w:val="auto"/>
        </w:rPr>
      </w:pPr>
    </w:p>
    <w:p>
      <w:pPr>
        <w:ind w:right="560" w:firstLine="480"/>
        <w:spacing w:after="0" w:line="270" w:lineRule="auto"/>
        <w:rPr>
          <w:sz w:val="20"/>
          <w:szCs w:val="20"/>
          <w:color w:val="auto"/>
        </w:rPr>
      </w:pPr>
      <w:r>
        <w:rPr>
          <w:rFonts w:ascii="Arial" w:cs="Arial" w:eastAsia="Arial" w:hAnsi="Arial"/>
          <w:sz w:val="18"/>
          <w:szCs w:val="18"/>
          <w:color w:val="auto"/>
        </w:rPr>
        <w:t>The Company has not made any residual value guarantees related to its operating leases; therefore, the Company has no corresponding liability recorded on its Consolidated Balance Sheets.</w:t>
      </w:r>
    </w:p>
    <w:p>
      <w:pPr>
        <w:spacing w:after="0" w:line="175"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Aggregate lease expense under operating leases was $1,306 and $1,321 for the nine months ended September 30, 2021 and 2020, respectively. Certain operating leases include rent escalation provisions, which the Company recognizes as expense on a straight-line basis. Lease expense for leases with an initial term of twelve months or less was not material. Cash paid for amounts included in the measurement of lease liabilities was $1,125 and $1,235 for the nine months ended September 30, 2021 and 2020, respectively.</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Maturities of operating lease liabilities as of September 30, 2021,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2021 (remaining)</w:t>
            </w:r>
          </w:p>
        </w:tc>
        <w:tc>
          <w:tcPr>
            <w:tcW w:w="6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485</w:t>
            </w:r>
          </w:p>
        </w:tc>
      </w:tr>
      <w:tr>
        <w:trPr>
          <w:trHeight w:val="213"/>
        </w:trPr>
        <w:tc>
          <w:tcPr>
            <w:tcW w:w="3600" w:type="dxa"/>
            <w:vAlign w:val="bottom"/>
          </w:tcPr>
          <w:p>
            <w:pPr>
              <w:spacing w:after="0"/>
              <w:rPr>
                <w:sz w:val="20"/>
                <w:szCs w:val="20"/>
                <w:color w:val="auto"/>
              </w:rPr>
            </w:pPr>
            <w:r>
              <w:rPr>
                <w:rFonts w:ascii="Arial" w:cs="Arial" w:eastAsia="Arial" w:hAnsi="Arial"/>
                <w:sz w:val="18"/>
                <w:szCs w:val="18"/>
                <w:color w:val="auto"/>
              </w:rPr>
              <w:t>2022</w:t>
            </w:r>
          </w:p>
        </w:tc>
        <w:tc>
          <w:tcPr>
            <w:tcW w:w="6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1,574</w:t>
            </w:r>
          </w:p>
        </w:tc>
      </w:tr>
      <w:tr>
        <w:trPr>
          <w:trHeight w:val="21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1,418</w:t>
            </w:r>
          </w:p>
        </w:tc>
      </w:tr>
      <w:tr>
        <w:trPr>
          <w:trHeight w:val="213"/>
        </w:trPr>
        <w:tc>
          <w:tcPr>
            <w:tcW w:w="3600" w:type="dxa"/>
            <w:vAlign w:val="bottom"/>
          </w:tcPr>
          <w:p>
            <w:pPr>
              <w:spacing w:after="0"/>
              <w:rPr>
                <w:sz w:val="20"/>
                <w:szCs w:val="20"/>
                <w:color w:val="auto"/>
              </w:rPr>
            </w:pPr>
            <w:r>
              <w:rPr>
                <w:rFonts w:ascii="Arial" w:cs="Arial" w:eastAsia="Arial" w:hAnsi="Arial"/>
                <w:sz w:val="18"/>
                <w:szCs w:val="18"/>
                <w:color w:val="auto"/>
              </w:rPr>
              <w:t>2024</w:t>
            </w:r>
          </w:p>
        </w:tc>
        <w:tc>
          <w:tcPr>
            <w:tcW w:w="6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875</w:t>
            </w:r>
          </w:p>
        </w:tc>
      </w:tr>
      <w:tr>
        <w:trPr>
          <w:trHeight w:val="21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r>
      <w:tr>
        <w:trPr>
          <w:trHeight w:val="213"/>
        </w:trPr>
        <w:tc>
          <w:tcPr>
            <w:tcW w:w="3600" w:type="dxa"/>
            <w:vAlign w:val="bottom"/>
          </w:tcPr>
          <w:p>
            <w:pPr>
              <w:spacing w:after="0"/>
              <w:rPr>
                <w:sz w:val="20"/>
                <w:szCs w:val="20"/>
                <w:color w:val="auto"/>
              </w:rPr>
            </w:pPr>
            <w:r>
              <w:rPr>
                <w:rFonts w:ascii="Arial" w:cs="Arial" w:eastAsia="Arial" w:hAnsi="Arial"/>
                <w:sz w:val="18"/>
                <w:szCs w:val="18"/>
                <w:color w:val="auto"/>
              </w:rPr>
              <w:t>Thereafter</w:t>
            </w:r>
          </w:p>
        </w:tc>
        <w:tc>
          <w:tcPr>
            <w:tcW w:w="60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7,327</w:t>
            </w:r>
          </w:p>
        </w:tc>
      </w:tr>
      <w:tr>
        <w:trPr>
          <w:trHeight w:val="207"/>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6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12,403</w:t>
            </w:r>
          </w:p>
        </w:tc>
      </w:tr>
      <w:tr>
        <w:trPr>
          <w:trHeight w:val="213"/>
        </w:trPr>
        <w:tc>
          <w:tcPr>
            <w:tcW w:w="3600" w:type="dxa"/>
            <w:vAlign w:val="bottom"/>
          </w:tcPr>
          <w:p>
            <w:pPr>
              <w:spacing w:after="0"/>
              <w:rPr>
                <w:sz w:val="20"/>
                <w:szCs w:val="20"/>
                <w:color w:val="auto"/>
              </w:rPr>
            </w:pPr>
            <w:r>
              <w:rPr>
                <w:rFonts w:ascii="Arial" w:cs="Arial" w:eastAsia="Arial" w:hAnsi="Arial"/>
                <w:sz w:val="18"/>
                <w:szCs w:val="18"/>
                <w:color w:val="auto"/>
              </w:rPr>
              <w:t>Less imputed interest</w:t>
            </w:r>
          </w:p>
        </w:tc>
        <w:tc>
          <w:tcPr>
            <w:tcW w:w="60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w:t>
            </w:r>
          </w:p>
        </w:tc>
      </w:tr>
      <w:tr>
        <w:trPr>
          <w:trHeight w:val="247"/>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6,487</w:t>
            </w:r>
          </w:p>
        </w:tc>
      </w:tr>
      <w:tr>
        <w:trPr>
          <w:trHeight w:val="406"/>
        </w:trPr>
        <w:tc>
          <w:tcPr>
            <w:tcW w:w="3600" w:type="dxa"/>
            <w:vAlign w:val="bottom"/>
            <w:tcBorders>
              <w:top w:val="single" w:sz="8" w:color="CCEEFF"/>
            </w:tcBorders>
          </w:tcPr>
          <w:p>
            <w:pPr>
              <w:spacing w:after="0"/>
              <w:rPr>
                <w:sz w:val="24"/>
                <w:szCs w:val="24"/>
                <w:color w:val="auto"/>
              </w:rPr>
            </w:pPr>
          </w:p>
        </w:tc>
        <w:tc>
          <w:tcPr>
            <w:tcW w:w="6080" w:type="dxa"/>
            <w:vAlign w:val="bottom"/>
            <w:tcBorders>
              <w:top w:val="single" w:sz="8" w:color="CCEEFF"/>
            </w:tcBorders>
          </w:tcPr>
          <w:p>
            <w:pPr>
              <w:jc w:val="right"/>
              <w:ind w:right="3871"/>
              <w:spacing w:after="0"/>
              <w:rPr>
                <w:sz w:val="20"/>
                <w:szCs w:val="20"/>
                <w:color w:val="auto"/>
              </w:rPr>
            </w:pPr>
            <w:r>
              <w:rPr>
                <w:rFonts w:ascii="Arial" w:cs="Arial" w:eastAsia="Arial" w:hAnsi="Arial"/>
                <w:sz w:val="18"/>
                <w:szCs w:val="18"/>
                <w:color w:val="auto"/>
              </w:rPr>
              <w:t>16</w:t>
            </w: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9"/>
                <w:szCs w:val="9"/>
                <w:color w:val="auto"/>
              </w:rPr>
            </w:pPr>
          </w:p>
        </w:tc>
        <w:tc>
          <w:tcPr>
            <w:tcW w:w="60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05" w:right="339" w:bottom="883" w:gutter="0" w:footer="0" w:header="0"/>
        </w:sectPr>
      </w:pPr>
    </w:p>
    <w:bookmarkStart w:id="21" w:name="page22"/>
    <w:bookmarkEnd w:id="21"/>
    <w:p>
      <w:pPr>
        <w:ind w:right="60" w:firstLine="480"/>
        <w:spacing w:after="0" w:line="269" w:lineRule="auto"/>
        <w:rPr>
          <w:sz w:val="20"/>
          <w:szCs w:val="20"/>
          <w:color w:val="auto"/>
        </w:rPr>
      </w:pPr>
      <w:r>
        <w:rPr>
          <w:rFonts w:ascii="Arial" w:cs="Arial" w:eastAsia="Arial" w:hAnsi="Arial"/>
          <w:sz w:val="17"/>
          <w:szCs w:val="17"/>
          <w:color w:val="auto"/>
        </w:rPr>
        <w:t>The Company’s current lease liability as of September 30, 2021 and December 31, 2020 was $1,452 and $1,179, respectively. The Company’s long-term lease liability as of September 30, 2021 and December 31, 2020 was $5,035 and $3,871, respectively. The current and long-term portions of the Company’s lease liability are presented within “Lease financing obligations” on the Consolidated Balance Sheets. The Company’s right-of use asset balance associated with operating leases totaled $5,191 and $3,802 at September 30, 2021 and December 31, 2020, respectively. These amounts are presented within “Other assets” on the Consolidated Balance Sheets. Operating right-of-use assets are recorded net of accumulated amortization of $2,328 and $2,641 as of September 30, 2021 and December 31, 2020, respectively.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20" w:lineRule="exact"/>
        <w:rPr>
          <w:sz w:val="20"/>
          <w:szCs w:val="20"/>
          <w:color w:val="auto"/>
        </w:rPr>
      </w:pPr>
    </w:p>
    <w:p>
      <w:pPr>
        <w:jc w:val="both"/>
        <w:ind w:right="140" w:firstLine="480"/>
        <w:spacing w:after="0" w:line="281" w:lineRule="auto"/>
        <w:rPr>
          <w:sz w:val="20"/>
          <w:szCs w:val="20"/>
          <w:color w:val="auto"/>
        </w:rPr>
      </w:pPr>
      <w:r>
        <w:rPr>
          <w:rFonts w:ascii="Arial" w:cs="Arial" w:eastAsia="Arial" w:hAnsi="Arial"/>
          <w:sz w:val="17"/>
          <w:szCs w:val="17"/>
          <w:color w:val="auto"/>
        </w:rPr>
        <w:t>On April 24, 2020, the Company filed a shelf registration statement on Form S-3 with the SEC. This shelf registration statement became effective on May 14, 2020 and allows the Company to sell up to $500,000 in securities, including common stock, preferred stock, depositary shares, purchase contracts, warrants, debt securities, and units, from time to time at prices and on terms to be determined at the time of sale.</w:t>
      </w:r>
    </w:p>
    <w:p>
      <w:pPr>
        <w:spacing w:after="0" w:line="167" w:lineRule="exact"/>
        <w:rPr>
          <w:sz w:val="20"/>
          <w:szCs w:val="20"/>
          <w:color w:val="auto"/>
        </w:rPr>
      </w:pPr>
    </w:p>
    <w:p>
      <w:pPr>
        <w:ind w:firstLine="480"/>
        <w:spacing w:after="0" w:line="296" w:lineRule="auto"/>
        <w:rPr>
          <w:sz w:val="20"/>
          <w:szCs w:val="20"/>
          <w:color w:val="auto"/>
        </w:rPr>
      </w:pPr>
      <w:r>
        <w:rPr>
          <w:rFonts w:ascii="Arial" w:cs="Arial" w:eastAsia="Arial" w:hAnsi="Arial"/>
          <w:sz w:val="16"/>
          <w:szCs w:val="16"/>
          <w:color w:val="auto"/>
        </w:rPr>
        <w:t>On June 1, 2020, the Company issued 22,044 shares of common stock to the public at a purchase price of $4.50 per share and pre-funded warrants to purchase 3,511 shares of common stock at a purchase of $4.49 per pre-funded warrant, for total net proceeds to the Company of $108,096 after deducting underwriting discounts and commissions and other offering expenses. Each pre-funded warrant is exercisable, subject to conditions in the warrant agreement, into one share of common stock at an exercise price of $0.01 per share. All warrants issued in this offering remain outstanding at September 30, 2021.</w:t>
      </w:r>
    </w:p>
    <w:p>
      <w:pPr>
        <w:spacing w:after="0" w:line="160" w:lineRule="exact"/>
        <w:rPr>
          <w:sz w:val="20"/>
          <w:szCs w:val="20"/>
          <w:color w:val="auto"/>
        </w:rPr>
      </w:pPr>
    </w:p>
    <w:p>
      <w:pPr>
        <w:ind w:right="180" w:firstLine="480"/>
        <w:spacing w:after="0" w:line="306" w:lineRule="auto"/>
        <w:rPr>
          <w:sz w:val="20"/>
          <w:szCs w:val="20"/>
          <w:color w:val="auto"/>
        </w:rPr>
      </w:pPr>
      <w:r>
        <w:rPr>
          <w:rFonts w:ascii="Arial" w:cs="Arial" w:eastAsia="Arial" w:hAnsi="Arial"/>
          <w:sz w:val="16"/>
          <w:szCs w:val="16"/>
          <w:color w:val="auto"/>
        </w:rPr>
        <w:t>On March 1, 2021,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Stock-Based Compensation</w:t>
      </w:r>
    </w:p>
    <w:p>
      <w:pPr>
        <w:spacing w:after="0" w:line="224" w:lineRule="exact"/>
        <w:rPr>
          <w:sz w:val="20"/>
          <w:szCs w:val="20"/>
          <w:color w:val="auto"/>
        </w:rPr>
      </w:pPr>
    </w:p>
    <w:p>
      <w:pPr>
        <w:ind w:right="60" w:firstLine="516"/>
        <w:spacing w:after="0" w:line="292" w:lineRule="auto"/>
        <w:rPr>
          <w:sz w:val="20"/>
          <w:szCs w:val="20"/>
          <w:color w:val="auto"/>
        </w:rPr>
      </w:pPr>
      <w:r>
        <w:rPr>
          <w:rFonts w:ascii="Arial" w:cs="Arial" w:eastAsia="Arial" w:hAnsi="Arial"/>
          <w:sz w:val="16"/>
          <w:szCs w:val="16"/>
          <w:color w:val="auto"/>
        </w:rPr>
        <w:t>As of September 30, 2021,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amended and restated in April 2021 and approved by the Company’s stockholders on May 25, 2021. The Inducement Plan was adopted by the Board of Directors on April 24, 2019 and amended and restated by the Board of Directors in February 2020, July 2020, and July 2021. The ESPP was amended and restated in April 2021 and approved by the Company’s stockholders on May 25, 2021.</w:t>
      </w:r>
    </w:p>
    <w:p>
      <w:pPr>
        <w:spacing w:after="0" w:line="162" w:lineRule="exact"/>
        <w:rPr>
          <w:sz w:val="20"/>
          <w:szCs w:val="20"/>
          <w:color w:val="auto"/>
        </w:rPr>
      </w:pPr>
    </w:p>
    <w:p>
      <w:pPr>
        <w:ind w:right="20" w:firstLine="516"/>
        <w:spacing w:after="0" w:line="269" w:lineRule="auto"/>
        <w:rPr>
          <w:sz w:val="20"/>
          <w:szCs w:val="20"/>
          <w:color w:val="auto"/>
        </w:rPr>
      </w:pPr>
      <w:r>
        <w:rPr>
          <w:rFonts w:ascii="Arial" w:cs="Arial" w:eastAsia="Arial" w:hAnsi="Arial"/>
          <w:sz w:val="17"/>
          <w:szCs w:val="17"/>
          <w:color w:val="auto"/>
        </w:rPr>
        <w:t>Stock-based compensation expense of $26,140 ($19,973 of expense related to the Incentive Plan, $5,025 of expense related to the Inducement Plan, and $1,142 of expense related to the ESPP) was recognized during the nine months ended September 30, 2021, while $8,907 ($7,492 of expense related to the Incentive Plan, $1,053 of expense related to the Inducement Plan and $362 of expense related to the ESPP) was recognized during the nine months ended September 30, 2020. In August 2021, the Company modified outstanding stock option awards held by an executive officer separating from employment with the Company. In connection with this separation of employment, the Company accelerated the vesting of 582,084 unvested stock options held by the executive, making them immediately exercisable.</w:t>
      </w:r>
    </w:p>
    <w:p>
      <w:pPr>
        <w:spacing w:after="0" w:line="180" w:lineRule="exact"/>
        <w:rPr>
          <w:sz w:val="20"/>
          <w:szCs w:val="20"/>
          <w:color w:val="auto"/>
        </w:rPr>
      </w:pPr>
    </w:p>
    <w:p>
      <w:pPr>
        <w:ind w:right="80" w:firstLine="516"/>
        <w:spacing w:after="0" w:line="274" w:lineRule="auto"/>
        <w:rPr>
          <w:sz w:val="20"/>
          <w:szCs w:val="20"/>
          <w:color w:val="auto"/>
        </w:rPr>
      </w:pPr>
      <w:r>
        <w:rPr>
          <w:rFonts w:ascii="Arial" w:cs="Arial" w:eastAsia="Arial" w:hAnsi="Arial"/>
          <w:sz w:val="17"/>
          <w:szCs w:val="17"/>
          <w:color w:val="auto"/>
        </w:rPr>
        <w:t>There was approximately $60,420 of total unrecognized compensation expense related to non-vested stock option awards granted by the Company as of September 30, 2021. As of September 30, 2021, the Company expected to recognize that expense as follows: $6,324 during the remainder of 2021, $21,474 in 2022, $16,788 in 2023, $14,020 in 2024 and $1,814 in 2025. In addition, the Company has outstanding performance-based stock options for which no compensation expense is recognized until “performance” has occurred and the award vests.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60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220" w:lineRule="exact"/>
        <w:rPr>
          <w:sz w:val="20"/>
          <w:szCs w:val="20"/>
          <w:color w:val="auto"/>
        </w:rPr>
      </w:pPr>
    </w:p>
    <w:p>
      <w:pPr>
        <w:jc w:val="both"/>
        <w:ind w:right="60" w:firstLine="516"/>
        <w:spacing w:after="0" w:line="281" w:lineRule="auto"/>
        <w:rPr>
          <w:sz w:val="20"/>
          <w:szCs w:val="20"/>
          <w:color w:val="auto"/>
        </w:rPr>
      </w:pPr>
      <w:r>
        <w:rPr>
          <w:rFonts w:ascii="Arial" w:cs="Arial" w:eastAsia="Arial" w:hAnsi="Arial"/>
          <w:sz w:val="17"/>
          <w:szCs w:val="17"/>
          <w:color w:val="auto"/>
        </w:rPr>
        <w:t>The Company grants stock option awards and restricted stock unit awards to its employees, directors, and consultants under the Incentive Plan. Under the Incentive Plan, stock option awards are granted with an exercise price equal to the market price of the Company’s stock at the date of grant. Stock option awards and restricted stock units granted to employees generally vest 25% each year until fully vested after four years.</w:t>
      </w:r>
    </w:p>
    <w:p>
      <w:pPr>
        <w:spacing w:after="0" w:line="167" w:lineRule="exact"/>
        <w:rPr>
          <w:sz w:val="20"/>
          <w:szCs w:val="20"/>
          <w:color w:val="auto"/>
        </w:rPr>
      </w:pPr>
    </w:p>
    <w:p>
      <w:pPr>
        <w:ind w:right="260" w:firstLine="516"/>
        <w:spacing w:after="0" w:line="296" w:lineRule="auto"/>
        <w:rPr>
          <w:sz w:val="20"/>
          <w:szCs w:val="20"/>
          <w:color w:val="auto"/>
        </w:rPr>
      </w:pPr>
      <w:r>
        <w:rPr>
          <w:rFonts w:ascii="Arial" w:cs="Arial" w:eastAsia="Arial" w:hAnsi="Arial"/>
          <w:sz w:val="16"/>
          <w:szCs w:val="16"/>
          <w:color w:val="auto"/>
        </w:rPr>
        <w:t>In August 2013, December 2014 and December 2019, the Company issued 1,032, 1,250 and 315 performance-based stock options, respectively. These awards vest upon successful completion of specific development milestones. As of September 30, 2021, 100%, 85% and 100% of the August 2013, December 2014 and December 2019 grants, respectively, have vested. During 2020, the Company recognized $1,768 and $684 of stock compensation expense related to two milestones within the August 2013 and December 2019 grants for which achievement became probable.</w:t>
      </w:r>
    </w:p>
    <w:p>
      <w:pPr>
        <w:spacing w:after="0" w:line="160" w:lineRule="exact"/>
        <w:rPr>
          <w:sz w:val="20"/>
          <w:szCs w:val="20"/>
          <w:color w:val="auto"/>
        </w:rPr>
      </w:pPr>
    </w:p>
    <w:p>
      <w:pPr>
        <w:jc w:val="both"/>
        <w:ind w:right="60" w:firstLine="516"/>
        <w:spacing w:after="0" w:line="258" w:lineRule="auto"/>
        <w:rPr>
          <w:sz w:val="20"/>
          <w:szCs w:val="20"/>
          <w:color w:val="auto"/>
        </w:rPr>
      </w:pPr>
      <w:r>
        <w:rPr>
          <w:rFonts w:ascii="Arial" w:cs="Arial" w:eastAsia="Arial" w:hAnsi="Arial"/>
          <w:sz w:val="18"/>
          <w:szCs w:val="18"/>
          <w:color w:val="auto"/>
        </w:rPr>
        <w:t>Stock option awards granted to non-employee directors of the Company generally vest over one year. All stock option awards have contractual terms of 10 years. The vesting and exercise provisions of all awards granted under the Incentive Plan are subject to acceleration in the event of certain stockholder-approved transactions, or upon the occurrence of a change in control as defined in the Incentive Plan.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20" w:type="dxa"/>
            <w:vAlign w:val="bottom"/>
          </w:tcPr>
          <w:p>
            <w:pPr>
              <w:ind w:left="520"/>
              <w:spacing w:after="0"/>
              <w:rPr>
                <w:sz w:val="20"/>
                <w:szCs w:val="20"/>
                <w:color w:val="auto"/>
              </w:rPr>
            </w:pPr>
            <w:r>
              <w:rPr>
                <w:rFonts w:ascii="Arial" w:cs="Arial" w:eastAsia="Arial" w:hAnsi="Arial"/>
                <w:sz w:val="18"/>
                <w:szCs w:val="18"/>
                <w:color w:val="auto"/>
              </w:rPr>
              <w:t>Related activity under the Incentive Plan is as follows: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0"/>
        </w:trPr>
        <w:tc>
          <w:tcPr>
            <w:tcW w:w="6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251"/>
              <w:spacing w:after="0"/>
              <w:rPr>
                <w:sz w:val="20"/>
                <w:szCs w:val="20"/>
                <w:color w:val="auto"/>
              </w:rPr>
            </w:pPr>
            <w:r>
              <w:rPr>
                <w:rFonts w:ascii="Arial" w:cs="Arial" w:eastAsia="Arial" w:hAnsi="Arial"/>
                <w:sz w:val="18"/>
                <w:szCs w:val="18"/>
                <w:b w:val="1"/>
                <w:bCs w:val="1"/>
                <w:color w:val="auto"/>
                <w:w w:val="88"/>
              </w:rPr>
              <w:t>Weighted</w:t>
            </w:r>
          </w:p>
        </w:tc>
      </w:tr>
      <w:tr>
        <w:trPr>
          <w:trHeight w:val="213"/>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231"/>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6320" w:type="dxa"/>
            <w:vAlign w:val="bottom"/>
          </w:tcPr>
          <w:p>
            <w:pPr>
              <w:spacing w:after="0"/>
              <w:rPr>
                <w:sz w:val="18"/>
                <w:szCs w:val="18"/>
                <w:color w:val="auto"/>
              </w:rPr>
            </w:pPr>
          </w:p>
        </w:tc>
        <w:tc>
          <w:tcPr>
            <w:tcW w:w="1580" w:type="dxa"/>
            <w:vAlign w:val="bottom"/>
          </w:tcPr>
          <w:p>
            <w:pPr>
              <w:jc w:val="right"/>
              <w:ind w:right="471"/>
              <w:spacing w:after="0"/>
              <w:rPr>
                <w:sz w:val="20"/>
                <w:szCs w:val="20"/>
                <w:color w:val="auto"/>
              </w:rPr>
            </w:pPr>
            <w:r>
              <w:rPr>
                <w:rFonts w:ascii="Arial" w:cs="Arial" w:eastAsia="Arial" w:hAnsi="Arial"/>
                <w:sz w:val="18"/>
                <w:szCs w:val="18"/>
                <w:b w:val="1"/>
                <w:bCs w:val="1"/>
                <w:color w:val="auto"/>
              </w:rPr>
              <w:t>Awards</w:t>
            </w:r>
          </w:p>
        </w:tc>
        <w:tc>
          <w:tcPr>
            <w:tcW w:w="120" w:type="dxa"/>
            <w:vAlign w:val="bottom"/>
          </w:tcPr>
          <w:p>
            <w:pPr>
              <w:spacing w:after="0"/>
              <w:rPr>
                <w:sz w:val="18"/>
                <w:szCs w:val="18"/>
                <w:color w:val="auto"/>
              </w:rPr>
            </w:pPr>
          </w:p>
        </w:tc>
        <w:tc>
          <w:tcPr>
            <w:tcW w:w="1560" w:type="dxa"/>
            <w:vAlign w:val="bottom"/>
          </w:tcPr>
          <w:p>
            <w:pPr>
              <w:jc w:val="right"/>
              <w:ind w:right="451"/>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251"/>
              <w:spacing w:after="0"/>
              <w:rPr>
                <w:sz w:val="20"/>
                <w:szCs w:val="20"/>
                <w:color w:val="auto"/>
              </w:rPr>
            </w:pPr>
            <w:r>
              <w:rPr>
                <w:rFonts w:ascii="Arial" w:cs="Arial" w:eastAsia="Arial" w:hAnsi="Arial"/>
                <w:sz w:val="18"/>
                <w:szCs w:val="18"/>
                <w:b w:val="1"/>
                <w:bCs w:val="1"/>
                <w:color w:val="auto"/>
                <w:w w:val="86"/>
              </w:rPr>
              <w:t>Exercise</w:t>
            </w:r>
          </w:p>
        </w:tc>
      </w:tr>
      <w:tr>
        <w:trPr>
          <w:trHeight w:val="231"/>
        </w:trPr>
        <w:tc>
          <w:tcPr>
            <w:tcW w:w="6320" w:type="dxa"/>
            <w:vAlign w:val="bottom"/>
          </w:tcPr>
          <w:p>
            <w:pPr>
              <w:spacing w:after="0"/>
              <w:rPr>
                <w:sz w:val="20"/>
                <w:szCs w:val="20"/>
                <w:color w:val="auto"/>
              </w:rPr>
            </w:pPr>
          </w:p>
        </w:tc>
        <w:tc>
          <w:tcPr>
            <w:tcW w:w="15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Available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b w:val="1"/>
                <w:bCs w:val="1"/>
                <w:color w:val="auto"/>
                <w:w w:val="86"/>
              </w:rPr>
              <w:t>Price</w:t>
            </w: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4,592</w:t>
            </w:r>
          </w:p>
        </w:tc>
        <w:tc>
          <w:tcPr>
            <w:tcW w:w="16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24,885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6.52</w:t>
            </w: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Plan amendment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7,500</w:t>
            </w:r>
          </w:p>
        </w:tc>
        <w:tc>
          <w:tcPr>
            <w:tcW w:w="16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 awards granted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Stock option awards 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(2,108)</w:t>
            </w:r>
          </w:p>
        </w:tc>
        <w:tc>
          <w:tcPr>
            <w:tcW w:w="1680" w:type="dxa"/>
            <w:vAlign w:val="bottom"/>
            <w:gridSpan w:val="2"/>
          </w:tcPr>
          <w:p>
            <w:pPr>
              <w:jc w:val="right"/>
              <w:ind w:right="31"/>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11.87</w:t>
            </w: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awards exercised</w:t>
            </w: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Stock option awards cancelled</w:t>
            </w: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7.47</w:t>
            </w:r>
          </w:p>
        </w:tc>
      </w:tr>
      <w:tr>
        <w:trPr>
          <w:trHeight w:val="247"/>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2021</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10,092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24,580</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w:t>
            </w:r>
          </w:p>
        </w:tc>
      </w:tr>
    </w:tbl>
    <w:p>
      <w:pPr>
        <w:spacing w:after="0" w:line="199" w:lineRule="exact"/>
        <w:rPr>
          <w:sz w:val="20"/>
          <w:szCs w:val="20"/>
          <w:color w:val="auto"/>
        </w:rPr>
      </w:pPr>
    </w:p>
    <w:p>
      <w:pPr>
        <w:jc w:val="both"/>
        <w:ind w:right="200" w:firstLine="516"/>
        <w:spacing w:after="0" w:line="274" w:lineRule="auto"/>
        <w:rPr>
          <w:sz w:val="20"/>
          <w:szCs w:val="20"/>
          <w:color w:val="auto"/>
        </w:rPr>
      </w:pPr>
      <w:r>
        <w:rPr>
          <w:rFonts w:ascii="Arial" w:cs="Arial" w:eastAsia="Arial" w:hAnsi="Arial"/>
          <w:sz w:val="17"/>
          <w:szCs w:val="17"/>
          <w:color w:val="auto"/>
        </w:rPr>
        <w:t>For stock option awards granted under the Incentive Plan during the first nine months of 2021 and 2020, the fair value was estimated on the date of grant using a Black-Scholes option pricing model and the assumptions noted in the table below. The weighted average grant date fair value per share of the awards granted during the first nine months of 2021 and 2020 was $8.11 and $3.35, respectively. The fair value of the stock option awards is amortized to expense over the vesting periods using a straight-line expense attribution method.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Equity Incentive Plan</w:t>
      </w:r>
    </w:p>
    <w:p>
      <w:pPr>
        <w:spacing w:after="0" w:line="220" w:lineRule="exact"/>
        <w:rPr>
          <w:sz w:val="20"/>
          <w:szCs w:val="20"/>
          <w:color w:val="auto"/>
        </w:rPr>
      </w:pPr>
    </w:p>
    <w:p>
      <w:pPr>
        <w:ind w:right="20" w:firstLine="445"/>
        <w:spacing w:after="0" w:line="292" w:lineRule="auto"/>
        <w:rPr>
          <w:sz w:val="20"/>
          <w:szCs w:val="20"/>
          <w:color w:val="auto"/>
        </w:rPr>
      </w:pPr>
      <w:r>
        <w:rPr>
          <w:rFonts w:ascii="Arial" w:cs="Arial" w:eastAsia="Arial" w:hAnsi="Arial"/>
          <w:sz w:val="16"/>
          <w:szCs w:val="16"/>
          <w:color w:val="auto"/>
        </w:rPr>
        <w:t>The Company has the ability to grant stock option awards to newly-hired employees as inducements material to each employee entering employment with the Company. Stock option awards granted to newly hired employees are granted with an exercise price equal to the market price of the Company’s stock at the date of grant and generally vest 25% each year until fully vested after four years. Each stock option has a term of 10 years and is subject to the terms and conditions of the Inducement Plan. The vesting and exercise provisions of all awards granted under the Inducement Plan are subject to acceleration in the event of certain stockholder-approved transactions, or upon the occurrence of a change in control as defined in the Inducement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6"/>
        </w:trPr>
        <w:tc>
          <w:tcPr>
            <w:tcW w:w="6320" w:type="dxa"/>
            <w:vAlign w:val="bottom"/>
          </w:tcPr>
          <w:p>
            <w:pPr>
              <w:ind w:left="460"/>
              <w:spacing w:after="0"/>
              <w:rPr>
                <w:sz w:val="20"/>
                <w:szCs w:val="20"/>
                <w:color w:val="auto"/>
              </w:rPr>
            </w:pPr>
            <w:r>
              <w:rPr>
                <w:rFonts w:ascii="Arial" w:cs="Arial" w:eastAsia="Arial" w:hAnsi="Arial"/>
                <w:sz w:val="18"/>
                <w:szCs w:val="18"/>
                <w:color w:val="auto"/>
              </w:rPr>
              <w:t>Related activity under the Inducement Plan is as follows: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0"/>
        </w:trPr>
        <w:tc>
          <w:tcPr>
            <w:tcW w:w="6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251"/>
              <w:spacing w:after="0"/>
              <w:rPr>
                <w:sz w:val="20"/>
                <w:szCs w:val="20"/>
                <w:color w:val="auto"/>
              </w:rPr>
            </w:pPr>
            <w:r>
              <w:rPr>
                <w:rFonts w:ascii="Arial" w:cs="Arial" w:eastAsia="Arial" w:hAnsi="Arial"/>
                <w:sz w:val="18"/>
                <w:szCs w:val="18"/>
                <w:b w:val="1"/>
                <w:bCs w:val="1"/>
                <w:color w:val="auto"/>
                <w:w w:val="88"/>
              </w:rPr>
              <w:t>Weighted</w:t>
            </w:r>
          </w:p>
        </w:tc>
      </w:tr>
      <w:tr>
        <w:trPr>
          <w:trHeight w:val="213"/>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231"/>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6320" w:type="dxa"/>
            <w:vAlign w:val="bottom"/>
          </w:tcPr>
          <w:p>
            <w:pPr>
              <w:spacing w:after="0"/>
              <w:rPr>
                <w:sz w:val="18"/>
                <w:szCs w:val="18"/>
                <w:color w:val="auto"/>
              </w:rPr>
            </w:pPr>
          </w:p>
        </w:tc>
        <w:tc>
          <w:tcPr>
            <w:tcW w:w="1580" w:type="dxa"/>
            <w:vAlign w:val="bottom"/>
          </w:tcPr>
          <w:p>
            <w:pPr>
              <w:jc w:val="right"/>
              <w:ind w:right="471"/>
              <w:spacing w:after="0"/>
              <w:rPr>
                <w:sz w:val="20"/>
                <w:szCs w:val="20"/>
                <w:color w:val="auto"/>
              </w:rPr>
            </w:pPr>
            <w:r>
              <w:rPr>
                <w:rFonts w:ascii="Arial" w:cs="Arial" w:eastAsia="Arial" w:hAnsi="Arial"/>
                <w:sz w:val="18"/>
                <w:szCs w:val="18"/>
                <w:b w:val="1"/>
                <w:bCs w:val="1"/>
                <w:color w:val="auto"/>
              </w:rPr>
              <w:t>Awards</w:t>
            </w:r>
          </w:p>
        </w:tc>
        <w:tc>
          <w:tcPr>
            <w:tcW w:w="120" w:type="dxa"/>
            <w:vAlign w:val="bottom"/>
          </w:tcPr>
          <w:p>
            <w:pPr>
              <w:spacing w:after="0"/>
              <w:rPr>
                <w:sz w:val="18"/>
                <w:szCs w:val="18"/>
                <w:color w:val="auto"/>
              </w:rPr>
            </w:pPr>
          </w:p>
        </w:tc>
        <w:tc>
          <w:tcPr>
            <w:tcW w:w="1560" w:type="dxa"/>
            <w:vAlign w:val="bottom"/>
          </w:tcPr>
          <w:p>
            <w:pPr>
              <w:jc w:val="right"/>
              <w:ind w:right="451"/>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251"/>
              <w:spacing w:after="0"/>
              <w:rPr>
                <w:sz w:val="20"/>
                <w:szCs w:val="20"/>
                <w:color w:val="auto"/>
              </w:rPr>
            </w:pPr>
            <w:r>
              <w:rPr>
                <w:rFonts w:ascii="Arial" w:cs="Arial" w:eastAsia="Arial" w:hAnsi="Arial"/>
                <w:sz w:val="18"/>
                <w:szCs w:val="18"/>
                <w:b w:val="1"/>
                <w:bCs w:val="1"/>
                <w:color w:val="auto"/>
                <w:w w:val="86"/>
              </w:rPr>
              <w:t>Exercise</w:t>
            </w:r>
          </w:p>
        </w:tc>
      </w:tr>
      <w:tr>
        <w:trPr>
          <w:trHeight w:val="231"/>
        </w:trPr>
        <w:tc>
          <w:tcPr>
            <w:tcW w:w="6320" w:type="dxa"/>
            <w:vAlign w:val="bottom"/>
          </w:tcPr>
          <w:p>
            <w:pPr>
              <w:spacing w:after="0"/>
              <w:rPr>
                <w:sz w:val="20"/>
                <w:szCs w:val="20"/>
                <w:color w:val="auto"/>
              </w:rPr>
            </w:pPr>
          </w:p>
        </w:tc>
        <w:tc>
          <w:tcPr>
            <w:tcW w:w="15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Available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b w:val="1"/>
                <w:bCs w:val="1"/>
                <w:color w:val="auto"/>
                <w:w w:val="86"/>
              </w:rPr>
              <w:t>Price</w:t>
            </w: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6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4,171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Plan amendment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6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awards granted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6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14.23</w:t>
            </w: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Stock option awards exercised</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3.61</w:t>
            </w:r>
          </w:p>
        </w:tc>
      </w:tr>
      <w:tr>
        <w:trPr>
          <w:trHeight w:val="213"/>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 option awards cancelled</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r>
      <w:tr>
        <w:trPr>
          <w:trHeight w:val="207"/>
        </w:trPr>
        <w:tc>
          <w:tcPr>
            <w:tcW w:w="6320" w:type="dxa"/>
            <w:vAlign w:val="bottom"/>
          </w:tcPr>
          <w:p>
            <w:pPr>
              <w:spacing w:after="0"/>
              <w:rPr>
                <w:sz w:val="20"/>
                <w:szCs w:val="20"/>
                <w:color w:val="auto"/>
              </w:rPr>
            </w:pPr>
            <w:r>
              <w:rPr>
                <w:rFonts w:ascii="Arial" w:cs="Arial" w:eastAsia="Arial" w:hAnsi="Arial"/>
                <w:sz w:val="18"/>
                <w:szCs w:val="18"/>
                <w:color w:val="auto"/>
              </w:rPr>
              <w:t>Balance September 30, 2021</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1,113</w:t>
            </w:r>
          </w:p>
        </w:tc>
        <w:tc>
          <w:tcPr>
            <w:tcW w:w="1680" w:type="dxa"/>
            <w:vAlign w:val="bottom"/>
            <w:gridSpan w:val="2"/>
          </w:tcPr>
          <w:p>
            <w:pPr>
              <w:jc w:val="right"/>
              <w:ind w:right="31"/>
              <w:spacing w:after="0"/>
              <w:rPr>
                <w:sz w:val="20"/>
                <w:szCs w:val="20"/>
                <w:color w:val="auto"/>
              </w:rPr>
            </w:pPr>
            <w:r>
              <w:rPr>
                <w:rFonts w:ascii="Arial" w:cs="Arial" w:eastAsia="Arial" w:hAnsi="Arial"/>
                <w:sz w:val="18"/>
                <w:szCs w:val="18"/>
                <w:color w:val="auto"/>
              </w:rPr>
              <w:t>4,401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5.64</w:t>
            </w:r>
          </w:p>
        </w:tc>
      </w:tr>
      <w:tr>
        <w:trPr>
          <w:trHeight w:val="20"/>
        </w:trPr>
        <w:tc>
          <w:tcPr>
            <w:tcW w:w="6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140" w:firstLine="445"/>
        <w:spacing w:after="0" w:line="281" w:lineRule="auto"/>
        <w:rPr>
          <w:sz w:val="20"/>
          <w:szCs w:val="20"/>
          <w:color w:val="auto"/>
        </w:rPr>
      </w:pPr>
      <w:r>
        <w:rPr>
          <w:rFonts w:ascii="Arial" w:cs="Arial" w:eastAsia="Arial" w:hAnsi="Arial"/>
          <w:sz w:val="17"/>
          <w:szCs w:val="17"/>
          <w:color w:val="auto"/>
        </w:rPr>
        <w:t>For stock option awards granted under the Inducement Plan during the first nine months of 2021 and 2020, the fair value was estimated on the date of grant using a Black-Scholes option pricing model and the assumptions noted in the table below. The weighted average grant date fair value per share of the awards granted during the first nine months of 2021 and 2020 was $9.74 and $2.41, respectively.</w:t>
      </w:r>
    </w:p>
    <w:p>
      <w:pPr>
        <w:spacing w:after="0" w:line="167" w:lineRule="exact"/>
        <w:rPr>
          <w:sz w:val="20"/>
          <w:szCs w:val="20"/>
          <w:color w:val="auto"/>
        </w:rPr>
      </w:pPr>
    </w:p>
    <w:p>
      <w:pPr>
        <w:ind w:right="40" w:firstLine="445"/>
        <w:spacing w:after="0" w:line="268" w:lineRule="auto"/>
        <w:rPr>
          <w:sz w:val="20"/>
          <w:szCs w:val="20"/>
          <w:color w:val="auto"/>
        </w:rPr>
      </w:pPr>
      <w:r>
        <w:rPr>
          <w:rFonts w:ascii="Arial" w:cs="Arial" w:eastAsia="Arial" w:hAnsi="Arial"/>
          <w:sz w:val="17"/>
          <w:szCs w:val="17"/>
          <w:color w:val="auto"/>
        </w:rPr>
        <w:t>The following table summarizes the key assumptions used by the Company to value the stock option awards granted under the Incentive Plan and the Inducement Plan during the first nine months of 2021 and 2020, respectively.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The expected volatility represents the historical volatility on the Company’s publicly 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Weighted Average Assumptions for Stock Option Awards Granted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 and Directors under the Plans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900" w:type="dxa"/>
            <w:vAlign w:val="bottom"/>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2020</w:t>
            </w:r>
          </w:p>
        </w:tc>
      </w:tr>
      <w:tr>
        <w:trPr>
          <w:trHeight w:val="208"/>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c>
          <w:tcPr>
            <w:tcW w:w="17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r>
      <w:tr>
        <w:trPr>
          <w:trHeight w:val="213"/>
        </w:trPr>
        <w:tc>
          <w:tcPr>
            <w:tcW w:w="89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jc w:val="right"/>
              <w:spacing w:after="0"/>
              <w:rPr>
                <w:sz w:val="20"/>
                <w:szCs w:val="20"/>
                <w:color w:val="auto"/>
              </w:rPr>
            </w:pPr>
            <w:r>
              <w:rPr>
                <w:rFonts w:ascii="Arial" w:cs="Arial" w:eastAsia="Arial" w:hAnsi="Arial"/>
                <w:sz w:val="18"/>
                <w:szCs w:val="18"/>
                <w:color w:val="auto"/>
              </w:rPr>
              <w:t>84.2%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83.8%</w:t>
            </w:r>
          </w:p>
        </w:tc>
      </w:tr>
      <w:tr>
        <w:trPr>
          <w:trHeight w:val="213"/>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6"/>
        </w:trPr>
        <w:tc>
          <w:tcPr>
            <w:tcW w:w="89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0.4%</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w:t>
      </w:r>
      <w:r>
        <w:rPr>
          <w:rFonts w:ascii="Arial" w:cs="Arial" w:eastAsia="Arial" w:hAnsi="Arial"/>
          <w:sz w:val="18"/>
          <w:szCs w:val="18"/>
          <w:color w:val="auto"/>
        </w:rPr>
        <w:t>“</w:t>
      </w:r>
      <w:r>
        <w:rPr>
          <w:rFonts w:ascii="Arial" w:cs="Arial" w:eastAsia="Arial" w:hAnsi="Arial"/>
          <w:sz w:val="18"/>
          <w:szCs w:val="18"/>
          <w:b w:val="1"/>
          <w:bCs w:val="1"/>
          <w:i w:val="1"/>
          <w:iCs w:val="1"/>
          <w:color w:val="auto"/>
        </w:rPr>
        <w:t>ESPP</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220" w:lineRule="exact"/>
        <w:rPr>
          <w:sz w:val="20"/>
          <w:szCs w:val="20"/>
          <w:color w:val="auto"/>
        </w:rPr>
      </w:pPr>
    </w:p>
    <w:p>
      <w:pPr>
        <w:ind w:right="120" w:firstLine="516"/>
        <w:spacing w:after="0" w:line="289" w:lineRule="auto"/>
        <w:rPr>
          <w:sz w:val="20"/>
          <w:szCs w:val="20"/>
          <w:color w:val="auto"/>
        </w:rPr>
      </w:pPr>
      <w:r>
        <w:rPr>
          <w:rFonts w:ascii="Arial" w:cs="Arial" w:eastAsia="Arial" w:hAnsi="Arial"/>
          <w:sz w:val="16"/>
          <w:szCs w:val="16"/>
          <w:color w:val="auto"/>
        </w:rPr>
        <w:t>The Company has reserved a total of 7,975 shares of common stock to be purchased under the ESPP, of which 6,056 shares remain available for purchase as of September 30, 2021. Eligible employees may authorize up to 15% of their salary to purchase common stock at the lower of 85% of the beginning or 85% of the ending price during six-month purchase intervals. No more than 3 shares may be purchased by any one employee at the six-month purchase dates, and no employee may purchase stock having a fair market value at the commencement date of $25 or more in any one calendar year. The Company issued 316 shares during the first nine months of 2021 under the ESPP. Compensation expense for shares purchased under the ESPP related to the purchase discount and the “look-back” option were determined using a Black-Scholes option pricing model.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Collaborative and Other Research and Development Contracts</w:t>
      </w:r>
    </w:p>
    <w:p>
      <w:pPr>
        <w:spacing w:after="0" w:line="224" w:lineRule="exact"/>
        <w:rPr>
          <w:sz w:val="20"/>
          <w:szCs w:val="20"/>
          <w:color w:val="auto"/>
        </w:rPr>
      </w:pPr>
    </w:p>
    <w:p>
      <w:pPr>
        <w:ind w:right="120" w:firstLine="480"/>
        <w:spacing w:after="0" w:line="253" w:lineRule="auto"/>
        <w:rPr>
          <w:sz w:val="20"/>
          <w:szCs w:val="20"/>
          <w:color w:val="auto"/>
        </w:rPr>
      </w:pPr>
      <w:r>
        <w:rPr>
          <w:rFonts w:ascii="Arial" w:cs="Arial" w:eastAsia="Arial" w:hAnsi="Arial"/>
          <w:sz w:val="18"/>
          <w:szCs w:val="18"/>
          <w:i w:val="1"/>
          <w:iCs w:val="1"/>
          <w:color w:val="auto"/>
        </w:rPr>
        <w:t>National Institute of Allergy and Infectious Diseases (</w:t>
      </w:r>
      <w:r>
        <w:rPr>
          <w:rFonts w:ascii="Arial" w:cs="Arial" w:eastAsia="Arial" w:hAnsi="Arial"/>
          <w:sz w:val="18"/>
          <w:szCs w:val="18"/>
          <w:color w:val="auto"/>
        </w:rPr>
        <w:t>“</w:t>
      </w:r>
      <w:r>
        <w:rPr>
          <w:rFonts w:ascii="Arial" w:cs="Arial" w:eastAsia="Arial" w:hAnsi="Arial"/>
          <w:sz w:val="18"/>
          <w:szCs w:val="18"/>
          <w:i w:val="1"/>
          <w:iCs w:val="1"/>
          <w:color w:val="auto"/>
        </w:rPr>
        <w:t>NIAID/HHS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In September 2013, NIAID/HHS contracted with the Company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galidesivir as a treatment for Marburg virus disease and subsequently, Yellow Fever and Ebola virus disease. On September 15, 2021, the Company entered into an amendment to pay for certain additional costs, including additional manufacturing development costs and overhead, and to change the total value of the contract, as amended, to $47,315 from $45,931. This is the commencement of closing out the contract. All options under the contract have been awarded.</w:t>
      </w:r>
    </w:p>
    <w:p>
      <w:pPr>
        <w:spacing w:after="0" w:line="190" w:lineRule="exact"/>
        <w:rPr>
          <w:sz w:val="20"/>
          <w:szCs w:val="20"/>
          <w:color w:val="auto"/>
        </w:rPr>
      </w:pPr>
    </w:p>
    <w:p>
      <w:pPr>
        <w:ind w:right="40" w:firstLine="480"/>
        <w:spacing w:after="0" w:line="258" w:lineRule="auto"/>
        <w:rPr>
          <w:sz w:val="20"/>
          <w:szCs w:val="20"/>
          <w:color w:val="auto"/>
        </w:rPr>
      </w:pPr>
      <w:r>
        <w:rPr>
          <w:rFonts w:ascii="Arial" w:cs="Arial" w:eastAsia="Arial" w:hAnsi="Arial"/>
          <w:sz w:val="18"/>
          <w:szCs w:val="18"/>
          <w:color w:val="auto"/>
        </w:rPr>
        <w:t>In August 2020, NIAID/HHS awarded the Company a new contract, with potential aggregate funding up of to $43,908 if all contract options are exercised, to manufacture and evaluate the safety, efficacy and tolerability of galidesivir. NIAID/HHS made an initial award of $6,326 to the Company under this contract.</w:t>
      </w:r>
    </w:p>
    <w:p>
      <w:pPr>
        <w:spacing w:after="0" w:line="186" w:lineRule="exact"/>
        <w:rPr>
          <w:sz w:val="20"/>
          <w:szCs w:val="20"/>
          <w:color w:val="auto"/>
        </w:rPr>
      </w:pPr>
    </w:p>
    <w:p>
      <w:pPr>
        <w:ind w:right="40" w:firstLine="480"/>
        <w:spacing w:after="0" w:line="271" w:lineRule="auto"/>
        <w:rPr>
          <w:sz w:val="20"/>
          <w:szCs w:val="20"/>
          <w:color w:val="auto"/>
        </w:rPr>
      </w:pPr>
      <w:r>
        <w:rPr>
          <w:rFonts w:ascii="Arial" w:cs="Arial" w:eastAsia="Arial" w:hAnsi="Arial"/>
          <w:sz w:val="17"/>
          <w:szCs w:val="17"/>
          <w:i w:val="1"/>
          <w:iCs w:val="1"/>
          <w:color w:val="auto"/>
        </w:rPr>
        <w:t>Biomedical Advanced Research and Development Authority (</w:t>
      </w:r>
      <w:r>
        <w:rPr>
          <w:rFonts w:ascii="Arial" w:cs="Arial" w:eastAsia="Arial" w:hAnsi="Arial"/>
          <w:sz w:val="17"/>
          <w:szCs w:val="17"/>
          <w:color w:val="auto"/>
        </w:rPr>
        <w:t>“</w:t>
      </w:r>
      <w:r>
        <w:rPr>
          <w:rFonts w:ascii="Arial" w:cs="Arial" w:eastAsia="Arial" w:hAnsi="Arial"/>
          <w:sz w:val="17"/>
          <w:szCs w:val="17"/>
          <w:i w:val="1"/>
          <w:iCs w:val="1"/>
          <w:color w:val="auto"/>
        </w:rPr>
        <w:t>BARDA/HHS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In March 2015, BARDA/HHS awarded the Company a contract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development of galidesivir as a potential treatment for diseases caused by RNA pathogens, including filoviruses. This BARDA/HHS contract includes a base contract of $16,265 to support galidesivir drug manufacturing, as well as $22,855 in additional development options that can be exercised by the government, bringing the potential value of the contract to $39,120. As of September 30, 2021, a total of $20,574 has been awarded under exercised options within this contract. The most recent development option was completed as of September 30,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24" w:name="page25"/>
    <w:bookmarkEnd w:id="24"/>
    <w:p>
      <w:pPr>
        <w:ind w:right="80" w:firstLine="480"/>
        <w:spacing w:after="0" w:line="253" w:lineRule="auto"/>
        <w:rPr>
          <w:sz w:val="20"/>
          <w:szCs w:val="20"/>
          <w:color w:val="auto"/>
        </w:rPr>
      </w:pPr>
      <w:r>
        <w:rPr>
          <w:rFonts w:ascii="Arial" w:cs="Arial" w:eastAsia="Arial" w:hAnsi="Arial"/>
          <w:sz w:val="18"/>
          <w:szCs w:val="18"/>
          <w:color w:val="auto"/>
        </w:rPr>
        <w:t>The contracts with NIAID/HHS and BARDA/HHS are cost-plus-fixed-fee contracts. That is, the Company is entitled to receive reimbursement for all costs incurred in accordance with the contract provisions that are related to the development of galidesivir plus a fixed fee, or profit. BARDA/HHS and NIAID/HHS will make periodic assessments of progress, and the continuation of the contracts is based on the Company’s performance, the timeliness and quality of deliverables, and other factors. The government has rights under certain contract clauses to terminate these contracts. These contracts are terminable by the government at any time for breach or without cause.</w:t>
      </w:r>
    </w:p>
    <w:p>
      <w:pPr>
        <w:spacing w:after="0" w:line="190" w:lineRule="exact"/>
        <w:rPr>
          <w:sz w:val="20"/>
          <w:szCs w:val="20"/>
          <w:color w:val="auto"/>
        </w:rPr>
      </w:pPr>
    </w:p>
    <w:p>
      <w:pPr>
        <w:ind w:right="100" w:firstLine="480"/>
        <w:spacing w:after="0" w:line="289" w:lineRule="auto"/>
        <w:rPr>
          <w:sz w:val="20"/>
          <w:szCs w:val="20"/>
          <w:color w:val="auto"/>
        </w:rPr>
      </w:pPr>
      <w:r>
        <w:rPr>
          <w:rFonts w:ascii="Arial" w:cs="Arial" w:eastAsia="Arial" w:hAnsi="Arial"/>
          <w:sz w:val="16"/>
          <w:szCs w:val="16"/>
          <w:i w:val="1"/>
          <w:iCs w:val="1"/>
          <w:color w:val="auto"/>
        </w:rPr>
        <w:t>U.S. Department of Health and Human Services (</w:t>
      </w:r>
      <w:r>
        <w:rPr>
          <w:rFonts w:ascii="Arial" w:cs="Arial" w:eastAsia="Arial" w:hAnsi="Arial"/>
          <w:sz w:val="16"/>
          <w:szCs w:val="16"/>
          <w:color w:val="auto"/>
        </w:rPr>
        <w:t>“</w:t>
      </w:r>
      <w:r>
        <w:rPr>
          <w:rFonts w:ascii="Arial" w:cs="Arial" w:eastAsia="Arial" w:hAnsi="Arial"/>
          <w:sz w:val="16"/>
          <w:szCs w:val="16"/>
          <w:i w:val="1"/>
          <w:iCs w:val="1"/>
          <w:color w:val="auto"/>
        </w:rPr>
        <w:t>HHS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In September 2018, HHS awarded the Company a $34,660 contract for the procurement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up to 50,000 doses of RAPIVAB (peramivir injection) over a five-year period, including an initial base order of 10,000 doses. On September 3, 2020, the Company announced that HHS had exercised an option under this contract to purchase an additional 10,000 doses of RAPIVAB for $6,932, which the Company delivered in June and July of 2021. For the nine months ended September 30, 2021, the Company delivered a total of 9,980 doses for $6,918. On September 1, 2021, the Company announced that HHS has exercised its option to purchase an additional 10,000 doses of RAPIVAB. As of September 30, 2021, the Company has delivered a total of 29,980 RAPIVAB doses of the 50,000 RAPIVAB doses available under the contract with HHS.</w:t>
      </w:r>
    </w:p>
    <w:p>
      <w:pPr>
        <w:spacing w:after="0" w:line="165" w:lineRule="exact"/>
        <w:rPr>
          <w:sz w:val="20"/>
          <w:szCs w:val="20"/>
          <w:color w:val="auto"/>
        </w:rPr>
      </w:pPr>
    </w:p>
    <w:p>
      <w:pPr>
        <w:jc w:val="both"/>
        <w:ind w:right="200" w:firstLine="480"/>
        <w:spacing w:after="0" w:line="258" w:lineRule="auto"/>
        <w:rPr>
          <w:sz w:val="20"/>
          <w:szCs w:val="20"/>
          <w:color w:val="auto"/>
        </w:rPr>
      </w:pPr>
      <w:r>
        <w:rPr>
          <w:rFonts w:ascii="Arial" w:cs="Arial" w:eastAsia="Arial" w:hAnsi="Arial"/>
          <w:sz w:val="18"/>
          <w:szCs w:val="18"/>
          <w:i w:val="1"/>
          <w:iCs w:val="1"/>
          <w:color w:val="auto"/>
        </w:rPr>
        <w:t>Torii Pharmaceutical Co., Ltd. (</w:t>
      </w:r>
      <w:r>
        <w:rPr>
          <w:rFonts w:ascii="Arial" w:cs="Arial" w:eastAsia="Arial" w:hAnsi="Arial"/>
          <w:sz w:val="18"/>
          <w:szCs w:val="18"/>
          <w:color w:val="auto"/>
        </w:rPr>
        <w:t>“</w:t>
      </w:r>
      <w:r>
        <w:rPr>
          <w:rFonts w:ascii="Arial" w:cs="Arial" w:eastAsia="Arial" w:hAnsi="Arial"/>
          <w:sz w:val="18"/>
          <w:szCs w:val="18"/>
          <w:i w:val="1"/>
          <w:iCs w:val="1"/>
          <w:color w:val="auto"/>
        </w:rPr>
        <w:t>Torii</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On November 5, 2019, the Company entered into a Commercialization and License Agreement with Torii</w:t>
      </w:r>
      <w:r>
        <w:rPr>
          <w:rFonts w:ascii="Arial" w:cs="Arial" w:eastAsia="Arial" w:hAnsi="Arial"/>
          <w:sz w:val="18"/>
          <w:szCs w:val="18"/>
          <w:i w:val="1"/>
          <w:iCs w:val="1"/>
          <w:color w:val="auto"/>
        </w:rPr>
        <w:t xml:space="preserve"> </w:t>
      </w:r>
      <w:r>
        <w:rPr>
          <w:rFonts w:ascii="Arial" w:cs="Arial" w:eastAsia="Arial" w:hAnsi="Arial"/>
          <w:sz w:val="18"/>
          <w:szCs w:val="18"/>
          <w:color w:val="auto"/>
        </w:rPr>
        <w:t>(the “Torii Agreement”), granting Torii the exclusive right to commercialize ORLADEYO for the prevention of hereditary angioedema (“HAE”) attacks in Japan.</w:t>
      </w:r>
    </w:p>
    <w:p>
      <w:pPr>
        <w:spacing w:after="0" w:line="186" w:lineRule="exact"/>
        <w:rPr>
          <w:sz w:val="20"/>
          <w:szCs w:val="20"/>
          <w:color w:val="auto"/>
        </w:rPr>
      </w:pPr>
    </w:p>
    <w:p>
      <w:pPr>
        <w:jc w:val="both"/>
        <w:ind w:right="20" w:firstLine="480"/>
        <w:spacing w:after="0" w:line="258" w:lineRule="auto"/>
        <w:rPr>
          <w:sz w:val="20"/>
          <w:szCs w:val="20"/>
          <w:color w:val="auto"/>
        </w:rPr>
      </w:pPr>
      <w:r>
        <w:rPr>
          <w:rFonts w:ascii="Arial" w:cs="Arial" w:eastAsia="Arial" w:hAnsi="Arial"/>
          <w:sz w:val="18"/>
          <w:szCs w:val="18"/>
          <w:color w:val="auto"/>
        </w:rPr>
        <w:t>Under the Torii Agreement, the Company received an upfront, non-refundable payment of $22,000. The Japanese National Health Insurance System’s (“NHI”) approval of the addition of ORLADEYO to the NHI drug price list in April 2021 triggered a $15,000 milestone payment from Torii to the Company, which was received in May 2021.</w:t>
      </w:r>
    </w:p>
    <w:p>
      <w:pPr>
        <w:spacing w:after="0" w:line="186" w:lineRule="exact"/>
        <w:rPr>
          <w:sz w:val="20"/>
          <w:szCs w:val="20"/>
          <w:color w:val="auto"/>
        </w:rPr>
      </w:pPr>
    </w:p>
    <w:p>
      <w:pPr>
        <w:ind w:firstLine="480"/>
        <w:spacing w:after="0" w:line="286" w:lineRule="auto"/>
        <w:rPr>
          <w:sz w:val="20"/>
          <w:szCs w:val="20"/>
          <w:color w:val="auto"/>
        </w:rPr>
      </w:pPr>
      <w:r>
        <w:rPr>
          <w:rFonts w:ascii="Arial" w:cs="Arial" w:eastAsia="Arial" w:hAnsi="Arial"/>
          <w:sz w:val="16"/>
          <w:szCs w:val="16"/>
          <w:color w:val="auto"/>
        </w:rPr>
        <w:t>In addition, under the Torii Agreement, the Company is entitled to receive tiered royalty payments, ranging from 20% to 40% of annual net sales of ORLADEYO in Japan during each calendar year. Torii’s royalty payment obligations are subject to customary reductions in certain circumstances, but may not be reduced by more than 50% of the amount that otherwise would have been payable to the Company in the applicable calendar quarter. Torii’s royalty payment obligations commence upon the first commercial sale of ORLADEYO in Japan and expire upon the later of (i) the tenth anniversary of the date of first commercial sale of ORLADEYO in Japan, (ii) the expiration of the Company’s patents covering ORLADEYO, and (iii) the expiration of regulatory exclusivity for ORLADEYO in Japan. The Company will be responsible for supplying Torii with its required amounts of ORLADEYO. The activities of the parties pursuant to the Torii Agreement will be overseen by a joint steering committee, to be composed of an equal number of representatives from each party to coordinate the development and commercialization of ORLADEYO in Japan. Torii launched ORLADEYO in Japan on April 23, 2021.</w:t>
      </w:r>
    </w:p>
    <w:p>
      <w:pPr>
        <w:spacing w:after="0" w:line="167" w:lineRule="exact"/>
        <w:rPr>
          <w:sz w:val="20"/>
          <w:szCs w:val="20"/>
          <w:color w:val="auto"/>
        </w:rPr>
      </w:pPr>
    </w:p>
    <w:p>
      <w:pPr>
        <w:ind w:right="140" w:firstLine="480"/>
        <w:spacing w:after="0" w:line="268" w:lineRule="auto"/>
        <w:rPr>
          <w:sz w:val="20"/>
          <w:szCs w:val="20"/>
          <w:color w:val="auto"/>
        </w:rPr>
      </w:pPr>
      <w:r>
        <w:rPr>
          <w:rFonts w:ascii="Arial" w:cs="Arial" w:eastAsia="Arial" w:hAnsi="Arial"/>
          <w:sz w:val="17"/>
          <w:szCs w:val="17"/>
          <w:color w:val="auto"/>
        </w:rPr>
        <w:t>The Company identified performance obligations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 For the nine months ended September 30, 2020, $1,617 of the $22,000 upfront payment was recognized as revenue as the services were delivered. Prior to 2020, the Company had recognized as revenue $20,101 of the $22,000 upfront payment.</w:t>
      </w:r>
    </w:p>
    <w:p>
      <w:pPr>
        <w:spacing w:after="0" w:line="180" w:lineRule="exact"/>
        <w:rPr>
          <w:sz w:val="20"/>
          <w:szCs w:val="20"/>
          <w:color w:val="auto"/>
        </w:rPr>
      </w:pPr>
    </w:p>
    <w:p>
      <w:pPr>
        <w:ind w:right="60" w:firstLine="480"/>
        <w:spacing w:after="0" w:line="292" w:lineRule="auto"/>
        <w:rPr>
          <w:sz w:val="20"/>
          <w:szCs w:val="20"/>
          <w:color w:val="auto"/>
        </w:rPr>
      </w:pPr>
      <w:r>
        <w:rPr>
          <w:rFonts w:ascii="Arial" w:cs="Arial" w:eastAsia="Arial" w:hAnsi="Arial"/>
          <w:sz w:val="16"/>
          <w:szCs w:val="16"/>
          <w:i w:val="1"/>
          <w:iCs w:val="1"/>
          <w:color w:val="auto"/>
        </w:rPr>
        <w:t>Seqirus UK Limited (</w:t>
      </w:r>
      <w:r>
        <w:rPr>
          <w:rFonts w:ascii="Arial" w:cs="Arial" w:eastAsia="Arial" w:hAnsi="Arial"/>
          <w:sz w:val="16"/>
          <w:szCs w:val="16"/>
          <w:color w:val="auto"/>
        </w:rPr>
        <w:t>“</w:t>
      </w:r>
      <w:r>
        <w:rPr>
          <w:rFonts w:ascii="Arial" w:cs="Arial" w:eastAsia="Arial" w:hAnsi="Arial"/>
          <w:sz w:val="16"/>
          <w:szCs w:val="16"/>
          <w:i w:val="1"/>
          <w:iCs w:val="1"/>
          <w:color w:val="auto"/>
        </w:rPr>
        <w:t>SUL</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June 16, 2015, the Company and SUL, a limited company organized under the laws of the United Kingdom and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CSL Limited, a company organized under the laws of Australia, entered into a License Agreement (the “SUL Agreement”) granting SUL and its affiliates worldwide rights to develop, manufacture and commercialize RAPIVAB (peramivir injection) for the treatment of influenza except for the rights to conduct such activities in Israel, Japan, Korea and Taiwan (the permitted geographies together constituting the “Territory”). Under the terms of the SUL Agreement, the Company received an upfront payment of $33,740 and has achieved all development milestones under the contract totaling $12,000.</w:t>
      </w:r>
    </w:p>
    <w:p>
      <w:pPr>
        <w:spacing w:after="0" w:line="162" w:lineRule="exact"/>
        <w:rPr>
          <w:sz w:val="20"/>
          <w:szCs w:val="20"/>
          <w:color w:val="auto"/>
        </w:rPr>
      </w:pPr>
    </w:p>
    <w:p>
      <w:pPr>
        <w:ind w:right="20" w:firstLine="480"/>
        <w:spacing w:after="0" w:line="283" w:lineRule="auto"/>
        <w:rPr>
          <w:sz w:val="20"/>
          <w:szCs w:val="20"/>
          <w:color w:val="auto"/>
        </w:rPr>
      </w:pPr>
      <w:r>
        <w:rPr>
          <w:rFonts w:ascii="Arial" w:cs="Arial" w:eastAsia="Arial" w:hAnsi="Arial"/>
          <w:sz w:val="16"/>
          <w:szCs w:val="16"/>
          <w:color w:val="auto"/>
        </w:rPr>
        <w:t>On March 4, 2020, the International Court of Arbitration of the International Chamber of Commerce (“ICC Tribunal”) delivered a Partial Arbitration Award (the “Partial Arbitration Award”) in an arbitration matter between the Company and SUL with respect to the SUL Agreement. In the Partial Arbitration Award, the ICC Tribunal found that, during the term, SUL materially breached and abandoned its core duties to the Company under the Diligent Efforts (as defined in the SUL Agreement) requirements of the SUL Agreement as applicable in the U.S. The ICC Tribunal granted a declaratory judgment in favor of the Company terminating the SUL Agreement and restoring all rights to peramivir to the Company. The parties agreed on a transition process for the product, with a full transition of commercialization of the product in the U.S. and Australia returned to the Company as of August 1, 2020 and November 1, 2020, respectively. The ICC Tribunal also awarded the Company its attorneys’ fees and expenses incurred in securing the declaratory judgment as well as the costs incurred by the Company in the arbitration. Finally, the ICC Tribunal found that SUL breached the SUL Agreement by failing to pay the milestone payment due to the Company within 30 days of the approval of peramivir for adult use in the European Union and awarded the Company $5,000 (plus interest) for this claim. The ICC Tribunal retained jurisdiction for further proceedings relating to the award of attorneys’ fees and for any dispute relating to the return to the Company of all rights to peramivir in the Territory. The Company recognized a settlement gain of $8,893 in other income and legal fees and other expenses of $5,026 in selling, general and administrative expenses for the nine months ended September 30, 2020.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25" w:name="page26"/>
    <w:bookmarkEnd w:id="25"/>
    <w:p>
      <w:pPr>
        <w:ind w:firstLine="480"/>
        <w:spacing w:after="0" w:line="252" w:lineRule="auto"/>
        <w:rPr>
          <w:sz w:val="20"/>
          <w:szCs w:val="20"/>
          <w:color w:val="auto"/>
        </w:rPr>
      </w:pPr>
      <w:r>
        <w:rPr>
          <w:rFonts w:ascii="Arial" w:cs="Arial" w:eastAsia="Arial" w:hAnsi="Arial"/>
          <w:sz w:val="18"/>
          <w:szCs w:val="18"/>
          <w:i w:val="1"/>
          <w:iCs w:val="1"/>
          <w:color w:val="auto"/>
        </w:rPr>
        <w:t>Shionogi &amp; Co., Ltd. (</w:t>
      </w:r>
      <w:r>
        <w:rPr>
          <w:rFonts w:ascii="Arial" w:cs="Arial" w:eastAsia="Arial" w:hAnsi="Arial"/>
          <w:sz w:val="18"/>
          <w:szCs w:val="18"/>
          <w:color w:val="auto"/>
        </w:rPr>
        <w:t>“</w:t>
      </w:r>
      <w:r>
        <w:rPr>
          <w:rFonts w:ascii="Arial" w:cs="Arial" w:eastAsia="Arial" w:hAnsi="Arial"/>
          <w:sz w:val="18"/>
          <w:szCs w:val="18"/>
          <w:i w:val="1"/>
          <w:iCs w:val="1"/>
          <w:color w:val="auto"/>
        </w:rPr>
        <w:t>Shionogi</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February 2007, the Company entered into an exclusive license agreement with Shionogi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peramivir in Japan for the treatment of seasonal and potentially life-threatening human influenza. Under the terms of the agreement, Shionogi obtained rights to injectable formulations of peramivir in Japan. The Company developed peramivir under a license from UAB and will owe sublicense payments to UAB on any future milestone payments and/or royalties received by the Company from Shionogi. In October 2008, the Company and Shionogi amended the license agreement to expand the territory covered by the agreement to include Taiwan. Shionogi has commercially launched peramivir under the commercial name RAPIACTA in Japan and Taiwan.</w:t>
      </w:r>
    </w:p>
    <w:p>
      <w:pPr>
        <w:spacing w:after="0" w:line="190" w:lineRule="exact"/>
        <w:rPr>
          <w:sz w:val="20"/>
          <w:szCs w:val="20"/>
          <w:color w:val="auto"/>
        </w:rPr>
      </w:pPr>
    </w:p>
    <w:p>
      <w:pPr>
        <w:ind w:right="60" w:firstLine="480"/>
        <w:spacing w:after="0" w:line="296" w:lineRule="auto"/>
        <w:rPr>
          <w:sz w:val="20"/>
          <w:szCs w:val="20"/>
          <w:color w:val="auto"/>
        </w:rPr>
      </w:pPr>
      <w:r>
        <w:rPr>
          <w:rFonts w:ascii="Arial" w:cs="Arial" w:eastAsia="Arial" w:hAnsi="Arial"/>
          <w:sz w:val="16"/>
          <w:szCs w:val="16"/>
          <w:color w:val="auto"/>
        </w:rPr>
        <w:t>In December 2017, the Company, on behalf of Royalty Sub, instituted arbitration proceedings against Shionogi in order to resolve a dispute with Shionogi under the Shionogi Agreement regarding the achievement of sales milestones and escalating royalties. The arbitration proceedings have concluded, with the decision that no sale milestones had been achieved and that royalties would remain the same. The costs associated with the arbitration proceedings are recoverable from the assets of Royalty Sub in accordance with the terms of the indenture and servicing agreement relating to the PhaRMA Notes.</w:t>
      </w:r>
    </w:p>
    <w:p>
      <w:pPr>
        <w:spacing w:after="0" w:line="160" w:lineRule="exact"/>
        <w:rPr>
          <w:sz w:val="20"/>
          <w:szCs w:val="20"/>
          <w:color w:val="auto"/>
        </w:rPr>
      </w:pPr>
    </w:p>
    <w:p>
      <w:pPr>
        <w:ind w:right="220" w:firstLine="480"/>
        <w:spacing w:after="0" w:line="292" w:lineRule="auto"/>
        <w:rPr>
          <w:sz w:val="20"/>
          <w:szCs w:val="20"/>
          <w:color w:val="auto"/>
        </w:rPr>
      </w:pPr>
      <w:r>
        <w:rPr>
          <w:rFonts w:ascii="Arial" w:cs="Arial" w:eastAsia="Arial" w:hAnsi="Arial"/>
          <w:sz w:val="16"/>
          <w:szCs w:val="16"/>
          <w:i w:val="1"/>
          <w:iCs w:val="1"/>
          <w:color w:val="auto"/>
        </w:rPr>
        <w:t>Green Cross Corporation (</w:t>
      </w:r>
      <w:r>
        <w:rPr>
          <w:rFonts w:ascii="Arial" w:cs="Arial" w:eastAsia="Arial" w:hAnsi="Arial"/>
          <w:sz w:val="16"/>
          <w:szCs w:val="16"/>
          <w:color w:val="auto"/>
        </w:rPr>
        <w:t>“</w:t>
      </w:r>
      <w:r>
        <w:rPr>
          <w:rFonts w:ascii="Arial" w:cs="Arial" w:eastAsia="Arial" w:hAnsi="Arial"/>
          <w:sz w:val="16"/>
          <w:szCs w:val="16"/>
          <w:i w:val="1"/>
          <w:iCs w:val="1"/>
          <w:color w:val="auto"/>
        </w:rPr>
        <w:t>Green Cross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June 2006, the Company entered into an agreement with Green Cross to develop and commercialize</w:t>
      </w:r>
      <w:r>
        <w:rPr>
          <w:rFonts w:ascii="Arial" w:cs="Arial" w:eastAsia="Arial" w:hAnsi="Arial"/>
          <w:sz w:val="16"/>
          <w:szCs w:val="16"/>
          <w:i w:val="1"/>
          <w:iCs w:val="1"/>
          <w:color w:val="auto"/>
        </w:rPr>
        <w:t xml:space="preserve"> </w:t>
      </w:r>
      <w:r>
        <w:rPr>
          <w:rFonts w:ascii="Arial" w:cs="Arial" w:eastAsia="Arial" w:hAnsi="Arial"/>
          <w:sz w:val="16"/>
          <w:szCs w:val="16"/>
          <w:color w:val="auto"/>
        </w:rPr>
        <w:t>peramivir in Korea. Under the terms of the agreement, Green Cross will be responsible for all development, regulatory, and commercialization costs in Korea. The Company received a one-time license fee of $250. The license also provides that the Company will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62" w:lineRule="exact"/>
        <w:rPr>
          <w:sz w:val="20"/>
          <w:szCs w:val="20"/>
          <w:color w:val="auto"/>
        </w:rPr>
      </w:pPr>
    </w:p>
    <w:p>
      <w:pPr>
        <w:ind w:right="80" w:firstLine="480"/>
        <w:spacing w:after="0" w:line="269" w:lineRule="auto"/>
        <w:rPr>
          <w:sz w:val="20"/>
          <w:szCs w:val="20"/>
          <w:color w:val="auto"/>
        </w:rPr>
      </w:pPr>
      <w:r>
        <w:rPr>
          <w:rFonts w:ascii="Arial" w:cs="Arial" w:eastAsia="Arial" w:hAnsi="Arial"/>
          <w:sz w:val="17"/>
          <w:szCs w:val="17"/>
          <w:i w:val="1"/>
          <w:iCs w:val="1"/>
          <w:color w:val="auto"/>
        </w:rPr>
        <w:t>Mundipharma International Holdings Limited (</w:t>
      </w:r>
      <w:r>
        <w:rPr>
          <w:rFonts w:ascii="Arial" w:cs="Arial" w:eastAsia="Arial" w:hAnsi="Arial"/>
          <w:sz w:val="17"/>
          <w:szCs w:val="17"/>
          <w:color w:val="auto"/>
        </w:rPr>
        <w:t>“</w:t>
      </w:r>
      <w:r>
        <w:rPr>
          <w:rFonts w:ascii="Arial" w:cs="Arial" w:eastAsia="Arial" w:hAnsi="Arial"/>
          <w:sz w:val="17"/>
          <w:szCs w:val="17"/>
          <w:i w:val="1"/>
          <w:iCs w:val="1"/>
          <w:color w:val="auto"/>
        </w:rPr>
        <w:t>Mundipharma</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February 2006, the Company entered into an exclusive, royalty bearing right and</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agreement with Mundipharma for the development and commercialization of Mundesine, a Purine Nucleoside Phosphorylase (“PNP”) inhibitor, for use in oncology. The agreement, as amended and restated, provides for the possibility of future event payments totaling $15,000 for achieving specified regulatory events for certain indications and tiered royalties ranging from mid to high single-digit percentages of net product sales in each country where Mundesine is sold by Mundipharma. The Company licensed forodesine and other PNP inhibitors from AECOM/IRL (as defined below) and will owe sublicense payments to AECOM/IRL on all milestone payments and royalties received from Mundipharma.</w:t>
      </w:r>
    </w:p>
    <w:p>
      <w:pPr>
        <w:spacing w:after="0" w:line="180" w:lineRule="exact"/>
        <w:rPr>
          <w:sz w:val="20"/>
          <w:szCs w:val="20"/>
          <w:color w:val="auto"/>
        </w:rPr>
      </w:pPr>
    </w:p>
    <w:p>
      <w:pPr>
        <w:ind w:right="40" w:firstLine="480"/>
        <w:spacing w:after="0" w:line="266" w:lineRule="auto"/>
        <w:rPr>
          <w:sz w:val="20"/>
          <w:szCs w:val="20"/>
          <w:color w:val="auto"/>
        </w:rPr>
      </w:pPr>
      <w:r>
        <w:rPr>
          <w:rFonts w:ascii="Arial" w:cs="Arial" w:eastAsia="Arial" w:hAnsi="Arial"/>
          <w:sz w:val="17"/>
          <w:szCs w:val="17"/>
          <w:i w:val="1"/>
          <w:iCs w:val="1"/>
          <w:color w:val="auto"/>
        </w:rPr>
        <w:t>Albert Einstein College of Medicine of Yeshiva University and Industrial Research, Ltd. (</w:t>
      </w:r>
      <w:r>
        <w:rPr>
          <w:rFonts w:ascii="Arial" w:cs="Arial" w:eastAsia="Arial" w:hAnsi="Arial"/>
          <w:sz w:val="17"/>
          <w:szCs w:val="17"/>
          <w:color w:val="auto"/>
        </w:rPr>
        <w:t>“</w:t>
      </w:r>
      <w:r>
        <w:rPr>
          <w:rFonts w:ascii="Arial" w:cs="Arial" w:eastAsia="Arial" w:hAnsi="Arial"/>
          <w:sz w:val="17"/>
          <w:szCs w:val="17"/>
          <w:i w:val="1"/>
          <w:iCs w:val="1"/>
          <w:color w:val="auto"/>
        </w:rPr>
        <w:t>AECOM</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IRL,</w:t>
      </w:r>
      <w:r>
        <w:rPr>
          <w:rFonts w:ascii="Arial" w:cs="Arial" w:eastAsia="Arial" w:hAnsi="Arial"/>
          <w:sz w:val="17"/>
          <w:szCs w:val="17"/>
          <w:color w:val="auto"/>
        </w:rPr>
        <w:t>”</w:t>
      </w:r>
      <w:r>
        <w:rPr>
          <w:rFonts w:ascii="Arial" w:cs="Arial" w:eastAsia="Arial" w:hAnsi="Arial"/>
          <w:sz w:val="17"/>
          <w:szCs w:val="17"/>
          <w:i w:val="1"/>
          <w:iCs w:val="1"/>
          <w:color w:val="auto"/>
        </w:rPr>
        <w:t xml:space="preserve"> respectively). </w:t>
      </w:r>
      <w:r>
        <w:rPr>
          <w:rFonts w:ascii="Arial" w:cs="Arial" w:eastAsia="Arial" w:hAnsi="Arial"/>
          <w:sz w:val="17"/>
          <w:szCs w:val="17"/>
          <w:color w:val="auto"/>
        </w:rPr>
        <w:t>In June 2000,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licensed a series of potent inhibitors of PNP from AECOM and IRL, (together, the “Licensors”). The lead product candidate from this collaboration is forodesine. The Company has obtained worldwide exclusive rights to develop and ultimately distribute this, or any other, product candidates that might arise from research on these inhibitors. The Company has the option to expand the agreement to include other inventions in the field made by the investigators or employees of the Licensors. Under this agreement, as amended and restated, the Company has agreed to use commercially reasonable efforts to develop these drugs and to pay certain milestone payments for each licensed product (which range in the aggregate from $1,400 to almost $4,000 per indication) for future development, single digit royalties on net sales of any resulting product made by the Company, and to share a portion of future payments received from other third-party partners, if any. In addition, the Company has agreed to pay annual license fees, which can range from $150 to $500, that are creditable against actual royalties and other payments due to the Licensors. The Licensors have also granted the Company an exclusive worldwide license of galidesivir for any antiviral use.</w:t>
      </w:r>
    </w:p>
    <w:p>
      <w:pPr>
        <w:spacing w:after="0" w:line="182" w:lineRule="exact"/>
        <w:rPr>
          <w:sz w:val="20"/>
          <w:szCs w:val="20"/>
          <w:color w:val="auto"/>
        </w:rPr>
      </w:pPr>
    </w:p>
    <w:p>
      <w:pPr>
        <w:ind w:right="60" w:firstLine="480"/>
        <w:spacing w:after="0" w:line="284" w:lineRule="auto"/>
        <w:rPr>
          <w:sz w:val="20"/>
          <w:szCs w:val="20"/>
          <w:color w:val="auto"/>
        </w:rPr>
      </w:pPr>
      <w:r>
        <w:rPr>
          <w:rFonts w:ascii="Arial" w:cs="Arial" w:eastAsia="Arial" w:hAnsi="Arial"/>
          <w:sz w:val="16"/>
          <w:szCs w:val="16"/>
          <w:i w:val="1"/>
          <w:iCs w:val="1"/>
          <w:color w:val="auto"/>
        </w:rPr>
        <w:t>The University of Alabama at Birmingham (</w:t>
      </w:r>
      <w:r>
        <w:rPr>
          <w:rFonts w:ascii="Arial" w:cs="Arial" w:eastAsia="Arial" w:hAnsi="Arial"/>
          <w:sz w:val="16"/>
          <w:szCs w:val="16"/>
          <w:color w:val="auto"/>
        </w:rPr>
        <w:t>“</w:t>
      </w:r>
      <w:r>
        <w:rPr>
          <w:rFonts w:ascii="Arial" w:cs="Arial" w:eastAsia="Arial" w:hAnsi="Arial"/>
          <w:sz w:val="16"/>
          <w:szCs w:val="16"/>
          <w:i w:val="1"/>
          <w:iCs w:val="1"/>
          <w:color w:val="auto"/>
        </w:rPr>
        <w:t>UAB</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currently has agreements with UAB for influenza neuraminidase and complement</w:t>
      </w:r>
      <w:r>
        <w:rPr>
          <w:rFonts w:ascii="Arial" w:cs="Arial" w:eastAsia="Arial" w:hAnsi="Arial"/>
          <w:sz w:val="16"/>
          <w:szCs w:val="16"/>
          <w:i w:val="1"/>
          <w:iCs w:val="1"/>
          <w:color w:val="auto"/>
        </w:rPr>
        <w:t xml:space="preserve"> </w:t>
      </w:r>
      <w:r>
        <w:rPr>
          <w:rFonts w:ascii="Arial" w:cs="Arial" w:eastAsia="Arial" w:hAnsi="Arial"/>
          <w:sz w:val="16"/>
          <w:szCs w:val="16"/>
          <w:color w:val="auto"/>
        </w:rPr>
        <w:t>inhibitors. Under the terms of these agreements, UAB performed specific research for the Company in return for research payments and license fees. UAB has granted the Company certain rights to any discoveries in these areas resulting from research developed by UAB or jointly developed by UAB with the Company. The Company has agreed to pay single digit royalties on sales of any resulting product and to share in future payments received from other third-party partners. The Company has completed the research under the UAB agreements. These two agreements each have an initial 25-year term, are automatically renewable for five-year terms throughout the life of the last patent and are terminable by the Company upon three months’ notice and by UAB under certain circumstances. Upon termination, both parties shall cease using the other parties’ proprietary and confidential information and materials, the parties shall jointly own joint inventions and UAB shall resume full ownership of all UAB licensed products. There is currently no activity between the Company and UAB on these agreements, but when the Company licenses this technology, such as in the case of the Shionogi and Green Cross collaborations, or commercializes products related to these programs, the Company will owe sublicense fees or royalties on amounts received.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60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4" w:lineRule="exact"/>
        <w:rPr>
          <w:sz w:val="20"/>
          <w:szCs w:val="20"/>
          <w:color w:val="auto"/>
        </w:rPr>
      </w:pPr>
    </w:p>
    <w:p>
      <w:pPr>
        <w:ind w:right="200" w:firstLine="516"/>
        <w:spacing w:after="0" w:line="274" w:lineRule="auto"/>
        <w:rPr>
          <w:sz w:val="20"/>
          <w:szCs w:val="20"/>
          <w:color w:val="auto"/>
        </w:rPr>
      </w:pPr>
      <w:r>
        <w:rPr>
          <w:rFonts w:ascii="Arial" w:cs="Arial" w:eastAsia="Arial" w:hAnsi="Arial"/>
          <w:sz w:val="17"/>
          <w:szCs w:val="17"/>
          <w:i w:val="1"/>
          <w:iCs w:val="1"/>
          <w:color w:val="auto"/>
        </w:rPr>
        <w:t>The following 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w:t>
      </w:r>
      <w:r>
        <w:rPr>
          <w:rFonts w:ascii="Arial" w:cs="Arial" w:eastAsia="Arial" w:hAnsi="Arial"/>
          <w:sz w:val="17"/>
          <w:szCs w:val="17"/>
          <w:color w:val="auto"/>
        </w:rPr>
        <w:t>“</w:t>
      </w:r>
      <w:r>
        <w:rPr>
          <w:rFonts w:ascii="Arial" w:cs="Arial" w:eastAsia="Arial" w:hAnsi="Arial"/>
          <w:sz w:val="17"/>
          <w:szCs w:val="17"/>
          <w:i w:val="1"/>
          <w:iCs w:val="1"/>
          <w:color w:val="auto"/>
        </w:rPr>
        <w:t>MD&amp;A</w:t>
      </w:r>
      <w:r>
        <w:rPr>
          <w:rFonts w:ascii="Arial" w:cs="Arial" w:eastAsia="Arial" w:hAnsi="Arial"/>
          <w:sz w:val="17"/>
          <w:szCs w:val="17"/>
          <w:color w:val="auto"/>
        </w:rPr>
        <w:t>”</w:t>
      </w:r>
      <w:r>
        <w:rPr>
          <w:rFonts w:ascii="Arial" w:cs="Arial" w:eastAsia="Arial" w:hAnsi="Arial"/>
          <w:sz w:val="17"/>
          <w:szCs w:val="17"/>
          <w:i w:val="1"/>
          <w:iCs w:val="1"/>
          <w:color w:val="auto"/>
        </w:rPr>
        <w:t xml:space="preserve">) is intended to help the reader understand our results of operations and financial condition. MD&amp;A is provided as a supplement to, and should be read in conjunction with, our unaudited consolidated financial statements and the accompanying notes to the financial statements and other disclosures included in this report (including the </w:t>
      </w:r>
      <w:r>
        <w:rPr>
          <w:rFonts w:ascii="Arial" w:cs="Arial" w:eastAsia="Arial" w:hAnsi="Arial"/>
          <w:sz w:val="17"/>
          <w:szCs w:val="17"/>
          <w:color w:val="auto"/>
        </w:rPr>
        <w:t>“</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at the beginning of this report and the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in Part II, Item 1A of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ind w:right="160" w:firstLine="480"/>
        <w:spacing w:after="0" w:line="289" w:lineRule="auto"/>
        <w:rPr>
          <w:sz w:val="20"/>
          <w:szCs w:val="20"/>
          <w:color w:val="auto"/>
        </w:rPr>
      </w:pPr>
      <w:r>
        <w:rPr>
          <w:rFonts w:ascii="Arial" w:cs="Arial" w:eastAsia="Arial" w:hAnsi="Arial"/>
          <w:sz w:val="16"/>
          <w:szCs w:val="16"/>
          <w:color w:val="auto"/>
        </w:rPr>
        <w:t>We are a commercial-stage biotechnology company that discovers novel,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 In addition to these discovery and development efforts, our business strategy includes the efficient commercialization of these drugs in the U.S. and certain other regions upon regulatory approval. By focusing on rare disease markets, we believe that we can more effectively control the costs of, and our strategic allocation of financial resources toward, post-approval commercialization.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Product Candidates</w:t>
      </w:r>
    </w:p>
    <w:p>
      <w:pPr>
        <w:spacing w:after="0" w:line="220" w:lineRule="exact"/>
        <w:rPr>
          <w:sz w:val="20"/>
          <w:szCs w:val="20"/>
          <w:color w:val="auto"/>
        </w:rPr>
      </w:pPr>
    </w:p>
    <w:p>
      <w:pPr>
        <w:jc w:val="both"/>
        <w:ind w:firstLine="480"/>
        <w:spacing w:after="0" w:line="258" w:lineRule="auto"/>
        <w:rPr>
          <w:sz w:val="20"/>
          <w:szCs w:val="20"/>
          <w:color w:val="auto"/>
        </w:rPr>
      </w:pPr>
      <w:r>
        <w:rPr>
          <w:rFonts w:ascii="Arial" w:cs="Arial" w:eastAsia="Arial" w:hAnsi="Arial"/>
          <w:sz w:val="18"/>
          <w:szCs w:val="18"/>
          <w:i w:val="1"/>
          <w:iCs w:val="1"/>
          <w:color w:val="auto"/>
        </w:rPr>
        <w:t>ORLADEYO</w:t>
      </w:r>
      <w:r>
        <w:rPr>
          <w:rFonts w:ascii="Arial" w:cs="Arial" w:eastAsia="Arial" w:hAnsi="Arial"/>
          <w:sz w:val="18"/>
          <w:szCs w:val="18"/>
          <w:color w:val="auto"/>
        </w:rPr>
        <w:t>®</w:t>
      </w:r>
      <w:r>
        <w:rPr>
          <w:rFonts w:ascii="Arial" w:cs="Arial" w:eastAsia="Arial" w:hAnsi="Arial"/>
          <w:sz w:val="18"/>
          <w:szCs w:val="18"/>
          <w:i w:val="1"/>
          <w:iCs w:val="1"/>
          <w:color w:val="auto"/>
        </w:rPr>
        <w:t xml:space="preserve"> (berotralstat)</w:t>
      </w:r>
      <w:r>
        <w:rPr>
          <w:rFonts w:ascii="Arial" w:cs="Arial" w:eastAsia="Arial" w:hAnsi="Arial"/>
          <w:sz w:val="18"/>
          <w:szCs w:val="18"/>
          <w:color w:val="auto"/>
        </w:rPr>
        <w:t>. ORLADEYO is an oral, once-daily therapy discovered and developed by us for the prevention of hereditary angioedema</w:t>
      </w:r>
      <w:r>
        <w:rPr>
          <w:rFonts w:ascii="Arial" w:cs="Arial" w:eastAsia="Arial" w:hAnsi="Arial"/>
          <w:sz w:val="18"/>
          <w:szCs w:val="18"/>
          <w:i w:val="1"/>
          <w:iCs w:val="1"/>
          <w:color w:val="auto"/>
        </w:rPr>
        <w:t xml:space="preserve"> </w:t>
      </w:r>
      <w:r>
        <w:rPr>
          <w:rFonts w:ascii="Arial" w:cs="Arial" w:eastAsia="Arial" w:hAnsi="Arial"/>
          <w:sz w:val="18"/>
          <w:szCs w:val="18"/>
          <w:color w:val="auto"/>
        </w:rPr>
        <w:t>(“HAE”) attacks. ORLADEYO is approved in the U.S., the European Union, Japan, the United Kingdom, and the United Arab Emirates for the prevention of HAE attacks in adults and pediatric patients 12 years and older.</w:t>
      </w:r>
    </w:p>
    <w:p>
      <w:pPr>
        <w:spacing w:after="0" w:line="186" w:lineRule="exact"/>
        <w:rPr>
          <w:sz w:val="20"/>
          <w:szCs w:val="20"/>
          <w:color w:val="auto"/>
        </w:rPr>
      </w:pPr>
    </w:p>
    <w:p>
      <w:pPr>
        <w:ind w:firstLine="480"/>
        <w:spacing w:after="0" w:line="289" w:lineRule="auto"/>
        <w:rPr>
          <w:sz w:val="20"/>
          <w:szCs w:val="20"/>
          <w:color w:val="auto"/>
        </w:rPr>
      </w:pPr>
      <w:r>
        <w:rPr>
          <w:rFonts w:ascii="Arial" w:cs="Arial" w:eastAsia="Arial" w:hAnsi="Arial"/>
          <w:sz w:val="16"/>
          <w:szCs w:val="16"/>
          <w:i w:val="1"/>
          <w:iCs w:val="1"/>
          <w:color w:val="auto"/>
        </w:rPr>
        <w:t>BCX9930</w:t>
      </w:r>
      <w:r>
        <w:rPr>
          <w:rFonts w:ascii="Arial" w:cs="Arial" w:eastAsia="Arial" w:hAnsi="Arial"/>
          <w:sz w:val="16"/>
          <w:szCs w:val="16"/>
          <w:color w:val="auto"/>
        </w:rPr>
        <w:t>. BCX9930 is a novel, oral, potent, and selective small molecule inhibitor of Factor D currently in clinical development for the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complement-mediated diseases. Based on the safety and proof-of-concept data generated to date in patients with paroxysmal nocturnal hemoglobinuria (“PNH”), the program has advanced to pivotal studies of oral BCX9930 (500 mg bid) in PNH and to a proof-of-concept trial of oral BCX9930 (500 mg bid) in renal complement-mediated diseases. The proof-of-concept trial will be a basket study to evaluate BCX9930 for the potential to treat patients with C3 glomerulopathy, IgA nephropathy, and primary membranous nephropathy. We are working closely with key opinion leaders in hematology and nephrology to map the development strategy across a broad set of indications. Our goal is to develop BCX9930 as an oral monotherapy for complement-mediated diseases.</w:t>
      </w:r>
    </w:p>
    <w:p>
      <w:pPr>
        <w:spacing w:after="0" w:line="165" w:lineRule="exact"/>
        <w:rPr>
          <w:sz w:val="20"/>
          <w:szCs w:val="20"/>
          <w:color w:val="auto"/>
        </w:rPr>
      </w:pPr>
    </w:p>
    <w:p>
      <w:pPr>
        <w:ind w:right="60" w:firstLine="480"/>
        <w:spacing w:after="0" w:line="255" w:lineRule="auto"/>
        <w:rPr>
          <w:sz w:val="20"/>
          <w:szCs w:val="20"/>
          <w:color w:val="auto"/>
        </w:rPr>
      </w:pPr>
      <w:r>
        <w:rPr>
          <w:rFonts w:ascii="Arial" w:cs="Arial" w:eastAsia="Arial" w:hAnsi="Arial"/>
          <w:sz w:val="18"/>
          <w:szCs w:val="18"/>
          <w:i w:val="1"/>
          <w:iCs w:val="1"/>
          <w:color w:val="auto"/>
        </w:rPr>
        <w:t>Galidesivir</w:t>
      </w:r>
      <w:r>
        <w:rPr>
          <w:rFonts w:ascii="Arial" w:cs="Arial" w:eastAsia="Arial" w:hAnsi="Arial"/>
          <w:sz w:val="18"/>
          <w:szCs w:val="18"/>
          <w:color w:val="auto"/>
        </w:rPr>
        <w:t>. Galidesivir, a broad-spectrum antiviral drug, is an adenosine nucleoside analog that acts to block viral RNA polymerase. It is in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the treatment of Marburg virus disease. Phase 1 clinical safety and pharmacokinetics trials of galidesivir by both intravenous and intramuscular routes of administration in healthy subjects have been conducted. We are developing galidesivir in collaboration with U.S. government agencies and other institutions.</w:t>
      </w:r>
    </w:p>
    <w:p>
      <w:pPr>
        <w:spacing w:after="0" w:line="188" w:lineRule="exact"/>
        <w:rPr>
          <w:sz w:val="20"/>
          <w:szCs w:val="20"/>
          <w:color w:val="auto"/>
        </w:rPr>
      </w:pPr>
    </w:p>
    <w:p>
      <w:pPr>
        <w:jc w:val="both"/>
        <w:ind w:right="240" w:firstLine="480"/>
        <w:spacing w:after="0" w:line="258" w:lineRule="auto"/>
        <w:rPr>
          <w:sz w:val="20"/>
          <w:szCs w:val="20"/>
          <w:color w:val="auto"/>
        </w:rPr>
      </w:pPr>
      <w:r>
        <w:rPr>
          <w:rFonts w:ascii="Arial" w:cs="Arial" w:eastAsia="Arial" w:hAnsi="Arial"/>
          <w:sz w:val="18"/>
          <w:szCs w:val="18"/>
          <w:color w:val="auto"/>
        </w:rPr>
        <w:t>The galidesivir program has been substantially funded with federal funds from the National Institute of Allergy and Infectious Diseases within the U.S. Department of Health and Human Services (“NIAID/HHS”) and by the Biomedical Advanced Research and Development Authority within the HHS (“BARDA/HHS”).</w:t>
      </w:r>
    </w:p>
    <w:p>
      <w:pPr>
        <w:spacing w:after="0" w:line="186"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i w:val="1"/>
          <w:iCs w:val="1"/>
          <w:color w:val="auto"/>
        </w:rPr>
        <w:t>BCX9250</w:t>
      </w:r>
      <w:r>
        <w:rPr>
          <w:rFonts w:ascii="Arial" w:cs="Arial" w:eastAsia="Arial" w:hAnsi="Arial"/>
          <w:sz w:val="18"/>
          <w:szCs w:val="18"/>
          <w:color w:val="auto"/>
        </w:rPr>
        <w:t>. The goal of our activin receptor-like kinase-2 (“ALK2”) inhibitor program is to discover and develop orally administered kinase inhibitor</w:t>
      </w:r>
      <w:r>
        <w:rPr>
          <w:rFonts w:ascii="Arial" w:cs="Arial" w:eastAsia="Arial" w:hAnsi="Arial"/>
          <w:sz w:val="18"/>
          <w:szCs w:val="18"/>
          <w:i w:val="1"/>
          <w:iCs w:val="1"/>
          <w:color w:val="auto"/>
        </w:rPr>
        <w:t xml:space="preserve"> </w:t>
      </w:r>
      <w:r>
        <w:rPr>
          <w:rFonts w:ascii="Arial" w:cs="Arial" w:eastAsia="Arial" w:hAnsi="Arial"/>
          <w:sz w:val="18"/>
          <w:szCs w:val="18"/>
          <w:color w:val="auto"/>
        </w:rPr>
        <w:t>drug candidates that are able to slow or prevent the progressive formation of bone in soft tissues, also known as heterotopic ossification (“HO”), that affects patients with fibrodysplasia ossificans progressiva (“FOP”). In a phase 1 clinical trial in healthy volunteers, BCX9250 was safe and well tolerated at all doses studied, with linear and dose-proportional exposure supporting once-daily dosing.</w:t>
      </w:r>
    </w:p>
    <w:p>
      <w:pPr>
        <w:spacing w:after="0" w:line="188" w:lineRule="exact"/>
        <w:rPr>
          <w:sz w:val="20"/>
          <w:szCs w:val="20"/>
          <w:color w:val="auto"/>
        </w:rPr>
      </w:pPr>
    </w:p>
    <w:p>
      <w:pPr>
        <w:jc w:val="both"/>
        <w:ind w:right="600" w:firstLine="480"/>
        <w:spacing w:after="0" w:line="258" w:lineRule="auto"/>
        <w:rPr>
          <w:sz w:val="20"/>
          <w:szCs w:val="20"/>
          <w:color w:val="auto"/>
        </w:rPr>
      </w:pPr>
      <w:r>
        <w:rPr>
          <w:rFonts w:ascii="Arial" w:cs="Arial" w:eastAsia="Arial" w:hAnsi="Arial"/>
          <w:sz w:val="18"/>
          <w:szCs w:val="18"/>
          <w:i w:val="1"/>
          <w:iCs w:val="1"/>
          <w:color w:val="auto"/>
        </w:rPr>
        <w:t>RAPIVAB</w:t>
      </w:r>
      <w:r>
        <w:rPr>
          <w:rFonts w:ascii="Arial" w:cs="Arial" w:eastAsia="Arial" w:hAnsi="Arial"/>
          <w:sz w:val="18"/>
          <w:szCs w:val="18"/>
          <w:color w:val="auto"/>
        </w:rPr>
        <w:t>®</w:t>
      </w:r>
      <w:r>
        <w:rPr>
          <w:rFonts w:ascii="Arial" w:cs="Arial" w:eastAsia="Arial" w:hAnsi="Arial"/>
          <w:sz w:val="18"/>
          <w:szCs w:val="18"/>
          <w:i w:val="1"/>
          <w:iCs w:val="1"/>
          <w:color w:val="auto"/>
        </w:rPr>
        <w:t xml:space="preserve">/RAPIACTA/PERAMIFLU (peramivir injection). </w:t>
      </w:r>
      <w:r>
        <w:rPr>
          <w:rFonts w:ascii="Arial" w:cs="Arial" w:eastAsia="Arial" w:hAnsi="Arial"/>
          <w:sz w:val="18"/>
          <w:szCs w:val="18"/>
          <w:color w:val="auto"/>
        </w:rPr>
        <w:t>RAPIVAB (peramivir injection) is approved in the U.S. for the treatment of acute</w:t>
      </w:r>
      <w:r>
        <w:rPr>
          <w:rFonts w:ascii="Arial" w:cs="Arial" w:eastAsia="Arial" w:hAnsi="Arial"/>
          <w:sz w:val="18"/>
          <w:szCs w:val="18"/>
          <w:i w:val="1"/>
          <w:iCs w:val="1"/>
          <w:color w:val="auto"/>
        </w:rPr>
        <w:t xml:space="preserve"> </w:t>
      </w:r>
      <w:r>
        <w:rPr>
          <w:rFonts w:ascii="Arial" w:cs="Arial" w:eastAsia="Arial" w:hAnsi="Arial"/>
          <w:sz w:val="18"/>
          <w:szCs w:val="18"/>
          <w:color w:val="auto"/>
        </w:rPr>
        <w:t>uncomplicated influenza for patients six months and older. Peramivir injection is also approved in Canada (RAPIVAB), Australia (RAPIVAB), Japan (RAPIACTA), Taiwan (RAPIACTA), and Korea (PERAMIFLU).</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Expenses</w:t>
      </w:r>
    </w:p>
    <w:p>
      <w:pPr>
        <w:spacing w:after="0" w:line="220" w:lineRule="exact"/>
        <w:rPr>
          <w:sz w:val="20"/>
          <w:szCs w:val="20"/>
          <w:color w:val="auto"/>
        </w:rPr>
      </w:pPr>
    </w:p>
    <w:p>
      <w:pPr>
        <w:ind w:right="20" w:firstLine="480"/>
        <w:spacing w:after="0" w:line="289" w:lineRule="auto"/>
        <w:rPr>
          <w:sz w:val="20"/>
          <w:szCs w:val="20"/>
          <w:color w:val="auto"/>
        </w:rPr>
      </w:pPr>
      <w:r>
        <w:rPr>
          <w:rFonts w:ascii="Arial" w:cs="Arial" w:eastAsia="Arial" w:hAnsi="Arial"/>
          <w:sz w:val="16"/>
          <w:szCs w:val="16"/>
          <w:color w:val="auto"/>
        </w:rPr>
        <w:t>Our revenues are difficult to predict and depend on several factors, including those discussed in the “Risk Factors”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the resources dedicated to our products by us and our collaborative partners, and ongoing discussions with government agencies regarding contract awards for development and procurement,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27" w:name="page28"/>
    <w:bookmarkEnd w:id="27"/>
    <w:p>
      <w:pPr>
        <w:ind w:right="220" w:firstLine="480"/>
        <w:spacing w:after="0" w:line="252" w:lineRule="auto"/>
        <w:rPr>
          <w:sz w:val="20"/>
          <w:szCs w:val="20"/>
          <w:color w:val="auto"/>
        </w:rPr>
      </w:pPr>
      <w:r>
        <w:rPr>
          <w:rFonts w:ascii="Arial" w:cs="Arial" w:eastAsia="Arial" w:hAnsi="Arial"/>
          <w:sz w:val="18"/>
          <w:szCs w:val="18"/>
          <w:color w:val="auto"/>
        </w:rPr>
        <w:t>Our operating expenses are also difficult to predict and depend on several factors, including commercialization expenses, research and development expenses (and whether these expenses are reimbursable under government contracts), drug manufacturing, and clinical research activities, the ongoing requirements of our development programs, the availability of capital and direction from regulatory agencies, which are difficult to predict, and the factors discussed in the “Risk Factors” 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spacing w:after="0" w:line="190" w:lineRule="exact"/>
        <w:rPr>
          <w:sz w:val="20"/>
          <w:szCs w:val="20"/>
          <w:color w:val="auto"/>
        </w:rPr>
      </w:pPr>
    </w:p>
    <w:p>
      <w:pPr>
        <w:ind w:right="60" w:firstLine="516"/>
        <w:spacing w:after="0" w:line="281" w:lineRule="auto"/>
        <w:rPr>
          <w:sz w:val="20"/>
          <w:szCs w:val="20"/>
          <w:color w:val="auto"/>
        </w:rPr>
      </w:pPr>
      <w:r>
        <w:rPr>
          <w:rFonts w:ascii="Arial" w:cs="Arial" w:eastAsia="Arial" w:hAnsi="Arial"/>
          <w:sz w:val="17"/>
          <w:szCs w:val="17"/>
          <w:color w:val="auto"/>
        </w:rPr>
        <w:t>As a result of these factors, we believe that period-to-period comparisons are not necessarily meaningful, and you should not rely on them as an indication of future performance. Due to all of the foregoing factors, it is possible that our operating results will be below the expectations of market analysts and investors. In such event, the prevailing market price of our common stock could be materially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4" w:lineRule="exact"/>
        <w:rPr>
          <w:sz w:val="20"/>
          <w:szCs w:val="20"/>
          <w:color w:val="auto"/>
        </w:rPr>
      </w:pPr>
    </w:p>
    <w:p>
      <w:pPr>
        <w:ind w:right="40" w:firstLine="516"/>
        <w:spacing w:after="0" w:line="283" w:lineRule="auto"/>
        <w:rPr>
          <w:sz w:val="20"/>
          <w:szCs w:val="20"/>
          <w:color w:val="auto"/>
        </w:rPr>
      </w:pPr>
      <w:r>
        <w:rPr>
          <w:rFonts w:ascii="Arial" w:cs="Arial" w:eastAsia="Arial" w:hAnsi="Arial"/>
          <w:sz w:val="16"/>
          <w:szCs w:val="16"/>
          <w:color w:val="auto"/>
        </w:rPr>
        <w:t>The accompanying discussion and analysis of our financial condition and results of operations are based upon our consolidated financial statements and the related disclosures, which have been prepared in accordance with accounting principles generally accepted in the United States (“U.S. GAAP”). The preparation of these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In particular, we routinely evaluate our estimates and policies regarding revenue recognition, administration, inventory and manufacturing, taxes, stock-based compensation, research and development, consulting and other expenses and any associated liabilities.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 See “Critical Accounting Policies” at the end of this “Management’s Discussion and Analysis of Financial Condition and Results of Operations” for a description of accounting policies that we believe are the most critical to aid you in fully understanding and evaluating our reported financial results and that affect the more significant judgments and estimates that we use in the preparation of our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Highlights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0" w:lineRule="exact"/>
        <w:rPr>
          <w:sz w:val="20"/>
          <w:szCs w:val="20"/>
          <w:color w:val="auto"/>
        </w:rPr>
      </w:pPr>
    </w:p>
    <w:p>
      <w:pPr>
        <w:ind w:right="100" w:firstLine="445"/>
        <w:spacing w:after="0" w:line="266" w:lineRule="auto"/>
        <w:rPr>
          <w:sz w:val="20"/>
          <w:szCs w:val="20"/>
          <w:color w:val="auto"/>
        </w:rPr>
      </w:pPr>
      <w:r>
        <w:rPr>
          <w:rFonts w:ascii="Arial" w:cs="Arial" w:eastAsia="Arial" w:hAnsi="Arial"/>
          <w:sz w:val="17"/>
          <w:szCs w:val="17"/>
          <w:color w:val="auto"/>
        </w:rPr>
        <w:t>The ongoing COVID-19 pandemic has severely impacted global economic activity and caused significant volatility in financial markets. While our financial condition, results of operations, and liquidity have not been materially impacted by the direct effects of the COVID-19 pandemic, the COVID-19 pandemic continues to evolve. Please refer to “Risk Factors Risks Related to Our Business Risks Related to COVID-19” in Part II, Item 1A of this report for a discussion of COVID-19 risks as they relate to our business. We are continuing to monitor developments with respect to the COVID-19 pandemic and to make adjustments as needed to assist in protecting the safety of our employees and communities while continuing our business activities. Our remote working arrangements are ongoing where possible, and we continue to limit business-related travel. To date, implementation of these measures has not required material expenditures or significantly impacted our ability to operate our business or our internal control over financial reporting and disclosure controls and procedures. We are continuing to monitor the potential impacts of COVID-19 on our operations and those of our partners, suppliers, customers, and regulators.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ORLADEYO</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(berotralstat)</w:t>
      </w:r>
    </w:p>
    <w:p>
      <w:pPr>
        <w:spacing w:after="0" w:line="220" w:lineRule="exact"/>
        <w:rPr>
          <w:sz w:val="20"/>
          <w:szCs w:val="20"/>
          <w:color w:val="auto"/>
        </w:rPr>
      </w:pPr>
    </w:p>
    <w:p>
      <w:pPr>
        <w:ind w:firstLine="480"/>
        <w:spacing w:after="0" w:line="296" w:lineRule="auto"/>
        <w:rPr>
          <w:sz w:val="20"/>
          <w:szCs w:val="20"/>
          <w:color w:val="auto"/>
        </w:rPr>
      </w:pPr>
      <w:r>
        <w:rPr>
          <w:rFonts w:ascii="Arial" w:cs="Arial" w:eastAsia="Arial" w:hAnsi="Arial"/>
          <w:sz w:val="16"/>
          <w:szCs w:val="16"/>
          <w:color w:val="auto"/>
        </w:rPr>
        <w:t>ORLADEYO is an oral, once-daily therapy discovered and developed by BioCryst for the prevention of HAE attacks. ORLADEYO has been approved by the U.S. Food and Drug Administration (“FDA”), the Ministry of Health, Labor and Welfare (“MHLW”) in Japan in January 2021, the European Commission (“EC”), the Medicines and Healthcare products Regulatory Agency (“MHRA”) in the United Kingdom, and the Ministry of Health and Prevention (“MOHAP”) in the United Arab Emirates (“UAE”) for prophylaxis to prevent attacks of HAE in adults and pediatric patients 12 years and older.</w:t>
      </w:r>
    </w:p>
    <w:p>
      <w:pPr>
        <w:spacing w:after="0" w:line="160" w:lineRule="exact"/>
        <w:rPr>
          <w:sz w:val="20"/>
          <w:szCs w:val="20"/>
          <w:color w:val="auto"/>
        </w:rPr>
      </w:pPr>
    </w:p>
    <w:p>
      <w:pPr>
        <w:ind w:right="100" w:firstLine="480"/>
        <w:spacing w:after="0" w:line="252" w:lineRule="auto"/>
        <w:rPr>
          <w:sz w:val="20"/>
          <w:szCs w:val="20"/>
          <w:color w:val="auto"/>
        </w:rPr>
      </w:pPr>
      <w:r>
        <w:rPr>
          <w:rFonts w:ascii="Arial" w:cs="Arial" w:eastAsia="Arial" w:hAnsi="Arial"/>
          <w:sz w:val="18"/>
          <w:szCs w:val="18"/>
          <w:color w:val="auto"/>
        </w:rPr>
        <w:t>On July 10, 2021, we announced data presented at the European Academy of Allergy and Clinical Immunology (“EAACI”) Hybrid Congress 2021. HAE patients who were randomized to receive 150 mg of ORLADEYO at the start of the APeX-2 trial had an 80 percent average reduction in their mean attack rate per month during weeks 25-96 of the trial, compared to baseline. Median attack rates also decreased from 2.7 attacks per month at baseline to 0.0 attacks per month in 16 of 17 months through the same period. ORLADEYO was generally well-tolerated during the treatment period with fewer drug-related adverse events reported in part 3 (weeks 49-96) as compared to part 1 (weeks 0-24) and part 2 (weeks 25-48). Eighty-one percent of the patients who entered part 3 completed the trial.</w:t>
      </w:r>
    </w:p>
    <w:p>
      <w:pPr>
        <w:spacing w:after="0" w:line="190" w:lineRule="exact"/>
        <w:rPr>
          <w:sz w:val="20"/>
          <w:szCs w:val="20"/>
          <w:color w:val="auto"/>
        </w:rPr>
      </w:pPr>
    </w:p>
    <w:p>
      <w:pPr>
        <w:jc w:val="both"/>
        <w:ind w:right="120" w:firstLine="480"/>
        <w:spacing w:after="0" w:line="258" w:lineRule="auto"/>
        <w:rPr>
          <w:sz w:val="20"/>
          <w:szCs w:val="20"/>
          <w:color w:val="auto"/>
        </w:rPr>
      </w:pPr>
      <w:r>
        <w:rPr>
          <w:rFonts w:ascii="Arial" w:cs="Arial" w:eastAsia="Arial" w:hAnsi="Arial"/>
          <w:sz w:val="18"/>
          <w:szCs w:val="18"/>
          <w:color w:val="auto"/>
        </w:rPr>
        <w:t>On August 25, 2021, we announced that the new drug submission for ORLADEYO was accepted for review by Health Canada for the prevention of recurrent attacks in patients with HAE 12 years and older. We also announced that Swissmedic accepted the Company’s marketing authorization application for ORLADEYO for review.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8" w:name="page29"/>
    <w:bookmarkEnd w:id="28"/>
    <w:p>
      <w:pPr>
        <w:jc w:val="both"/>
        <w:ind w:right="120" w:firstLine="480"/>
        <w:spacing w:after="0" w:line="258" w:lineRule="auto"/>
        <w:rPr>
          <w:sz w:val="20"/>
          <w:szCs w:val="20"/>
          <w:color w:val="auto"/>
        </w:rPr>
      </w:pPr>
      <w:r>
        <w:rPr>
          <w:rFonts w:ascii="Arial" w:cs="Arial" w:eastAsia="Arial" w:hAnsi="Arial"/>
          <w:sz w:val="18"/>
          <w:szCs w:val="18"/>
          <w:color w:val="auto"/>
        </w:rPr>
        <w:t>On September 9, 2021, we announced that the MOHAP in the UAE granted marketing authorization for ORLADEYO for the prevention of recurrent attacks in patients with HAE 12 years and older. To support commercialization efforts in the UAE, we entered into a supply and distribution agreement with NewBridge Pharmaceuticals, which also covers the Gulf Cooperation Council and Iraq.</w:t>
      </w:r>
    </w:p>
    <w:p>
      <w:pPr>
        <w:spacing w:after="0" w:line="186" w:lineRule="exact"/>
        <w:rPr>
          <w:sz w:val="20"/>
          <w:szCs w:val="20"/>
          <w:color w:val="auto"/>
        </w:rPr>
      </w:pPr>
    </w:p>
    <w:p>
      <w:pPr>
        <w:ind w:right="560" w:firstLine="480"/>
        <w:spacing w:after="0" w:line="255" w:lineRule="auto"/>
        <w:rPr>
          <w:sz w:val="20"/>
          <w:szCs w:val="20"/>
          <w:color w:val="auto"/>
        </w:rPr>
      </w:pPr>
      <w:r>
        <w:rPr>
          <w:rFonts w:ascii="Arial" w:cs="Arial" w:eastAsia="Arial" w:hAnsi="Arial"/>
          <w:sz w:val="18"/>
          <w:szCs w:val="18"/>
          <w:color w:val="auto"/>
        </w:rPr>
        <w:t>On September 15, 2021, we announced that the United Kingdom’s National Institute for Health and Care Excellence (“NICE”) recommended ORLADEYO for preventing recurrent attacks of HAE in eligible patients 12 years and older if they have at least two attacks per month. With this recommendation, HAE patients in England, Wales, and Northern Ireland will have access to the first oral, once-daily therapy for routine prevention of recurrent HAE attacks.</w:t>
      </w:r>
    </w:p>
    <w:p>
      <w:pPr>
        <w:spacing w:after="0" w:line="188" w:lineRule="exact"/>
        <w:rPr>
          <w:sz w:val="20"/>
          <w:szCs w:val="20"/>
          <w:color w:val="auto"/>
        </w:rPr>
      </w:pPr>
    </w:p>
    <w:p>
      <w:pPr>
        <w:ind w:right="380" w:firstLine="480"/>
        <w:spacing w:after="0" w:line="270" w:lineRule="auto"/>
        <w:rPr>
          <w:sz w:val="20"/>
          <w:szCs w:val="20"/>
          <w:color w:val="auto"/>
        </w:rPr>
      </w:pPr>
      <w:r>
        <w:rPr>
          <w:rFonts w:ascii="Arial" w:cs="Arial" w:eastAsia="Arial" w:hAnsi="Arial"/>
          <w:sz w:val="18"/>
          <w:szCs w:val="18"/>
          <w:color w:val="auto"/>
        </w:rPr>
        <w:t>On November 3, 2021, we announced that ORLADEYO has received reimbursement approval in Norway and is expected to launch in Norway in early December 2021.</w:t>
      </w:r>
    </w:p>
    <w:p>
      <w:pPr>
        <w:spacing w:after="0" w:line="175" w:lineRule="exact"/>
        <w:rPr>
          <w:sz w:val="20"/>
          <w:szCs w:val="20"/>
          <w:color w:val="auto"/>
        </w:rPr>
      </w:pPr>
    </w:p>
    <w:p>
      <w:pPr>
        <w:ind w:right="140" w:firstLine="480"/>
        <w:spacing w:after="0" w:line="252" w:lineRule="auto"/>
        <w:rPr>
          <w:sz w:val="20"/>
          <w:szCs w:val="20"/>
          <w:color w:val="auto"/>
        </w:rPr>
      </w:pPr>
      <w:r>
        <w:rPr>
          <w:rFonts w:ascii="Arial" w:cs="Arial" w:eastAsia="Arial" w:hAnsi="Arial"/>
          <w:sz w:val="18"/>
          <w:szCs w:val="18"/>
          <w:color w:val="auto"/>
        </w:rPr>
        <w:t>Revenue from sales of ORLADEYO in the third quarter of 2021, which was our third full quarter of ORLADEYO sales, is discussed under “Results of Operations.” Revenue from sales of ORLADEYO in future periods is subject to uncertainties and will depend on several factors, including the success of our and our partners’ commercialization efforts in the U.S. and elsewhere, the number of new patients switching to ORLADEYO, patient retention and demand, the number of physicians prescribing ORLADEYO, the rate of monthly prescriptions, reimbursement from third-party and government payors, the conversion of patients from our clinical trials and early access programs to commercial customers, and market trends. We are continuing to monitor and analyze this data during the initial launch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Complement-Mediated Diseases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Paroxysmal Nocturnal Hemoglobinuria (</w:t>
      </w:r>
      <w:r>
        <w:rPr>
          <w:rFonts w:ascii="Arial" w:cs="Arial" w:eastAsia="Arial" w:hAnsi="Arial"/>
          <w:sz w:val="18"/>
          <w:szCs w:val="18"/>
          <w:color w:val="auto"/>
        </w:rPr>
        <w:t>“</w:t>
      </w:r>
      <w:r>
        <w:rPr>
          <w:rFonts w:ascii="Arial" w:cs="Arial" w:eastAsia="Arial" w:hAnsi="Arial"/>
          <w:sz w:val="18"/>
          <w:szCs w:val="18"/>
          <w:i w:val="1"/>
          <w:iCs w:val="1"/>
          <w:color w:val="auto"/>
        </w:rPr>
        <w:t>PNH</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0"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On July 15, 2021, we announced the designs for REDEEM-1 and REDEEM-2, two pivotal trials with BCX9930 in patients with PNH. REDEEM-1 is a randomized, open-label, active, comparator-controlled comparison of the efficacy and safety of BCX9930 (500 mg twice-daily) monotherapy in approximately 81 PNH patients with an inadequate response to a C5 inhibitor. REDEEM-2 is a randomized, placebo-controlled trial to evaluate the efficacy and safety of BCX9930 (500 mg twice-daily) as monotherapy versus placebo in approximately 57 PNH patients not currently receiving complement inhibitor therapy. The primary endpoint for both trials is the change from baseline in hemoglobin, assessed at weeks 12 to 24 in REDEEM-1 and at week 12 in REDEEM-2. Trial site startup activities are underway at sites around the world, and patient enrollment is expected to begin in the fourth quarter of 2021.</w:t>
      </w:r>
    </w:p>
    <w:p>
      <w:pPr>
        <w:spacing w:after="0" w:line="165"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We have completed a proof-of-concept trial in patients with PNH, including both treatment-naïve and those patients with an inadequate response to C5 inhibitors. Patients on BCX9930 have been allowed to roll over with continued follow-up into a long-term safety trial. We continue to monitor the patients who continue in the long-term safety trial. Those patients who have discontinued from the long-term safety trial have done so for reasons unrelated to BCX9930.</w:t>
      </w:r>
    </w:p>
    <w:p>
      <w:pPr>
        <w:spacing w:after="0" w:line="188" w:lineRule="exact"/>
        <w:rPr>
          <w:sz w:val="20"/>
          <w:szCs w:val="20"/>
          <w:color w:val="auto"/>
        </w:rPr>
      </w:pPr>
    </w:p>
    <w:p>
      <w:pPr>
        <w:ind w:right="180" w:firstLine="445"/>
        <w:spacing w:after="0" w:line="270" w:lineRule="auto"/>
        <w:rPr>
          <w:sz w:val="20"/>
          <w:szCs w:val="20"/>
          <w:color w:val="auto"/>
        </w:rPr>
      </w:pPr>
      <w:r>
        <w:rPr>
          <w:rFonts w:ascii="Arial" w:cs="Arial" w:eastAsia="Arial" w:hAnsi="Arial"/>
          <w:sz w:val="18"/>
          <w:szCs w:val="18"/>
          <w:color w:val="auto"/>
        </w:rPr>
        <w:t>BCX9930 has continued to be safe and generally well-tolerated with increased duration of dosing in the trial. No serious drug-related adverse events were reported.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Renal Complement-Mediated Diseases</w:t>
      </w:r>
    </w:p>
    <w:p>
      <w:pPr>
        <w:spacing w:after="0" w:line="220"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In the fourth quarter of 2021, we are preparing to initiate a proof-of-concept trial of oral BCX9930 (500 mg twice-daily) in renal complement-mediated diseases. The trial will be a basket study to evaluate BCX9930 for the potential to treat patients with C3 glomerulopathy, IgA nephropathy, and primary membranous nephropathy.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Galidesivir</w:t>
      </w:r>
    </w:p>
    <w:p>
      <w:pPr>
        <w:spacing w:after="0" w:line="220" w:lineRule="exact"/>
        <w:rPr>
          <w:sz w:val="20"/>
          <w:szCs w:val="20"/>
          <w:color w:val="auto"/>
        </w:rPr>
      </w:pPr>
    </w:p>
    <w:p>
      <w:pPr>
        <w:ind w:right="80" w:firstLine="409"/>
        <w:spacing w:after="0" w:line="253" w:lineRule="auto"/>
        <w:rPr>
          <w:sz w:val="20"/>
          <w:szCs w:val="20"/>
          <w:color w:val="auto"/>
        </w:rPr>
      </w:pPr>
      <w:r>
        <w:rPr>
          <w:rFonts w:ascii="Arial" w:cs="Arial" w:eastAsia="Arial" w:hAnsi="Arial"/>
          <w:sz w:val="18"/>
          <w:szCs w:val="18"/>
          <w:color w:val="auto"/>
        </w:rPr>
        <w:t>On September 15, 2021, we entered into an amendment to our September 2013 contract with NIAID/HHS to pay for certain additional costs, including additional manufacturing development costs and overhead, and to change the total value of the contract, as amended, to $47.3 million from $45.9 million. This is the commencement of closing out the contract. All options under the contract have been awarded. The contract we entered into with NIAID/HHS in August 2020, with potential aggregate funding of up to $43.9 million if all contract options are exercised, remains ongoing. NIAID/HHS made an initial award of $6.3 million under this contract in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RAPIVAB (peramivir injection)</w:t>
      </w:r>
    </w:p>
    <w:p>
      <w:pPr>
        <w:spacing w:after="0" w:line="220" w:lineRule="exact"/>
        <w:rPr>
          <w:sz w:val="20"/>
          <w:szCs w:val="20"/>
          <w:color w:val="auto"/>
        </w:rPr>
      </w:pPr>
    </w:p>
    <w:p>
      <w:pPr>
        <w:ind w:firstLine="409"/>
        <w:spacing w:after="0" w:line="281" w:lineRule="auto"/>
        <w:rPr>
          <w:sz w:val="20"/>
          <w:szCs w:val="20"/>
          <w:color w:val="auto"/>
        </w:rPr>
      </w:pPr>
      <w:r>
        <w:rPr>
          <w:rFonts w:ascii="Arial" w:cs="Arial" w:eastAsia="Arial" w:hAnsi="Arial"/>
          <w:sz w:val="17"/>
          <w:szCs w:val="17"/>
          <w:color w:val="auto"/>
        </w:rPr>
        <w:t>On September 1, 2021, we announced that the U.S. Department of Health and Human Services has exercised its option to purchase an additional 10,000 doses of RAPIVAB for $6.9 million. The order is part of a $34.7 million contract the Centers for Disease Control and Prevention awarded in 2018 for the procurement of up to 50,000 doses of RAPIVAB over a five-year period for the Strategic National Stockpile.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September 30, 2021 compared to the three months ended September 30, 2020)</w:t>
      </w:r>
    </w:p>
    <w:p>
      <w:pPr>
        <w:spacing w:after="0" w:line="224" w:lineRule="exact"/>
        <w:rPr>
          <w:sz w:val="20"/>
          <w:szCs w:val="20"/>
          <w:color w:val="auto"/>
        </w:rPr>
      </w:pPr>
    </w:p>
    <w:p>
      <w:pPr>
        <w:jc w:val="both"/>
        <w:ind w:right="20" w:firstLine="516"/>
        <w:spacing w:after="0" w:line="255" w:lineRule="auto"/>
        <w:rPr>
          <w:sz w:val="20"/>
          <w:szCs w:val="20"/>
          <w:color w:val="auto"/>
        </w:rPr>
      </w:pPr>
      <w:r>
        <w:rPr>
          <w:rFonts w:ascii="Arial" w:cs="Arial" w:eastAsia="Arial" w:hAnsi="Arial"/>
          <w:sz w:val="18"/>
          <w:szCs w:val="18"/>
          <w:color w:val="auto"/>
        </w:rPr>
        <w:t>For the three months ended September 30, 2021, total revenues were $41.0 million as compared to $6.1 million for the three months ended September 30, 2020. The increase was primarily due to $37.0 million of ORLADEYO net revenue following our commercial launch in December 2020. This increase in revenue was partially offset by a reduction in contract revenue of $1.5 million and the recognition of $0.3 million of deferred revenue in the prior year period compared to none in the current year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9" w:name="page30"/>
    <w:bookmarkEnd w:id="29"/>
    <w:p>
      <w:pPr>
        <w:ind w:right="380" w:firstLine="480"/>
        <w:spacing w:after="0" w:line="270" w:lineRule="auto"/>
        <w:rPr>
          <w:sz w:val="20"/>
          <w:szCs w:val="20"/>
          <w:color w:val="auto"/>
        </w:rPr>
      </w:pPr>
      <w:r>
        <w:rPr>
          <w:rFonts w:ascii="Arial" w:cs="Arial" w:eastAsia="Arial" w:hAnsi="Arial"/>
          <w:sz w:val="18"/>
          <w:szCs w:val="18"/>
          <w:color w:val="auto"/>
        </w:rPr>
        <w:t>Cost of product sales for the three months ended September 30, 2021 and 2020 was $0.6 million and $1.5 million, respectively, and was primarily associated with the peramivir product sales to our partners.</w:t>
      </w:r>
    </w:p>
    <w:p>
      <w:pPr>
        <w:spacing w:after="0" w:line="175" w:lineRule="exact"/>
        <w:rPr>
          <w:sz w:val="20"/>
          <w:szCs w:val="20"/>
          <w:color w:val="auto"/>
        </w:rPr>
      </w:pPr>
    </w:p>
    <w:p>
      <w:pPr>
        <w:jc w:val="both"/>
        <w:ind w:right="180" w:firstLine="516"/>
        <w:spacing w:after="0" w:line="306" w:lineRule="auto"/>
        <w:rPr>
          <w:sz w:val="20"/>
          <w:szCs w:val="20"/>
          <w:color w:val="auto"/>
        </w:rPr>
      </w:pPr>
      <w:r>
        <w:rPr>
          <w:rFonts w:ascii="Arial" w:cs="Arial" w:eastAsia="Arial" w:hAnsi="Arial"/>
          <w:sz w:val="16"/>
          <w:szCs w:val="16"/>
          <w:color w:val="auto"/>
        </w:rPr>
        <w:t>Research and development (“R&amp;D”) expenses increased to $50.0 million for the three months ended September 30, 2021 from $30.2 million for the three months ended September 30, 2020, primarily due to increased investment in the development of BCX9930, as well as other research, preclinical and development costs, which were partially offset by a reduction in spend on the ORLADEYO program following our commercial launch in December 2020.</w:t>
      </w:r>
    </w:p>
    <w:p>
      <w:pPr>
        <w:spacing w:after="0" w:line="150" w:lineRule="exact"/>
        <w:rPr>
          <w:sz w:val="20"/>
          <w:szCs w:val="20"/>
          <w:color w:val="auto"/>
        </w:rPr>
      </w:pPr>
    </w:p>
    <w:p>
      <w:pPr>
        <w:ind w:right="160" w:firstLine="516"/>
        <w:spacing w:after="0" w:line="253" w:lineRule="auto"/>
        <w:rPr>
          <w:sz w:val="20"/>
          <w:szCs w:val="20"/>
          <w:color w:val="auto"/>
        </w:rPr>
      </w:pPr>
      <w:r>
        <w:rPr>
          <w:rFonts w:ascii="Arial" w:cs="Arial" w:eastAsia="Arial" w:hAnsi="Arial"/>
          <w:sz w:val="18"/>
          <w:szCs w:val="18"/>
          <w:color w:val="auto"/>
        </w:rPr>
        <w:t>Selling, general and administrative (“SG&amp;A”) expenses for the three months ended September 30, 2021 were $35.0 million compared to $17.2 million in the three months ended September 30, 2020. The increase was primarily due to increased investment to support the U.S. commercial launch of ORLADEYO and our expanded international operations. Additionally, SG&amp;A expenses for the three months ended September 30, 2021 includes severance costs of $0.7 million and a related one-time non-cash stock compensation charge of $7.0 million in connection with the accelerated vesting of certain outstanding stock options.</w:t>
      </w:r>
    </w:p>
    <w:p>
      <w:pPr>
        <w:spacing w:after="0" w:line="190" w:lineRule="exact"/>
        <w:rPr>
          <w:sz w:val="20"/>
          <w:szCs w:val="20"/>
          <w:color w:val="auto"/>
        </w:rPr>
      </w:pPr>
    </w:p>
    <w:p>
      <w:pPr>
        <w:jc w:val="both"/>
        <w:ind w:right="40" w:firstLine="516"/>
        <w:spacing w:after="0" w:line="324" w:lineRule="auto"/>
        <w:rPr>
          <w:sz w:val="20"/>
          <w:szCs w:val="20"/>
          <w:color w:val="auto"/>
        </w:rPr>
      </w:pPr>
      <w:r>
        <w:rPr>
          <w:rFonts w:ascii="Arial" w:cs="Arial" w:eastAsia="Arial" w:hAnsi="Arial"/>
          <w:sz w:val="14"/>
          <w:szCs w:val="14"/>
          <w:color w:val="auto"/>
        </w:rPr>
        <w:t>Interest expense for the three months ended September 30, 2021 was $14.1 million as compared to $2.9 million for the three months ended September 30, 2020. The increase in interest expense was primarily associated with the sale of certain royalty payments to RPI 2019 Intermediate Finance Trust (“RPI”) in December 2020 (the “Royalty Sale”) and the $125.0 million Term A Loan under the Credit Agreement that we entered into with Athyrium Opportunities</w:t>
      </w:r>
    </w:p>
    <w:p>
      <w:pPr>
        <w:spacing w:after="0" w:line="1" w:lineRule="exact"/>
        <w:rPr>
          <w:sz w:val="20"/>
          <w:szCs w:val="20"/>
          <w:color w:val="auto"/>
        </w:rPr>
      </w:pPr>
    </w:p>
    <w:p>
      <w:pPr>
        <w:ind w:right="20" w:firstLine="7"/>
        <w:spacing w:after="0" w:line="248" w:lineRule="auto"/>
        <w:tabs>
          <w:tab w:leader="none" w:pos="22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Co-Invest 1 LP (“Athyrium”) in December 2020 (the “Credit Agreement”). The nature of the Royalty Sale requires that we recognize a liability (the “Royalty Financing Obligation”) for the future sale of royalties under the agreement. This liability is amortized using the effective interest rate method, resulting in the recognition of non-cash interest expense over the estimated term of the Royalty Purchase Agreement (as defined in “Note 2 Royalty Monetizations ORLADEYO Royalty Monetization” in the Notes to Consolidated Financial Statements in Part I, Item 1 of this report). Interest expense for the three months ended September 30, 2021 included $8.5 million of non-cash interest expense due to the amortization of interest associated with the Royalty Financing Obligation and $3.9 million of interest expense, net of deferred financing amortization, associated with the Term A Loan under the Credit Agreement. Additionally, we recognized $1.7 million in interest expense on the non-recourse PhaRMA Notes issued in March 2011. Interest expense for the three months ended September 30, 2020 consisted of $1.6 million associated with the non-recourse PhaRMA Notes and $1.3 million associated with the borrowings under our secured credit facility with MidCap, which terminated in December 2020 when we repaid the outstanding indebtedness under the facility.</w:t>
      </w:r>
    </w:p>
    <w:p>
      <w:pPr>
        <w:spacing w:after="0" w:line="196" w:lineRule="exact"/>
        <w:rPr>
          <w:sz w:val="20"/>
          <w:szCs w:val="20"/>
          <w:color w:val="auto"/>
        </w:rPr>
      </w:pPr>
    </w:p>
    <w:p>
      <w:pPr>
        <w:ind w:right="120" w:firstLine="516"/>
        <w:spacing w:after="0" w:line="270" w:lineRule="auto"/>
        <w:rPr>
          <w:sz w:val="20"/>
          <w:szCs w:val="20"/>
          <w:color w:val="auto"/>
        </w:rPr>
      </w:pPr>
      <w:r>
        <w:rPr>
          <w:rFonts w:ascii="Arial" w:cs="Arial" w:eastAsia="Arial" w:hAnsi="Arial"/>
          <w:sz w:val="18"/>
          <w:szCs w:val="18"/>
          <w:color w:val="auto"/>
        </w:rPr>
        <w:t>For the three months ended September 30, 2021 and September 30, 2020, other expense of $0.1 million and $0.3 million, respectively, was primarily related to foreign currency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(nine months ended September 30, 2021 compared to the nine months ended September 30, 2020)</w:t>
      </w:r>
    </w:p>
    <w:p>
      <w:pPr>
        <w:spacing w:after="0" w:line="224" w:lineRule="exact"/>
        <w:rPr>
          <w:sz w:val="20"/>
          <w:szCs w:val="20"/>
          <w:color w:val="auto"/>
        </w:rPr>
      </w:pPr>
    </w:p>
    <w:p>
      <w:pPr>
        <w:ind w:firstLine="516"/>
        <w:spacing w:after="0" w:line="268" w:lineRule="auto"/>
        <w:rPr>
          <w:sz w:val="20"/>
          <w:szCs w:val="20"/>
          <w:color w:val="auto"/>
        </w:rPr>
      </w:pPr>
      <w:r>
        <w:rPr>
          <w:rFonts w:ascii="Arial" w:cs="Arial" w:eastAsia="Arial" w:hAnsi="Arial"/>
          <w:sz w:val="17"/>
          <w:szCs w:val="17"/>
          <w:color w:val="auto"/>
        </w:rPr>
        <w:t>For the nine months ended September 30, 2021, total revenues were $110.0 million as compared to $13.8 million for the nine months ended September 30, 2020. The increase was primarily due to $76.4 million of ORLADEYO net revenue following our commercial launch in December 2020. Additionally, RAPIVAB revenues, primarily from sales to HHS, increased by $7.1 million and peramivir product revenue from inventory sales to our partners increased by $4.6 million. The Company also recognized a $15.0 million milestone payment related to the NHI approval of ORLADEYO in Japan. These increases in revenue were partially offset by a reduction in royalty revenue of $2.3 million, a reduction in contract revenue of $2.2 million and the recognition of $1.6 million of deferred revenue in the prior year period compared to none in the current year period. The decrease in royalty revenue was due to peramivir product replacement under Green Cross’s supply agreement with the Korean government.</w:t>
      </w:r>
    </w:p>
    <w:p>
      <w:pPr>
        <w:spacing w:after="0" w:line="180" w:lineRule="exact"/>
        <w:rPr>
          <w:sz w:val="20"/>
          <w:szCs w:val="20"/>
          <w:color w:val="auto"/>
        </w:rPr>
      </w:pPr>
    </w:p>
    <w:p>
      <w:pPr>
        <w:ind w:right="380" w:firstLine="480"/>
        <w:spacing w:after="0" w:line="270" w:lineRule="auto"/>
        <w:rPr>
          <w:sz w:val="20"/>
          <w:szCs w:val="20"/>
          <w:color w:val="auto"/>
        </w:rPr>
      </w:pPr>
      <w:r>
        <w:rPr>
          <w:rFonts w:ascii="Arial" w:cs="Arial" w:eastAsia="Arial" w:hAnsi="Arial"/>
          <w:sz w:val="18"/>
          <w:szCs w:val="18"/>
          <w:color w:val="auto"/>
        </w:rPr>
        <w:t>Cost of product sales for the nine months ended September 30, 2021, and 2020 was $6.8 million and $1.5 million, respectively, and was primarily associated with the peramivir product sales to our partners.</w:t>
      </w:r>
    </w:p>
    <w:p>
      <w:pPr>
        <w:spacing w:after="0" w:line="175" w:lineRule="exact"/>
        <w:rPr>
          <w:sz w:val="20"/>
          <w:szCs w:val="20"/>
          <w:color w:val="auto"/>
        </w:rPr>
      </w:pPr>
    </w:p>
    <w:p>
      <w:pPr>
        <w:jc w:val="both"/>
        <w:ind w:right="180" w:firstLine="516"/>
        <w:spacing w:after="0" w:line="306" w:lineRule="auto"/>
        <w:rPr>
          <w:sz w:val="20"/>
          <w:szCs w:val="20"/>
          <w:color w:val="auto"/>
        </w:rPr>
      </w:pPr>
      <w:r>
        <w:rPr>
          <w:rFonts w:ascii="Arial" w:cs="Arial" w:eastAsia="Arial" w:hAnsi="Arial"/>
          <w:sz w:val="16"/>
          <w:szCs w:val="16"/>
          <w:color w:val="auto"/>
        </w:rPr>
        <w:t>R&amp;D expenses increased to $145.3 million for the nine months ended September 30, 2021 from $87.6 million for the nine months ended September 30, 2020, primarily due to increased investment in the development of BCX9930, as well as other research, preclinical and development costs, which were partially offset by a reduction in spend on the ORLADEYO program following our commercial launch in December 2020.</w:t>
      </w:r>
    </w:p>
    <w:p>
      <w:pPr>
        <w:spacing w:after="0" w:line="150" w:lineRule="exact"/>
        <w:rPr>
          <w:sz w:val="20"/>
          <w:szCs w:val="20"/>
          <w:color w:val="auto"/>
        </w:rPr>
      </w:pPr>
    </w:p>
    <w:p>
      <w:pPr>
        <w:ind w:right="380" w:firstLine="516"/>
        <w:spacing w:after="0" w:line="300" w:lineRule="auto"/>
        <w:rPr>
          <w:sz w:val="20"/>
          <w:szCs w:val="20"/>
          <w:color w:val="auto"/>
        </w:rPr>
      </w:pPr>
      <w:r>
        <w:rPr>
          <w:rFonts w:ascii="Arial" w:cs="Arial" w:eastAsia="Arial" w:hAnsi="Arial"/>
          <w:sz w:val="17"/>
          <w:szCs w:val="17"/>
          <w:color w:val="auto"/>
        </w:rPr>
        <w:t>The following table summarizes our R&amp;D expenses for the periods indicated (amounts are in thousands). Certain prior period amounts have been reclassified for consistency with the current year presentation. These reclassifications had no effect on the total R&amp;D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751"/>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69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1"/>
        </w:trPr>
        <w:tc>
          <w:tcPr>
            <w:tcW w:w="4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by program:</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160"/>
              <w:spacing w:after="0"/>
              <w:rPr>
                <w:sz w:val="20"/>
                <w:szCs w:val="20"/>
                <w:color w:val="auto"/>
              </w:rPr>
            </w:pPr>
            <w:r>
              <w:rPr>
                <w:rFonts w:ascii="Arial" w:cs="Arial" w:eastAsia="Arial" w:hAnsi="Arial"/>
                <w:sz w:val="18"/>
                <w:szCs w:val="18"/>
                <w:color w:val="auto"/>
              </w:rPr>
              <w:t>BCX9930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26,885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10,332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77,233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21,226</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Berotralstat</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36,337</w:t>
            </w:r>
          </w:p>
        </w:tc>
        <w:tc>
          <w:tcPr>
            <w:tcW w:w="0" w:type="dxa"/>
            <w:vAlign w:val="bottom"/>
          </w:tcPr>
          <w:p>
            <w:pPr>
              <w:spacing w:after="0"/>
              <w:rPr>
                <w:sz w:val="1"/>
                <w:szCs w:val="1"/>
                <w:color w:val="auto"/>
              </w:rPr>
            </w:pPr>
          </w:p>
        </w:tc>
      </w:tr>
      <w:tr>
        <w:trPr>
          <w:trHeight w:val="213"/>
        </w:trPr>
        <w:tc>
          <w:tcPr>
            <w:tcW w:w="4620" w:type="dxa"/>
            <w:vAlign w:val="bottom"/>
          </w:tcPr>
          <w:p>
            <w:pPr>
              <w:ind w:left="160"/>
              <w:spacing w:after="0"/>
              <w:rPr>
                <w:sz w:val="20"/>
                <w:szCs w:val="20"/>
                <w:color w:val="auto"/>
              </w:rPr>
            </w:pPr>
            <w:r>
              <w:rPr>
                <w:rFonts w:ascii="Arial" w:cs="Arial" w:eastAsia="Arial" w:hAnsi="Arial"/>
                <w:sz w:val="18"/>
                <w:szCs w:val="18"/>
                <w:color w:val="auto"/>
              </w:rPr>
              <w:t>Galidesivir</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BCX9250</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3"/>
        </w:trPr>
        <w:tc>
          <w:tcPr>
            <w:tcW w:w="4620" w:type="dxa"/>
            <w:vAlign w:val="bottom"/>
          </w:tcPr>
          <w:p>
            <w:pPr>
              <w:ind w:left="160"/>
              <w:spacing w:after="0"/>
              <w:rPr>
                <w:sz w:val="20"/>
                <w:szCs w:val="20"/>
                <w:color w:val="auto"/>
              </w:rPr>
            </w:pPr>
            <w:r>
              <w:rPr>
                <w:rFonts w:ascii="Arial" w:cs="Arial" w:eastAsia="Arial" w:hAnsi="Arial"/>
                <w:sz w:val="18"/>
                <w:szCs w:val="18"/>
                <w:color w:val="auto"/>
              </w:rPr>
              <w:t>Peramivir</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research, preclinical and development costs</w:t>
            </w:r>
          </w:p>
        </w:tc>
        <w:tc>
          <w:tcPr>
            <w:tcW w:w="1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15,127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6,493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19,030</w:t>
            </w:r>
          </w:p>
        </w:tc>
        <w:tc>
          <w:tcPr>
            <w:tcW w:w="0" w:type="dxa"/>
            <w:vAlign w:val="bottom"/>
          </w:tcPr>
          <w:p>
            <w:pPr>
              <w:spacing w:after="0"/>
              <w:rPr>
                <w:sz w:val="1"/>
                <w:szCs w:val="1"/>
                <w:color w:val="auto"/>
              </w:rPr>
            </w:pPr>
          </w:p>
        </w:tc>
      </w:tr>
      <w:tr>
        <w:trPr>
          <w:trHeight w:val="207"/>
        </w:trPr>
        <w:tc>
          <w:tcPr>
            <w:tcW w:w="4620" w:type="dxa"/>
            <w:vAlign w:val="bottom"/>
          </w:tcPr>
          <w:p>
            <w:pPr>
              <w:spacing w:after="0"/>
              <w:rPr>
                <w:sz w:val="20"/>
                <w:szCs w:val="20"/>
                <w:color w:val="auto"/>
              </w:rPr>
            </w:pPr>
            <w:r>
              <w:rPr>
                <w:rFonts w:ascii="Arial" w:cs="Arial" w:eastAsia="Arial" w:hAnsi="Arial"/>
                <w:sz w:val="18"/>
                <w:szCs w:val="18"/>
                <w:color w:val="auto"/>
              </w:rPr>
              <w:t>Total R&amp;D expenses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49,971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30,245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145,279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87,610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360" w:type="dxa"/>
            <w:vAlign w:val="bottom"/>
            <w:vMerge w:val="restart"/>
          </w:tcPr>
          <w:p>
            <w:pPr>
              <w:jc w:val="right"/>
              <w:ind w:right="171"/>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6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440" w:gutter="0" w:footer="0" w:header="0"/>
        </w:sectPr>
      </w:pPr>
    </w:p>
    <w:bookmarkStart w:id="30" w:name="page31"/>
    <w:bookmarkEnd w:id="30"/>
    <w:p>
      <w:pPr>
        <w:ind w:right="160" w:firstLine="516"/>
        <w:spacing w:after="0" w:line="296" w:lineRule="auto"/>
        <w:rPr>
          <w:sz w:val="20"/>
          <w:szCs w:val="20"/>
          <w:color w:val="auto"/>
        </w:rPr>
      </w:pPr>
      <w:r>
        <w:rPr>
          <w:rFonts w:ascii="Arial" w:cs="Arial" w:eastAsia="Arial" w:hAnsi="Arial"/>
          <w:sz w:val="16"/>
          <w:szCs w:val="16"/>
          <w:color w:val="auto"/>
        </w:rPr>
        <w:t>SG&amp;A expenses for the nine months ended September 30, 2021 were $83.4 million compared to $46.9 million in the nine months ended September 30, 2020. The increase was primarily due to increased investment to support the U.S. commercial launch of ORLADEYO and our expanded international operations. Additionally, SG&amp;A expenses for the nine months ended September 30, 2021 includes severance costs of $0.7 million and a related one-time non-cash stock compensation charge of $7.0 million in connection with the accelerated vesting of certain outstanding stock options.</w:t>
      </w:r>
    </w:p>
    <w:p>
      <w:pPr>
        <w:spacing w:after="0" w:line="160" w:lineRule="exact"/>
        <w:rPr>
          <w:sz w:val="20"/>
          <w:szCs w:val="20"/>
          <w:color w:val="auto"/>
        </w:rPr>
      </w:pPr>
    </w:p>
    <w:p>
      <w:pPr>
        <w:ind w:right="80" w:firstLine="516"/>
        <w:spacing w:after="0" w:line="267" w:lineRule="auto"/>
        <w:rPr>
          <w:sz w:val="20"/>
          <w:szCs w:val="20"/>
          <w:color w:val="auto"/>
        </w:rPr>
      </w:pPr>
      <w:r>
        <w:rPr>
          <w:rFonts w:ascii="Arial" w:cs="Arial" w:eastAsia="Arial" w:hAnsi="Arial"/>
          <w:sz w:val="17"/>
          <w:szCs w:val="17"/>
          <w:color w:val="auto"/>
        </w:rPr>
        <w:t>Interest expense for the nine months ended September 30, 2021 was $40.5 million as compared to $8.9 million for the nine months ended September 30, 2020. The increase in interest expense was primarily associated with the Royalty Sale and the $125.0 million Term A Loan under the Credit Agreement. Interest expense for the nine months ended September 30, 2021 included $24.1 million of non-cash interest expense due to the amortization of interest associated with the Royalty Financing Obligation and $11.4 million of interest expense, net of deferred financing amortization, associated with the Term A Loan under the Credit Agreement. Additionally, we recognized $4.9 million in interest expense on the non-recourse PhaRMA Notes issued in March 2011. Interest expense for the nine months ended September 30, 2020 consisted of $4.8 million associated with the non-recourse PhaRMA Notes and $4.1 million associated with the borrowings under our secured credit facility with MidCap, which terminated in in December 2020 when we repaid the outstanding indebtedness under the facility.</w:t>
      </w:r>
    </w:p>
    <w:p>
      <w:pPr>
        <w:spacing w:after="0" w:line="182" w:lineRule="exact"/>
        <w:rPr>
          <w:sz w:val="20"/>
          <w:szCs w:val="20"/>
          <w:color w:val="auto"/>
        </w:rPr>
      </w:pPr>
    </w:p>
    <w:p>
      <w:pPr>
        <w:ind w:right="20" w:firstLine="516"/>
        <w:spacing w:after="0" w:line="258" w:lineRule="auto"/>
        <w:rPr>
          <w:sz w:val="20"/>
          <w:szCs w:val="20"/>
          <w:color w:val="auto"/>
        </w:rPr>
      </w:pPr>
      <w:r>
        <w:rPr>
          <w:rFonts w:ascii="Arial" w:cs="Arial" w:eastAsia="Arial" w:hAnsi="Arial"/>
          <w:sz w:val="18"/>
          <w:szCs w:val="18"/>
          <w:color w:val="auto"/>
        </w:rPr>
        <w:t>For the nine months ended September 30, 2021, other expense of $0.2 million was primarily related to foreign currency losses as compared to interest and other income of $8.9 million for the nine months ended September 30, 2020, which primarily consisted of $8.9 million related to recognition of income from the partial arbitration award related to our Seqirus arbitration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ind w:right="80" w:firstLine="480"/>
        <w:spacing w:after="0" w:line="266" w:lineRule="auto"/>
        <w:rPr>
          <w:sz w:val="20"/>
          <w:szCs w:val="20"/>
          <w:color w:val="auto"/>
        </w:rPr>
      </w:pPr>
      <w:r>
        <w:rPr>
          <w:rFonts w:ascii="Arial" w:cs="Arial" w:eastAsia="Arial" w:hAnsi="Arial"/>
          <w:sz w:val="17"/>
          <w:szCs w:val="17"/>
          <w:color w:val="auto"/>
        </w:rPr>
        <w:t>Our operations have principally been funded through public offerings and private placements of equity securities; cash from collaborative and other research and development agreements, including U.S. Government contracts for RAPIVAB and galidesivir; to a lesser extent, the PhaRMA Notes financing and our credit facilities; and more recently, the Royalty Sale. To date, we have been awarded a BARDA/HHS RAPIVAB development contract totaling $234.8 million, which expired on June 30, 2014; a NIAID/HHS galidesivir development contract totaling $47.3 million, which is ongoing; a second NIAID/HHS galidesivir development contract with a potential value totaling $43.9 million, which is ongoing; and a BARDA/HHS galidesivir development contract with a potential value totaling $39.1 million, which is also ongoing. The total amount of funding obligated under awarded options under the active NIAID/HHS and BARDA/HHS galidesivir contracts is $53.6 million and $20.6 million, respectively. In addition to the above, we have previously received funding from other sources, including other collaborative and other research and development agreements, government grants, equipment lease financing, facility leases, research grants, and interest income on our investments.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Credit Agreement with Athyrium provides for three term loans. We received the proceeds from the $125.0 million Term A Loan in December</w:t>
      </w:r>
    </w:p>
    <w:p>
      <w:pPr>
        <w:spacing w:after="0" w:line="4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2020. The two additional term loans are available, at our option, in the respective principal amounts of $25.0 million for the Term B Loan and $50.0 million for the Term C Loan. The Term B Loan and the Term C Loan may be drawn upon if, among other conditions, we reach defined revenue milestones and, with respect to a draw on the Term C Loan, the Term B Loan has been funded prior to or contemporaneously with the Term C Loan. The maturity date of the Credit Agreement is December 7, 2025. See “Note 3 Credit Agreement” in the Notes to Consolidated Financial Statements in Part I, Item 1 of this report for additional information about the Credit Agreement.</w:t>
      </w:r>
    </w:p>
    <w:p>
      <w:pPr>
        <w:spacing w:after="0" w:line="194" w:lineRule="exact"/>
        <w:rPr>
          <w:sz w:val="20"/>
          <w:szCs w:val="20"/>
          <w:color w:val="auto"/>
        </w:rPr>
      </w:pPr>
    </w:p>
    <w:p>
      <w:pPr>
        <w:ind w:right="200" w:firstLine="320"/>
        <w:spacing w:after="0" w:line="255" w:lineRule="auto"/>
        <w:rPr>
          <w:sz w:val="20"/>
          <w:szCs w:val="20"/>
          <w:color w:val="auto"/>
        </w:rPr>
      </w:pPr>
      <w:r>
        <w:rPr>
          <w:rFonts w:ascii="Arial" w:cs="Arial" w:eastAsia="Arial" w:hAnsi="Arial"/>
          <w:sz w:val="18"/>
          <w:szCs w:val="18"/>
          <w:color w:val="auto"/>
        </w:rPr>
        <w:t>As of September 30, 2021, we had net working capital of $119.1 million, a decrease of approximately $99.0 million from $218.1 million at December 31, 2020. The decrease in working capital was primarily due to normal operating expenses associated with the development of our product candidates and expenses incurred as a result of the launch and commercialization of ORLADEYO. Our principal sources of liquidity at September 30, 2021 were approximately $199.6 million in cash and cash equivalents.</w:t>
      </w:r>
    </w:p>
    <w:p>
      <w:pPr>
        <w:spacing w:after="0" w:line="188"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We intend to contain costs and cash flow requirements by closely managing our third-party costs and headcount, leasing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31" w:name="page32"/>
    <w:bookmarkEnd w:id="31"/>
    <w:p>
      <w:pPr>
        <w:ind w:left="480"/>
        <w:spacing w:after="0"/>
        <w:rPr>
          <w:sz w:val="20"/>
          <w:szCs w:val="20"/>
          <w:color w:val="auto"/>
        </w:rPr>
      </w:pPr>
      <w:r>
        <w:rPr>
          <w:rFonts w:ascii="Arial" w:cs="Arial" w:eastAsia="Arial" w:hAnsi="Arial"/>
          <w:sz w:val="18"/>
          <w:szCs w:val="18"/>
          <w:color w:val="auto"/>
        </w:rPr>
        <w:t>We plan to finance our needs principally from the following:</w:t>
      </w:r>
    </w:p>
    <w:p>
      <w:pPr>
        <w:spacing w:after="0" w:line="220" w:lineRule="exact"/>
        <w:rPr>
          <w:sz w:val="20"/>
          <w:szCs w:val="20"/>
          <w:color w:val="auto"/>
        </w:rPr>
      </w:pPr>
    </w:p>
    <w:p>
      <w:pPr>
        <w:ind w:left="800" w:hanging="313"/>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lease, royalty, or loan financing and future public or private equity and/or debt financing;</w:t>
      </w:r>
    </w:p>
    <w:p>
      <w:pPr>
        <w:spacing w:after="0" w:line="19" w:lineRule="exact"/>
        <w:rPr>
          <w:rFonts w:ascii="Arial" w:cs="Arial" w:eastAsia="Arial" w:hAnsi="Arial"/>
          <w:sz w:val="18"/>
          <w:szCs w:val="18"/>
          <w:color w:val="auto"/>
        </w:rPr>
      </w:pPr>
    </w:p>
    <w:p>
      <w:pPr>
        <w:ind w:left="800" w:hanging="313"/>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capital resources and interest earned on that capital;</w:t>
      </w:r>
    </w:p>
    <w:p>
      <w:pPr>
        <w:spacing w:after="0" w:line="6" w:lineRule="exact"/>
        <w:rPr>
          <w:rFonts w:ascii="Arial" w:cs="Arial" w:eastAsia="Arial" w:hAnsi="Arial"/>
          <w:sz w:val="18"/>
          <w:szCs w:val="18"/>
          <w:color w:val="auto"/>
        </w:rPr>
      </w:pPr>
    </w:p>
    <w:p>
      <w:pPr>
        <w:ind w:left="800" w:hanging="313"/>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from product sales;</w:t>
      </w:r>
    </w:p>
    <w:p>
      <w:pPr>
        <w:spacing w:after="0" w:line="6" w:lineRule="exact"/>
        <w:rPr>
          <w:rFonts w:ascii="Arial" w:cs="Arial" w:eastAsia="Arial" w:hAnsi="Arial"/>
          <w:sz w:val="18"/>
          <w:szCs w:val="18"/>
          <w:color w:val="auto"/>
        </w:rPr>
      </w:pPr>
    </w:p>
    <w:p>
      <w:pPr>
        <w:ind w:left="800" w:hanging="313"/>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payments under existing, and executing new, contracts with the U.S. Government; and</w:t>
      </w:r>
    </w:p>
    <w:p>
      <w:pPr>
        <w:spacing w:after="0" w:line="6" w:lineRule="exact"/>
        <w:rPr>
          <w:rFonts w:ascii="Arial" w:cs="Arial" w:eastAsia="Arial" w:hAnsi="Arial"/>
          <w:sz w:val="18"/>
          <w:szCs w:val="18"/>
          <w:color w:val="auto"/>
        </w:rPr>
      </w:pPr>
    </w:p>
    <w:p>
      <w:pPr>
        <w:ind w:left="800" w:hanging="313"/>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payments under current or future collaborative and licensing agreements with corporate partners.</w:t>
      </w:r>
    </w:p>
    <w:p>
      <w:pPr>
        <w:spacing w:after="0" w:line="207"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color w:val="auto"/>
        </w:rPr>
        <w:t>As our commercialization activities and research and development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will increase our expenses. Our expenses, revenues and cash utilization rate could vary significantly depending on many factors, including our ability to raise additional capital, the development progress of our collaborative agreements for our product candidates, the amount and timing of funding we receive from existing U.S. Government contracts for galidesivir, the amount of funding or assistance, if any, we receive from new U.S. Government contracts or other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 The impact of the ongoing COVID-19 pandemic on one or more of the foregoing factors could negatively affect our expenses, revenues, and cash utilization rate.</w:t>
      </w:r>
    </w:p>
    <w:p>
      <w:pPr>
        <w:spacing w:after="0" w:line="171" w:lineRule="exact"/>
        <w:rPr>
          <w:sz w:val="20"/>
          <w:szCs w:val="20"/>
          <w:color w:val="auto"/>
        </w:rPr>
      </w:pPr>
    </w:p>
    <w:p>
      <w:pPr>
        <w:ind w:right="20" w:firstLine="480"/>
        <w:spacing w:after="0" w:line="283" w:lineRule="auto"/>
        <w:rPr>
          <w:sz w:val="20"/>
          <w:szCs w:val="20"/>
          <w:color w:val="auto"/>
        </w:rPr>
      </w:pPr>
      <w:r>
        <w:rPr>
          <w:rFonts w:ascii="Arial" w:cs="Arial" w:eastAsia="Arial" w:hAnsi="Arial"/>
          <w:sz w:val="16"/>
          <w:szCs w:val="16"/>
          <w:color w:val="auto"/>
        </w:rPr>
        <w:t>Based on our expectations for revenue, operating expenses, and our option to access an additional $75 million under the Credit Agreement, we believe our financial resources will be sufficient to fund our operations into 2023. However, we have sustained operating losses for the majority of our corporate history and expect that our 2021 expenses will exceed our 2021 revenues. We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regularly evaluate other opportunities to fund future operations, including: (1) securing or increasing U.S. Government funding of our programs, including obtaining procurement contracts; (2) out-licensing rights to certain of our products or product candidates, pursuant to which we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our overhead structure. We may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commercial expenses; and key development and regulatory events and our decisions in the future.</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long-term capital requirements and the adequacy of our available funds will depend upon many factors, including:</w:t>
      </w:r>
    </w:p>
    <w:p>
      <w:pPr>
        <w:spacing w:after="0" w:line="220" w:lineRule="exact"/>
        <w:rPr>
          <w:sz w:val="20"/>
          <w:szCs w:val="20"/>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approved products and successful commercialization of such products by either us or our partners;</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perform under our government contracts and to receive reimbursement and stockpiling procurement contracts;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magnitude of work under our government contracts;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and magnitude of our research, drug discovery and development programs;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existing collaborative relationships or government contracts;</w:t>
      </w:r>
    </w:p>
    <w:p>
      <w:pPr>
        <w:spacing w:after="0" w:line="6" w:lineRule="exact"/>
        <w:rPr>
          <w:rFonts w:ascii="Arial" w:cs="Arial" w:eastAsia="Arial" w:hAnsi="Arial"/>
          <w:sz w:val="18"/>
          <w:szCs w:val="18"/>
          <w:color w:val="auto"/>
        </w:rPr>
      </w:pPr>
    </w:p>
    <w:p>
      <w:pPr>
        <w:ind w:left="960" w:right="560" w:hanging="313"/>
        <w:spacing w:after="0" w:line="24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 with academic institutions, biotechnology or pharmaceutical companies and governmental agencies or other third parties;</w:t>
      </w:r>
    </w:p>
    <w:p>
      <w:pPr>
        <w:ind w:left="960" w:right="200" w:hanging="313"/>
        <w:spacing w:after="0" w:line="24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our partners, including governmental agencies, will share in the costs associated with the development of our programs or run the development programs themselves;</w:t>
      </w: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negotiate favorable development and marketing strategic alliances for certain products and product candidates;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decision to build or expand internal development and commercial capabilities;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and results of preclinical studies and clinical trials to identify and develop product candidates;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engage sites and enroll subjects in our clinical trials;</w:t>
      </w:r>
    </w:p>
    <w:p>
      <w:pPr>
        <w:spacing w:after="0" w:line="6" w:lineRule="exact"/>
        <w:rPr>
          <w:rFonts w:ascii="Arial" w:cs="Arial" w:eastAsia="Arial" w:hAnsi="Arial"/>
          <w:sz w:val="18"/>
          <w:szCs w:val="18"/>
          <w:color w:val="auto"/>
        </w:rPr>
      </w:pPr>
    </w:p>
    <w:p>
      <w:pPr>
        <w:ind w:left="960" w:right="500" w:hanging="313"/>
        <w:spacing w:after="0" w:line="24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of manufacturing of our products to support our commercial operations and of our product candidates to support our preclinical research and clinical trials;</w:t>
      </w:r>
    </w:p>
    <w:p>
      <w:pPr>
        <w:ind w:left="960" w:hanging="313"/>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increases in personnel and related costs to support the development and commercialization of our products and product candidates;</w:t>
      </w:r>
    </w:p>
    <w:p>
      <w:pPr>
        <w:spacing w:after="0" w:line="18" w:lineRule="exact"/>
        <w:rPr>
          <w:rFonts w:ascii="Arial" w:cs="Arial" w:eastAsia="Arial" w:hAnsi="Arial"/>
          <w:sz w:val="17"/>
          <w:szCs w:val="17"/>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of manufacturing of our drug substance and product candidates required for future NDA filings;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and technological advances;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post-approval commitments for ORLADEYO, RAPIVAB, and other products that receive regulatory approval; and</w:t>
      </w:r>
    </w:p>
    <w:p>
      <w:pPr>
        <w:spacing w:after="0" w:line="6" w:lineRule="exact"/>
        <w:rPr>
          <w:rFonts w:ascii="Arial" w:cs="Arial" w:eastAsia="Arial" w:hAnsi="Arial"/>
          <w:sz w:val="18"/>
          <w:szCs w:val="18"/>
          <w:color w:val="auto"/>
        </w:rPr>
      </w:pPr>
    </w:p>
    <w:p>
      <w:pPr>
        <w:ind w:left="960" w:right="240" w:hanging="313"/>
        <w:spacing w:after="0" w:line="255"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2" w:name="page33"/>
    <w:bookmarkEnd w:id="32"/>
    <w:p>
      <w:pPr>
        <w:ind w:right="20" w:firstLine="480"/>
        <w:spacing w:after="0" w:line="282" w:lineRule="auto"/>
        <w:rPr>
          <w:sz w:val="20"/>
          <w:szCs w:val="20"/>
          <w:color w:val="auto"/>
        </w:rPr>
      </w:pPr>
      <w:r>
        <w:rPr>
          <w:rFonts w:ascii="Arial" w:cs="Arial" w:eastAsia="Arial" w:hAnsi="Arial"/>
          <w:sz w:val="16"/>
          <w:szCs w:val="16"/>
          <w:color w:val="auto"/>
        </w:rPr>
        <w:t>We expect that we will be required to raise additional capital to complete the development and commercialization of our current products and product candidates, and we may seek to raise capital in the future, including to take advantage of attractive opportunities in the capital markets. Additional funding, whether through additional sales of equity or debt securities, collaborative or other arrangements with corporate partners or from other sources, including governmental agencies in general and existing government contracts specifically, may not be available when needed or on terms acceptable to us. The issuance of preferred or common stock or convertible securities, with terms and prices significantly more favorable than those of the currently outstanding common stock, could have the effect of diluting or adversely affecting the holdings or rights of our existing stockholders. In addition, collaborative arrangements may require us to transfer certain material rights to such corporate partners. Insufficient funds may require us to delay, scale back or eliminate certain of our research and development programs. Our future working capital requirements, including the need for additional working capital, will be largely determined by the advancement of our portfolio of product candidates and the commercialization of ORLADEYO, as well as the rate of reimbursement by U.S. Government agencies of our galidesivir expenses and any future decisions regarding the future of the RAPIVAB and galidesivir programs, including those relating to stockpiling procurement.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w:t>
      </w:r>
    </w:p>
    <w:p>
      <w:pPr>
        <w:spacing w:after="0" w:line="170" w:lineRule="exact"/>
        <w:rPr>
          <w:sz w:val="20"/>
          <w:szCs w:val="20"/>
          <w:color w:val="auto"/>
        </w:rPr>
      </w:pPr>
    </w:p>
    <w:p>
      <w:pPr>
        <w:ind w:right="20" w:firstLine="587"/>
        <w:spacing w:after="0" w:line="287" w:lineRule="auto"/>
        <w:rPr>
          <w:sz w:val="20"/>
          <w:szCs w:val="20"/>
          <w:color w:val="auto"/>
        </w:rPr>
      </w:pPr>
      <w:r>
        <w:rPr>
          <w:rFonts w:ascii="Arial" w:cs="Arial" w:eastAsia="Arial" w:hAnsi="Arial"/>
          <w:sz w:val="16"/>
          <w:szCs w:val="16"/>
          <w:color w:val="auto"/>
        </w:rPr>
        <w:t>The restrictive covenants contained in our Credit Agreement could cause us to be unable to pursue business opportunities that we or our stockholders may consider beneficial without the lender’s permission or without repaying all obligations outstanding under the Credit Agreement. These covenants limit our ability to, among other things, grant certain types of liens on our assets; make certain investments; incur or assume certain debt, including accessing additional tranches of debt under the Credit Agreement;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 A breach of any of these covenants could result in an event of default under the Credit Agreement. As of September 30, 2021, we were in compliance with the covenants under the Credit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2021</w:t>
      </w:r>
    </w:p>
    <w:p>
      <w:pPr>
        <w:spacing w:after="0" w:line="224" w:lineRule="exact"/>
        <w:rPr>
          <w:sz w:val="20"/>
          <w:szCs w:val="20"/>
          <w:color w:val="auto"/>
        </w:rPr>
      </w:pPr>
    </w:p>
    <w:p>
      <w:pPr>
        <w:ind w:right="60" w:firstLine="551"/>
        <w:spacing w:after="0" w:line="281" w:lineRule="auto"/>
        <w:rPr>
          <w:sz w:val="20"/>
          <w:szCs w:val="20"/>
          <w:color w:val="auto"/>
        </w:rPr>
      </w:pPr>
      <w:r>
        <w:rPr>
          <w:rFonts w:ascii="Arial" w:cs="Arial" w:eastAsia="Arial" w:hAnsi="Arial"/>
          <w:sz w:val="17"/>
          <w:szCs w:val="17"/>
          <w:color w:val="auto"/>
        </w:rPr>
        <w:t>Based on the strength of the ORLADEYO launch, and continued growth from new patient demand expected in the fourth quarter, we expect full year 2021 net ORLADEYO revenue to be between $115 million and $120 million. Based on our expectations for revenue, operating expenses, and our option to access an additional $75 million from our existing credit facility, we believe our current cash runway takes us into 2023.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we do not have any unconsolidated entities or off–balance sheet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4" w:lineRule="exact"/>
        <w:rPr>
          <w:sz w:val="20"/>
          <w:szCs w:val="20"/>
          <w:color w:val="auto"/>
        </w:rPr>
      </w:pPr>
    </w:p>
    <w:p>
      <w:pPr>
        <w:ind w:right="40" w:firstLine="409"/>
        <w:spacing w:after="0" w:line="269" w:lineRule="auto"/>
        <w:rPr>
          <w:sz w:val="20"/>
          <w:szCs w:val="20"/>
          <w:color w:val="auto"/>
        </w:rPr>
      </w:pPr>
      <w:r>
        <w:rPr>
          <w:rFonts w:ascii="Arial" w:cs="Arial" w:eastAsia="Arial" w:hAnsi="Arial"/>
          <w:sz w:val="17"/>
          <w:szCs w:val="17"/>
          <w:color w:val="auto"/>
        </w:rPr>
        <w:t>We have established various accounting policies that govern the application of U.S. GAAP, which were utilized in the preparation of our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80" w:lineRule="exact"/>
        <w:rPr>
          <w:sz w:val="20"/>
          <w:szCs w:val="20"/>
          <w:color w:val="auto"/>
        </w:rPr>
      </w:pPr>
    </w:p>
    <w:p>
      <w:pPr>
        <w:ind w:right="260" w:firstLine="409"/>
        <w:spacing w:after="0" w:line="306" w:lineRule="auto"/>
        <w:rPr>
          <w:sz w:val="20"/>
          <w:szCs w:val="20"/>
          <w:color w:val="auto"/>
        </w:rPr>
      </w:pPr>
      <w:r>
        <w:rPr>
          <w:rFonts w:ascii="Arial" w:cs="Arial" w:eastAsia="Arial" w:hAnsi="Arial"/>
          <w:sz w:val="16"/>
          <w:szCs w:val="16"/>
          <w:color w:val="auto"/>
        </w:rPr>
        <w:t>While our significant accounting policies are more fully described in “Note 1−Significant Accounting Policies” to the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0"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Our inventories relate to ORLADEYO and peramivir, which are being manufactured for the Company’s partners and, in the case of peramivir, the U.S. Government. 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includes all inventory costs prior to packaging and labeling, including raw material, active product ingredient, and drug product. Finished goods include packaged and labeled products.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3" w:name="page34"/>
    <w:bookmarkEnd w:id="33"/>
    <w:p>
      <w:pPr>
        <w:ind w:right="220" w:firstLine="480"/>
        <w:spacing w:after="0" w:line="306" w:lineRule="auto"/>
        <w:rPr>
          <w:sz w:val="20"/>
          <w:szCs w:val="20"/>
          <w:color w:val="auto"/>
        </w:rPr>
      </w:pPr>
      <w:r>
        <w:rPr>
          <w:rFonts w:ascii="Arial" w:cs="Arial" w:eastAsia="Arial" w:hAnsi="Arial"/>
          <w:sz w:val="16"/>
          <w:szCs w:val="16"/>
          <w:color w:val="auto"/>
        </w:rPr>
        <w:t>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w:t>
      </w:r>
    </w:p>
    <w:p>
      <w:pPr>
        <w:spacing w:after="0" w:line="150" w:lineRule="exact"/>
        <w:rPr>
          <w:sz w:val="20"/>
          <w:szCs w:val="20"/>
          <w:color w:val="auto"/>
        </w:rPr>
      </w:pPr>
    </w:p>
    <w:p>
      <w:pPr>
        <w:jc w:val="both"/>
        <w:ind w:firstLine="516"/>
        <w:spacing w:after="0" w:line="258" w:lineRule="auto"/>
        <w:rPr>
          <w:sz w:val="20"/>
          <w:szCs w:val="20"/>
          <w:color w:val="auto"/>
        </w:rPr>
      </w:pPr>
      <w:r>
        <w:rPr>
          <w:rFonts w:ascii="Arial" w:cs="Arial" w:eastAsia="Arial" w:hAnsi="Arial"/>
          <w:sz w:val="18"/>
          <w:szCs w:val="18"/>
          <w:color w:val="auto"/>
        </w:rPr>
        <w:t>We expense costs related to the production of inventories as research and development expenses in the period incurred until such time it is believed that future economic benefit is expected to be recognized, which generally is upon receipt of regulatory approval. Upon regulatory approval, we capitalize subsequent costs related to the production of inventories.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0" w:lineRule="exact"/>
        <w:rPr>
          <w:sz w:val="20"/>
          <w:szCs w:val="20"/>
          <w:color w:val="auto"/>
        </w:rPr>
      </w:pPr>
    </w:p>
    <w:p>
      <w:pPr>
        <w:ind w:firstLine="409"/>
        <w:spacing w:after="0" w:line="267" w:lineRule="auto"/>
        <w:rPr>
          <w:sz w:val="20"/>
          <w:szCs w:val="20"/>
          <w:color w:val="auto"/>
        </w:rPr>
      </w:pPr>
      <w:r>
        <w:rPr>
          <w:rFonts w:ascii="Arial" w:cs="Arial" w:eastAsia="Arial" w:hAnsi="Arial"/>
          <w:sz w:val="17"/>
          <w:szCs w:val="17"/>
          <w:color w:val="auto"/>
        </w:rPr>
        <w:t>We enter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We record liabilities under these contractual commitments when we determine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w:t>
      </w:r>
    </w:p>
    <w:p>
      <w:pPr>
        <w:spacing w:after="0" w:line="182" w:lineRule="exact"/>
        <w:rPr>
          <w:sz w:val="20"/>
          <w:szCs w:val="20"/>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paid to clinical research organizations (“CROs”) in connection with preclinical and toxicology studies and clinical trials;</w:t>
      </w:r>
    </w:p>
    <w:p>
      <w:pPr>
        <w:spacing w:after="0" w:line="246"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246" w:lineRule="exact"/>
        <w:rPr>
          <w:rFonts w:ascii="Arial" w:cs="Arial" w:eastAsia="Arial" w:hAnsi="Arial"/>
          <w:sz w:val="18"/>
          <w:szCs w:val="18"/>
          <w:color w:val="auto"/>
        </w:rPr>
      </w:pPr>
    </w:p>
    <w:p>
      <w:pPr>
        <w:ind w:left="640" w:right="160" w:hanging="313"/>
        <w:spacing w:after="0" w:line="27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paid to contract manufacturers in connection with the production of our raw materials, drug substance, drug products, and product candidates; and</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247" w:lineRule="exact"/>
        <w:rPr>
          <w:sz w:val="20"/>
          <w:szCs w:val="20"/>
          <w:color w:val="auto"/>
        </w:rPr>
      </w:pPr>
    </w:p>
    <w:p>
      <w:pPr>
        <w:ind w:right="80" w:firstLine="409"/>
        <w:spacing w:after="0" w:line="251" w:lineRule="auto"/>
        <w:rPr>
          <w:sz w:val="20"/>
          <w:szCs w:val="20"/>
          <w:color w:val="auto"/>
        </w:rPr>
      </w:pPr>
      <w:r>
        <w:rPr>
          <w:rFonts w:ascii="Arial" w:cs="Arial" w:eastAsia="Arial" w:hAnsi="Arial"/>
          <w:sz w:val="18"/>
          <w:szCs w:val="18"/>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0" w:lineRule="exact"/>
        <w:rPr>
          <w:sz w:val="20"/>
          <w:szCs w:val="20"/>
          <w:color w:val="auto"/>
        </w:rPr>
      </w:pPr>
    </w:p>
    <w:p>
      <w:pPr>
        <w:ind w:right="100" w:firstLine="409"/>
        <w:spacing w:after="0" w:line="253" w:lineRule="auto"/>
        <w:rPr>
          <w:sz w:val="20"/>
          <w:szCs w:val="20"/>
          <w:color w:val="auto"/>
        </w:rPr>
      </w:pPr>
      <w:r>
        <w:rPr>
          <w:rFonts w:ascii="Arial" w:cs="Arial" w:eastAsia="Arial" w:hAnsi="Arial"/>
          <w:sz w:val="18"/>
          <w:szCs w:val="18"/>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90" w:lineRule="exact"/>
        <w:rPr>
          <w:sz w:val="20"/>
          <w:szCs w:val="20"/>
          <w:color w:val="auto"/>
        </w:rPr>
      </w:pPr>
    </w:p>
    <w:p>
      <w:pPr>
        <w:ind w:right="60" w:firstLine="409"/>
        <w:spacing w:after="0" w:line="258" w:lineRule="auto"/>
        <w:rPr>
          <w:sz w:val="20"/>
          <w:szCs w:val="20"/>
          <w:color w:val="auto"/>
        </w:rPr>
      </w:pPr>
      <w:r>
        <w:rPr>
          <w:rFonts w:ascii="Arial" w:cs="Arial" w:eastAsia="Arial" w:hAnsi="Arial"/>
          <w:sz w:val="18"/>
          <w:szCs w:val="18"/>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0" w:lineRule="exact"/>
        <w:rPr>
          <w:sz w:val="20"/>
          <w:szCs w:val="20"/>
          <w:color w:val="auto"/>
        </w:rPr>
      </w:pPr>
    </w:p>
    <w:p>
      <w:pPr>
        <w:ind w:right="120" w:firstLine="516"/>
        <w:spacing w:after="0" w:line="253" w:lineRule="auto"/>
        <w:rPr>
          <w:sz w:val="20"/>
          <w:szCs w:val="20"/>
          <w:color w:val="auto"/>
        </w:rPr>
      </w:pPr>
      <w:r>
        <w:rPr>
          <w:rFonts w:ascii="Arial" w:cs="Arial" w:eastAsia="Arial" w:hAnsi="Arial"/>
          <w:sz w:val="18"/>
          <w:szCs w:val="18"/>
          <w:color w:val="auto"/>
        </w:rPr>
        <w:t>Our principal sources of product sales are sales of ORLADEYO, which we began shipping to customers in December 2020, sales of peramivir to our licensing partners and sales of RAPIVAB to the U.S. Department of Health and Human Services under our procurement contract. We recognize revenue for sales when the customer obtains control of the product, which generally occurs upon delivery. For ORLADEYO, we classify payments to our customer for certain services provided by our customer as selling, general and administrative expenses to the extent such services provided are determined to be distinct from the sale of our product.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4" w:name="page35"/>
    <w:bookmarkEnd w:id="34"/>
    <w:p>
      <w:pPr>
        <w:ind w:right="20" w:firstLine="409"/>
        <w:spacing w:after="0" w:line="284" w:lineRule="auto"/>
        <w:rPr>
          <w:sz w:val="20"/>
          <w:szCs w:val="20"/>
          <w:color w:val="auto"/>
        </w:rPr>
      </w:pPr>
      <w:r>
        <w:rPr>
          <w:rFonts w:ascii="Arial" w:cs="Arial" w:eastAsia="Arial" w:hAnsi="Arial"/>
          <w:sz w:val="16"/>
          <w:szCs w:val="16"/>
          <w:color w:val="auto"/>
        </w:rPr>
        <w:t>We sell ORLADEYO directly to patients through a single specialty pharmacy in the United States. 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Where appropriate, these estimates take into consideration a range of possible outcomes, which are probability-weighted for relevant factors, such as our current contractual and statutory requirements and forecasted customer buying and payment patterns. Overall, these reserves reflect our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spacing w:after="0" w:line="167" w:lineRule="exact"/>
        <w:rPr>
          <w:sz w:val="20"/>
          <w:szCs w:val="20"/>
          <w:color w:val="auto"/>
        </w:rPr>
      </w:pPr>
    </w:p>
    <w:p>
      <w:pPr>
        <w:ind w:firstLine="409"/>
        <w:spacing w:after="0" w:line="268" w:lineRule="auto"/>
        <w:rPr>
          <w:sz w:val="20"/>
          <w:szCs w:val="20"/>
          <w:color w:val="auto"/>
        </w:rPr>
      </w:pPr>
      <w:r>
        <w:rPr>
          <w:rFonts w:ascii="Arial" w:cs="Arial" w:eastAsia="Arial" w:hAnsi="Arial"/>
          <w:sz w:val="17"/>
          <w:szCs w:val="17"/>
          <w:i w:val="1"/>
          <w:iCs w:val="1"/>
          <w:color w:val="auto"/>
        </w:rPr>
        <w:t>Government and Managed Care Rebates</w:t>
      </w:r>
      <w:r>
        <w:rPr>
          <w:rFonts w:ascii="Arial" w:cs="Arial" w:eastAsia="Arial" w:hAnsi="Arial"/>
          <w:sz w:val="17"/>
          <w:szCs w:val="17"/>
          <w:color w:val="auto"/>
        </w:rPr>
        <w:t>. We contract with government agencies and managed care organizations or, collectively, third-party payors, so</w:t>
      </w:r>
      <w:r>
        <w:rPr>
          <w:rFonts w:ascii="Arial" w:cs="Arial" w:eastAsia="Arial" w:hAnsi="Arial"/>
          <w:sz w:val="17"/>
          <w:szCs w:val="17"/>
          <w:i w:val="1"/>
          <w:iCs w:val="1"/>
          <w:color w:val="auto"/>
        </w:rPr>
        <w:t xml:space="preserve"> </w:t>
      </w:r>
      <w:r>
        <w:rPr>
          <w:rFonts w:ascii="Arial" w:cs="Arial" w:eastAsia="Arial" w:hAnsi="Arial"/>
          <w:sz w:val="17"/>
          <w:szCs w:val="17"/>
          <w:color w:val="auto"/>
        </w:rPr>
        <w:t>that ORLADEYO will be eligible for purchase by, or partial or full reimbursement from, such third-party payors. We estimate the rebates we will provide to third-party payors and deduct these estimated amounts from total gross product revenues at the time the revenues are recognized. These reserves are recorded in the same period in which the revenue is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spacing w:after="0" w:line="180" w:lineRule="exact"/>
        <w:rPr>
          <w:sz w:val="20"/>
          <w:szCs w:val="20"/>
          <w:color w:val="auto"/>
        </w:rPr>
      </w:pPr>
    </w:p>
    <w:p>
      <w:pPr>
        <w:ind w:right="60" w:firstLine="409"/>
        <w:spacing w:after="0" w:line="342" w:lineRule="auto"/>
        <w:rPr>
          <w:sz w:val="20"/>
          <w:szCs w:val="20"/>
          <w:color w:val="auto"/>
        </w:rPr>
      </w:pPr>
      <w:r>
        <w:rPr>
          <w:rFonts w:ascii="Arial" w:cs="Arial" w:eastAsia="Arial" w:hAnsi="Arial"/>
          <w:sz w:val="14"/>
          <w:szCs w:val="14"/>
          <w:i w:val="1"/>
          <w:iCs w:val="1"/>
          <w:color w:val="auto"/>
        </w:rPr>
        <w:t>Chargebacks</w:t>
      </w:r>
      <w:r>
        <w:rPr>
          <w:rFonts w:ascii="Arial" w:cs="Arial" w:eastAsia="Arial" w:hAnsi="Arial"/>
          <w:sz w:val="14"/>
          <w:szCs w:val="14"/>
          <w:color w:val="auto"/>
        </w:rPr>
        <w:t>. Chargebacks are discounts that occur when certain contracted customers, pharmacy benefit managers, insurance companies, government</w:t>
      </w:r>
      <w:r>
        <w:rPr>
          <w:rFonts w:ascii="Arial" w:cs="Arial" w:eastAsia="Arial" w:hAnsi="Arial"/>
          <w:sz w:val="14"/>
          <w:szCs w:val="14"/>
          <w:i w:val="1"/>
          <w:iCs w:val="1"/>
          <w:color w:val="auto"/>
        </w:rPr>
        <w:t xml:space="preserve"> </w:t>
      </w:r>
      <w:r>
        <w:rPr>
          <w:rFonts w:ascii="Arial" w:cs="Arial" w:eastAsia="Arial" w:hAnsi="Arial"/>
          <w:sz w:val="14"/>
          <w:szCs w:val="14"/>
          <w:color w:val="auto"/>
        </w:rPr>
        <w:t>programs and group purchasing organizations purchase directly from our specialty pharmacy. These customers purchase our products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 purchase price with us. We estimate chargebacks and adjust gross product revenues and accounts receivable based on the estimates at the time revenues are recognized.</w:t>
      </w:r>
    </w:p>
    <w:p>
      <w:pPr>
        <w:spacing w:after="0" w:line="134" w:lineRule="exact"/>
        <w:rPr>
          <w:sz w:val="20"/>
          <w:szCs w:val="20"/>
          <w:color w:val="auto"/>
        </w:rPr>
      </w:pPr>
    </w:p>
    <w:p>
      <w:pPr>
        <w:ind w:right="40" w:firstLine="409"/>
        <w:spacing w:after="0" w:line="269" w:lineRule="auto"/>
        <w:rPr>
          <w:sz w:val="20"/>
          <w:szCs w:val="20"/>
          <w:color w:val="auto"/>
        </w:rPr>
      </w:pPr>
      <w:r>
        <w:rPr>
          <w:rFonts w:ascii="Arial" w:cs="Arial" w:eastAsia="Arial" w:hAnsi="Arial"/>
          <w:sz w:val="17"/>
          <w:szCs w:val="17"/>
          <w:i w:val="1"/>
          <w:iCs w:val="1"/>
          <w:color w:val="auto"/>
        </w:rPr>
        <w:t>Co-payment assistance and patient assistance programs</w:t>
      </w:r>
      <w:r>
        <w:rPr>
          <w:rFonts w:ascii="Arial" w:cs="Arial" w:eastAsia="Arial" w:hAnsi="Arial"/>
          <w:sz w:val="17"/>
          <w:szCs w:val="17"/>
          <w:color w:val="auto"/>
        </w:rPr>
        <w:t>. 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180" w:lineRule="exact"/>
        <w:rPr>
          <w:sz w:val="20"/>
          <w:szCs w:val="20"/>
          <w:color w:val="auto"/>
        </w:rPr>
      </w:pPr>
    </w:p>
    <w:p>
      <w:pPr>
        <w:ind w:right="40" w:firstLine="409"/>
        <w:spacing w:after="0" w:line="296" w:lineRule="auto"/>
        <w:rPr>
          <w:sz w:val="20"/>
          <w:szCs w:val="20"/>
          <w:color w:val="auto"/>
        </w:rPr>
      </w:pPr>
      <w:r>
        <w:rPr>
          <w:rFonts w:ascii="Arial" w:cs="Arial" w:eastAsia="Arial" w:hAnsi="Arial"/>
          <w:sz w:val="16"/>
          <w:szCs w:val="16"/>
          <w:i w:val="1"/>
          <w:iCs w:val="1"/>
          <w:color w:val="auto"/>
        </w:rPr>
        <w:t>Product returns</w:t>
      </w:r>
      <w:r>
        <w:rPr>
          <w:rFonts w:ascii="Arial" w:cs="Arial" w:eastAsia="Arial" w:hAnsi="Arial"/>
          <w:sz w:val="16"/>
          <w:szCs w:val="16"/>
          <w:color w:val="auto"/>
        </w:rPr>
        <w:t>. We do not provide contractual return rights to our customer,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Other Research and Development Arrangements and Royalties</w:t>
      </w:r>
    </w:p>
    <w:p>
      <w:pPr>
        <w:spacing w:after="0" w:line="220" w:lineRule="exact"/>
        <w:rPr>
          <w:sz w:val="20"/>
          <w:szCs w:val="20"/>
          <w:color w:val="auto"/>
        </w:rPr>
      </w:pPr>
    </w:p>
    <w:p>
      <w:pPr>
        <w:ind w:right="100" w:firstLine="409"/>
        <w:spacing w:after="0" w:line="255" w:lineRule="auto"/>
        <w:rPr>
          <w:sz w:val="20"/>
          <w:szCs w:val="20"/>
          <w:color w:val="auto"/>
        </w:rPr>
      </w:pPr>
      <w:r>
        <w:rPr>
          <w:rFonts w:ascii="Arial" w:cs="Arial" w:eastAsia="Arial" w:hAnsi="Arial"/>
          <w:sz w:val="18"/>
          <w:szCs w:val="18"/>
          <w:color w:val="auto"/>
        </w:rPr>
        <w:t>We recognize revenue when we satisfy a performance obligation by transferring promised goods or services to a customer. Revenue is measured at the transaction price that is based on the amount of consideration that we expect to receive in exchange for transferring the promised goods or services to the customer. The transaction price includes estimates of variable consideration to the extent it is probable that a significant reversal of revenue recognized will not occur.</w:t>
      </w:r>
    </w:p>
    <w:p>
      <w:pPr>
        <w:spacing w:after="0" w:line="188" w:lineRule="exact"/>
        <w:rPr>
          <w:sz w:val="20"/>
          <w:szCs w:val="20"/>
          <w:color w:val="auto"/>
        </w:rPr>
      </w:pPr>
    </w:p>
    <w:p>
      <w:pPr>
        <w:ind w:right="80" w:firstLine="409"/>
        <w:spacing w:after="0" w:line="270" w:lineRule="auto"/>
        <w:rPr>
          <w:sz w:val="20"/>
          <w:szCs w:val="20"/>
          <w:color w:val="auto"/>
        </w:rPr>
      </w:pPr>
      <w:r>
        <w:rPr>
          <w:rFonts w:ascii="Arial" w:cs="Arial" w:eastAsia="Arial" w:hAnsi="Arial"/>
          <w:sz w:val="18"/>
          <w:szCs w:val="18"/>
          <w:color w:val="auto"/>
        </w:rPr>
        <w:t>We have collaboration and license agreements with a number of third parties as well as research and development agreements with certain government entities.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primary sources of revenue from these collaborative and other research and development arrangements are license, service and royalty revenues.</w:t>
      </w:r>
    </w:p>
    <w:p>
      <w:pPr>
        <w:spacing w:after="0" w:line="243" w:lineRule="exact"/>
        <w:rPr>
          <w:sz w:val="20"/>
          <w:szCs w:val="20"/>
          <w:color w:val="auto"/>
        </w:rPr>
      </w:pPr>
    </w:p>
    <w:p>
      <w:pPr>
        <w:jc w:val="both"/>
        <w:ind w:right="300" w:firstLine="409"/>
        <w:spacing w:after="0" w:line="258" w:lineRule="auto"/>
        <w:rPr>
          <w:sz w:val="20"/>
          <w:szCs w:val="20"/>
          <w:color w:val="auto"/>
        </w:rPr>
      </w:pPr>
      <w:r>
        <w:rPr>
          <w:rFonts w:ascii="Arial" w:cs="Arial" w:eastAsia="Arial" w:hAnsi="Arial"/>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86" w:lineRule="exact"/>
        <w:rPr>
          <w:sz w:val="20"/>
          <w:szCs w:val="20"/>
          <w:color w:val="auto"/>
        </w:rPr>
      </w:pPr>
    </w:p>
    <w:p>
      <w:pPr>
        <w:ind w:right="60" w:firstLine="409"/>
        <w:spacing w:after="0" w:line="282" w:lineRule="auto"/>
        <w:rPr>
          <w:sz w:val="20"/>
          <w:szCs w:val="20"/>
          <w:color w:val="auto"/>
        </w:rPr>
      </w:pPr>
      <w:r>
        <w:rPr>
          <w:rFonts w:ascii="Arial" w:cs="Arial" w:eastAsia="Arial" w:hAnsi="Arial"/>
          <w:sz w:val="16"/>
          <w:szCs w:val="16"/>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757" w:gutter="0" w:footer="0" w:header="0"/>
        </w:sectPr>
      </w:pPr>
    </w:p>
    <w:bookmarkStart w:id="35" w:name="page36"/>
    <w:bookmarkEnd w:id="35"/>
    <w:p>
      <w:pPr>
        <w:jc w:val="both"/>
        <w:ind w:right="140" w:firstLine="409"/>
        <w:spacing w:after="0" w:line="258" w:lineRule="auto"/>
        <w:rPr>
          <w:sz w:val="20"/>
          <w:szCs w:val="20"/>
          <w:color w:val="auto"/>
        </w:rPr>
      </w:pPr>
      <w:r>
        <w:rPr>
          <w:rFonts w:ascii="Arial" w:cs="Arial" w:eastAsia="Arial" w:hAnsi="Arial"/>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w:t>
      </w:r>
    </w:p>
    <w:p>
      <w:pPr>
        <w:spacing w:after="0" w:line="186" w:lineRule="exact"/>
        <w:rPr>
          <w:sz w:val="20"/>
          <w:szCs w:val="20"/>
          <w:color w:val="auto"/>
        </w:rPr>
      </w:pPr>
    </w:p>
    <w:p>
      <w:pPr>
        <w:ind w:right="160" w:firstLine="409"/>
        <w:spacing w:after="0" w:line="258" w:lineRule="auto"/>
        <w:rPr>
          <w:sz w:val="20"/>
          <w:szCs w:val="20"/>
          <w:color w:val="auto"/>
        </w:rPr>
      </w:pPr>
      <w:r>
        <w:rPr>
          <w:rFonts w:ascii="Arial" w:cs="Arial" w:eastAsia="Arial" w:hAnsi="Arial"/>
          <w:sz w:val="18"/>
          <w:szCs w:val="18"/>
          <w:color w:val="auto"/>
        </w:rPr>
        <w:t>Reimbursements received for direct out-of-pocket expenses related to research and development costs are recorded as revenue in the Consolidated Statements of Comprehensive Loss rather than as a reduction in expenses. Under our contracts with BARDA/HHS and NIAID/HHS, revenue is recognized as reimbursable direct and indirect costs are incurred.</w:t>
      </w:r>
    </w:p>
    <w:p>
      <w:pPr>
        <w:spacing w:after="0" w:line="186" w:lineRule="exact"/>
        <w:rPr>
          <w:sz w:val="20"/>
          <w:szCs w:val="20"/>
          <w:color w:val="auto"/>
        </w:rPr>
      </w:pPr>
    </w:p>
    <w:p>
      <w:pPr>
        <w:ind w:firstLine="409"/>
        <w:spacing w:after="0" w:line="258" w:lineRule="auto"/>
        <w:rPr>
          <w:sz w:val="20"/>
          <w:szCs w:val="20"/>
          <w:color w:val="auto"/>
        </w:rPr>
      </w:pPr>
      <w:r>
        <w:rPr>
          <w:rFonts w:ascii="Arial" w:cs="Arial" w:eastAsia="Arial" w:hAnsi="Arial"/>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0" w:lineRule="exact"/>
        <w:rPr>
          <w:sz w:val="20"/>
          <w:szCs w:val="20"/>
          <w:color w:val="auto"/>
        </w:rPr>
      </w:pPr>
    </w:p>
    <w:p>
      <w:pPr>
        <w:ind w:right="40" w:firstLine="409"/>
        <w:spacing w:after="0" w:line="270"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deferred revenue and billings in excess of revenue recognized (contract liabilities) on the Consolidated Balance Sheets.</w:t>
      </w:r>
    </w:p>
    <w:p>
      <w:pPr>
        <w:spacing w:after="0" w:line="175" w:lineRule="exact"/>
        <w:rPr>
          <w:sz w:val="20"/>
          <w:szCs w:val="20"/>
          <w:color w:val="auto"/>
        </w:rPr>
      </w:pPr>
    </w:p>
    <w:p>
      <w:pPr>
        <w:ind w:right="60" w:firstLine="409"/>
        <w:spacing w:after="0" w:line="258" w:lineRule="auto"/>
        <w:rPr>
          <w:sz w:val="20"/>
          <w:szCs w:val="20"/>
          <w:color w:val="auto"/>
        </w:rPr>
      </w:pPr>
      <w:r>
        <w:rPr>
          <w:rFonts w:ascii="Arial" w:cs="Arial" w:eastAsia="Arial" w:hAnsi="Arial"/>
          <w:sz w:val="18"/>
          <w:szCs w:val="18"/>
          <w:i w:val="1"/>
          <w:iCs w:val="1"/>
          <w:color w:val="auto"/>
        </w:rPr>
        <w:t>Contract assets</w:t>
      </w:r>
      <w:r>
        <w:rPr>
          <w:rFonts w:ascii="Arial" w:cs="Arial" w:eastAsia="Arial" w:hAnsi="Arial"/>
          <w:sz w:val="18"/>
          <w:szCs w:val="18"/>
          <w:color w:val="auto"/>
        </w:rPr>
        <w:t>. Our long-term contracts are billed as work progresses in accordance with the contract terms and conditions, either at periodic intervals</w:t>
      </w:r>
      <w:r>
        <w:rPr>
          <w:rFonts w:ascii="Arial" w:cs="Arial" w:eastAsia="Arial" w:hAnsi="Arial"/>
          <w:sz w:val="18"/>
          <w:szCs w:val="18"/>
          <w:i w:val="1"/>
          <w:iCs w:val="1"/>
          <w:color w:val="auto"/>
        </w:rPr>
        <w:t xml:space="preserve"> </w:t>
      </w:r>
      <w:r>
        <w:rPr>
          <w:rFonts w:ascii="Arial" w:cs="Arial" w:eastAsia="Arial" w:hAnsi="Arial"/>
          <w:sz w:val="18"/>
          <w:szCs w:val="18"/>
          <w:color w:val="auto"/>
        </w:rPr>
        <w:t>or upon achievement of certain milestones. Often this results in billing occurring subsequent to revenue recognition, resulting in contract assets. Contract assets are generally classified as current assets in the Consolidated Balance Sheets.</w:t>
      </w:r>
    </w:p>
    <w:p>
      <w:pPr>
        <w:spacing w:after="0" w:line="186" w:lineRule="exact"/>
        <w:rPr>
          <w:sz w:val="20"/>
          <w:szCs w:val="20"/>
          <w:color w:val="auto"/>
        </w:rPr>
      </w:pPr>
    </w:p>
    <w:p>
      <w:pPr>
        <w:ind w:right="240" w:firstLine="409"/>
        <w:spacing w:after="0" w:line="333" w:lineRule="auto"/>
        <w:rPr>
          <w:sz w:val="20"/>
          <w:szCs w:val="20"/>
          <w:color w:val="auto"/>
        </w:rPr>
      </w:pPr>
      <w:r>
        <w:rPr>
          <w:rFonts w:ascii="Arial" w:cs="Arial" w:eastAsia="Arial" w:hAnsi="Arial"/>
          <w:sz w:val="16"/>
          <w:szCs w:val="16"/>
          <w:i w:val="1"/>
          <w:iCs w:val="1"/>
          <w:color w:val="auto"/>
        </w:rPr>
        <w:t>Contract liabilities</w:t>
      </w:r>
      <w:r>
        <w:rPr>
          <w:rFonts w:ascii="Arial" w:cs="Arial" w:eastAsia="Arial" w:hAnsi="Arial"/>
          <w:sz w:val="16"/>
          <w:szCs w:val="16"/>
          <w:color w:val="auto"/>
        </w:rPr>
        <w:t>. We often receive cash payments from customers in advance of our performance, resulting in contract liabilities. These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are classified as either current or long-term in the Consolidated Balance Sheets based on the timing of when we expect to recognize the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0" w:lineRule="exact"/>
        <w:rPr>
          <w:sz w:val="20"/>
          <w:szCs w:val="20"/>
          <w:color w:val="auto"/>
        </w:rPr>
      </w:pPr>
    </w:p>
    <w:p>
      <w:pPr>
        <w:ind w:right="320" w:firstLine="409"/>
        <w:spacing w:after="0" w:line="333" w:lineRule="auto"/>
        <w:rPr>
          <w:sz w:val="20"/>
          <w:szCs w:val="20"/>
          <w:color w:val="auto"/>
        </w:rPr>
      </w:pPr>
      <w:r>
        <w:rPr>
          <w:rFonts w:ascii="Arial" w:cs="Arial" w:eastAsia="Arial" w:hAnsi="Arial"/>
          <w:sz w:val="16"/>
          <w:szCs w:val="16"/>
          <w:color w:val="auto"/>
        </w:rPr>
        <w:t>We may incur direct and indirect costs associated with obtaining a contract. Incremental contract costs that we expect to recover are capitalized and amortized over the expected term of the contract. Non-incremental contract costs and costs that we expect to recover are expensed as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0" w:lineRule="exact"/>
        <w:rPr>
          <w:sz w:val="20"/>
          <w:szCs w:val="20"/>
          <w:color w:val="auto"/>
        </w:rPr>
      </w:pPr>
    </w:p>
    <w:p>
      <w:pPr>
        <w:ind w:right="40" w:firstLine="409"/>
        <w:spacing w:after="0" w:line="268" w:lineRule="auto"/>
        <w:rPr>
          <w:sz w:val="20"/>
          <w:szCs w:val="20"/>
          <w:color w:val="auto"/>
        </w:rPr>
      </w:pPr>
      <w:r>
        <w:rPr>
          <w:rFonts w:ascii="Arial" w:cs="Arial" w:eastAsia="Arial" w:hAnsi="Arial"/>
          <w:sz w:val="17"/>
          <w:szCs w:val="17"/>
          <w:color w:val="auto"/>
        </w:rPr>
        <w:t>Our research and development costs are charged to expense when incurred.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spacing w:after="0" w:line="180" w:lineRule="exact"/>
        <w:rPr>
          <w:sz w:val="20"/>
          <w:szCs w:val="20"/>
          <w:color w:val="auto"/>
        </w:rPr>
      </w:pPr>
    </w:p>
    <w:p>
      <w:pPr>
        <w:ind w:right="20" w:firstLine="409"/>
        <w:spacing w:after="0" w:line="255" w:lineRule="auto"/>
        <w:rPr>
          <w:sz w:val="20"/>
          <w:szCs w:val="20"/>
          <w:color w:val="auto"/>
        </w:rPr>
      </w:pPr>
      <w:r>
        <w:rPr>
          <w:rFonts w:ascii="Arial" w:cs="Arial" w:eastAsia="Arial" w:hAnsi="Arial"/>
          <w:sz w:val="18"/>
          <w:szCs w:val="18"/>
          <w:color w:val="auto"/>
        </w:rPr>
        <w:t>Additionally, we have license agreements with third parties, such as Albert Einstein College of Medicine of Yeshiva University (“AECOM”), Industrial Research, Ltd. (“IRL”), and the University of Alabama (“UAB”),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36" w:name="page37"/>
    <w:bookmarkEnd w:id="36"/>
    <w:p>
      <w:pPr>
        <w:ind w:right="140" w:firstLine="409"/>
        <w:spacing w:after="0" w:line="296" w:lineRule="auto"/>
        <w:rPr>
          <w:sz w:val="20"/>
          <w:szCs w:val="20"/>
          <w:color w:val="auto"/>
        </w:rPr>
      </w:pPr>
      <w:r>
        <w:rPr>
          <w:rFonts w:ascii="Arial" w:cs="Arial" w:eastAsia="Arial" w:hAnsi="Arial"/>
          <w:sz w:val="16"/>
          <w:szCs w:val="16"/>
          <w:color w:val="auto"/>
        </w:rPr>
        <w:t>Deferred collaboration expenses represent sub-license payments paid to our academic partners upon receipt of consideration from various commercial partners, and other consideration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spacing w:after="0" w:line="160" w:lineRule="exact"/>
        <w:rPr>
          <w:sz w:val="20"/>
          <w:szCs w:val="20"/>
          <w:color w:val="auto"/>
        </w:rPr>
      </w:pPr>
    </w:p>
    <w:p>
      <w:pPr>
        <w:ind w:right="120" w:firstLine="409"/>
        <w:spacing w:after="0" w:line="292" w:lineRule="auto"/>
        <w:rPr>
          <w:sz w:val="20"/>
          <w:szCs w:val="20"/>
          <w:color w:val="auto"/>
        </w:rPr>
      </w:pPr>
      <w:r>
        <w:rPr>
          <w:rFonts w:ascii="Arial" w:cs="Arial" w:eastAsia="Arial" w:hAnsi="Arial"/>
          <w:sz w:val="16"/>
          <w:szCs w:val="16"/>
          <w:color w:val="auto"/>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ind w:firstLine="409"/>
        <w:spacing w:after="0" w:line="266" w:lineRule="auto"/>
        <w:rPr>
          <w:sz w:val="20"/>
          <w:szCs w:val="20"/>
          <w:color w:val="auto"/>
        </w:rPr>
      </w:pPr>
      <w:r>
        <w:rPr>
          <w:rFonts w:ascii="Arial" w:cs="Arial" w:eastAsia="Arial" w:hAnsi="Arial"/>
          <w:sz w:val="17"/>
          <w:szCs w:val="17"/>
          <w:color w:val="auto"/>
        </w:rPr>
        <w:t>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for which no compensation expense is recognized until “performance” has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Royalty Financing Obligation</w:t>
      </w:r>
    </w:p>
    <w:p>
      <w:pPr>
        <w:spacing w:after="0" w:line="220" w:lineRule="exact"/>
        <w:rPr>
          <w:sz w:val="20"/>
          <w:szCs w:val="20"/>
          <w:color w:val="auto"/>
        </w:rPr>
      </w:pPr>
    </w:p>
    <w:p>
      <w:pPr>
        <w:ind w:firstLine="534"/>
        <w:spacing w:after="0" w:line="267" w:lineRule="auto"/>
        <w:rPr>
          <w:sz w:val="20"/>
          <w:szCs w:val="20"/>
          <w:color w:val="auto"/>
        </w:rPr>
      </w:pPr>
      <w:r>
        <w:rPr>
          <w:rFonts w:ascii="Arial" w:cs="Arial" w:eastAsia="Arial" w:hAnsi="Arial"/>
          <w:sz w:val="17"/>
          <w:szCs w:val="17"/>
          <w:color w:val="auto"/>
        </w:rPr>
        <w:t>The Royalty Financing Obligation is eligible to be repaid based on royalties from net sales of ORLADEYO. Interest expense is accrued using the effective interest rate method over the estimated period the related liability will be paid. This requires us to estimate the total amount of future royalty payments to be generated from product sales over the life of the agreement. We impute interest on the carrying value of the Royalty Financing Obligation and record interest expense using an imputed effective interest rate. We will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 that we make estimates that could impact the carrying value of the liability, as well as the period over which associated issuance costs will be amortized. A significant increase or decrease in forecasted net sales could materially impact the liability balance, interest expense and the time period for repayment.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Hedge</w:t>
      </w:r>
    </w:p>
    <w:p>
      <w:pPr>
        <w:spacing w:after="0" w:line="220" w:lineRule="exact"/>
        <w:rPr>
          <w:sz w:val="20"/>
          <w:szCs w:val="20"/>
          <w:color w:val="auto"/>
        </w:rPr>
      </w:pPr>
    </w:p>
    <w:p>
      <w:pPr>
        <w:ind w:right="60" w:firstLine="569"/>
        <w:spacing w:after="0" w:line="255" w:lineRule="auto"/>
        <w:rPr>
          <w:sz w:val="20"/>
          <w:szCs w:val="20"/>
          <w:color w:val="auto"/>
        </w:rPr>
      </w:pPr>
      <w:r>
        <w:rPr>
          <w:rFonts w:ascii="Arial" w:cs="Arial" w:eastAsia="Arial" w:hAnsi="Arial"/>
          <w:sz w:val="18"/>
          <w:szCs w:val="18"/>
          <w:color w:val="auto"/>
        </w:rPr>
        <w:t>In connection with our issuance of the PhaRMA Notes, we entered into a foreign Currency Hedge Agreement to hedge certain risks associated with changes in the value of the Japanese yen relative to the U.S. dollar. The final tranche of the options under the Currency Hedge Agreement expired in November 2020. The Currency Hedge Agreement did not qualify for hedge accounting treatment and therefore mark-to-market adjustments were recognized in our Consolidated Statements of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w:t>
      </w:r>
    </w:p>
    <w:p>
      <w:pPr>
        <w:spacing w:after="0" w:line="220" w:lineRule="exact"/>
        <w:rPr>
          <w:sz w:val="20"/>
          <w:szCs w:val="20"/>
          <w:color w:val="auto"/>
        </w:rPr>
      </w:pPr>
    </w:p>
    <w:p>
      <w:pPr>
        <w:ind w:right="20" w:firstLine="409"/>
        <w:spacing w:after="0" w:line="253" w:lineRule="auto"/>
        <w:rPr>
          <w:sz w:val="20"/>
          <w:szCs w:val="20"/>
          <w:color w:val="auto"/>
        </w:rPr>
      </w:pPr>
      <w:r>
        <w:rPr>
          <w:rFonts w:ascii="Arial" w:cs="Arial" w:eastAsia="Arial" w:hAnsi="Arial"/>
          <w:sz w:val="18"/>
          <w:szCs w:val="18"/>
          <w:color w:val="auto"/>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4" w:lineRule="exact"/>
        <w:rPr>
          <w:sz w:val="20"/>
          <w:szCs w:val="20"/>
          <w:color w:val="auto"/>
        </w:rPr>
      </w:pPr>
    </w:p>
    <w:p>
      <w:pPr>
        <w:ind w:right="400" w:firstLine="480"/>
        <w:spacing w:after="0" w:line="271" w:lineRule="auto"/>
        <w:rPr>
          <w:sz w:val="20"/>
          <w:szCs w:val="20"/>
          <w:color w:val="auto"/>
        </w:rPr>
      </w:pPr>
      <w:r>
        <w:rPr>
          <w:rFonts w:ascii="Arial" w:cs="Arial" w:eastAsia="Arial" w:hAnsi="Arial"/>
          <w:sz w:val="17"/>
          <w:szCs w:val="17"/>
          <w:color w:val="auto"/>
        </w:rPr>
        <w:t>We are subject to interest rate risk on our investment portfolio and borrowings under our Credit Agreement. The Term A Loan under the Credit Agreement bears interest each quarter at a rate equal to the three-month LIBOR rate, which is capped to be no less than 1.75% and no more than 3.50% (“LIBOR”), plus 8.25% or, for each quarterly interest period in which a PIK Interest Payment is made, LIBOR plus 10.25%. Accordingly, increases in interest rates could increase the associated interest payments that we are required to make on the Term Loans. As of September 30, 2021, interest was accrued at 12.2% on the $125.0 million Term A Loan under the Credit Agreement.</w:t>
      </w:r>
    </w:p>
    <w:p>
      <w:pPr>
        <w:spacing w:after="0" w:line="177" w:lineRule="exact"/>
        <w:rPr>
          <w:sz w:val="20"/>
          <w:szCs w:val="20"/>
          <w:color w:val="auto"/>
        </w:rPr>
      </w:pPr>
    </w:p>
    <w:p>
      <w:pPr>
        <w:ind w:right="60" w:firstLine="480"/>
        <w:spacing w:after="0" w:line="292" w:lineRule="auto"/>
        <w:rPr>
          <w:sz w:val="20"/>
          <w:szCs w:val="20"/>
          <w:color w:val="auto"/>
        </w:rPr>
      </w:pPr>
      <w:r>
        <w:rPr>
          <w:rFonts w:ascii="Arial" w:cs="Arial" w:eastAsia="Arial" w:hAnsi="Arial"/>
          <w:sz w:val="16"/>
          <w:szCs w:val="16"/>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62" w:lineRule="exact"/>
        <w:rPr>
          <w:sz w:val="20"/>
          <w:szCs w:val="20"/>
          <w:color w:val="auto"/>
        </w:rPr>
      </w:pPr>
    </w:p>
    <w:p>
      <w:pPr>
        <w:ind w:firstLine="480"/>
        <w:spacing w:after="0" w:line="265" w:lineRule="auto"/>
        <w:rPr>
          <w:sz w:val="20"/>
          <w:szCs w:val="20"/>
          <w:color w:val="auto"/>
        </w:rPr>
      </w:pPr>
      <w:r>
        <w:rPr>
          <w:rFonts w:ascii="Arial" w:cs="Arial" w:eastAsia="Arial" w:hAnsi="Arial"/>
          <w:sz w:val="17"/>
          <w:szCs w:val="17"/>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85" w:lineRule="exact"/>
        <w:rPr>
          <w:sz w:val="20"/>
          <w:szCs w:val="20"/>
          <w:color w:val="auto"/>
        </w:rPr>
      </w:pPr>
    </w:p>
    <w:p>
      <w:pPr>
        <w:ind w:right="400" w:firstLine="516"/>
        <w:spacing w:after="0" w:line="333" w:lineRule="auto"/>
        <w:rPr>
          <w:sz w:val="20"/>
          <w:szCs w:val="20"/>
          <w:color w:val="auto"/>
        </w:rPr>
      </w:pPr>
      <w:r>
        <w:rPr>
          <w:rFonts w:ascii="Arial" w:cs="Arial" w:eastAsia="Arial" w:hAnsi="Arial"/>
          <w:sz w:val="16"/>
          <w:szCs w:val="16"/>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4" w:lineRule="exact"/>
        <w:rPr>
          <w:sz w:val="20"/>
          <w:szCs w:val="20"/>
          <w:color w:val="auto"/>
        </w:rPr>
      </w:pPr>
    </w:p>
    <w:p>
      <w:pPr>
        <w:jc w:val="both"/>
        <w:ind w:right="300" w:firstLine="445"/>
        <w:spacing w:after="0" w:line="258" w:lineRule="auto"/>
        <w:rPr>
          <w:sz w:val="20"/>
          <w:szCs w:val="20"/>
          <w:color w:val="auto"/>
        </w:rPr>
      </w:pPr>
      <w:r>
        <w:rPr>
          <w:rFonts w:ascii="Arial" w:cs="Arial" w:eastAsia="Arial" w:hAnsi="Arial"/>
          <w:sz w:val="18"/>
          <w:szCs w:val="18"/>
          <w:color w:val="auto"/>
        </w:rPr>
        <w:t>The majority of our transactions and the greatest magnitude of these transactions occur in U.S. dollars and although we have initiated operations in Europe, we did not have significant operating activities or significant investments in foreign countries as of September 30, 2021. Therefore, we were not subject to significant foreign currency exchange risk in our normal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4" w:lineRule="exact"/>
        <w:rPr>
          <w:sz w:val="20"/>
          <w:szCs w:val="20"/>
          <w:color w:val="auto"/>
        </w:rPr>
      </w:pPr>
    </w:p>
    <w:p>
      <w:pPr>
        <w:ind w:right="60" w:firstLine="516"/>
        <w:spacing w:after="0" w:line="285"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September 30, 2021,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168" w:lineRule="exact"/>
        <w:rPr>
          <w:sz w:val="20"/>
          <w:szCs w:val="20"/>
          <w:color w:val="auto"/>
        </w:rPr>
      </w:pPr>
    </w:p>
    <w:p>
      <w:pPr>
        <w:ind w:right="420" w:firstLine="516"/>
        <w:spacing w:after="0" w:line="300" w:lineRule="auto"/>
        <w:rPr>
          <w:sz w:val="20"/>
          <w:szCs w:val="20"/>
          <w:color w:val="auto"/>
        </w:rPr>
      </w:pPr>
      <w:r>
        <w:rPr>
          <w:rFonts w:ascii="Arial" w:cs="Arial" w:eastAsia="Arial" w:hAnsi="Arial"/>
          <w:sz w:val="17"/>
          <w:szCs w:val="17"/>
          <w:color w:val="auto"/>
        </w:rPr>
        <w:t>There have been no changes in our internal control over financial reporting that occurred during the quarter ended September 30, 2021 that have materially affected, or are reasonably likely to materially affect, the Company’s internal control over financial reporting.</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5" w:right="3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4" w:lineRule="exact"/>
        <w:rPr>
          <w:sz w:val="20"/>
          <w:szCs w:val="20"/>
          <w:color w:val="auto"/>
        </w:rPr>
      </w:pPr>
    </w:p>
    <w:p>
      <w:pPr>
        <w:jc w:val="both"/>
        <w:ind w:right="160" w:firstLine="516"/>
        <w:spacing w:after="0" w:line="258" w:lineRule="auto"/>
        <w:rPr>
          <w:sz w:val="20"/>
          <w:szCs w:val="20"/>
          <w:color w:val="auto"/>
        </w:rPr>
      </w:pPr>
      <w:r>
        <w:rPr>
          <w:rFonts w:ascii="Arial" w:cs="Arial" w:eastAsia="Arial" w:hAnsi="Arial"/>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COVID-19</w:t>
      </w:r>
    </w:p>
    <w:p>
      <w:pPr>
        <w:spacing w:after="0" w:line="220" w:lineRule="exact"/>
        <w:rPr>
          <w:sz w:val="20"/>
          <w:szCs w:val="20"/>
          <w:color w:val="auto"/>
        </w:rPr>
      </w:pPr>
    </w:p>
    <w:p>
      <w:pPr>
        <w:jc w:val="both"/>
        <w:ind w:left="240" w:hanging="17"/>
        <w:spacing w:after="0" w:line="367" w:lineRule="auto"/>
        <w:rPr>
          <w:sz w:val="20"/>
          <w:szCs w:val="20"/>
          <w:color w:val="auto"/>
        </w:rPr>
      </w:pPr>
      <w:r>
        <w:rPr>
          <w:rFonts w:ascii="Arial" w:cs="Arial" w:eastAsia="Arial" w:hAnsi="Arial"/>
          <w:sz w:val="14"/>
          <w:szCs w:val="14"/>
          <w:b w:val="1"/>
          <w:bCs w:val="1"/>
          <w:i w:val="1"/>
          <w:iCs w:val="1"/>
          <w:color w:val="auto"/>
        </w:rPr>
        <w:t>Our business, operations, clinical development or commercialization plans and timelines, and access to capital could be adversely affected by the effects of the COVID-19 pandemic on us or on third parties with whom we conduct business, including without limitation our development partners, manufacturers, clinical research organizations (</w:t>
      </w:r>
      <w:r>
        <w:rPr>
          <w:rFonts w:ascii="Arial" w:cs="Arial" w:eastAsia="Arial" w:hAnsi="Arial"/>
          <w:sz w:val="14"/>
          <w:szCs w:val="14"/>
          <w:color w:val="auto"/>
        </w:rPr>
        <w:t>“</w:t>
      </w:r>
      <w:r>
        <w:rPr>
          <w:rFonts w:ascii="Arial" w:cs="Arial" w:eastAsia="Arial" w:hAnsi="Arial"/>
          <w:sz w:val="14"/>
          <w:szCs w:val="14"/>
          <w:b w:val="1"/>
          <w:bCs w:val="1"/>
          <w:i w:val="1"/>
          <w:iCs w:val="1"/>
          <w:color w:val="auto"/>
        </w:rPr>
        <w:t>CROs</w:t>
      </w:r>
      <w:r>
        <w:rPr>
          <w:rFonts w:ascii="Arial" w:cs="Arial" w:eastAsia="Arial" w:hAnsi="Arial"/>
          <w:sz w:val="14"/>
          <w:szCs w:val="14"/>
          <w:color w:val="auto"/>
        </w:rPr>
        <w:t>”</w:t>
      </w:r>
      <w:r>
        <w:rPr>
          <w:rFonts w:ascii="Arial" w:cs="Arial" w:eastAsia="Arial" w:hAnsi="Arial"/>
          <w:sz w:val="14"/>
          <w:szCs w:val="14"/>
          <w:b w:val="1"/>
          <w:bCs w:val="1"/>
          <w:i w:val="1"/>
          <w:iCs w:val="1"/>
          <w:color w:val="auto"/>
        </w:rPr>
        <w:t>), and others, as well as on the regulatory and government agencies with whom we work.</w:t>
      </w:r>
    </w:p>
    <w:p>
      <w:pPr>
        <w:spacing w:after="0" w:line="115"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The global COVID-19 pandemic continues to affect the United States and global economies, and may cause significant disruptions to our business, operations, and clinical development or commercialization plans and timelines, as well as the business and operations of third parties with whom we conduct business. For example, quarantines, shelter-in-place, similar government orders and evolving business policies and procedures have impacted and may continue to impact, among other things: (1) our personnel and those of third parties on whom we rely, including our development partners (such as Torii), manufacturers, CROs, and others; (2) the conduct of our current and future clinical trials and commercial interactions; and (3) the operations of the FDA, European Medicines Agency (“EMA”), Japanese Pharmaceuticals and Medical Devices Agency (“PMDA”), and other health and governmental authorities, which could result in delays of reviews and approvals.</w:t>
      </w:r>
    </w:p>
    <w:p>
      <w:pPr>
        <w:spacing w:after="0" w:line="180" w:lineRule="exact"/>
        <w:rPr>
          <w:sz w:val="20"/>
          <w:szCs w:val="20"/>
          <w:color w:val="auto"/>
        </w:rPr>
      </w:pPr>
    </w:p>
    <w:p>
      <w:pPr>
        <w:ind w:right="120" w:firstLine="445"/>
        <w:spacing w:after="0" w:line="286" w:lineRule="auto"/>
        <w:rPr>
          <w:sz w:val="20"/>
          <w:szCs w:val="20"/>
          <w:color w:val="auto"/>
        </w:rPr>
      </w:pPr>
      <w:r>
        <w:rPr>
          <w:rFonts w:ascii="Arial" w:cs="Arial" w:eastAsia="Arial" w:hAnsi="Arial"/>
          <w:sz w:val="16"/>
          <w:szCs w:val="16"/>
          <w:color w:val="auto"/>
        </w:rPr>
        <w:t>If our operations or those of third parties with whom we conduct business are impaired or curtailed as a result of these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as a result of the COVID-19 pandemic or other health epidemics.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Although we carefully manage our relationships with our suppliers and vendors, there can be no assurance that we will not encounter challenges or delays in the future or that these delays or challenges will not have an adverse impact on our business, financial condition and prospects.</w:t>
      </w:r>
    </w:p>
    <w:p>
      <w:pPr>
        <w:spacing w:after="0" w:line="167" w:lineRule="exact"/>
        <w:rPr>
          <w:sz w:val="20"/>
          <w:szCs w:val="20"/>
          <w:color w:val="auto"/>
        </w:rPr>
      </w:pPr>
    </w:p>
    <w:p>
      <w:pPr>
        <w:ind w:right="120" w:firstLine="445"/>
        <w:spacing w:after="0" w:line="268" w:lineRule="auto"/>
        <w:rPr>
          <w:sz w:val="20"/>
          <w:szCs w:val="20"/>
          <w:color w:val="auto"/>
        </w:rPr>
      </w:pPr>
      <w:r>
        <w:rPr>
          <w:rFonts w:ascii="Arial" w:cs="Arial" w:eastAsia="Arial" w:hAnsi="Arial"/>
          <w:sz w:val="17"/>
          <w:szCs w:val="17"/>
          <w:color w:val="auto"/>
        </w:rPr>
        <w:t>In addition, our clinical trials have been and may continue to be affected by the COVID-19 pandemic. For example, the acceleration of COVID-19 slowed startup of the inadequate C5 responder cohorts in our complement oral Factor D inhibitor program and, as a result, delayed the reporting of related data in 2020. Clinical site initiation and patient enrollment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our inability to successfully recruit and retain patients and principal investigators and site staff who, as healthcare providers, may have heightened exposure to COVID-19 or experience additional restrictions by their institutions, city, or state could adversely impact our clinical trial operations.</w:t>
      </w:r>
    </w:p>
    <w:p>
      <w:pPr>
        <w:spacing w:after="0" w:line="180" w:lineRule="exact"/>
        <w:rPr>
          <w:sz w:val="20"/>
          <w:szCs w:val="20"/>
          <w:color w:val="auto"/>
        </w:rPr>
      </w:pPr>
    </w:p>
    <w:p>
      <w:pPr>
        <w:ind w:right="20" w:firstLine="445"/>
        <w:spacing w:after="0" w:line="306" w:lineRule="auto"/>
        <w:rPr>
          <w:sz w:val="20"/>
          <w:szCs w:val="20"/>
          <w:color w:val="auto"/>
        </w:rPr>
      </w:pPr>
      <w:r>
        <w:rPr>
          <w:rFonts w:ascii="Arial" w:cs="Arial" w:eastAsia="Arial" w:hAnsi="Arial"/>
          <w:sz w:val="16"/>
          <w:szCs w:val="16"/>
          <w:color w:val="auto"/>
        </w:rPr>
        <w:t>If global health concerns prevent the FDA, EMA, PMDA or other regulatory authorities from conducting their inspections, reviews, or other regulatory activities, it could significantly impact the ability of the FDA, EMA, PMDA or other regulatory authorities to timely review and process our regulatory submissions, which could have a material adverse effect on our business and clinical development and commercialization plans and timelines.</w:t>
      </w:r>
    </w:p>
    <w:p>
      <w:pPr>
        <w:spacing w:after="0" w:line="150" w:lineRule="exact"/>
        <w:rPr>
          <w:sz w:val="20"/>
          <w:szCs w:val="20"/>
          <w:color w:val="auto"/>
        </w:rPr>
      </w:pPr>
    </w:p>
    <w:p>
      <w:pPr>
        <w:ind w:right="100" w:firstLine="445"/>
        <w:spacing w:after="0" w:line="287" w:lineRule="auto"/>
        <w:rPr>
          <w:sz w:val="20"/>
          <w:szCs w:val="20"/>
          <w:color w:val="auto"/>
        </w:rPr>
      </w:pPr>
      <w:r>
        <w:rPr>
          <w:rFonts w:ascii="Arial" w:cs="Arial" w:eastAsia="Arial" w:hAnsi="Arial"/>
          <w:sz w:val="16"/>
          <w:szCs w:val="16"/>
          <w:color w:val="auto"/>
        </w:rPr>
        <w:t>Although our business operations under the COVID-19 pandemic continue to evolve, we continue to utilize work-from-home policies for many of our employees, which may negatively impact productivity, disrupt our business and delay our clinical programs and timelines, the magnitude of which will depend, in part, on the length and severity of the restrictions and other limitations on our ability to conduct our business in the ordinary course. In addition, we are a government contractor, and as such, we are subject to the federal vaccine mandate. We cannot accurately predict the impact on operations of our return-to-the-office plan, nor of the vaccine mandate on our business or on third parties with whom we conduct business. Our business may be negatively impacted in the event that large numbers of employees or key employees do not comply with the mandate. These and similar, and perhaps more severe, disruptions in our operations could negatively impact our business, operating results and financial condition.</w:t>
      </w:r>
    </w:p>
    <w:p>
      <w:pPr>
        <w:spacing w:after="0" w:line="168"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The spread of COVID-19, which has caused a broad impact globally, may also materially affect our access to capital. While the future economic impact brought by, and the duration of, COVID-19 may be difficult to assess or predict, the pandemic could result in significant disruption of global financial markets, reducing our ability to access the equity or debt capital markets or obtain other sources of capital, which could negatively affect our liquidity. In addition, a recession or market correction resulting from the spread of COVID-19 could materially affect our business and the value of our common stock.</w:t>
      </w:r>
    </w:p>
    <w:p>
      <w:pPr>
        <w:spacing w:after="0" w:line="160" w:lineRule="exact"/>
        <w:rPr>
          <w:sz w:val="20"/>
          <w:szCs w:val="20"/>
          <w:color w:val="auto"/>
        </w:rPr>
      </w:pPr>
    </w:p>
    <w:p>
      <w:pPr>
        <w:ind w:right="240" w:firstLine="445"/>
        <w:spacing w:after="0" w:line="274" w:lineRule="auto"/>
        <w:rPr>
          <w:sz w:val="20"/>
          <w:szCs w:val="20"/>
          <w:color w:val="auto"/>
        </w:rPr>
      </w:pPr>
      <w:r>
        <w:rPr>
          <w:rFonts w:ascii="Arial" w:cs="Arial" w:eastAsia="Arial" w:hAnsi="Arial"/>
          <w:sz w:val="17"/>
          <w:szCs w:val="17"/>
          <w:color w:val="auto"/>
        </w:rPr>
        <w:t>The global pandemic of COVID-19 continues to evolve, with the ultimate impact of the COVID-19 pandemic or a similar health epidemic being uncertain and subject to change. These effects could be material, and we will continue to monitor the COVID-19 situation closely. We do not yet know the full extent and magnitude of the impacts that COVID-19 has had or will have on our business, on the healthcare system, or on the global economy. In addition, the COVID-19 pandemic could have the effect of heightening many of the other risks described below.</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Financial and Liquidity Risks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incurred losses since our inception, expect to continue to incur such losses, and may never be profitable.</w:t>
      </w:r>
    </w:p>
    <w:p>
      <w:pPr>
        <w:spacing w:after="0" w:line="220"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Since our inception, we have not achieved sustained profitability. We expect to incur additional losses for the foreseeable future, and our losses could increase as our research and development efforts and commercial activities progress. We expect that such losses will fluctuate from quarter to quarter and that losses and fluctuations may be substantial. To become profitable, we, or our collaborative partners, must successfully manufacture and develop products and product candidates, receive regulatory approval, and successfully commercialize our products and/or enter into profitable commercialization arrangements with other parties. It could take longer than expected before we receive, or we may never receive, significant revenue from any current or future license agreements or significant revenues directly from product sales. Even if we are able to successfully commercialize our existing products, or to develop new commercially viable products, certain obligations we have to third parties, including, without limitation, our obligation to pay RPI royalties on certain ORLADEYO and BCX9930 revenues under the Royalty Purchase Agreement, may reduce the profitability of such products.</w:t>
      </w:r>
    </w:p>
    <w:p>
      <w:pPr>
        <w:spacing w:after="0" w:line="167" w:lineRule="exact"/>
        <w:rPr>
          <w:sz w:val="20"/>
          <w:szCs w:val="20"/>
          <w:color w:val="auto"/>
        </w:rPr>
      </w:pPr>
    </w:p>
    <w:p>
      <w:pPr>
        <w:jc w:val="both"/>
        <w:ind w:right="300" w:firstLine="445"/>
        <w:spacing w:after="0" w:line="306" w:lineRule="auto"/>
        <w:rPr>
          <w:sz w:val="20"/>
          <w:szCs w:val="20"/>
          <w:color w:val="auto"/>
        </w:rPr>
      </w:pPr>
      <w:r>
        <w:rPr>
          <w:rFonts w:ascii="Arial" w:cs="Arial" w:eastAsia="Arial" w:hAnsi="Arial"/>
          <w:sz w:val="16"/>
          <w:szCs w:val="16"/>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need to raise additional capital in the future. If we are unable to raise capital when needed, we may need to adjust our operations.</w:t>
      </w:r>
    </w:p>
    <w:p>
      <w:pPr>
        <w:spacing w:after="0" w:line="243" w:lineRule="exact"/>
        <w:rPr>
          <w:sz w:val="20"/>
          <w:szCs w:val="20"/>
          <w:color w:val="auto"/>
        </w:rPr>
      </w:pPr>
    </w:p>
    <w:p>
      <w:pPr>
        <w:ind w:right="360" w:firstLine="445"/>
        <w:spacing w:after="0" w:line="333" w:lineRule="auto"/>
        <w:rPr>
          <w:sz w:val="20"/>
          <w:szCs w:val="20"/>
          <w:color w:val="auto"/>
        </w:rPr>
      </w:pPr>
      <w:r>
        <w:rPr>
          <w:rFonts w:ascii="Arial" w:cs="Arial" w:eastAsia="Arial" w:hAnsi="Arial"/>
          <w:sz w:val="16"/>
          <w:szCs w:val="16"/>
          <w:color w:val="auto"/>
        </w:rPr>
        <w:t>We have sustained operating losses for the majority of our corporate history and expect that our 2021 expenses will exceed our 2021 revenues. We expect to continue to incur operating losses and negative cash flows unless and until revenues reach a level sufficient to support ongoing operations.</w:t>
      </w:r>
    </w:p>
    <w:p>
      <w:pPr>
        <w:spacing w:after="0" w:line="130" w:lineRule="exact"/>
        <w:rPr>
          <w:sz w:val="20"/>
          <w:szCs w:val="20"/>
          <w:color w:val="auto"/>
        </w:rPr>
      </w:pPr>
    </w:p>
    <w:p>
      <w:pPr>
        <w:ind w:right="200" w:firstLine="445"/>
        <w:spacing w:after="0" w:line="266" w:lineRule="auto"/>
        <w:rPr>
          <w:sz w:val="20"/>
          <w:szCs w:val="20"/>
          <w:color w:val="auto"/>
        </w:rPr>
      </w:pPr>
      <w:r>
        <w:rPr>
          <w:rFonts w:ascii="Arial" w:cs="Arial" w:eastAsia="Arial" w:hAnsi="Arial"/>
          <w:sz w:val="17"/>
          <w:szCs w:val="17"/>
          <w:color w:val="auto"/>
        </w:rPr>
        <w:t>Our liquidity needs will be largely determined by the success of operations in regard to the commercialization of our products and the progression of our product candidates in the future. Our plans for managing our liquidity needs primarily include controlling the timing and spending on our research and development programs, raising additional funds through equity and/or debt financings, and commercializing our approved products. We regularly evaluate other opportunities to fund operations including: (1) securing or increasing U.S. Government funding of our programs, including obtaining additional and delivering on procurement contracts; (2) out-licensing rights to certain of our products or product candidates, pursuant to which we would receive cash milestone payments and/or royalties;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research and development programs, including by discontinuing and suspending development; and/or (6) restructuring operations to change our overhead structure.</w:t>
      </w:r>
    </w:p>
    <w:p>
      <w:pPr>
        <w:spacing w:after="0" w:line="185" w:lineRule="exact"/>
        <w:rPr>
          <w:sz w:val="20"/>
          <w:szCs w:val="20"/>
          <w:color w:val="auto"/>
        </w:rPr>
      </w:pPr>
    </w:p>
    <w:p>
      <w:pPr>
        <w:jc w:val="both"/>
        <w:ind w:firstLine="445"/>
        <w:spacing w:after="0" w:line="258" w:lineRule="auto"/>
        <w:rPr>
          <w:sz w:val="20"/>
          <w:szCs w:val="20"/>
          <w:color w:val="auto"/>
        </w:rPr>
      </w:pPr>
      <w:r>
        <w:rPr>
          <w:rFonts w:ascii="Arial" w:cs="Arial" w:eastAsia="Arial" w:hAnsi="Arial"/>
          <w:sz w:val="18"/>
          <w:szCs w:val="18"/>
          <w:color w:val="auto"/>
        </w:rPr>
        <w:t>There can be no assurance that any of our plans will be successful or that additional capital will be available to us on reasonable terms, or at all, when needed. If we are unable to obtain sufficient additional capital, we may be forced to adjust or curtail our operations; delay, reduce, or stop ongoing clinical trials or commercialization efforts; cease operations altogether; or file for bankruptcy.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Drug Development and Commercialization</w:t>
      </w:r>
    </w:p>
    <w:p>
      <w:pPr>
        <w:spacing w:after="0" w:line="220" w:lineRule="exact"/>
        <w:rPr>
          <w:sz w:val="20"/>
          <w:szCs w:val="20"/>
          <w:color w:val="auto"/>
        </w:rPr>
      </w:pPr>
    </w:p>
    <w:p>
      <w:pPr>
        <w:ind w:left="240" w:right="260"/>
        <w:spacing w:after="0" w:line="300" w:lineRule="auto"/>
        <w:rPr>
          <w:sz w:val="20"/>
          <w:szCs w:val="20"/>
          <w:color w:val="auto"/>
        </w:rPr>
      </w:pPr>
      <w:r>
        <w:rPr>
          <w:rFonts w:ascii="Arial" w:cs="Arial" w:eastAsia="Arial" w:hAnsi="Arial"/>
          <w:sz w:val="17"/>
          <w:szCs w:val="17"/>
          <w:b w:val="1"/>
          <w:bCs w:val="1"/>
          <w:i w:val="1"/>
          <w:iCs w:val="1"/>
          <w:color w:val="auto"/>
        </w:rPr>
        <w:t>Our success depends upon our ability to advance our product candidates through the various stages of development, especially through the clinical trial process, and to receive regulatory approval for the commercial sale of our product candidates.</w:t>
      </w:r>
    </w:p>
    <w:p>
      <w:pPr>
        <w:spacing w:after="0" w:line="152" w:lineRule="exact"/>
        <w:rPr>
          <w:sz w:val="20"/>
          <w:szCs w:val="20"/>
          <w:color w:val="auto"/>
        </w:rPr>
      </w:pPr>
    </w:p>
    <w:p>
      <w:pPr>
        <w:ind w:right="20" w:firstLine="445"/>
        <w:spacing w:after="0" w:line="267" w:lineRule="auto"/>
        <w:rPr>
          <w:sz w:val="20"/>
          <w:szCs w:val="20"/>
          <w:color w:val="auto"/>
        </w:rPr>
      </w:pPr>
      <w:r>
        <w:rPr>
          <w:rFonts w:ascii="Arial" w:cs="Arial" w:eastAsia="Arial" w:hAnsi="Arial"/>
          <w:sz w:val="17"/>
          <w:szCs w:val="17"/>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182" w:lineRule="exact"/>
        <w:rPr>
          <w:sz w:val="20"/>
          <w:szCs w:val="20"/>
          <w:color w:val="auto"/>
        </w:rPr>
      </w:pPr>
    </w:p>
    <w:p>
      <w:pPr>
        <w:ind w:firstLine="445"/>
        <w:spacing w:after="0" w:line="265" w:lineRule="auto"/>
        <w:rPr>
          <w:sz w:val="20"/>
          <w:szCs w:val="20"/>
          <w:color w:val="auto"/>
        </w:rPr>
      </w:pPr>
      <w:r>
        <w:rPr>
          <w:rFonts w:ascii="Arial" w:cs="Arial" w:eastAsia="Arial" w:hAnsi="Arial"/>
          <w:sz w:val="17"/>
          <w:szCs w:val="17"/>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Failure to achieve any of these endpoints in any of our programs, including BCX9930, BCX9250, galidesivir, and our other rare disease product candidates, could result in delays in or modifications to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Product candidates that initially show promise in clinical or preclinical testing could later be found to cause undesirable or unexpected side effects that could result in delays in the development of our product candidates, significant unexpected costs, or the termination of programs. The development plans for our product candidates, including our clinical trials, may not be adequately designed or executed, which could negatively affect the outcome and analysis of study results. Because of the cost and duration of clinical trials, we may decide to discontinue development of product candidates that are unlikely to show favorable results in clinical trials, unlikely to help advance a product to the point of a meaningful collaboration, or unlikely to have reasonable commercial potential.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0" w:name="page41"/>
    <w:bookmarkEnd w:id="40"/>
    <w:p>
      <w:pPr>
        <w:ind w:right="20" w:firstLine="445"/>
        <w:spacing w:after="0" w:line="287" w:lineRule="auto"/>
        <w:rPr>
          <w:sz w:val="20"/>
          <w:szCs w:val="20"/>
          <w:color w:val="auto"/>
        </w:rPr>
      </w:pPr>
      <w:r>
        <w:rPr>
          <w:rFonts w:ascii="Arial" w:cs="Arial" w:eastAsia="Arial" w:hAnsi="Arial"/>
          <w:sz w:val="16"/>
          <w:szCs w:val="16"/>
          <w:color w:val="auto"/>
        </w:rPr>
        <w:t>Undesirable or inconclusive data in our pre-clinical studies and clinical trials or side effects in humans could result in the FDA or foreign regulatory authorities (including, e.g., the EMA, the MHLW or the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may suspend or terminate clinical trials at any time if we or they believe the trial participants face unacceptable health risks.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successfully complete the clinical development process is dependent upon many factors, including but not limited to:</w:t>
      </w:r>
    </w:p>
    <w:p>
      <w:pPr>
        <w:spacing w:after="0" w:line="220" w:lineRule="exact"/>
        <w:rPr>
          <w:sz w:val="20"/>
          <w:szCs w:val="20"/>
          <w:color w:val="auto"/>
        </w:rPr>
      </w:pPr>
    </w:p>
    <w:p>
      <w:pPr>
        <w:ind w:left="960" w:right="420" w:hanging="313"/>
        <w:spacing w:after="0" w:line="255"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or our partners’ ability to secure suitable clinical sites and investigators and to enroll and maintain an adequate number of patients on a timely basis or at all;</w:t>
      </w:r>
    </w:p>
    <w:p>
      <w:pPr>
        <w:ind w:left="960" w:right="180" w:hanging="313"/>
        <w:spacing w:after="0" w:line="24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that enroll in a clinical trial may not comply with the clinical trial protocol or maintain contact with investigators to provide complete data during and after treatment;</w:t>
      </w: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 candidates may not prove to be either safe or effective or may produce unfavorable or inconclusive results;</w:t>
      </w:r>
    </w:p>
    <w:p>
      <w:pPr>
        <w:spacing w:after="0" w:line="6" w:lineRule="exact"/>
        <w:rPr>
          <w:rFonts w:ascii="Arial" w:cs="Arial" w:eastAsia="Arial" w:hAnsi="Arial"/>
          <w:sz w:val="18"/>
          <w:szCs w:val="18"/>
          <w:color w:val="auto"/>
        </w:rPr>
      </w:pPr>
    </w:p>
    <w:p>
      <w:pPr>
        <w:ind w:left="960" w:right="120" w:hanging="313"/>
        <w:spacing w:after="0" w:line="24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partners may decide, or be required by regulatory authorities, to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spacing w:after="0" w:line="1" w:lineRule="exact"/>
        <w:rPr>
          <w:rFonts w:ascii="Arial" w:cs="Arial" w:eastAsia="Arial" w:hAnsi="Arial"/>
          <w:sz w:val="18"/>
          <w:szCs w:val="18"/>
          <w:color w:val="auto"/>
        </w:rPr>
      </w:pPr>
    </w:p>
    <w:p>
      <w:pPr>
        <w:ind w:left="960" w:right="80" w:hanging="313"/>
        <w:spacing w:after="0" w:line="24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disagree with our or our partners’ clinical trial protocols or our or their interpretation of data from preclinical studies and clinical trials;</w:t>
      </w: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protocols or study procedures may not be adequately designed or followed by the investigators;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formulation improvements may not work as expected, which could negatively impact commercial demand for our product candidates;</w:t>
      </w:r>
    </w:p>
    <w:p>
      <w:pPr>
        <w:spacing w:after="0" w:line="18" w:lineRule="exact"/>
        <w:rPr>
          <w:rFonts w:ascii="Arial" w:cs="Arial" w:eastAsia="Arial" w:hAnsi="Arial"/>
          <w:sz w:val="17"/>
          <w:szCs w:val="17"/>
          <w:color w:val="auto"/>
        </w:rPr>
      </w:pPr>
    </w:p>
    <w:p>
      <w:pPr>
        <w:ind w:left="960" w:right="100" w:hanging="313"/>
        <w:spacing w:after="0" w:line="24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960" w:right="100" w:hanging="313"/>
        <w:spacing w:after="0" w:line="278"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ind w:left="960" w:hanging="313"/>
        <w:spacing w:after="0" w:line="24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or our partners’ development plans may be delayed or changed as a result of changes in development strategy, the impact of new or different regulations, requirements, and guidelines, or other unexpected events or conditions;</w:t>
      </w: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pre-clinical studies and clinical trials may be greater than we anticipate;</w:t>
      </w:r>
    </w:p>
    <w:p>
      <w:pPr>
        <w:spacing w:after="0" w:line="6" w:lineRule="exact"/>
        <w:rPr>
          <w:rFonts w:ascii="Arial" w:cs="Arial" w:eastAsia="Arial" w:hAnsi="Arial"/>
          <w:sz w:val="18"/>
          <w:szCs w:val="18"/>
          <w:color w:val="auto"/>
        </w:rPr>
      </w:pPr>
    </w:p>
    <w:p>
      <w:pPr>
        <w:ind w:left="960" w:right="280" w:hanging="313"/>
        <w:spacing w:after="0" w:line="24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spacing w:after="0" w:line="1"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COVID-19 pandemic on one or more of the foregoing factors.</w:t>
      </w:r>
    </w:p>
    <w:p>
      <w:pPr>
        <w:spacing w:after="0" w:line="20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Clinical trials are lengthy and expensive. Many of the factors listed above could result in increased clinical development costs or longer clinical development times for any of our programs. We or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may not receive regulatory approval for the product candidates, in which case we would be unable to generate any revenues from product sales or licensing arrangements, or any product candidate, if approved, may be subject to restrictions on labeling, marketing, distribution, prescribing, and use, which could adversely impact the sales of such product.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1" w:name="page42"/>
    <w:bookmarkEnd w:id="41"/>
    <w:p>
      <w:pPr>
        <w:ind w:left="240" w:right="380"/>
        <w:spacing w:after="0" w:line="270" w:lineRule="auto"/>
        <w:rPr>
          <w:sz w:val="20"/>
          <w:szCs w:val="20"/>
          <w:color w:val="auto"/>
        </w:rPr>
      </w:pPr>
      <w:r>
        <w:rPr>
          <w:rFonts w:ascii="Arial" w:cs="Arial" w:eastAsia="Arial" w:hAnsi="Arial"/>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rely heavily upon third parties for many important stages of our product candidate development, including but not limited to:</w:t>
      </w:r>
    </w:p>
    <w:p>
      <w:pPr>
        <w:spacing w:after="0" w:line="220" w:lineRule="exact"/>
        <w:rPr>
          <w:sz w:val="20"/>
          <w:szCs w:val="20"/>
          <w:color w:val="auto"/>
        </w:rPr>
      </w:pPr>
    </w:p>
    <w:p>
      <w:pPr>
        <w:ind w:left="960" w:right="260" w:hanging="313"/>
        <w:spacing w:after="0" w:line="255"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discovery of natural proteins that cause or enable biological reactions necessary for the progression of the disease or disorder, called enzyme targets;</w:t>
      </w: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execution of certain pharmacology preclinical studies and late-stage development for our compounds and product candidates;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of our phase 1, 2 and 3 clinical trials, including medical monitoring, laboratory testing, and data management;</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execution of toxicology studies that may be required to obtain approval for our product candidates;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formulation improvement strategies and methods;</w:t>
      </w:r>
    </w:p>
    <w:p>
      <w:pPr>
        <w:spacing w:after="0" w:line="6" w:lineRule="exact"/>
        <w:rPr>
          <w:rFonts w:ascii="Arial" w:cs="Arial" w:eastAsia="Arial" w:hAnsi="Arial"/>
          <w:sz w:val="18"/>
          <w:szCs w:val="18"/>
          <w:color w:val="auto"/>
        </w:rPr>
      </w:pPr>
    </w:p>
    <w:p>
      <w:pPr>
        <w:ind w:left="960" w:right="40" w:hanging="313"/>
        <w:spacing w:after="0" w:line="24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the starting materials and drug substance required to formulate our products and the product candidates to be used in our clinical trials, toxicology studies and any potential commercial product; and</w:t>
      </w: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of certain regulatory interactions outside of the United States.</w:t>
      </w:r>
    </w:p>
    <w:p>
      <w:pPr>
        <w:spacing w:after="0" w:line="207"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Our failure to engage in successful collaborations at any one of these stages would greatly impact our business. If we do not license enzyme targets or inhibitors from academic institutions or from other biotechnology companies on acceptable terms, our drug development efforts would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 connection with our clinical trials,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193" w:lineRule="exact"/>
        <w:rPr>
          <w:sz w:val="20"/>
          <w:szCs w:val="20"/>
          <w:color w:val="auto"/>
        </w:rPr>
      </w:pPr>
    </w:p>
    <w:p>
      <w:pPr>
        <w:ind w:right="160" w:firstLine="445"/>
        <w:spacing w:after="0" w:line="250" w:lineRule="auto"/>
        <w:rPr>
          <w:sz w:val="20"/>
          <w:szCs w:val="20"/>
          <w:color w:val="auto"/>
        </w:rPr>
      </w:pPr>
      <w:r>
        <w:rPr>
          <w:rFonts w:ascii="Arial" w:cs="Arial" w:eastAsia="Arial" w:hAnsi="Arial"/>
          <w:sz w:val="18"/>
          <w:szCs w:val="18"/>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are realized, our business, financial condition and results of operations could be materially adversely affected.</w:t>
      </w:r>
    </w:p>
    <w:p>
      <w:pPr>
        <w:spacing w:after="0" w:line="196" w:lineRule="exact"/>
        <w:rPr>
          <w:sz w:val="20"/>
          <w:szCs w:val="20"/>
          <w:color w:val="auto"/>
        </w:rPr>
      </w:pPr>
    </w:p>
    <w:p>
      <w:pPr>
        <w:ind w:left="240" w:right="1280"/>
        <w:spacing w:after="0" w:line="270" w:lineRule="auto"/>
        <w:rPr>
          <w:sz w:val="20"/>
          <w:szCs w:val="20"/>
          <w:color w:val="auto"/>
        </w:rPr>
      </w:pPr>
      <w:r>
        <w:rPr>
          <w:rFonts w:ascii="Arial" w:cs="Arial" w:eastAsia="Arial" w:hAnsi="Arial"/>
          <w:sz w:val="18"/>
          <w:szCs w:val="18"/>
          <w:b w:val="1"/>
          <w:bCs w:val="1"/>
          <w:i w:val="1"/>
          <w:iCs w:val="1"/>
          <w:color w:val="auto"/>
        </w:rPr>
        <w:t>If we fail to obtain additional financing or acceptable partnership arrangements, we may be unable to complete the development and commercialization of our products and product candidates or continue operations.</w:t>
      </w:r>
    </w:p>
    <w:p>
      <w:pPr>
        <w:spacing w:after="0" w:line="175"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As our programs advance, our costs are likely to increase. Our current and planned discovery, development, approval, and commercialization efforts will require significant capital. Our expenses, revenues and cash utilization rate could vary significantly depending on many factors, including: our ability to obtain regulatory approval for our product candidates, including BCX9930, BCX9250, and galidesivir; our ability to maintain regulatory approval for, successfully commercialize, and achieve market acceptance of our products, including ORLADEYO; our ability to raise additional capital; the amount of funding we receive from partnerships with third parties for the development and commercialization of our products and product candidates (including our collaborations with Torii, BARDA/HHS, and NIAID/HHS); the commercial success of our products achieved by our partners; the amount or profitability of any orders for peramivir or galidesivir by any government agency or other party; the progress and results of our current and proposed clinical trials for our product candidates; and the progress made in the manufacture of our lead products and the progression of our other programs.</w:t>
      </w:r>
    </w:p>
    <w:p>
      <w:pPr>
        <w:spacing w:after="0" w:line="167" w:lineRule="exact"/>
        <w:rPr>
          <w:sz w:val="20"/>
          <w:szCs w:val="20"/>
          <w:color w:val="auto"/>
        </w:rPr>
      </w:pPr>
    </w:p>
    <w:p>
      <w:pPr>
        <w:ind w:right="120" w:firstLine="445"/>
        <w:spacing w:after="0" w:line="265" w:lineRule="auto"/>
        <w:rPr>
          <w:sz w:val="20"/>
          <w:szCs w:val="20"/>
          <w:color w:val="auto"/>
        </w:rPr>
      </w:pPr>
      <w:r>
        <w:rPr>
          <w:rFonts w:ascii="Arial" w:cs="Arial" w:eastAsia="Arial" w:hAnsi="Arial"/>
          <w:sz w:val="17"/>
          <w:szCs w:val="17"/>
          <w:color w:val="auto"/>
        </w:rPr>
        <w:t>In order to continue future operations, progress our drug development programs, and commercialize our current products and product candidates, we will be required to raise additional capital. In addition to seeking strategic partnerships, transactions and government funding, we may access the equity or debt markets, incur additional borrowings,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including corporate partners such as Torii and governmental agencies such as BARDA/HHS or NIAID/HHS, or from other sources, may not be available when needed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our Credit Agreement. In addition, collaborative arrangements may require us to transfer certain material rights to such corporate partners. Insufficient funds or lack of an acceptable partnership may require us to delay, scale-back or eliminate certain of our research and development programs.</w:t>
      </w:r>
    </w:p>
    <w:p>
      <w:pPr>
        <w:spacing w:after="0" w:line="188" w:lineRule="exact"/>
        <w:rPr>
          <w:sz w:val="20"/>
          <w:szCs w:val="20"/>
          <w:color w:val="auto"/>
        </w:rPr>
      </w:pPr>
    </w:p>
    <w:p>
      <w:pPr>
        <w:ind w:firstLine="445"/>
        <w:spacing w:after="0" w:line="282" w:lineRule="auto"/>
        <w:rPr>
          <w:sz w:val="20"/>
          <w:szCs w:val="20"/>
          <w:color w:val="auto"/>
        </w:rPr>
      </w:pPr>
      <w:r>
        <w:rPr>
          <w:rFonts w:ascii="Arial" w:cs="Arial" w:eastAsia="Arial" w:hAnsi="Arial"/>
          <w:sz w:val="16"/>
          <w:szCs w:val="16"/>
          <w:color w:val="auto"/>
        </w:rPr>
        <w:t>Our ability to raise additional capital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and carcinogenicity, drug-drug interaction, toxicity, or other required studies) for BCX9250 for the treatment of FOP, BCX9930 for diseases of the complement system, our broad-spectrum antiviral program, including galidesivir, and other rare disease product candidates, as well as any post-approval studies for our products. In addition, constriction and volatility in the equity and debt markets, including as a result of the impacts of COVID-19, may restrict our future flexibility to raise capital when such needs arise. Furthermore, we have exposure to many different industries, financing partners and counterparties, including commercial banks, investment banks and partners (which include investors, licensing partners, and the U.S. Government), which may be unstable or may become unstable in the current economic and political environment, including as a result of the impacts of COVID-19.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could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330" w:gutter="0" w:footer="0" w:header="0"/>
        </w:sectPr>
      </w:pPr>
    </w:p>
    <w:bookmarkStart w:id="42" w:name="page43"/>
    <w:bookmarkEnd w:id="42"/>
    <w:p>
      <w:pPr>
        <w:ind w:left="240" w:right="40"/>
        <w:spacing w:after="0" w:line="258" w:lineRule="auto"/>
        <w:rPr>
          <w:sz w:val="20"/>
          <w:szCs w:val="20"/>
          <w:color w:val="auto"/>
        </w:rPr>
      </w:pPr>
      <w:r>
        <w:rPr>
          <w:rFonts w:ascii="Arial" w:cs="Arial" w:eastAsia="Arial" w:hAnsi="Arial"/>
          <w:sz w:val="18"/>
          <w:szCs w:val="18"/>
          <w:b w:val="1"/>
          <w:bCs w:val="1"/>
          <w:i w:val="1"/>
          <w:iCs w:val="1"/>
          <w:color w:val="auto"/>
        </w:rPr>
        <w:t>If we or our partners do not obtain governmental approval for our product candidates or maintain governmental approval for our products, we or our partners will not be able to commercialize and sell these products and potential products, which would significantly harm our business because we will receive no revenue.</w:t>
      </w:r>
    </w:p>
    <w:p>
      <w:pPr>
        <w:spacing w:after="0" w:line="186" w:lineRule="exact"/>
        <w:rPr>
          <w:sz w:val="20"/>
          <w:szCs w:val="20"/>
          <w:color w:val="auto"/>
        </w:rPr>
      </w:pPr>
    </w:p>
    <w:p>
      <w:pPr>
        <w:ind w:right="160" w:firstLine="445"/>
        <w:spacing w:after="0" w:line="255" w:lineRule="auto"/>
        <w:rPr>
          <w:sz w:val="20"/>
          <w:szCs w:val="20"/>
          <w:color w:val="auto"/>
        </w:rPr>
      </w:pPr>
      <w:r>
        <w:rPr>
          <w:rFonts w:ascii="Arial" w:cs="Arial" w:eastAsia="Arial" w:hAnsi="Arial"/>
          <w:sz w:val="18"/>
          <w:szCs w:val="18"/>
          <w:color w:val="auto"/>
        </w:rPr>
        <w:t>We or our partners must obtain regulatory approval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88" w:lineRule="exact"/>
        <w:rPr>
          <w:sz w:val="20"/>
          <w:szCs w:val="20"/>
          <w:color w:val="auto"/>
        </w:rPr>
      </w:pPr>
    </w:p>
    <w:p>
      <w:pPr>
        <w:ind w:right="40" w:firstLine="445"/>
        <w:spacing w:after="0" w:line="267" w:lineRule="auto"/>
        <w:rPr>
          <w:sz w:val="20"/>
          <w:szCs w:val="20"/>
          <w:color w:val="auto"/>
        </w:rPr>
      </w:pPr>
      <w:r>
        <w:rPr>
          <w:rFonts w:ascii="Arial" w:cs="Arial" w:eastAsia="Arial" w:hAnsi="Arial"/>
          <w:sz w:val="17"/>
          <w:szCs w:val="17"/>
          <w:color w:val="auto"/>
        </w:rPr>
        <w:t>The process of preparing for and obtaining regulatory approval in any jurisdiction may be lengthy and expensive, and approval is never certain. Because of the risks and uncertainties inherent to the development process, including risks and uncertainties related to the impact of COVID-19, our product candidates could take a significantly longer time to gain regulatory approval than we expect or may never gain approval. As discussed under “Risk Factors— Risks Relating to Our Business—Risks Relating to Drug Development and Commercialization—Our success depends upon our ability to advance our product candidates through the various stages of development, especially through the clinical trial process, and to receive regulatory approval for the commercial sale of our product candidates,” we or our partners may 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spacing w:after="0" w:line="182" w:lineRule="exact"/>
        <w:rPr>
          <w:sz w:val="20"/>
          <w:szCs w:val="20"/>
          <w:color w:val="auto"/>
        </w:rPr>
      </w:pPr>
    </w:p>
    <w:p>
      <w:pPr>
        <w:ind w:right="480" w:firstLine="445"/>
        <w:spacing w:after="0" w:line="274" w:lineRule="auto"/>
        <w:rPr>
          <w:sz w:val="20"/>
          <w:szCs w:val="20"/>
          <w:color w:val="auto"/>
        </w:rPr>
      </w:pPr>
      <w:r>
        <w:rPr>
          <w:rFonts w:ascii="Arial" w:cs="Arial" w:eastAsia="Arial" w:hAnsi="Arial"/>
          <w:sz w:val="17"/>
          <w:szCs w:val="17"/>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These requirements are wide ranging and govern, among other things:</w:t>
      </w:r>
    </w:p>
    <w:p>
      <w:pPr>
        <w:spacing w:after="0" w:line="175" w:lineRule="exact"/>
        <w:rPr>
          <w:sz w:val="20"/>
          <w:szCs w:val="20"/>
          <w:color w:val="auto"/>
        </w:rPr>
      </w:pPr>
    </w:p>
    <w:p>
      <w:pPr>
        <w:ind w:left="800" w:hanging="31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drug experience reporting regulations;</w:t>
      </w:r>
    </w:p>
    <w:p>
      <w:pPr>
        <w:spacing w:after="0" w:line="19" w:lineRule="exact"/>
        <w:rPr>
          <w:rFonts w:ascii="Arial" w:cs="Arial" w:eastAsia="Arial" w:hAnsi="Arial"/>
          <w:sz w:val="18"/>
          <w:szCs w:val="18"/>
          <w:color w:val="auto"/>
        </w:rPr>
      </w:pPr>
    </w:p>
    <w:p>
      <w:pPr>
        <w:ind w:left="800" w:hanging="31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promotion;</w:t>
      </w:r>
    </w:p>
    <w:p>
      <w:pPr>
        <w:spacing w:after="0" w:line="6" w:lineRule="exact"/>
        <w:rPr>
          <w:rFonts w:ascii="Arial" w:cs="Arial" w:eastAsia="Arial" w:hAnsi="Arial"/>
          <w:sz w:val="18"/>
          <w:szCs w:val="18"/>
          <w:color w:val="auto"/>
        </w:rPr>
      </w:pPr>
    </w:p>
    <w:p>
      <w:pPr>
        <w:ind w:left="800" w:hanging="31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manufacturing, including good manufacturing practice requirements; and</w:t>
      </w:r>
    </w:p>
    <w:p>
      <w:pPr>
        <w:spacing w:after="0" w:line="6" w:lineRule="exact"/>
        <w:rPr>
          <w:rFonts w:ascii="Arial" w:cs="Arial" w:eastAsia="Arial" w:hAnsi="Arial"/>
          <w:sz w:val="18"/>
          <w:szCs w:val="18"/>
          <w:color w:val="auto"/>
        </w:rPr>
      </w:pPr>
    </w:p>
    <w:p>
      <w:pPr>
        <w:ind w:left="800" w:hanging="31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changes or modifications.</w:t>
      </w:r>
    </w:p>
    <w:p>
      <w:pPr>
        <w:spacing w:after="0" w:line="207" w:lineRule="exact"/>
        <w:rPr>
          <w:sz w:val="20"/>
          <w:szCs w:val="20"/>
          <w:color w:val="auto"/>
        </w:rPr>
      </w:pPr>
    </w:p>
    <w:p>
      <w:pPr>
        <w:ind w:right="80" w:firstLine="445"/>
        <w:spacing w:after="0" w:line="258" w:lineRule="auto"/>
        <w:rPr>
          <w:sz w:val="20"/>
          <w:szCs w:val="20"/>
          <w:color w:val="auto"/>
        </w:rPr>
      </w:pPr>
      <w:r>
        <w:rPr>
          <w:rFonts w:ascii="Arial" w:cs="Arial" w:eastAsia="Arial" w:hAnsi="Arial"/>
          <w:sz w:val="18"/>
          <w:szCs w:val="18"/>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focus on rare diseases, which may create additional risks and challenges.</w:t>
      </w:r>
    </w:p>
    <w:p>
      <w:pPr>
        <w:spacing w:after="0" w:line="220" w:lineRule="exact"/>
        <w:rPr>
          <w:sz w:val="20"/>
          <w:szCs w:val="20"/>
          <w:color w:val="auto"/>
        </w:rPr>
      </w:pPr>
    </w:p>
    <w:p>
      <w:pPr>
        <w:ind w:firstLine="445"/>
        <w:spacing w:after="0" w:line="283" w:lineRule="auto"/>
        <w:rPr>
          <w:sz w:val="20"/>
          <w:szCs w:val="20"/>
          <w:color w:val="auto"/>
        </w:rPr>
      </w:pPr>
      <w:r>
        <w:rPr>
          <w:rFonts w:ascii="Arial" w:cs="Arial" w:eastAsia="Arial" w:hAnsi="Arial"/>
          <w:sz w:val="16"/>
          <w:szCs w:val="16"/>
          <w:color w:val="auto"/>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For instance, although BCX9930 for PNH has received Fast Track and Orphan Drug designations from the FDA, we may not experience a faster development, review or approval process compared to the conventional process in the relevant jurisdictions. We may not be able to obtain or maintain these designations for BCX9930 or other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3" w:name="page44"/>
    <w:bookmarkEnd w:id="43"/>
    <w:p>
      <w:pPr>
        <w:ind w:left="240" w:right="140"/>
        <w:spacing w:after="0" w:line="300" w:lineRule="auto"/>
        <w:rPr>
          <w:sz w:val="20"/>
          <w:szCs w:val="20"/>
          <w:color w:val="auto"/>
        </w:rPr>
      </w:pPr>
      <w:r>
        <w:rPr>
          <w:rFonts w:ascii="Arial" w:cs="Arial" w:eastAsia="Arial" w:hAnsi="Arial"/>
          <w:sz w:val="17"/>
          <w:szCs w:val="17"/>
          <w:b w:val="1"/>
          <w:bCs w:val="1"/>
          <w:i w:val="1"/>
          <w:iCs w:val="1"/>
          <w:color w:val="auto"/>
        </w:rPr>
        <w:t>The commercial viability of any approved product could be compromised if the product is less effective than expected, causes undesirable side effects that were not previously identified, or fails to achieve market acceptance within the medical community.</w:t>
      </w:r>
    </w:p>
    <w:p>
      <w:pPr>
        <w:spacing w:after="0" w:line="152" w:lineRule="exact"/>
        <w:rPr>
          <w:sz w:val="20"/>
          <w:szCs w:val="20"/>
          <w:color w:val="auto"/>
        </w:rPr>
      </w:pPr>
    </w:p>
    <w:p>
      <w:pPr>
        <w:ind w:right="300" w:firstLine="445"/>
        <w:spacing w:after="0" w:line="270" w:lineRule="auto"/>
        <w:rPr>
          <w:sz w:val="20"/>
          <w:szCs w:val="20"/>
          <w:color w:val="auto"/>
        </w:rPr>
      </w:pPr>
      <w:r>
        <w:rPr>
          <w:rFonts w:ascii="Arial" w:cs="Arial" w:eastAsia="Arial" w:hAnsi="Arial"/>
          <w:sz w:val="18"/>
          <w:szCs w:val="18"/>
          <w:color w:val="auto"/>
        </w:rPr>
        <w:t>If, after obtaining regulatory approval of a product, we or others discover that it is less effective than previously believed or causes undesirable side effects that were not previously identified, any of the following adverse events could occur:</w:t>
      </w:r>
    </w:p>
    <w:p>
      <w:pPr>
        <w:spacing w:after="0" w:line="175" w:lineRule="exact"/>
        <w:rPr>
          <w:sz w:val="20"/>
          <w:szCs w:val="20"/>
          <w:color w:val="auto"/>
        </w:rPr>
      </w:pPr>
    </w:p>
    <w:p>
      <w:pPr>
        <w:ind w:left="800" w:right="360" w:hanging="313"/>
        <w:spacing w:after="0" w:line="255"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ind w:left="800" w:right="460" w:hanging="313"/>
        <w:spacing w:after="0" w:line="24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partners may be required to recall the product, change the way the product is administered, conduct additional clinical trials, or be subject to civil or criminal penalties; and</w:t>
      </w:r>
    </w:p>
    <w:p>
      <w:pPr>
        <w:ind w:left="800" w:hanging="313"/>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207" w:lineRule="exact"/>
        <w:rPr>
          <w:sz w:val="20"/>
          <w:szCs w:val="20"/>
          <w:color w:val="auto"/>
        </w:rPr>
      </w:pPr>
    </w:p>
    <w:p>
      <w:pPr>
        <w:ind w:right="180" w:firstLine="445"/>
        <w:spacing w:after="0" w:line="289" w:lineRule="auto"/>
        <w:rPr>
          <w:sz w:val="20"/>
          <w:szCs w:val="20"/>
          <w:color w:val="auto"/>
        </w:rPr>
      </w:pPr>
      <w:r>
        <w:rPr>
          <w:rFonts w:ascii="Arial" w:cs="Arial" w:eastAsia="Arial" w:hAnsi="Arial"/>
          <w:sz w:val="16"/>
          <w:szCs w:val="16"/>
          <w:color w:val="auto"/>
        </w:rPr>
        <w:t>Even after receiving regulatory approval, any product could fail to gain sufficient, or even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spacing w:after="0" w:line="165" w:lineRule="exact"/>
        <w:rPr>
          <w:sz w:val="20"/>
          <w:szCs w:val="20"/>
          <w:color w:val="auto"/>
        </w:rPr>
      </w:pPr>
    </w:p>
    <w:p>
      <w:pPr>
        <w:jc w:val="both"/>
        <w:ind w:left="240"/>
        <w:spacing w:after="0" w:line="258" w:lineRule="auto"/>
        <w:rPr>
          <w:sz w:val="20"/>
          <w:szCs w:val="20"/>
          <w:color w:val="auto"/>
        </w:rPr>
      </w:pPr>
      <w:r>
        <w:rPr>
          <w:rFonts w:ascii="Arial" w:cs="Arial" w:eastAsia="Arial" w:hAnsi="Arial"/>
          <w:sz w:val="18"/>
          <w:szCs w:val="18"/>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186"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Our business strategy is to increase the asset value of our product and product candidate portfolio. We believe this is best achieved by retaining full product rights or through collaborative arrangements with third parties as appropriate. As needed, potential third-party relationships could include preclinical development, clinical development, regulatory approval, marketing, sales, and distribution of our products and product candidates.</w:t>
      </w:r>
    </w:p>
    <w:p>
      <w:pPr>
        <w:spacing w:after="0" w:line="150" w:lineRule="exact"/>
        <w:rPr>
          <w:sz w:val="20"/>
          <w:szCs w:val="20"/>
          <w:color w:val="auto"/>
        </w:rPr>
      </w:pPr>
    </w:p>
    <w:p>
      <w:pPr>
        <w:ind w:right="240" w:firstLine="445"/>
        <w:spacing w:after="0" w:line="255" w:lineRule="auto"/>
        <w:rPr>
          <w:sz w:val="20"/>
          <w:szCs w:val="20"/>
          <w:color w:val="auto"/>
        </w:rPr>
      </w:pPr>
      <w:r>
        <w:rPr>
          <w:rFonts w:ascii="Arial" w:cs="Arial" w:eastAsia="Arial" w:hAnsi="Arial"/>
          <w:sz w:val="18"/>
          <w:szCs w:val="18"/>
          <w:color w:val="auto"/>
        </w:rPr>
        <w:t>Currently, we have established collaborative relationships with Torii for the commercialization of ORLADEYO in Japan, with each of Shionogi and Green Cross for the development and commercialization of peramivir, and with Mundipharma for the development and commercialization of Mundesine (forodesine). The process of establishing and implementing collaborative relationships is difficult, time-consuming and involves significant uncertainty, including:</w:t>
      </w:r>
    </w:p>
    <w:p>
      <w:pPr>
        <w:spacing w:after="0" w:line="188" w:lineRule="exact"/>
        <w:rPr>
          <w:sz w:val="20"/>
          <w:szCs w:val="20"/>
          <w:color w:val="auto"/>
        </w:rPr>
      </w:pPr>
    </w:p>
    <w:p>
      <w:pPr>
        <w:ind w:left="960" w:right="360" w:hanging="313"/>
        <w:spacing w:after="0" w:line="270"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partners may seek to renegotiate or terminate their relationships with us due to unsatisfactory commercial, regulatory or clinical results, including post-approval clinical commitments, a change in business strategy, a change of control or other reasons;</w:t>
      </w: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contracts for collaborative arrangements may expire;</w:t>
      </w:r>
    </w:p>
    <w:p>
      <w:pPr>
        <w:spacing w:after="0" w:line="6" w:lineRule="exact"/>
        <w:rPr>
          <w:rFonts w:ascii="Arial" w:cs="Arial" w:eastAsia="Arial" w:hAnsi="Arial"/>
          <w:sz w:val="18"/>
          <w:szCs w:val="18"/>
          <w:color w:val="auto"/>
        </w:rPr>
      </w:pPr>
    </w:p>
    <w:p>
      <w:pPr>
        <w:ind w:left="960" w:right="240" w:hanging="313"/>
        <w:spacing w:after="0" w:line="24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possibility that expiration or termination of collaborative relationships, such as those with certain of our distribution partners, may trigger repurchase obligations of the Company for unsold product held by our partner;</w:t>
      </w: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partners may choose to pursue alternative technologies, including those of our competitors;</w:t>
      </w:r>
    </w:p>
    <w:p>
      <w:pPr>
        <w:spacing w:after="0" w:line="6" w:lineRule="exact"/>
        <w:rPr>
          <w:rFonts w:ascii="Arial" w:cs="Arial" w:eastAsia="Arial" w:hAnsi="Arial"/>
          <w:sz w:val="18"/>
          <w:szCs w:val="18"/>
          <w:color w:val="auto"/>
        </w:rPr>
      </w:pPr>
    </w:p>
    <w:p>
      <w:pPr>
        <w:ind w:left="960" w:right="60" w:hanging="313"/>
        <w:spacing w:after="0" w:line="24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disputes with a partner that could lead to litigation or arbitration, such as the recent arbitration proceeding between us and Seqirus UK Limited, which could result in substantial costs and divert the attention of our management;</w:t>
      </w: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do not have day-to-day control over the activities of our partners and have limited control over their decisions;</w:t>
      </w:r>
    </w:p>
    <w:p>
      <w:pPr>
        <w:spacing w:after="0" w:line="6" w:lineRule="exact"/>
        <w:rPr>
          <w:rFonts w:ascii="Arial" w:cs="Arial" w:eastAsia="Arial" w:hAnsi="Arial"/>
          <w:sz w:val="18"/>
          <w:szCs w:val="18"/>
          <w:color w:val="auto"/>
        </w:rPr>
      </w:pPr>
    </w:p>
    <w:p>
      <w:pPr>
        <w:ind w:left="960" w:right="140" w:hanging="313"/>
        <w:spacing w:after="0" w:line="278"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ind w:left="960" w:right="60" w:hanging="313"/>
        <w:spacing w:after="0" w:line="24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 w:lineRule="exact"/>
        <w:rPr>
          <w:rFonts w:ascii="Arial" w:cs="Arial" w:eastAsia="Arial" w:hAnsi="Arial"/>
          <w:sz w:val="18"/>
          <w:szCs w:val="18"/>
          <w:color w:val="auto"/>
        </w:rPr>
      </w:pP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partners may not devote sufficient capital or resources toward our products and product candidates; and</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partners may not comply with applicable government regulatory requirements.</w:t>
      </w:r>
    </w:p>
    <w:p>
      <w:pPr>
        <w:spacing w:after="0" w:line="20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4" w:name="page45"/>
    <w:bookmarkEnd w:id="44"/>
    <w:p>
      <w:pPr>
        <w:ind w:left="240"/>
        <w:spacing w:after="0"/>
        <w:rPr>
          <w:sz w:val="20"/>
          <w:szCs w:val="20"/>
          <w:color w:val="auto"/>
        </w:rPr>
      </w:pPr>
      <w:r>
        <w:rPr>
          <w:rFonts w:ascii="Arial" w:cs="Arial" w:eastAsia="Arial" w:hAnsi="Arial"/>
          <w:sz w:val="18"/>
          <w:szCs w:val="18"/>
          <w:b w:val="1"/>
          <w:bCs w:val="1"/>
          <w:i w:val="1"/>
          <w:iCs w:val="1"/>
          <w:color w:val="auto"/>
        </w:rPr>
        <w:t>The results of our partnership with Torii may not meet our current expectations.</w:t>
      </w:r>
    </w:p>
    <w:p>
      <w:pPr>
        <w:spacing w:after="0" w:line="220"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have an agreement with Torii for the development and commercialization of ORLADEYO in Japan. We do not have a history of working with Torii and cannot predict the success of this collaboration. Our ability to realize the expected benefits of this collaboration, including with respect to the receipt or amounts of royalty payments, is subject to a number of risks, including that the commercial potential of ORLADEYO may not meet our current expectations, we or Torii may fail to comply with our respective obligations under the Torii Agreement, and third parties may fail to perform their obligations to us on a timely basis or at all.</w:t>
      </w:r>
    </w:p>
    <w:p>
      <w:pPr>
        <w:spacing w:after="0" w:line="190"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The Torii Agreement provides that we will be entitled to receive tiered royalty payments, the amounts of which will depend upon the amount of annual net sales of ORLADEYO in Japan during each calendar year and other factors. We remain responsible for regulatory activities with respect to ORLADEYO in Japan for one year after the first commercial sale. We continue to use third parties to satisfy many of our obligations under the Torii Agreement, including but not limited to our regulatory and other responsibilities in Japan. If our interactions, or those of our third-party agents, are unsuccessful, we could fail to meet our obligations under the Torii Agreement, which could negatively impact the commercial success and the partnership, impact the economic benefit expected or require additional development of ORLADEYO.</w:t>
      </w:r>
    </w:p>
    <w:p>
      <w:pPr>
        <w:spacing w:after="0" w:line="180" w:lineRule="exact"/>
        <w:rPr>
          <w:sz w:val="20"/>
          <w:szCs w:val="20"/>
          <w:color w:val="auto"/>
        </w:rPr>
      </w:pPr>
    </w:p>
    <w:p>
      <w:pPr>
        <w:ind w:firstLine="445"/>
        <w:spacing w:after="0" w:line="306" w:lineRule="auto"/>
        <w:rPr>
          <w:sz w:val="20"/>
          <w:szCs w:val="20"/>
          <w:color w:val="auto"/>
        </w:rPr>
      </w:pPr>
      <w:r>
        <w:rPr>
          <w:rFonts w:ascii="Arial" w:cs="Arial" w:eastAsia="Arial" w:hAnsi="Arial"/>
          <w:sz w:val="16"/>
          <w:szCs w:val="16"/>
          <w:color w:val="auto"/>
        </w:rPr>
        <w:t>Torii may terminate the Torii Agreement under certain limited circumstances, including upon one year’s written notice after the sixth anniversary of the first commercial sale of ORLADEYO in Japan. If the Torii Agreement is terminated in connection with these provisions, we will no longer be entitled to receive any milestone or royalty payments thereunder, which could have a material adverse impact on our business and results of operations.</w:t>
      </w:r>
    </w:p>
    <w:p>
      <w:pPr>
        <w:spacing w:after="0" w:line="150"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Torii will have sole control over, and decision-making authority with respect to, commercialization activities for ORLADEYO for the prevention of HAE attacks in Japan, subject to oversight from a joint steering committee. Therefore, our receipt, and the amounts, of any royalty payments under the Torii Agreement are dependent upon Torii’s successful performance of such commercialization activities. In addition, competitive products and variations in patient demand, prescription levels, reimbursement determinations or other factors may limit the commercial potential of ORLADEYO in Japan, which could materially reduce the amount of any royalties we would be entitled to receive under the Torii Agreement.</w:t>
      </w:r>
    </w:p>
    <w:p>
      <w:pPr>
        <w:spacing w:after="0" w:line="177" w:lineRule="exact"/>
        <w:rPr>
          <w:sz w:val="20"/>
          <w:szCs w:val="20"/>
          <w:color w:val="auto"/>
        </w:rPr>
      </w:pPr>
    </w:p>
    <w:p>
      <w:pPr>
        <w:jc w:val="both"/>
        <w:ind w:right="260" w:firstLine="445"/>
        <w:spacing w:after="0" w:line="255" w:lineRule="auto"/>
        <w:rPr>
          <w:sz w:val="20"/>
          <w:szCs w:val="20"/>
          <w:color w:val="auto"/>
        </w:rPr>
      </w:pPr>
      <w:r>
        <w:rPr>
          <w:rFonts w:ascii="Arial" w:cs="Arial" w:eastAsia="Arial" w:hAnsi="Arial"/>
          <w:sz w:val="18"/>
          <w:szCs w:val="18"/>
          <w:color w:val="auto"/>
        </w:rPr>
        <w:t>Under the Torii Agreement, we will be responsible for supplying Torii with its required amounts of ORLADEYO for commercial sale. If, due to the failure of our third-party contract manufacturers to produce sufficient drug product, we fail to supply to Torii the required amounts of ORLADEYO, then Torii’s ability to successfully commercialize ORLADEYO in Japan could be materially impaired, and we may receive less royalty income under the Torii Agreement, or none at all.</w:t>
      </w:r>
    </w:p>
    <w:p>
      <w:pPr>
        <w:spacing w:after="0" w:line="188" w:lineRule="exact"/>
        <w:rPr>
          <w:sz w:val="20"/>
          <w:szCs w:val="20"/>
          <w:color w:val="auto"/>
        </w:rPr>
      </w:pPr>
    </w:p>
    <w:p>
      <w:pPr>
        <w:ind w:firstLine="445"/>
        <w:spacing w:after="0" w:line="300" w:lineRule="auto"/>
        <w:rPr>
          <w:sz w:val="20"/>
          <w:szCs w:val="20"/>
          <w:color w:val="auto"/>
        </w:rPr>
      </w:pPr>
      <w:r>
        <w:rPr>
          <w:rFonts w:ascii="Arial" w:cs="Arial" w:eastAsia="Arial" w:hAnsi="Arial"/>
          <w:sz w:val="17"/>
          <w:szCs w:val="17"/>
          <w:color w:val="auto"/>
        </w:rPr>
        <w:t>Any of the foregoing risks could materially adversely impact our ability to perform our obligations under the Torii Agreement, which could materially reduce the economic benefits of the Torii Agreement to us and impair or result in the termination of our collaboration with Torii.</w:t>
      </w:r>
    </w:p>
    <w:p>
      <w:pPr>
        <w:spacing w:after="0" w:line="152" w:lineRule="exact"/>
        <w:rPr>
          <w:sz w:val="20"/>
          <w:szCs w:val="20"/>
          <w:color w:val="auto"/>
        </w:rPr>
      </w:pPr>
    </w:p>
    <w:p>
      <w:pPr>
        <w:ind w:left="240" w:right="180"/>
        <w:spacing w:after="0" w:line="270" w:lineRule="auto"/>
        <w:rPr>
          <w:sz w:val="20"/>
          <w:szCs w:val="20"/>
          <w:color w:val="auto"/>
        </w:rPr>
      </w:pPr>
      <w:r>
        <w:rPr>
          <w:rFonts w:ascii="Arial" w:cs="Arial" w:eastAsia="Arial" w:hAnsi="Arial"/>
          <w:sz w:val="18"/>
          <w:szCs w:val="18"/>
          <w:b w:val="1"/>
          <w:bCs w:val="1"/>
          <w:i w:val="1"/>
          <w:iCs w:val="1"/>
          <w:color w:val="auto"/>
        </w:rPr>
        <w:t>There can be no assurance that our commercialization efforts, methods, and strategies for our products or technologies will succeed, and our future revenue generation is uncertain.</w:t>
      </w:r>
    </w:p>
    <w:p>
      <w:pPr>
        <w:spacing w:after="0" w:line="175"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There can be no assurance that our and our partners’ commercialization efforts, methods and strategies will succeed. Although we have expanded and added experienced professionals to our internal commercial team, as a company we do not have a great deal of experience in commercializing our products or technologies. In addition,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160" w:lineRule="exact"/>
        <w:rPr>
          <w:sz w:val="20"/>
          <w:szCs w:val="20"/>
          <w:color w:val="auto"/>
        </w:rPr>
      </w:pPr>
    </w:p>
    <w:p>
      <w:pPr>
        <w:ind w:left="960" w:right="600" w:hanging="313"/>
        <w:spacing w:after="0" w:line="25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partners may fail to successfully complete clinical trials, or satisfy post-marketing commitments, sufficient to obtain and keep regulatory agency marketing approval;</w:t>
      </w:r>
    </w:p>
    <w:p>
      <w:pPr>
        <w:ind w:left="960" w:right="200" w:hanging="313"/>
        <w:spacing w:after="0" w:line="24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ind w:left="960" w:right="20" w:hanging="313"/>
        <w:spacing w:after="0" w:line="24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spacing w:after="0" w:line="1" w:lineRule="exact"/>
        <w:rPr>
          <w:rFonts w:ascii="Arial" w:cs="Arial" w:eastAsia="Arial" w:hAnsi="Arial"/>
          <w:sz w:val="18"/>
          <w:szCs w:val="18"/>
          <w:color w:val="auto"/>
        </w:rPr>
      </w:pPr>
    </w:p>
    <w:p>
      <w:pPr>
        <w:ind w:left="960" w:right="220" w:hanging="313"/>
        <w:spacing w:after="0" w:line="24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fail to employ a comprehensive and effective regulatory strategy, which could result in a delay or failure in commercialization of our products;</w:t>
      </w:r>
    </w:p>
    <w:p>
      <w:pPr>
        <w:ind w:left="960" w:right="120" w:hanging="313"/>
        <w:spacing w:after="0" w:line="24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and our partners’ ability to successfully commercialize our products is affected by the competitive landscape, which cannot be fully known at this time;</w:t>
      </w: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from product sales would depend on our ability to obtain and maintain favorable pricing;</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reimbursement is constantly changing, which could greatly affect usage of our products;</w:t>
      </w:r>
    </w:p>
    <w:p>
      <w:pPr>
        <w:spacing w:after="0" w:line="6" w:lineRule="exact"/>
        <w:rPr>
          <w:rFonts w:ascii="Arial" w:cs="Arial" w:eastAsia="Arial" w:hAnsi="Arial"/>
          <w:sz w:val="18"/>
          <w:szCs w:val="18"/>
          <w:color w:val="auto"/>
        </w:rPr>
      </w:pPr>
    </w:p>
    <w:p>
      <w:pPr>
        <w:ind w:left="960" w:right="540" w:hanging="313"/>
        <w:spacing w:after="0" w:line="24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revenue from product sales would depend on our ability to successfully complete clinical studies, obtain regulatory approvals, and manufacture, market, distribute and commercialize our approved drugs; and</w:t>
      </w: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COVID-19 pandemic on us or our partners.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5" w:name="page46"/>
    <w:bookmarkEnd w:id="45"/>
    <w:p>
      <w:pPr>
        <w:jc w:val="both"/>
        <w:ind w:right="160" w:firstLine="480"/>
        <w:spacing w:after="0" w:line="274" w:lineRule="auto"/>
        <w:rPr>
          <w:sz w:val="20"/>
          <w:szCs w:val="20"/>
          <w:color w:val="auto"/>
        </w:rPr>
      </w:pPr>
      <w:r>
        <w:rPr>
          <w:rFonts w:ascii="Arial" w:cs="Arial" w:eastAsia="Arial" w:hAnsi="Arial"/>
          <w:sz w:val="17"/>
          <w:szCs w:val="17"/>
          <w:color w:val="auto"/>
        </w:rPr>
        <w:t>In addition, future revenue from sales of ORLADEYO is subject to uncertainties and will depend on several factors, including the success of our and our partners’ commercialization efforts in the U.S. and elsewhere, the number of new patients switching to ORLADEYO, patient retention and demand, the number of physicians prescribing ORLADEYO, the rate of monthly prescriptions, reimbursement from third-party payors, the conversion of patients from our clinical trials and early access programs to commercial customers, and market trends.</w:t>
      </w:r>
    </w:p>
    <w:p>
      <w:pPr>
        <w:spacing w:after="0" w:line="175" w:lineRule="exact"/>
        <w:rPr>
          <w:sz w:val="20"/>
          <w:szCs w:val="20"/>
          <w:color w:val="auto"/>
        </w:rPr>
      </w:pPr>
    </w:p>
    <w:p>
      <w:pPr>
        <w:ind w:right="80" w:firstLine="480"/>
        <w:spacing w:after="0" w:line="258" w:lineRule="auto"/>
        <w:rPr>
          <w:sz w:val="20"/>
          <w:szCs w:val="20"/>
          <w:color w:val="auto"/>
        </w:rPr>
      </w:pPr>
      <w:r>
        <w:rPr>
          <w:rFonts w:ascii="Arial" w:cs="Arial" w:eastAsia="Arial" w:hAnsi="Arial"/>
          <w:sz w:val="18"/>
          <w:szCs w:val="18"/>
          <w:color w:val="auto"/>
        </w:rPr>
        <w:t>Even if we are able to successfully commercialize our existing products, or to develop new commercially viable products, certain obligations we have to third parties, including, without limitation, our obligations to pay royalties on certain ORLADEYO and BCX9930 revenues under the Royalty Purchase Agreement may reduce the profitability of such products.</w:t>
      </w:r>
    </w:p>
    <w:p>
      <w:pPr>
        <w:spacing w:after="0" w:line="186" w:lineRule="exact"/>
        <w:rPr>
          <w:sz w:val="20"/>
          <w:szCs w:val="20"/>
          <w:color w:val="auto"/>
        </w:rPr>
      </w:pPr>
    </w:p>
    <w:p>
      <w:pPr>
        <w:ind w:left="240" w:right="40"/>
        <w:spacing w:after="0" w:line="300" w:lineRule="auto"/>
        <w:rPr>
          <w:sz w:val="20"/>
          <w:szCs w:val="20"/>
          <w:color w:val="auto"/>
        </w:rPr>
      </w:pPr>
      <w:r>
        <w:rPr>
          <w:rFonts w:ascii="Arial" w:cs="Arial" w:eastAsia="Arial" w:hAnsi="Arial"/>
          <w:sz w:val="17"/>
          <w:szCs w:val="17"/>
          <w:b w:val="1"/>
          <w:bCs w:val="1"/>
          <w:i w:val="1"/>
          <w:iCs w:val="1"/>
          <w:color w:val="auto"/>
        </w:rPr>
        <w:t>We expect to continue expanding our development and regulatory capabilities and implementing sales, marketing and distribution capabilities, and as a result, we may encounter difficulties in managing our growth, which could disrupt our operations.</w:t>
      </w:r>
    </w:p>
    <w:p>
      <w:pPr>
        <w:spacing w:after="0" w:line="152"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We expect to continue experiencing significant growth in the number of our employees and the scope of our operations, particularly in the areas of drug development, regulatory affairs, sales, marketing, and distribution. To manage our anticipated future growth, we must continue to implement and improve our managerial, operational and financial systems, expand our facilities and continue to recruit and train additional qualified personnel. For example, we expanded our internal commercial team in 2020 in preparation for the commercial launch of ORLADEYO. Due to our limited financial resources and the limited experience of our management team in managing a company with such anticipated growth, we may not be able to effectively manage the expansion of our operations or recruit, train, and retain additional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168" w:lineRule="exact"/>
        <w:rPr>
          <w:sz w:val="20"/>
          <w:szCs w:val="20"/>
          <w:color w:val="auto"/>
        </w:rPr>
      </w:pPr>
    </w:p>
    <w:p>
      <w:pPr>
        <w:ind w:left="240" w:right="40"/>
        <w:spacing w:after="0" w:line="367" w:lineRule="auto"/>
        <w:rPr>
          <w:sz w:val="20"/>
          <w:szCs w:val="20"/>
          <w:color w:val="auto"/>
        </w:rPr>
      </w:pPr>
      <w:r>
        <w:rPr>
          <w:rFonts w:ascii="Arial" w:cs="Arial" w:eastAsia="Arial" w:hAnsi="Arial"/>
          <w:sz w:val="14"/>
          <w:szCs w:val="14"/>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15"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We depend on third-party vendors, including third-party manufacturers, distributors, and specialty pharmacies, in the manufacture and distribution of our products, product candidates, and the materials for our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which may be the only vendor we have engaged for a particular product or service or in a particular region, may encounter difficulties with meeting our requirements, including but not limited to problems involving, as applicable:</w:t>
      </w:r>
    </w:p>
    <w:p>
      <w:pPr>
        <w:spacing w:after="0" w:line="165" w:lineRule="exact"/>
        <w:rPr>
          <w:sz w:val="20"/>
          <w:szCs w:val="20"/>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resources being devoted in the manner necessary to satisfy our requirements within expected timeframes;</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inconsistent production yields;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liability claims or recalls of commercial product;</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scaling production to commercial and validation sizes;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the delivery of materials required for the manufacturing process;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distribute commercial supplies of our products to commercial vendors or end users in a timely manner;</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scheduling of plant time with other vendors or unexpected equipment failure;</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catastrophes that could strike their facilities or have an effect on infrastructure;</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impurities in our drug substance or products that could affect availability of product for our clinical trials or future commercialization;</w:t>
      </w:r>
    </w:p>
    <w:p>
      <w:pPr>
        <w:spacing w:after="0" w:line="29" w:lineRule="exact"/>
        <w:rPr>
          <w:rFonts w:ascii="Arial" w:cs="Arial" w:eastAsia="Arial" w:hAnsi="Arial"/>
          <w:sz w:val="16"/>
          <w:szCs w:val="16"/>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poor quality control and assurance or inadequate process controls;</w:t>
      </w:r>
    </w:p>
    <w:p>
      <w:pPr>
        <w:spacing w:after="0" w:line="6" w:lineRule="exact"/>
        <w:rPr>
          <w:rFonts w:ascii="Arial" w:cs="Arial" w:eastAsia="Arial" w:hAnsi="Arial"/>
          <w:sz w:val="18"/>
          <w:szCs w:val="18"/>
          <w:color w:val="auto"/>
        </w:rPr>
      </w:pPr>
    </w:p>
    <w:p>
      <w:pPr>
        <w:ind w:left="960" w:right="260" w:hanging="313"/>
        <w:spacing w:after="0" w:line="24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provide us with accurate or timely information regarding inventories, the number of patients who are using our products, or serious adverse events and/or product complaints regarding our products;</w:t>
      </w: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of third parties to satisfy their financial obligations to us or to others;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breach of the manufacturing or distribution agreement by the third party;</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termination or nonrenewal of a critical agreement by the third party at a time that is costly or inconvenient to us; and</w:t>
      </w:r>
    </w:p>
    <w:p>
      <w:pPr>
        <w:spacing w:after="0" w:line="6" w:lineRule="exact"/>
        <w:rPr>
          <w:rFonts w:ascii="Arial" w:cs="Arial" w:eastAsia="Arial" w:hAnsi="Arial"/>
          <w:sz w:val="18"/>
          <w:szCs w:val="18"/>
          <w:color w:val="auto"/>
        </w:rPr>
      </w:pPr>
    </w:p>
    <w:p>
      <w:pPr>
        <w:ind w:left="960" w:right="200" w:hanging="313"/>
        <w:spacing w:after="0" w:line="316"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lack of compliance or cooperation with regulations and specifications or requests set forth by the FDA or other foreign regulatory agencies or local customs, particularly associated with ORLADEYO, BCX9930, BCX9250, galidesivir, peramivir and our early-stage compounds.</w:t>
      </w:r>
    </w:p>
    <w:p>
      <w:pPr>
        <w:spacing w:after="0" w:line="143" w:lineRule="exact"/>
        <w:rPr>
          <w:sz w:val="20"/>
          <w:szCs w:val="20"/>
          <w:color w:val="auto"/>
        </w:rPr>
      </w:pPr>
    </w:p>
    <w:p>
      <w:pPr>
        <w:ind w:right="140" w:firstLine="445"/>
        <w:spacing w:after="0" w:line="287" w:lineRule="auto"/>
        <w:rPr>
          <w:sz w:val="20"/>
          <w:szCs w:val="20"/>
          <w:color w:val="auto"/>
        </w:rPr>
      </w:pPr>
      <w:r>
        <w:rPr>
          <w:rFonts w:ascii="Arial" w:cs="Arial" w:eastAsia="Arial" w:hAnsi="Arial"/>
          <w:sz w:val="16"/>
          <w:szCs w:val="16"/>
          <w:color w:val="auto"/>
        </w:rPr>
        <w:t>Many additional factors could cause production or distribution interruptions with the manufacture and distribution of any of our products and product candidates, including human error, natural disasters, pandemics, labor disputes, acts of terrorism or war, equipment malfunctions, or raw material shortages. If our commercial distribution partners are not able to satisfy our requirements within the expected timeframe, or are unable to provide us with accurate or timely information and data, including inventories and sales, serious adverse events, and/or product complaints, our business, including our commercial launch and sales of ORLADEYO may be at risk. In addition, if specialty pharmacy services, including our third-party call center services, which provide patient support and financial services, prescription intake and distribution, reimbursement adjudication, and ongoing compliance support is not effectively managed, the continuance of our commercial launch and sales of ORLADEYO may be delayed or compromised.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6" w:name="page47"/>
    <w:bookmarkEnd w:id="46"/>
    <w:p>
      <w:pPr>
        <w:ind w:right="20" w:firstLine="445"/>
        <w:spacing w:after="0" w:line="284" w:lineRule="auto"/>
        <w:rPr>
          <w:sz w:val="20"/>
          <w:szCs w:val="20"/>
          <w:color w:val="auto"/>
        </w:rPr>
      </w:pPr>
      <w:r>
        <w:rPr>
          <w:rFonts w:ascii="Arial" w:cs="Arial" w:eastAsia="Arial" w:hAnsi="Arial"/>
          <w:sz w:val="16"/>
          <w:szCs w:val="16"/>
          <w:color w:val="auto"/>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To date, our third-party manufacturers have met our manufacturing requirements, but they may not continue to do so. Furthermore, changes in the manufacturing process or procedure,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spacing w:after="0" w:line="171"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If we are unable to maintain current third-party relationships, or enter into new agreements with additional third parties on commercially reasonable terms,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150" w:lineRule="exact"/>
        <w:rPr>
          <w:sz w:val="20"/>
          <w:szCs w:val="20"/>
          <w:color w:val="auto"/>
        </w:rPr>
      </w:pPr>
    </w:p>
    <w:p>
      <w:pPr>
        <w:jc w:val="both"/>
        <w:ind w:left="240" w:right="660"/>
        <w:spacing w:after="0" w:line="258" w:lineRule="auto"/>
        <w:rPr>
          <w:sz w:val="20"/>
          <w:szCs w:val="20"/>
          <w:color w:val="auto"/>
        </w:rPr>
      </w:pPr>
      <w:r>
        <w:rPr>
          <w:rFonts w:ascii="Arial" w:cs="Arial" w:eastAsia="Arial" w:hAnsi="Arial"/>
          <w:sz w:val="18"/>
          <w:szCs w:val="18"/>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186" w:lineRule="exact"/>
        <w:rPr>
          <w:sz w:val="20"/>
          <w:szCs w:val="20"/>
          <w:color w:val="auto"/>
        </w:rPr>
      </w:pPr>
    </w:p>
    <w:p>
      <w:pPr>
        <w:jc w:val="both"/>
        <w:ind w:right="340" w:firstLine="445"/>
        <w:spacing w:after="0" w:line="258" w:lineRule="auto"/>
        <w:rPr>
          <w:sz w:val="20"/>
          <w:szCs w:val="20"/>
          <w:color w:val="auto"/>
        </w:rPr>
      </w:pPr>
      <w:r>
        <w:rPr>
          <w:rFonts w:ascii="Arial" w:cs="Arial" w:eastAsia="Arial" w:hAnsi="Arial"/>
          <w:sz w:val="18"/>
          <w:szCs w:val="18"/>
          <w:color w:val="auto"/>
        </w:rPr>
        <w:t>Commercialization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186" w:lineRule="exact"/>
        <w:rPr>
          <w:sz w:val="20"/>
          <w:szCs w:val="20"/>
          <w:color w:val="auto"/>
        </w:rPr>
      </w:pPr>
    </w:p>
    <w:p>
      <w:pPr>
        <w:ind w:left="960" w:right="660" w:hanging="313"/>
        <w:spacing w:after="0" w:line="255"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products may not prove to be adequately safe and effective for market approval in markets other than the markets in which they are currently approved;</w:t>
      </w:r>
    </w:p>
    <w:p>
      <w:pPr>
        <w:ind w:left="960" w:right="100" w:hanging="313"/>
        <w:spacing w:after="0" w:line="24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necessary funding for post-marketing commitments and further development of our products may not be available timely, at all, or in sufficient amounts;</w:t>
      </w: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advances in competing products could substantially replace potential demand for our products;</w:t>
      </w:r>
    </w:p>
    <w:p>
      <w:pPr>
        <w:spacing w:after="0" w:line="6" w:lineRule="exact"/>
        <w:rPr>
          <w:rFonts w:ascii="Arial" w:cs="Arial" w:eastAsia="Arial" w:hAnsi="Arial"/>
          <w:sz w:val="18"/>
          <w:szCs w:val="18"/>
          <w:color w:val="auto"/>
        </w:rPr>
      </w:pPr>
    </w:p>
    <w:p>
      <w:pPr>
        <w:ind w:left="960" w:right="160" w:hanging="313"/>
        <w:spacing w:after="0" w:line="24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and third-party payors may not provide sufficient coverage or reimbursement, which would negatively impact the demand for our products;</w:t>
      </w:r>
    </w:p>
    <w:p>
      <w:pPr>
        <w:ind w:left="960" w:right="500" w:hanging="313"/>
        <w:spacing w:after="0" w:line="24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ind w:left="960" w:right="260" w:hanging="313"/>
        <w:spacing w:after="0" w:line="262"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marketing and commercialization efforts for our products by us or our partners;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satisfaction with existing alternative therapies;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efficacy relative to other available therapies;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disease prevalence;</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treatment;</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and availability of alternative products;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sales activities of competitors;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shifts in the medical community to new treatment paradigms or standards of care; and</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Competing in Our Industry</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intense competition, and if we are unable to compete effectively, the demand for our products may be reduced.</w:t>
      </w:r>
    </w:p>
    <w:p>
      <w:pPr>
        <w:spacing w:after="0" w:line="220"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or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67" w:lineRule="exact"/>
        <w:rPr>
          <w:sz w:val="20"/>
          <w:szCs w:val="20"/>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drug development technologies;</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methods of preventing or reducing the incidence of disease, including vaccines; and</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small molecule or other classes of therapeutic agents.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7" w:name="page48"/>
    <w:bookmarkEnd w:id="47"/>
    <w:p>
      <w:pPr>
        <w:ind w:left="240"/>
        <w:spacing w:after="0"/>
        <w:rPr>
          <w:sz w:val="20"/>
          <w:szCs w:val="20"/>
          <w:color w:val="auto"/>
        </w:rPr>
      </w:pPr>
      <w:r>
        <w:rPr>
          <w:rFonts w:ascii="Arial" w:cs="Arial" w:eastAsia="Arial" w:hAnsi="Arial"/>
          <w:sz w:val="18"/>
          <w:szCs w:val="18"/>
          <w:b w:val="1"/>
          <w:bCs w:val="1"/>
          <w:i w:val="1"/>
          <w:iCs w:val="1"/>
          <w:color w:val="auto"/>
        </w:rPr>
        <w:t>Developments by others may render our products, product candidates, or technologies obsolete or noncompetitive.</w:t>
      </w:r>
    </w:p>
    <w:p>
      <w:pPr>
        <w:spacing w:after="0" w:line="220" w:lineRule="exact"/>
        <w:rPr>
          <w:sz w:val="20"/>
          <w:szCs w:val="20"/>
          <w:color w:val="auto"/>
        </w:rPr>
      </w:pPr>
    </w:p>
    <w:p>
      <w:pPr>
        <w:ind w:firstLine="445"/>
        <w:spacing w:after="0" w:line="270" w:lineRule="auto"/>
        <w:rPr>
          <w:sz w:val="20"/>
          <w:szCs w:val="20"/>
          <w:color w:val="auto"/>
        </w:rPr>
      </w:pPr>
      <w:r>
        <w:rPr>
          <w:rFonts w:ascii="Arial" w:cs="Arial" w:eastAsia="Arial" w:hAnsi="Arial"/>
          <w:sz w:val="16"/>
          <w:szCs w:val="16"/>
          <w:color w:val="auto"/>
        </w:rPr>
        <w:t>We received FDA approval of ORLADEYO, an oral, once-daily therapy for the prevention of HAE attacks in adults and pediatric patients 12 years and older, in December 2020. We subsequently received regulatory approvals for ORLADEYO in Japan, the European Union, the United Kingdom, and the United Arab Emirates in January 2021, April 2021, May 2021, and September 2021, respectively. In addition, we are performing research on or developing products for the treatment of several other rare diseases, including diseases of the complement system and FOP, as well as developing broad spectrum antivirals for use as medical countermeasures.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There are licensed therapies for HAE (including Berinert®, Haegarda®, Cinryze®, Kalbitor®, Takhzyro®, Firazyr® (icatibant), generic icatibant, and Ruconest®), therapies for certain complement-mediated diseases such as PNH, aHUS, myasthenia gravis, and neuromyelitis optica spectrum disorder (Soliris®, Ultomiris</w:t>
      </w:r>
      <w:r>
        <w:rPr>
          <w:rFonts w:ascii="Arial" w:cs="Arial" w:eastAsia="Arial" w:hAnsi="Arial"/>
          <w:sz w:val="26"/>
          <w:szCs w:val="26"/>
          <w:color w:val="auto"/>
          <w:vertAlign w:val="superscript"/>
        </w:rPr>
        <w:t>TM</w:t>
      </w:r>
      <w:r>
        <w:rPr>
          <w:rFonts w:ascii="Arial" w:cs="Arial" w:eastAsia="Arial" w:hAnsi="Arial"/>
          <w:sz w:val="16"/>
          <w:szCs w:val="16"/>
          <w:color w:val="auto"/>
        </w:rPr>
        <w:t>, and Empaveli</w:t>
      </w:r>
      <w:r>
        <w:rPr>
          <w:rFonts w:ascii="Arial" w:cs="Arial" w:eastAsia="Arial" w:hAnsi="Arial"/>
          <w:sz w:val="26"/>
          <w:szCs w:val="26"/>
          <w:color w:val="auto"/>
          <w:vertAlign w:val="superscript"/>
        </w:rPr>
        <w:t>TM</w:t>
      </w:r>
      <w:r>
        <w:rPr>
          <w:rFonts w:ascii="Arial" w:cs="Arial" w:eastAsia="Arial" w:hAnsi="Arial"/>
          <w:sz w:val="16"/>
          <w:szCs w:val="16"/>
          <w:color w:val="auto"/>
        </w:rPr>
        <w:t>), products for the prevention or treatment of influenza (seasonal flu vaccines, Tamiflu® (oseltamivir), generic oseltamivir, Relenza®, and Inavir®, favipiravir, and Xofluza™), and a number of additional products in clinical development in these therapeutic areas and for the treatment of FOP. In addition, various government entities throughout the world may offer incentives, grants and contracts to encourage additional investment into preventative and therapeutic agents against viruses such as influenza, coronavirus, Ebola, and others, which may have the effect of further increasing the number of our competitors and/or providing advantages to certain competitors. See “Business—Competition” in Part I, Item 1 of our most recent Annual Report on Form 10-K for further discussion of our competitors, competitive products or programs, and the competitive conditions in these and other therapeutic areas.</w:t>
      </w:r>
    </w:p>
    <w:p>
      <w:pPr>
        <w:spacing w:after="0" w:line="182" w:lineRule="exact"/>
        <w:rPr>
          <w:sz w:val="20"/>
          <w:szCs w:val="20"/>
          <w:color w:val="auto"/>
        </w:rPr>
      </w:pPr>
    </w:p>
    <w:p>
      <w:pPr>
        <w:ind w:right="300" w:firstLine="445"/>
        <w:spacing w:after="0" w:line="270" w:lineRule="auto"/>
        <w:rPr>
          <w:sz w:val="20"/>
          <w:szCs w:val="20"/>
          <w:color w:val="auto"/>
        </w:rPr>
      </w:pPr>
      <w:r>
        <w:rPr>
          <w:rFonts w:ascii="Arial" w:cs="Arial" w:eastAsia="Arial" w:hAnsi="Arial"/>
          <w:sz w:val="18"/>
          <w:szCs w:val="18"/>
          <w:color w:val="auto"/>
        </w:rPr>
        <w:t>If one or more of our competitors’ products or programs, including potential competitors not currently identified, are successful, the market for our products may be reduced or eliminated.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Compared to us, many of our competitors and potential competitors have substantially greater:</w:t>
      </w:r>
    </w:p>
    <w:p>
      <w:pPr>
        <w:spacing w:after="0" w:line="220" w:lineRule="exact"/>
        <w:rPr>
          <w:sz w:val="20"/>
          <w:szCs w:val="20"/>
          <w:color w:val="auto"/>
        </w:rPr>
      </w:pPr>
    </w:p>
    <w:p>
      <w:pPr>
        <w:ind w:left="960" w:hanging="313"/>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study and clinical testing experience;</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marketing, and sales experience; and</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facilities.</w:t>
      </w:r>
    </w:p>
    <w:p>
      <w:pPr>
        <w:spacing w:after="0" w:line="207" w:lineRule="exact"/>
        <w:rPr>
          <w:sz w:val="20"/>
          <w:szCs w:val="20"/>
          <w:color w:val="auto"/>
        </w:rPr>
      </w:pPr>
    </w:p>
    <w:p>
      <w:pPr>
        <w:ind w:right="140" w:firstLine="231"/>
        <w:spacing w:after="0" w:line="270" w:lineRule="auto"/>
        <w:rPr>
          <w:sz w:val="20"/>
          <w:szCs w:val="20"/>
          <w:color w:val="auto"/>
        </w:rPr>
      </w:pPr>
      <w:r>
        <w:rPr>
          <w:rFonts w:ascii="Arial" w:cs="Arial" w:eastAsia="Arial" w:hAnsi="Arial"/>
          <w:sz w:val="18"/>
          <w:szCs w:val="18"/>
          <w:color w:val="auto"/>
        </w:rPr>
        <w:t>Any of these competitive factors could impede our funding efforts, render our products, product candidates, or technologies noncompetitive or eliminate or reduce demand for our products and product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and Regulatory Risks</w:t>
      </w:r>
    </w:p>
    <w:p>
      <w:pPr>
        <w:spacing w:after="0" w:line="220" w:lineRule="exact"/>
        <w:rPr>
          <w:sz w:val="20"/>
          <w:szCs w:val="20"/>
          <w:color w:val="auto"/>
        </w:rPr>
      </w:pPr>
    </w:p>
    <w:p>
      <w:pPr>
        <w:ind w:left="240" w:right="340"/>
        <w:spacing w:after="0" w:line="270" w:lineRule="auto"/>
        <w:rPr>
          <w:sz w:val="20"/>
          <w:szCs w:val="20"/>
          <w:color w:val="auto"/>
        </w:rPr>
      </w:pPr>
      <w:r>
        <w:rPr>
          <w:rFonts w:ascii="Arial" w:cs="Arial" w:eastAsia="Arial" w:hAnsi="Arial"/>
          <w:sz w:val="18"/>
          <w:szCs w:val="18"/>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75"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Our or our partners’ activities related to approved products or, following their regulatory approval, any of our product candidates under development, such as BCX9930, BCX9250, and galidesivir, are subject to regulatory and law enforcement authorities in the United States (including the FDA, the Federal Trade Commission, the Department of Justice, and state and local governments) and their foreign equivalents (including the EMA, MHLW, MHRA, and others).</w:t>
      </w:r>
    </w:p>
    <w:p>
      <w:pPr>
        <w:spacing w:after="0" w:line="188" w:lineRule="exact"/>
        <w:rPr>
          <w:sz w:val="20"/>
          <w:szCs w:val="20"/>
          <w:color w:val="auto"/>
        </w:rPr>
      </w:pPr>
    </w:p>
    <w:p>
      <w:pPr>
        <w:ind w:right="180" w:firstLine="445"/>
        <w:spacing w:after="0" w:line="289" w:lineRule="auto"/>
        <w:rPr>
          <w:sz w:val="20"/>
          <w:szCs w:val="20"/>
          <w:color w:val="auto"/>
        </w:rPr>
      </w:pPr>
      <w:r>
        <w:rPr>
          <w:rFonts w:ascii="Arial" w:cs="Arial" w:eastAsia="Arial" w:hAnsi="Arial"/>
          <w:sz w:val="16"/>
          <w:szCs w:val="16"/>
          <w:color w:val="auto"/>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48" w:name="page49"/>
    <w:bookmarkEnd w:id="48"/>
    <w:p>
      <w:pPr>
        <w:ind w:firstLine="445"/>
        <w:spacing w:after="0" w:line="282" w:lineRule="auto"/>
        <w:rPr>
          <w:sz w:val="20"/>
          <w:szCs w:val="20"/>
          <w:color w:val="auto"/>
        </w:rPr>
      </w:pPr>
      <w:r>
        <w:rPr>
          <w:rFonts w:ascii="Arial" w:cs="Arial" w:eastAsia="Arial" w:hAnsi="Arial"/>
          <w:sz w:val="16"/>
          <w:szCs w:val="16"/>
          <w:color w:val="auto"/>
        </w:rPr>
        <w:t>In addition, we are subject to the federal physician sunshine act and certain similar physician payment and drug pricing transparency legislation in various states. We are also subject to various federal and state laws pertaining to health care “fraud and abuse,” including both federal and state anti-kickback and false claims laws. Outside of the United States, we may be subject to analogous foreign laws and regulations in the various jurisdictions in which we operate. These laws and regulations apply to our or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anyone from knowingly and willingly presenting, or causing to be presented, for payment to third party payors (including Medicare and Medicaid) claims for reimbursement or services that are false or fraudulent, claims for items or services not provided as claimed, or claims for medically unnecessary items or services. The sunshine provisions apply to manufacturers with products reimbursed under certain government programs and require those manufacturers to disclose annually to the federal government certain payments made to physicians (defined to include doctors, dentists, optometrists, podiatrists and chiropractors) and teaching hospitals, as well as, ownership and investment interests held by physicians (as defined above) and their immediate family members. State laws may also require disclosure of pharmaceutical pricing information and marketing expenditures. Although we seek to comply with these statutes, it is possible that our practices, or those of our partners, might be challenged under health 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70" w:lineRule="exact"/>
        <w:rPr>
          <w:sz w:val="20"/>
          <w:szCs w:val="20"/>
          <w:color w:val="auto"/>
        </w:rPr>
      </w:pPr>
    </w:p>
    <w:p>
      <w:pPr>
        <w:ind w:right="80" w:firstLine="445"/>
        <w:spacing w:after="0" w:line="287" w:lineRule="auto"/>
        <w:rPr>
          <w:sz w:val="20"/>
          <w:szCs w:val="20"/>
          <w:color w:val="auto"/>
        </w:rPr>
      </w:pPr>
      <w:r>
        <w:rPr>
          <w:rFonts w:ascii="Arial" w:cs="Arial" w:eastAsia="Arial" w:hAnsi="Arial"/>
          <w:sz w:val="16"/>
          <w:szCs w:val="16"/>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68" w:lineRule="exact"/>
        <w:rPr>
          <w:sz w:val="20"/>
          <w:szCs w:val="20"/>
          <w:color w:val="auto"/>
        </w:rPr>
      </w:pPr>
    </w:p>
    <w:p>
      <w:pPr>
        <w:ind w:right="180" w:firstLine="445"/>
        <w:spacing w:after="0" w:line="267" w:lineRule="auto"/>
        <w:rPr>
          <w:sz w:val="20"/>
          <w:szCs w:val="20"/>
          <w:color w:val="auto"/>
        </w:rPr>
      </w:pPr>
      <w:r>
        <w:rPr>
          <w:rFonts w:ascii="Arial" w:cs="Arial" w:eastAsia="Arial" w:hAnsi="Arial"/>
          <w:sz w:val="17"/>
          <w:szCs w:val="17"/>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If we fail to comply with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its safety or efficacy.</w:t>
      </w:r>
    </w:p>
    <w:p>
      <w:pPr>
        <w:spacing w:after="0" w:line="182"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Advertising and promotion are subject to stringent FDA rules and oversight, and as an NDA-holder, we may be held responsible for any advertising and promotion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We are also required to engage in appropriate truthful, non-misleading, and non-promotional scientific exchange concerning our products, and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spacing w:after="0" w:line="180" w:lineRule="exact"/>
        <w:rPr>
          <w:sz w:val="20"/>
          <w:szCs w:val="20"/>
          <w:color w:val="auto"/>
        </w:rPr>
      </w:pPr>
    </w:p>
    <w:p>
      <w:pPr>
        <w:ind w:right="140" w:firstLine="445"/>
        <w:spacing w:after="0" w:line="289" w:lineRule="auto"/>
        <w:rPr>
          <w:sz w:val="20"/>
          <w:szCs w:val="20"/>
          <w:color w:val="auto"/>
        </w:rPr>
      </w:pPr>
      <w:r>
        <w:rPr>
          <w:rFonts w:ascii="Arial" w:cs="Arial" w:eastAsia="Arial" w:hAnsi="Arial"/>
          <w:sz w:val="16"/>
          <w:szCs w:val="16"/>
          <w:color w:val="auto"/>
        </w:rPr>
        <w:t>Adverse event information concerning approved products must be reviewed, and as an NDA-holder,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other divisions of the U.S. Department of Health and Human Services, the U.S. Department of Justice and individual U.S. Attorney offices within the Department of Justice, state and local governments, and foreign equivalents of the foregoing. All of these activities are also potentially subject to healthcare false claims and fraud and abuse laws, as well as consumer protection and unfair competition laws.</w:t>
      </w:r>
    </w:p>
    <w:p>
      <w:pPr>
        <w:spacing w:after="0" w:line="165" w:lineRule="exact"/>
        <w:rPr>
          <w:sz w:val="20"/>
          <w:szCs w:val="20"/>
          <w:color w:val="auto"/>
        </w:rPr>
      </w:pPr>
    </w:p>
    <w:p>
      <w:pPr>
        <w:ind w:right="100" w:firstLine="445"/>
        <w:spacing w:after="0" w:line="287" w:lineRule="auto"/>
        <w:rPr>
          <w:sz w:val="20"/>
          <w:szCs w:val="20"/>
          <w:color w:val="auto"/>
        </w:rPr>
      </w:pPr>
      <w:r>
        <w:rPr>
          <w:rFonts w:ascii="Arial" w:cs="Arial" w:eastAsia="Arial" w:hAnsi="Arial"/>
          <w:sz w:val="16"/>
          <w:szCs w:val="16"/>
          <w:color w:val="auto"/>
        </w:rPr>
        <w:t>If our operations with respect to our products that are subject to healthcare laws and regulations are found to be in violation of any of the healthcare fraud and abuse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49" w:name="page50"/>
    <w:bookmarkEnd w:id="49"/>
    <w:p>
      <w:pPr>
        <w:ind w:left="240" w:right="420"/>
        <w:spacing w:after="0" w:line="270" w:lineRule="auto"/>
        <w:rPr>
          <w:sz w:val="20"/>
          <w:szCs w:val="20"/>
          <w:color w:val="auto"/>
        </w:rPr>
      </w:pPr>
      <w:r>
        <w:rPr>
          <w:rFonts w:ascii="Arial" w:cs="Arial" w:eastAsia="Arial" w:hAnsi="Arial"/>
          <w:sz w:val="18"/>
          <w:szCs w:val="18"/>
          <w:b w:val="1"/>
          <w:bCs w:val="1"/>
          <w:i w:val="1"/>
          <w:iCs w:val="1"/>
          <w:color w:val="auto"/>
        </w:rPr>
        <w:t>Our employees and consultants may engage in misconduct or other improper activities, including non-compliance with regulatory standards and requirements, which could cause significant liability for us and harm our reputation.</w:t>
      </w:r>
    </w:p>
    <w:p>
      <w:pPr>
        <w:spacing w:after="0" w:line="175" w:lineRule="exact"/>
        <w:rPr>
          <w:sz w:val="20"/>
          <w:szCs w:val="20"/>
          <w:color w:val="auto"/>
        </w:rPr>
      </w:pPr>
    </w:p>
    <w:p>
      <w:pPr>
        <w:ind w:firstLine="445"/>
        <w:spacing w:after="0" w:line="265" w:lineRule="auto"/>
        <w:rPr>
          <w:sz w:val="20"/>
          <w:szCs w:val="20"/>
          <w:color w:val="auto"/>
        </w:rPr>
      </w:pPr>
      <w:r>
        <w:rPr>
          <w:rFonts w:ascii="Arial" w:cs="Arial" w:eastAsia="Arial" w:hAnsi="Arial"/>
          <w:sz w:val="17"/>
          <w:szCs w:val="17"/>
          <w:color w:val="auto"/>
        </w:rPr>
        <w:t>We are subject to the risk of fraud or other misconduct by our employees and consultants, including intentional failures to comply with FDA regulations or similar regulations of comparable foreign regulatory authorities, provide accurate information to the FDA or comparable foreign regulatory authorities, comply with manufacturing standards we have established,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8" w:lineRule="exact"/>
        <w:rPr>
          <w:sz w:val="20"/>
          <w:szCs w:val="20"/>
          <w:color w:val="auto"/>
        </w:rPr>
      </w:pPr>
    </w:p>
    <w:p>
      <w:pPr>
        <w:ind w:left="240" w:right="860"/>
        <w:spacing w:after="0" w:line="333"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regulatory proposals and healthcare payor initiatives that may increase our costs of compliance and adversely affect our or our partners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ability to market our products, obtain collaborators and raise capital.</w:t>
      </w:r>
    </w:p>
    <w:p>
      <w:pPr>
        <w:spacing w:after="0" w:line="130" w:lineRule="exact"/>
        <w:rPr>
          <w:sz w:val="20"/>
          <w:szCs w:val="20"/>
          <w:color w:val="auto"/>
        </w:rPr>
      </w:pPr>
    </w:p>
    <w:p>
      <w:pPr>
        <w:ind w:right="20" w:firstLine="445"/>
        <w:spacing w:after="0" w:line="266" w:lineRule="auto"/>
        <w:rPr>
          <w:sz w:val="20"/>
          <w:szCs w:val="20"/>
          <w:color w:val="auto"/>
        </w:rPr>
      </w:pPr>
      <w:r>
        <w:rPr>
          <w:rFonts w:ascii="Arial" w:cs="Arial" w:eastAsia="Arial" w:hAnsi="Arial"/>
          <w:sz w:val="17"/>
          <w:szCs w:val="17"/>
          <w:color w:val="auto"/>
        </w:rPr>
        <w:t>The Patient Protection and Affordable Care Act, or PPACA, made extensive changes to the delivery of health care in the U.S. The PPACA included numerous provisions that affect pharmaceutical companies, some of which became effective immediately and others of which have taken effect over the past several years. For example, the PPACA expanded health 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U.S., and an expansion of an existing program requiring pharmaceutical discounts to certain types of hospitals and federally subsidized clinics. The PPACA also contains cost containment measures that could reduce reimbursement levels for health care items and services generally, including pharmaceuticals. It also required reporting and public disclosure of payments and other transfers of value provided by pharmaceutical companies to physicians and teaching hospitals.</w:t>
      </w:r>
    </w:p>
    <w:p>
      <w:pPr>
        <w:spacing w:after="0" w:line="185" w:lineRule="exact"/>
        <w:rPr>
          <w:sz w:val="20"/>
          <w:szCs w:val="20"/>
          <w:color w:val="auto"/>
        </w:rPr>
      </w:pPr>
    </w:p>
    <w:p>
      <w:pPr>
        <w:ind w:right="60" w:firstLine="445"/>
        <w:spacing w:after="0" w:line="250"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payors of health care services to contain or reduce costs of health 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94"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80" w:lineRule="exact"/>
        <w:rPr>
          <w:sz w:val="20"/>
          <w:szCs w:val="20"/>
          <w:color w:val="auto"/>
        </w:rPr>
      </w:pPr>
    </w:p>
    <w:p>
      <w:pPr>
        <w:ind w:right="20" w:firstLine="445"/>
        <w:spacing w:after="0" w:line="282" w:lineRule="auto"/>
        <w:rPr>
          <w:sz w:val="20"/>
          <w:szCs w:val="20"/>
          <w:color w:val="auto"/>
        </w:rPr>
      </w:pPr>
      <w:r>
        <w:rPr>
          <w:rFonts w:ascii="Arial" w:cs="Arial" w:eastAsia="Arial" w:hAnsi="Arial"/>
          <w:sz w:val="16"/>
          <w:szCs w:val="16"/>
          <w:color w:val="auto"/>
        </w:rPr>
        <w:t>Adequate coverage and reimbursement in the U.S. and other markets is critical to the commercial success of our approved products. Recently in the U.S. there has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United States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 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our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0" w:name="page51"/>
    <w:bookmarkEnd w:id="50"/>
    <w:p>
      <w:pPr>
        <w:ind w:left="240" w:right="120"/>
        <w:spacing w:after="0" w:line="270" w:lineRule="auto"/>
        <w:rPr>
          <w:sz w:val="20"/>
          <w:szCs w:val="20"/>
          <w:color w:val="auto"/>
        </w:rPr>
      </w:pPr>
      <w:r>
        <w:rPr>
          <w:rFonts w:ascii="Arial" w:cs="Arial" w:eastAsia="Arial" w:hAnsi="Arial"/>
          <w:sz w:val="18"/>
          <w:szCs w:val="18"/>
          <w:b w:val="1"/>
          <w:bCs w:val="1"/>
          <w:i w:val="1"/>
          <w:iCs w:val="1"/>
          <w:color w:val="auto"/>
        </w:rPr>
        <w:t>We are subject to data security and privacy risks, and our actual or perceived failure to comply with regulations and other legal obligations related to privacy and data protection could harm our business.</w:t>
      </w:r>
    </w:p>
    <w:p>
      <w:pPr>
        <w:spacing w:after="0" w:line="175" w:lineRule="exact"/>
        <w:rPr>
          <w:sz w:val="20"/>
          <w:szCs w:val="20"/>
          <w:color w:val="auto"/>
        </w:rPr>
      </w:pPr>
    </w:p>
    <w:p>
      <w:pPr>
        <w:ind w:right="40" w:firstLine="480"/>
        <w:spacing w:after="0" w:line="250" w:lineRule="auto"/>
        <w:rPr>
          <w:sz w:val="20"/>
          <w:szCs w:val="20"/>
          <w:color w:val="auto"/>
        </w:rPr>
      </w:pPr>
      <w:r>
        <w:rPr>
          <w:rFonts w:ascii="Arial" w:cs="Arial" w:eastAsia="Arial" w:hAnsi="Arial"/>
          <w:sz w:val="18"/>
          <w:szCs w:val="18"/>
          <w:color w:val="auto"/>
        </w:rPr>
        <w:t>We are subject to legal obligations related to privacy and data protection. Compliance with U.S. and international data protection laws and regulations could require us to take on more onerous obligations in our contracts, restrict our ability to collect, use, and disclose data, or in some cases, impact our ability to operate in certain jurisdictions. For example, we are subject to the California Consumer Privacy Act, which gives California residents expanded rights to access and require deletion of their personal information, opt out of certain personal information sharing, and receive detailed information about how their personal information is used. We are also subject to the General Data Protection Regulation in the EU. See “Risks Relating to Our Business—Risks Relating to International Operations—Our actual or perceived failure to comply with European governmental regulations and other legal obligations related to privacy, data protection and information security could harm our business” in this section for additional discussion of international privacy laws and regulations. Failure to comply with these laws and regulations could result in government enforcement actions, private litigation, or harm to our reputation and our business.</w:t>
      </w:r>
    </w:p>
    <w:p>
      <w:pPr>
        <w:spacing w:after="0" w:line="194" w:lineRule="exact"/>
        <w:rPr>
          <w:sz w:val="20"/>
          <w:szCs w:val="20"/>
          <w:color w:val="auto"/>
        </w:rPr>
      </w:pPr>
    </w:p>
    <w:p>
      <w:pPr>
        <w:ind w:left="240" w:right="640"/>
        <w:spacing w:after="0" w:line="270" w:lineRule="auto"/>
        <w:rPr>
          <w:sz w:val="20"/>
          <w:szCs w:val="20"/>
          <w:color w:val="auto"/>
        </w:rPr>
      </w:pPr>
      <w:r>
        <w:rPr>
          <w:rFonts w:ascii="Arial" w:cs="Arial" w:eastAsia="Arial" w:hAnsi="Arial"/>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75" w:lineRule="exact"/>
        <w:rPr>
          <w:sz w:val="20"/>
          <w:szCs w:val="20"/>
          <w:color w:val="auto"/>
        </w:rPr>
      </w:pPr>
    </w:p>
    <w:p>
      <w:pPr>
        <w:ind w:right="60" w:firstLine="409"/>
        <w:spacing w:after="0" w:line="271" w:lineRule="auto"/>
        <w:rPr>
          <w:sz w:val="20"/>
          <w:szCs w:val="20"/>
          <w:color w:val="auto"/>
        </w:rPr>
      </w:pPr>
      <w:r>
        <w:rPr>
          <w:rFonts w:ascii="Arial" w:cs="Arial" w:eastAsia="Arial" w:hAnsi="Arial"/>
          <w:sz w:val="17"/>
          <w:szCs w:val="17"/>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Risks</w:t>
      </w:r>
    </w:p>
    <w:p>
      <w:pPr>
        <w:spacing w:after="0" w:line="220" w:lineRule="exact"/>
        <w:rPr>
          <w:sz w:val="20"/>
          <w:szCs w:val="20"/>
          <w:color w:val="auto"/>
        </w:rPr>
      </w:pPr>
    </w:p>
    <w:p>
      <w:pPr>
        <w:ind w:left="240" w:right="720"/>
        <w:spacing w:after="0" w:line="270" w:lineRule="auto"/>
        <w:rPr>
          <w:sz w:val="20"/>
          <w:szCs w:val="20"/>
          <w:color w:val="auto"/>
        </w:rPr>
      </w:pPr>
      <w:r>
        <w:rPr>
          <w:rFonts w:ascii="Arial" w:cs="Arial" w:eastAsia="Arial" w:hAnsi="Arial"/>
          <w:sz w:val="18"/>
          <w:szCs w:val="18"/>
          <w:b w:val="1"/>
          <w:bCs w:val="1"/>
          <w:i w:val="1"/>
          <w:iCs w:val="1"/>
          <w:color w:val="auto"/>
        </w:rPr>
        <w:t>If we fail to adequately protect or enforce our intellectual property rights or secure rights to patents of others, the value of those rights would diminish.</w:t>
      </w:r>
    </w:p>
    <w:p>
      <w:pPr>
        <w:spacing w:after="0" w:line="175" w:lineRule="exact"/>
        <w:rPr>
          <w:sz w:val="20"/>
          <w:szCs w:val="20"/>
          <w:color w:val="auto"/>
        </w:rPr>
      </w:pPr>
    </w:p>
    <w:p>
      <w:pPr>
        <w:ind w:right="20" w:firstLine="445"/>
        <w:spacing w:after="0" w:line="282" w:lineRule="auto"/>
        <w:rPr>
          <w:sz w:val="20"/>
          <w:szCs w:val="20"/>
          <w:color w:val="auto"/>
        </w:rPr>
      </w:pPr>
      <w:r>
        <w:rPr>
          <w:rFonts w:ascii="Arial" w:cs="Arial" w:eastAsia="Arial" w:hAnsi="Arial"/>
          <w:sz w:val="16"/>
          <w:szCs w:val="16"/>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76" w:lineRule="exact"/>
        <w:rPr>
          <w:sz w:val="20"/>
          <w:szCs w:val="20"/>
          <w:color w:val="auto"/>
        </w:rPr>
      </w:pPr>
    </w:p>
    <w:p>
      <w:pPr>
        <w:jc w:val="both"/>
        <w:ind w:firstLine="445"/>
        <w:spacing w:after="0" w:line="258" w:lineRule="auto"/>
        <w:rPr>
          <w:sz w:val="20"/>
          <w:szCs w:val="20"/>
          <w:color w:val="auto"/>
        </w:rPr>
      </w:pPr>
      <w:r>
        <w:rPr>
          <w:rFonts w:ascii="Arial" w:cs="Arial" w:eastAsia="Arial" w:hAnsi="Arial"/>
          <w:sz w:val="18"/>
          <w:szCs w:val="18"/>
          <w:color w:val="auto"/>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1" w:name="page52"/>
    <w:bookmarkEnd w:id="51"/>
    <w:p>
      <w:pPr>
        <w:ind w:left="240" w:right="140"/>
        <w:spacing w:after="0" w:line="270" w:lineRule="auto"/>
        <w:rPr>
          <w:sz w:val="20"/>
          <w:szCs w:val="20"/>
          <w:color w:val="auto"/>
        </w:rPr>
      </w:pPr>
      <w:r>
        <w:rPr>
          <w:rFonts w:ascii="Arial" w:cs="Arial" w:eastAsia="Arial" w:hAnsi="Arial"/>
          <w:sz w:val="18"/>
          <w:szCs w:val="18"/>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75" w:lineRule="exact"/>
        <w:rPr>
          <w:sz w:val="20"/>
          <w:szCs w:val="20"/>
          <w:color w:val="auto"/>
        </w:rPr>
      </w:pPr>
    </w:p>
    <w:p>
      <w:pPr>
        <w:ind w:firstLine="445"/>
        <w:spacing w:after="0" w:line="283" w:lineRule="auto"/>
        <w:rPr>
          <w:sz w:val="20"/>
          <w:szCs w:val="20"/>
          <w:color w:val="auto"/>
        </w:rPr>
      </w:pPr>
      <w:r>
        <w:rPr>
          <w:rFonts w:ascii="Arial" w:cs="Arial" w:eastAsia="Arial" w:hAnsi="Arial"/>
          <w:sz w:val="16"/>
          <w:szCs w:val="16"/>
          <w:color w:val="auto"/>
        </w:rPr>
        <w:t>Competitors may infringe or otherwise violate our patents, the patents of our licensors or our other intellectual property rights. To counter infringement or unauthorized use, we may be required to file legal claims, which can be expensive and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172"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67" w:lineRule="exact"/>
        <w:rPr>
          <w:sz w:val="20"/>
          <w:szCs w:val="20"/>
          <w:color w:val="auto"/>
        </w:rPr>
      </w:pPr>
    </w:p>
    <w:p>
      <w:pPr>
        <w:ind w:left="960" w:hanging="313"/>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degree and range of protection any patents will afford against competitors with similar products;</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and when patents will issue;</w:t>
      </w:r>
    </w:p>
    <w:p>
      <w:pPr>
        <w:spacing w:after="0" w:line="6" w:lineRule="exact"/>
        <w:rPr>
          <w:rFonts w:ascii="Arial" w:cs="Arial" w:eastAsia="Arial" w:hAnsi="Arial"/>
          <w:sz w:val="18"/>
          <w:szCs w:val="18"/>
          <w:color w:val="auto"/>
        </w:rPr>
      </w:pPr>
    </w:p>
    <w:p>
      <w:pPr>
        <w:ind w:left="960" w:right="240" w:hanging="313"/>
        <w:spacing w:after="0" w:line="24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patents do issue, we cannot be sure that we will be able to adequately defend such patents and whether or not we will be able to adequately enforce such patents; or</w:t>
      </w:r>
    </w:p>
    <w:p>
      <w:pPr>
        <w:ind w:left="960" w:hanging="313"/>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patent applications.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USPTO or other foreign patent office upholds patents issued to others or if the USPTO grants patent applications filed by others, we may have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7" w:lineRule="exact"/>
        <w:rPr>
          <w:sz w:val="20"/>
          <w:szCs w:val="20"/>
          <w:color w:val="auto"/>
        </w:rPr>
      </w:pPr>
    </w:p>
    <w:p>
      <w:pPr>
        <w:ind w:left="960" w:hanging="31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licenses or redesign our products or processes to avoid infringement;</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stop using the subject matter claimed in those patents; or</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207" w:lineRule="exact"/>
        <w:rPr>
          <w:sz w:val="20"/>
          <w:szCs w:val="20"/>
          <w:color w:val="auto"/>
        </w:rPr>
      </w:pPr>
    </w:p>
    <w:p>
      <w:pPr>
        <w:ind w:right="200" w:firstLine="445"/>
        <w:spacing w:after="0" w:line="255" w:lineRule="auto"/>
        <w:rPr>
          <w:sz w:val="20"/>
          <w:szCs w:val="20"/>
          <w:color w:val="auto"/>
        </w:rPr>
      </w:pPr>
      <w:r>
        <w:rPr>
          <w:rFonts w:ascii="Arial" w:cs="Arial" w:eastAsia="Arial" w:hAnsi="Arial"/>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spacing w:after="0" w:line="188" w:lineRule="exact"/>
        <w:rPr>
          <w:sz w:val="20"/>
          <w:szCs w:val="20"/>
          <w:color w:val="auto"/>
        </w:rPr>
      </w:pPr>
    </w:p>
    <w:p>
      <w:pPr>
        <w:ind w:right="160" w:firstLine="445"/>
        <w:spacing w:after="0" w:line="268" w:lineRule="auto"/>
        <w:rPr>
          <w:sz w:val="20"/>
          <w:szCs w:val="20"/>
          <w:color w:val="auto"/>
        </w:rPr>
      </w:pPr>
      <w:r>
        <w:rPr>
          <w:rFonts w:ascii="Arial" w:cs="Arial" w:eastAsia="Arial" w:hAnsi="Arial"/>
          <w:sz w:val="17"/>
          <w:szCs w:val="17"/>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Liability Risks</w:t>
      </w:r>
    </w:p>
    <w:p>
      <w:pPr>
        <w:spacing w:after="0" w:line="220" w:lineRule="exact"/>
        <w:rPr>
          <w:sz w:val="20"/>
          <w:szCs w:val="20"/>
          <w:color w:val="auto"/>
        </w:rPr>
      </w:pPr>
    </w:p>
    <w:p>
      <w:pPr>
        <w:ind w:left="240" w:right="220"/>
        <w:spacing w:after="0" w:line="270" w:lineRule="auto"/>
        <w:rPr>
          <w:sz w:val="20"/>
          <w:szCs w:val="20"/>
          <w:color w:val="auto"/>
        </w:rPr>
      </w:pPr>
      <w:r>
        <w:rPr>
          <w:rFonts w:ascii="Arial" w:cs="Arial" w:eastAsia="Arial" w:hAnsi="Arial"/>
          <w:sz w:val="18"/>
          <w:szCs w:val="18"/>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75"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2" w:name="page53"/>
    <w:bookmarkEnd w:id="52"/>
    <w:p>
      <w:pPr>
        <w:ind w:firstLine="445"/>
        <w:spacing w:after="0" w:line="269"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even greater risks upon any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80" w:lineRule="exact"/>
        <w:rPr>
          <w:sz w:val="20"/>
          <w:szCs w:val="20"/>
          <w:color w:val="auto"/>
        </w:rPr>
      </w:pPr>
    </w:p>
    <w:p>
      <w:pPr>
        <w:ind w:left="960" w:hanging="313"/>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liabilities that substantially exceed our product liability insurance, which we would then be required to pay from other sources, if available;</w:t>
      </w:r>
    </w:p>
    <w:p>
      <w:pPr>
        <w:spacing w:after="0" w:line="42" w:lineRule="exact"/>
        <w:rPr>
          <w:rFonts w:ascii="Arial" w:cs="Arial" w:eastAsia="Arial" w:hAnsi="Arial"/>
          <w:sz w:val="16"/>
          <w:szCs w:val="16"/>
          <w:color w:val="auto"/>
        </w:rPr>
      </w:pPr>
    </w:p>
    <w:p>
      <w:pPr>
        <w:ind w:left="960" w:hanging="313"/>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increase of our product liability insurance rates or the inability to maintain insurance coverage in the future on acceptable terms, or at all;</w:t>
      </w:r>
    </w:p>
    <w:p>
      <w:pPr>
        <w:spacing w:after="0" w:line="29" w:lineRule="exact"/>
        <w:rPr>
          <w:rFonts w:ascii="Arial" w:cs="Arial" w:eastAsia="Arial" w:hAnsi="Arial"/>
          <w:sz w:val="16"/>
          <w:szCs w:val="16"/>
          <w:color w:val="auto"/>
        </w:rPr>
      </w:pPr>
    </w:p>
    <w:p>
      <w:pPr>
        <w:ind w:left="960" w:hanging="313"/>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volunteers or patients;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resulting in lower sales;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investigations that could require costly recalls or product modifications;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costs; and</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diversion of management’s attention from managing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Contractual Arrangements</w:t>
      </w:r>
    </w:p>
    <w:p>
      <w:pPr>
        <w:spacing w:after="0" w:line="220" w:lineRule="exact"/>
        <w:rPr>
          <w:sz w:val="20"/>
          <w:szCs w:val="20"/>
          <w:color w:val="auto"/>
        </w:rPr>
      </w:pPr>
    </w:p>
    <w:p>
      <w:pPr>
        <w:ind w:left="240" w:right="360"/>
        <w:spacing w:after="0" w:line="270" w:lineRule="auto"/>
        <w:rPr>
          <w:sz w:val="20"/>
          <w:szCs w:val="20"/>
          <w:color w:val="auto"/>
        </w:rPr>
      </w:pPr>
      <w:r>
        <w:rPr>
          <w:rFonts w:ascii="Arial" w:cs="Arial" w:eastAsia="Arial" w:hAnsi="Arial"/>
          <w:sz w:val="18"/>
          <w:szCs w:val="18"/>
          <w:b w:val="1"/>
          <w:bCs w:val="1"/>
          <w:i w:val="1"/>
          <w:iCs w:val="1"/>
          <w:color w:val="auto"/>
        </w:rPr>
        <w:t>We face risks related to our government-funded programs and are subject to various U.S. Government contract requirements, which may create a disadvantage and additional risks to us.</w:t>
      </w:r>
    </w:p>
    <w:p>
      <w:pPr>
        <w:spacing w:after="0" w:line="175"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We have contracts with BARDA/HHS and NIAID/HHS for the development of galidesivir as a treatment for diseases caused by RNA pathogens, including Marburg virus disease, Yellow Fever and Ebola virus disease. In contracting with these government agencies, we are subject to various U.S. Government contract requirements, including general clauses for a cost-reimbursement research and development contract, which may limit our reimbursement or, if we are found to be in violation, could result in contract termination. If the US. Government terminates any of its contracts with us for its convenience, or if we default by failing to perform in accordance with the contract schedule and terms, this could have an adverse impact on the programs associated with such funding and could also adversely impact our cash flows and operations.</w:t>
      </w:r>
    </w:p>
    <w:p>
      <w:pPr>
        <w:spacing w:after="0" w:line="180"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spacing w:after="0" w:line="186" w:lineRule="exact"/>
        <w:rPr>
          <w:sz w:val="20"/>
          <w:szCs w:val="20"/>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terminate or reduce the scope of our contract with or without cause;</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interpret relevant regulations (federal acquisition regulation clauses);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performance under circumstances which may not be favorable to us;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an in-process review where the U.S. Government will review the project and its options under the contract;</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control the timing and amount of funding, which impacts the development progress of our programs; and</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and object to our contract-related costs and fees, including allocated indirect costs.</w:t>
      </w:r>
    </w:p>
    <w:p>
      <w:pPr>
        <w:spacing w:after="0" w:line="207" w:lineRule="exact"/>
        <w:rPr>
          <w:sz w:val="20"/>
          <w:szCs w:val="20"/>
          <w:color w:val="auto"/>
        </w:rPr>
      </w:pPr>
    </w:p>
    <w:p>
      <w:pPr>
        <w:ind w:right="60" w:firstLine="445"/>
        <w:spacing w:after="0" w:line="267" w:lineRule="auto"/>
        <w:rPr>
          <w:sz w:val="20"/>
          <w:szCs w:val="20"/>
          <w:color w:val="auto"/>
        </w:rPr>
      </w:pPr>
      <w:r>
        <w:rPr>
          <w:rFonts w:ascii="Arial" w:cs="Arial" w:eastAsia="Arial" w:hAnsi="Arial"/>
          <w:sz w:val="17"/>
          <w:szCs w:val="17"/>
          <w:color w:val="auto"/>
        </w:rPr>
        <w:t>The U.S. Government may terminate its contracts with us either for its convenience or if we default by failing to perform in accordance with the contract schedule and terms. Termination for convenience provisions generally enable us to recover only our costs incurred or committed, and settlement expenses and profit on the work completed prior to termination. Termination does not permit these recoveries under default provisions. In the event of termination or upon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 Further, if the U.S. Government terminates its contracts with us for its convenience, or if we default by failing to perform in accordance with the contract schedule and terms, this could have an adverse impact on our cash flows and operations.</w:t>
      </w:r>
    </w:p>
    <w:p>
      <w:pPr>
        <w:spacing w:after="0" w:line="182" w:lineRule="exact"/>
        <w:rPr>
          <w:sz w:val="20"/>
          <w:szCs w:val="20"/>
          <w:color w:val="auto"/>
        </w:rPr>
      </w:pPr>
    </w:p>
    <w:p>
      <w:pPr>
        <w:ind w:firstLine="445"/>
        <w:spacing w:after="0" w:line="282" w:lineRule="auto"/>
        <w:rPr>
          <w:sz w:val="20"/>
          <w:szCs w:val="20"/>
          <w:color w:val="auto"/>
        </w:rPr>
      </w:pPr>
      <w:r>
        <w:rPr>
          <w:rFonts w:ascii="Arial" w:cs="Arial" w:eastAsia="Arial" w:hAnsi="Arial"/>
          <w:sz w:val="16"/>
          <w:szCs w:val="16"/>
          <w:color w:val="auto"/>
        </w:rPr>
        <w:t>As a U.S. Government contractor, we are required to comply with applicable laws, regulations and standards relating to our accounting practices and are subject to periodic audits and reviews. As part of any such audit or review, the U.S. Government may review the adequacy of, and our compliance with, our internal control systems and policies, including those relating to our purchasing, property, estimating, compensation and management information systems. Audits under the active BARDA/HHS and NIAID/HHS galidesivir contracts may occur at the election of the U.S. Government and have been concluded through fiscal 2015; all subsequent fiscal years are still open and auditable. Based on the results of its audits, the U.S. Government may adjust our contract-related costs and fees, including allocated indirect costs. This adjustment could impact the amount of revenues reported on a historic basis and could impact our cash flows under the contracts prospectively.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termination of our contracts,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3" w:name="page54"/>
    <w:bookmarkEnd w:id="53"/>
    <w:p>
      <w:pPr>
        <w:ind w:left="240"/>
        <w:spacing w:after="0"/>
        <w:rPr>
          <w:sz w:val="20"/>
          <w:szCs w:val="20"/>
          <w:color w:val="auto"/>
        </w:rPr>
      </w:pPr>
      <w:r>
        <w:rPr>
          <w:rFonts w:ascii="Arial" w:cs="Arial" w:eastAsia="Arial" w:hAnsi="Arial"/>
          <w:sz w:val="18"/>
          <w:szCs w:val="18"/>
          <w:b w:val="1"/>
          <w:bCs w:val="1"/>
          <w:i w:val="1"/>
          <w:iCs w:val="1"/>
          <w:color w:val="auto"/>
        </w:rPr>
        <w:t>There are risks related to the potential government use or sale of our antivirals.</w:t>
      </w:r>
    </w:p>
    <w:p>
      <w:pPr>
        <w:spacing w:after="0" w:line="220"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Government use or sale, in emergency situations or otherwise, of our antivirals—including peramivir for the treatment of influenza—may result in risks to us or our collaborative partners. There can be no assurance that government use of our antivirals (whether as indicated or outside of their current indications) will prove to be generally safe, well-tolerated and effective. Any government sale or use (on an emergency basis or otherwise) of our antivirals in any country may create liabilities for us or our partners.</w:t>
      </w:r>
    </w:p>
    <w:p>
      <w:pPr>
        <w:spacing w:after="0" w:line="188"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In September 2018, we entered into a contract with the U.S. Government for the procurement of up to 50,000 doses of RAPIVAB (peramivir injection) over a five-year period. In addition, we are working with NIAID/HHS to further develop galidesivir. There can be no assurance that we or our manufacturers will be able to fully meet the demand for such antivirals with respect to these or future arrangements. Further, we may not receive a favorable purchase price for future orders, if any, of our antivirals by governmental entities. Our competitors may develop products that could compete with or replace any antivirals selected for government sale or use. We may face competition in markets where we have no existing intellectual property protection or are unable to successfully enforce our intellectual property rights.</w:t>
      </w:r>
    </w:p>
    <w:p>
      <w:pPr>
        <w:spacing w:after="0" w:line="180" w:lineRule="exact"/>
        <w:rPr>
          <w:sz w:val="20"/>
          <w:szCs w:val="20"/>
          <w:color w:val="auto"/>
        </w:rPr>
      </w:pPr>
    </w:p>
    <w:p>
      <w:pPr>
        <w:ind w:right="260" w:firstLine="445"/>
        <w:spacing w:after="0" w:line="350" w:lineRule="auto"/>
        <w:rPr>
          <w:sz w:val="20"/>
          <w:szCs w:val="20"/>
          <w:color w:val="auto"/>
        </w:rPr>
      </w:pPr>
      <w:r>
        <w:rPr>
          <w:rFonts w:ascii="Arial" w:cs="Arial" w:eastAsia="Arial" w:hAnsi="Arial"/>
          <w:sz w:val="14"/>
          <w:szCs w:val="14"/>
          <w:color w:val="auto"/>
        </w:rPr>
        <w:t>There can be no assurance that the non-U.S. partnerships that we have entered into for peramivir will result in any order for peramivir in those countries or that peramivir will be approved for any use or will achieve market approval in additional countries. There can be no assurance that galidesivir will be approved for use in any countries. In the event that any emergency use or market approval is granted in any country, there can be no assurance that any government order or commercialization of the applicable product or product candidate in such countries will be substantial or will be profitable to us.</w:t>
      </w:r>
    </w:p>
    <w:p>
      <w:pPr>
        <w:spacing w:after="0" w:line="128" w:lineRule="exact"/>
        <w:rPr>
          <w:sz w:val="20"/>
          <w:szCs w:val="20"/>
          <w:color w:val="auto"/>
        </w:rPr>
      </w:pPr>
    </w:p>
    <w:p>
      <w:pPr>
        <w:ind w:left="240" w:right="80"/>
        <w:spacing w:after="0" w:line="270" w:lineRule="auto"/>
        <w:rPr>
          <w:sz w:val="20"/>
          <w:szCs w:val="20"/>
          <w:color w:val="auto"/>
        </w:rPr>
      </w:pPr>
      <w:r>
        <w:rPr>
          <w:rFonts w:ascii="Arial" w:cs="Arial" w:eastAsia="Arial" w:hAnsi="Arial"/>
          <w:sz w:val="18"/>
          <w:szCs w:val="18"/>
          <w:b w:val="1"/>
          <w:bCs w:val="1"/>
          <w:i w:val="1"/>
          <w:iCs w:val="1"/>
          <w:color w:val="auto"/>
        </w:rPr>
        <w:t>If we fail to reach milestones or to make annual minimum payments or otherwise breach our obligations under our license agreements, our licensors may terminate our agreements with them and seek additional remedies.</w:t>
      </w:r>
    </w:p>
    <w:p>
      <w:pPr>
        <w:spacing w:after="0" w:line="175" w:lineRule="exact"/>
        <w:rPr>
          <w:sz w:val="20"/>
          <w:szCs w:val="20"/>
          <w:color w:val="auto"/>
        </w:rPr>
      </w:pPr>
    </w:p>
    <w:p>
      <w:pPr>
        <w:ind w:right="260" w:firstLine="445"/>
        <w:spacing w:after="0" w:line="271" w:lineRule="auto"/>
        <w:rPr>
          <w:sz w:val="20"/>
          <w:szCs w:val="20"/>
          <w:color w:val="auto"/>
        </w:rPr>
      </w:pPr>
      <w:r>
        <w:rPr>
          <w:rFonts w:ascii="Arial" w:cs="Arial" w:eastAsia="Arial" w:hAnsi="Arial"/>
          <w:sz w:val="17"/>
          <w:szCs w:val="17"/>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or seek other available remedies. As a result, our development of the respective product candidate or commercialization of the product would cease.</w:t>
      </w:r>
    </w:p>
    <w:p>
      <w:pPr>
        <w:spacing w:after="0" w:line="177" w:lineRule="exact"/>
        <w:rPr>
          <w:sz w:val="20"/>
          <w:szCs w:val="20"/>
          <w:color w:val="auto"/>
        </w:rPr>
      </w:pPr>
    </w:p>
    <w:p>
      <w:pPr>
        <w:ind w:left="240" w:right="20"/>
        <w:spacing w:after="0" w:line="258" w:lineRule="auto"/>
        <w:rPr>
          <w:sz w:val="20"/>
          <w:szCs w:val="20"/>
          <w:color w:val="auto"/>
        </w:rPr>
      </w:pPr>
      <w:r>
        <w:rPr>
          <w:rFonts w:ascii="Arial" w:cs="Arial" w:eastAsia="Arial" w:hAnsi="Arial"/>
          <w:sz w:val="18"/>
          <w:szCs w:val="18"/>
          <w:b w:val="1"/>
          <w:bCs w:val="1"/>
          <w:i w:val="1"/>
          <w:iCs w:val="1"/>
          <w:color w:val="auto"/>
        </w:rPr>
        <w:t>Royalties and milestone payments from Shionogi under the Shionogi Agreement are required to be used by Royalty Sub to satisfy its obligations under its PhaRMA Notes, and generally will not be available to us for other purposes unless and until Royalty Sub has repaid in full its obligations under the PhaRMA Notes.</w:t>
      </w:r>
    </w:p>
    <w:p>
      <w:pPr>
        <w:spacing w:after="0" w:line="186" w:lineRule="exact"/>
        <w:rPr>
          <w:sz w:val="20"/>
          <w:szCs w:val="20"/>
          <w:color w:val="auto"/>
        </w:rPr>
      </w:pPr>
    </w:p>
    <w:p>
      <w:pPr>
        <w:ind w:right="60" w:firstLine="445"/>
        <w:spacing w:after="0" w:line="265" w:lineRule="auto"/>
        <w:rPr>
          <w:sz w:val="20"/>
          <w:szCs w:val="20"/>
          <w:color w:val="auto"/>
        </w:rPr>
      </w:pPr>
      <w:r>
        <w:rPr>
          <w:rFonts w:ascii="Arial" w:cs="Arial" w:eastAsia="Arial" w:hAnsi="Arial"/>
          <w:sz w:val="17"/>
          <w:szCs w:val="17"/>
          <w:color w:val="auto"/>
        </w:rPr>
        <w:t>In March 2011, our wholly-owned subsidiary, Royalty Sub, issued $30.0 million in aggregate principal amount of PhaRMA Notes. The PhaRMA Notes are secured principally by (i) certain royalty and milestone payments under the Shionogi Agreement, pursuant to which Shionogi licensed from us the rights to market peramivir in Japan and Taiwan and (ii) the pledge by us of our equity interest in Royalty Sub. Payments from Shionogi to us on non-governmental sales under the Shionogi Agreement will generally not be available to us for other purposes unless and until Royalty Sub has repaid in full its obligations under the PhaRMA Notes. Accordingly, these funds have been and will continue to be required to be dedicated to Royalty Sub’s debt service and not available to us for product development or other purposes. Since September 1, 2014, payments from Shionogi have been insufficient for Royalty Sub to service its obligations under the PhaRMA Notes, resulting in a continuing event of default with respect to the PhaRMA Notes since that time. As a result of the continuing event of default,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that might otherwise accrue to us following repayment of the PhaRMA Notes, we may incur legal costs and we might otherwise be adversely affected.</w:t>
      </w:r>
    </w:p>
    <w:p>
      <w:pPr>
        <w:spacing w:after="0" w:line="188" w:lineRule="exact"/>
        <w:rPr>
          <w:sz w:val="20"/>
          <w:szCs w:val="20"/>
          <w:color w:val="auto"/>
        </w:rPr>
      </w:pPr>
    </w:p>
    <w:p>
      <w:pPr>
        <w:ind w:right="80" w:firstLine="445"/>
        <w:spacing w:after="0" w:line="267" w:lineRule="auto"/>
        <w:rPr>
          <w:sz w:val="20"/>
          <w:szCs w:val="20"/>
          <w:color w:val="auto"/>
        </w:rPr>
      </w:pPr>
      <w:r>
        <w:rPr>
          <w:rFonts w:ascii="Arial" w:cs="Arial" w:eastAsia="Arial" w:hAnsi="Arial"/>
          <w:sz w:val="17"/>
          <w:szCs w:val="17"/>
          <w:color w:val="auto"/>
        </w:rPr>
        <w:t>The PhaRMA Notes had a final legal maturity date of December 1, 2020, at which time the outstanding principal amount of the PhaRMA Notes of $30.0 million, together with accrued and unpaid interest of $25.6 million,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 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the continuing events of default under the PhaRMA Notes or the failure by Royalty Sub to repay the PhaRMA Notes at maturity.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4" w:name="page55"/>
    <w:bookmarkEnd w:id="54"/>
    <w:p>
      <w:pPr>
        <w:ind w:left="240" w:right="140"/>
        <w:spacing w:after="0" w:line="306" w:lineRule="auto"/>
        <w:rPr>
          <w:sz w:val="20"/>
          <w:szCs w:val="20"/>
          <w:color w:val="auto"/>
        </w:rPr>
      </w:pPr>
      <w:r>
        <w:rPr>
          <w:rFonts w:ascii="Arial" w:cs="Arial" w:eastAsia="Arial" w:hAnsi="Arial"/>
          <w:sz w:val="16"/>
          <w:szCs w:val="16"/>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that might otherwise accrue to us following repayment of the PhaRMA Notes and we could otherwise be adversely affected.</w:t>
      </w:r>
    </w:p>
    <w:p>
      <w:pPr>
        <w:spacing w:after="0" w:line="150" w:lineRule="exact"/>
        <w:rPr>
          <w:sz w:val="20"/>
          <w:szCs w:val="20"/>
          <w:color w:val="auto"/>
        </w:rPr>
      </w:pPr>
    </w:p>
    <w:p>
      <w:pPr>
        <w:ind w:firstLine="445"/>
        <w:spacing w:after="0" w:line="265" w:lineRule="auto"/>
        <w:rPr>
          <w:sz w:val="20"/>
          <w:szCs w:val="20"/>
          <w:color w:val="auto"/>
        </w:rPr>
      </w:pPr>
      <w:r>
        <w:rPr>
          <w:rFonts w:ascii="Arial" w:cs="Arial" w:eastAsia="Arial" w:hAnsi="Arial"/>
          <w:sz w:val="17"/>
          <w:szCs w:val="17"/>
          <w:color w:val="auto"/>
        </w:rPr>
        <w:t>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that might otherwise accrue to us following repayment of the PhaRMA Notes, we may incur legal costs and we might otherwise be adversely affected. In addition, the PhaRMA Notes have a final legal maturity date of December 1, 2020, at which time the outstanding principal amount of the PhaRMA Notes, together with accrued and unpaid interest,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 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the continuing events of default under the PhaRMA Notes or the failure by Royalty Sub to repay the PhaRMA Notes at maturity.</w:t>
      </w:r>
    </w:p>
    <w:p>
      <w:pPr>
        <w:spacing w:after="0" w:line="185" w:lineRule="exact"/>
        <w:rPr>
          <w:sz w:val="20"/>
          <w:szCs w:val="20"/>
          <w:color w:val="auto"/>
        </w:rPr>
      </w:pPr>
    </w:p>
    <w:p>
      <w:pPr>
        <w:ind w:left="240" w:right="260"/>
        <w:spacing w:after="0" w:line="296" w:lineRule="auto"/>
        <w:rPr>
          <w:sz w:val="20"/>
          <w:szCs w:val="20"/>
          <w:color w:val="auto"/>
        </w:rPr>
      </w:pPr>
      <w:r>
        <w:rPr>
          <w:rFonts w:ascii="Arial" w:cs="Arial" w:eastAsia="Arial" w:hAnsi="Arial"/>
          <w:sz w:val="16"/>
          <w:szCs w:val="16"/>
          <w:b w:val="1"/>
          <w:bCs w:val="1"/>
          <w:i w:val="1"/>
          <w:iCs w:val="1"/>
          <w:color w:val="auto"/>
        </w:rPr>
        <w:t>We have incurred significant indebtedness, which could adversely affect our business. Additionally, our Credit Agreement contains conditions and restrictions that limit our flexibility in drawing on the additional funds thereunder and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spacing w:after="0" w:line="160"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As of September 30, 2021, we had an outstanding principal balance under our Credit Agreement of $137.9 million, net of deferred financing costs and inclusive of the PIK Interest Payment. We may also draw up to another $75.0 million in aggregate principal amount under the Term B Loan and the Term C Loan (each as defined in the Credit Agreement) under the Credit Agreement if, among other conditions, the Company reaches defined revenue milestones and, with respect to a draw on the Term C Loan, the Term B Loan has been funded prior to or contemporaneously with the Term C Loan. Our indebtedness could have important consequences to our stockholders. For example, it:</w:t>
      </w:r>
    </w:p>
    <w:p>
      <w:pPr>
        <w:spacing w:after="0" w:line="177" w:lineRule="exact"/>
        <w:rPr>
          <w:sz w:val="20"/>
          <w:szCs w:val="20"/>
          <w:color w:val="auto"/>
        </w:rPr>
      </w:pPr>
    </w:p>
    <w:p>
      <w:pPr>
        <w:ind w:left="800" w:hanging="31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our vulnerability to adverse general economic or industry conditions;</w:t>
      </w:r>
    </w:p>
    <w:p>
      <w:pPr>
        <w:spacing w:after="0" w:line="19" w:lineRule="exact"/>
        <w:rPr>
          <w:rFonts w:ascii="Arial" w:cs="Arial" w:eastAsia="Arial" w:hAnsi="Arial"/>
          <w:sz w:val="18"/>
          <w:szCs w:val="18"/>
          <w:color w:val="auto"/>
        </w:rPr>
      </w:pPr>
    </w:p>
    <w:p>
      <w:pPr>
        <w:ind w:left="800" w:hanging="31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limits our flexibility in planning for, or reacting to, changes in our business or the industry in which we operate;</w:t>
      </w:r>
    </w:p>
    <w:p>
      <w:pPr>
        <w:spacing w:after="0" w:line="6" w:lineRule="exact"/>
        <w:rPr>
          <w:rFonts w:ascii="Arial" w:cs="Arial" w:eastAsia="Arial" w:hAnsi="Arial"/>
          <w:sz w:val="18"/>
          <w:szCs w:val="18"/>
          <w:color w:val="auto"/>
        </w:rPr>
      </w:pPr>
    </w:p>
    <w:p>
      <w:pPr>
        <w:ind w:left="800" w:hanging="31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makes us more vulnerable to increases in interest rates, as borrowings under our Credit Agreement are at variable rates;</w:t>
      </w:r>
    </w:p>
    <w:p>
      <w:pPr>
        <w:spacing w:after="0" w:line="6" w:lineRule="exact"/>
        <w:rPr>
          <w:rFonts w:ascii="Arial" w:cs="Arial" w:eastAsia="Arial" w:hAnsi="Arial"/>
          <w:sz w:val="18"/>
          <w:szCs w:val="18"/>
          <w:color w:val="auto"/>
        </w:rPr>
      </w:pPr>
    </w:p>
    <w:p>
      <w:pPr>
        <w:ind w:left="800" w:hanging="313"/>
        <w:spacing w:after="0"/>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requires us to dedicate a portion of our cash flow from operations to interest payments, limiting the availability of cash for other purposes;</w:t>
      </w:r>
    </w:p>
    <w:p>
      <w:pPr>
        <w:spacing w:after="0" w:line="18" w:lineRule="exact"/>
        <w:rPr>
          <w:rFonts w:ascii="Arial" w:cs="Arial" w:eastAsia="Arial" w:hAnsi="Arial"/>
          <w:sz w:val="17"/>
          <w:szCs w:val="17"/>
          <w:color w:val="auto"/>
        </w:rPr>
      </w:pPr>
    </w:p>
    <w:p>
      <w:pPr>
        <w:ind w:left="800" w:hanging="31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or refinancing in the future for working capital or other purposes; and</w:t>
      </w:r>
    </w:p>
    <w:p>
      <w:pPr>
        <w:spacing w:after="0" w:line="6" w:lineRule="exact"/>
        <w:rPr>
          <w:rFonts w:ascii="Arial" w:cs="Arial" w:eastAsia="Arial" w:hAnsi="Arial"/>
          <w:sz w:val="18"/>
          <w:szCs w:val="18"/>
          <w:color w:val="auto"/>
        </w:rPr>
      </w:pPr>
    </w:p>
    <w:p>
      <w:pPr>
        <w:ind w:left="800" w:hanging="31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places us at a competitive disadvantage compared to our competitors that have less indebtedness.</w:t>
      </w:r>
    </w:p>
    <w:p>
      <w:pPr>
        <w:spacing w:after="0" w:line="207" w:lineRule="exact"/>
        <w:rPr>
          <w:sz w:val="20"/>
          <w:szCs w:val="20"/>
          <w:color w:val="auto"/>
        </w:rPr>
      </w:pPr>
    </w:p>
    <w:p>
      <w:pPr>
        <w:ind w:right="180" w:firstLine="445"/>
        <w:spacing w:after="0" w:line="271" w:lineRule="auto"/>
        <w:rPr>
          <w:sz w:val="20"/>
          <w:szCs w:val="20"/>
          <w:color w:val="auto"/>
        </w:rPr>
      </w:pPr>
      <w:r>
        <w:rPr>
          <w:rFonts w:ascii="Arial" w:cs="Arial" w:eastAsia="Arial" w:hAnsi="Arial"/>
          <w:sz w:val="17"/>
          <w:szCs w:val="17"/>
          <w:color w:val="auto"/>
        </w:rPr>
        <w:t>Furthermore, our Credit Agreement contains various covenants that limit our ability to engage in specified types of transactions. Subject to certain exceptions, these covenants limit our ability to, among other things, grant certain types of liens on our assets; make certain investments; incur or assume certain debt, including accessing additional tranches of debt under the Credit Agreement;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w:t>
      </w:r>
    </w:p>
    <w:p>
      <w:pPr>
        <w:spacing w:after="0" w:line="177"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The Credit Agreement also contains certain financial covenants, including a minimum liquidity covenant that requires us to maintain at all times, as applicable, at least $15.0 million of unrestricted cash and cash equivalents if only the Term A Loan (as defined in the Credit Agreement) has been drawn; at least $20.0 million of unrestricted cash and cash equivalents if the Term B Loan has been drawn but the Term C Loan has not been drawn; and at least $15.0 million (or, in certain circumstances, $20.0 million) of unrestricted cash and cash equivalents if the Term C Loan has been drawn, subject to certain exceptions. In addition, if we draw upon the Term C Loan, we will be required to achieve certain minimum targets for consolidated net revenues from ORLADEYO sales in the U.S.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55" w:name="page56"/>
    <w:bookmarkEnd w:id="55"/>
    <w:p>
      <w:pPr>
        <w:ind w:right="600" w:firstLine="445"/>
        <w:spacing w:after="0" w:line="333" w:lineRule="auto"/>
        <w:rPr>
          <w:sz w:val="20"/>
          <w:szCs w:val="20"/>
          <w:color w:val="auto"/>
        </w:rPr>
      </w:pPr>
      <w:r>
        <w:rPr>
          <w:rFonts w:ascii="Arial" w:cs="Arial" w:eastAsia="Arial" w:hAnsi="Arial"/>
          <w:sz w:val="16"/>
          <w:szCs w:val="16"/>
          <w:color w:val="auto"/>
        </w:rPr>
        <w:t>The covenants contained in the Credit Agreement could cause us to be unable to pursue business opportunities that we or our stockholders may consider beneficial without the lenders’ permission or without repaying all outstanding obligations under the Credit Agreement.</w:t>
      </w:r>
    </w:p>
    <w:p>
      <w:pPr>
        <w:spacing w:after="0" w:line="130" w:lineRule="exact"/>
        <w:rPr>
          <w:sz w:val="20"/>
          <w:szCs w:val="20"/>
          <w:color w:val="auto"/>
        </w:rPr>
      </w:pPr>
    </w:p>
    <w:p>
      <w:pPr>
        <w:ind w:right="40" w:firstLine="445"/>
        <w:spacing w:after="0" w:line="265" w:lineRule="auto"/>
        <w:rPr>
          <w:sz w:val="20"/>
          <w:szCs w:val="20"/>
          <w:color w:val="auto"/>
        </w:rPr>
      </w:pPr>
      <w:r>
        <w:rPr>
          <w:rFonts w:ascii="Arial" w:cs="Arial" w:eastAsia="Arial" w:hAnsi="Arial"/>
          <w:sz w:val="17"/>
          <w:szCs w:val="17"/>
          <w:color w:val="auto"/>
        </w:rPr>
        <w:t>A breach of any of these covenants could result in an event of default under the Credit Agreement. An event of default will also occur if, among other things, we fail to pay amounts due under the Credit Agreement, we fail to repay certain other indebtedness having an aggregate principal amount in excess of one percent of our borrowings under the Credit Agreement, a material adverse change in our business, assets, properties, liabilities, or condition occurs, or a material impairment of our ability to perform our obligations under the Credit Agreement occurs, we experience a change of control, certain negative regulatory events occur, including without limitation the loss of a required permit or a recall of a product, or we fail to make required payments under our Royalty Purchase Agreement with RPI. In the case of a continuing event of default under the Credit Agreement, the lenders under the Credit Agreement could elect to declare all amounts outstanding to be immediately due and payable, proceed against the collateral in which we granted to the lenders a security interest, or otherwise exercise the rights of a secured creditor. Amounts outstanding under the Credit Agreement are secured by a security interest in, subject to certain exceptions, substantially all of our assets. Because substantially all of our assets are pledged to secure the Credit Agreement obligations, our ability to incur additional secured indebtedness or to sell or dispose of assets to raise capital may be impaired, which could have an adverse effect on our financial flexibility.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International Operations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w:t>
      </w:r>
    </w:p>
    <w:p>
      <w:pPr>
        <w:spacing w:after="0" w:line="220" w:lineRule="exact"/>
        <w:rPr>
          <w:sz w:val="20"/>
          <w:szCs w:val="20"/>
          <w:color w:val="auto"/>
        </w:rPr>
      </w:pPr>
    </w:p>
    <w:p>
      <w:pPr>
        <w:jc w:val="both"/>
        <w:ind w:firstLine="445"/>
        <w:spacing w:after="0" w:line="258" w:lineRule="auto"/>
        <w:rPr>
          <w:sz w:val="20"/>
          <w:szCs w:val="20"/>
          <w:color w:val="auto"/>
        </w:rPr>
      </w:pPr>
      <w:r>
        <w:rPr>
          <w:rFonts w:ascii="Arial" w:cs="Arial" w:eastAsia="Arial" w:hAnsi="Arial"/>
          <w:sz w:val="18"/>
          <w:szCs w:val="18"/>
          <w:color w:val="auto"/>
        </w:rPr>
        <w:t>Our business strategy includes international expansion, including the commercialization of products outside of the United States. We currently conduct clinical studies and regulatory activities and have hired, and expect to continue hiring, employees outside of the United States. Doing business internationally involves a number of risks, including but not limited to:</w:t>
      </w:r>
    </w:p>
    <w:p>
      <w:pPr>
        <w:spacing w:after="0" w:line="186" w:lineRule="exact"/>
        <w:rPr>
          <w:sz w:val="20"/>
          <w:szCs w:val="20"/>
          <w:color w:val="auto"/>
        </w:rPr>
      </w:pPr>
    </w:p>
    <w:p>
      <w:pPr>
        <w:ind w:left="960" w:right="300" w:hanging="313"/>
        <w:spacing w:after="0" w:line="270" w:lineRule="auto"/>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 of new health authority requirements and/or changes in health authority expectations;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by us or our partners to obtain and maintain regulatory approvals for the use of our products in various countries;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complexities and difficulties in obtaining and maintaining protection for, and enforcing, our intellectual property;</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6" w:lineRule="exact"/>
        <w:rPr>
          <w:rFonts w:ascii="Arial" w:cs="Arial" w:eastAsia="Arial" w:hAnsi="Arial"/>
          <w:sz w:val="18"/>
          <w:szCs w:val="18"/>
          <w:color w:val="auto"/>
        </w:rPr>
      </w:pPr>
    </w:p>
    <w:p>
      <w:pPr>
        <w:ind w:left="960" w:right="400" w:hanging="313"/>
        <w:spacing w:after="0" w:line="24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ind w:left="960" w:hanging="313"/>
        <w:spacing w:after="0" w:line="24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and political and economic instability, including wars, terrorism, political unrest, results of certain elections and votes, actual or threatened public health emergencies and outbreak of disease (including for example, the recent coronavirus outbreak), boycotts, adoption or expansion of government trade restrictions, and other business restrictions;</w:t>
      </w:r>
    </w:p>
    <w:p>
      <w:pPr>
        <w:spacing w:after="0" w:line="1"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6" w:lineRule="exact"/>
        <w:rPr>
          <w:rFonts w:ascii="Arial" w:cs="Arial" w:eastAsia="Arial" w:hAnsi="Arial"/>
          <w:sz w:val="18"/>
          <w:szCs w:val="18"/>
          <w:color w:val="auto"/>
        </w:rPr>
      </w:pPr>
    </w:p>
    <w:p>
      <w:pPr>
        <w:ind w:left="960" w:right="120" w:hanging="313"/>
        <w:spacing w:after="0" w:line="24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commercial operations and activities that may fall within the purview of the U.S. Foreign Corrupt Practices Act, or FCPA, including its books and records provisions or anti-bribery provisions, or the U.K. Bribery Act and similar foreign laws and regulations; and</w:t>
      </w:r>
    </w:p>
    <w:p>
      <w:pPr>
        <w:spacing w:after="0" w:line="1" w:lineRule="exact"/>
        <w:rPr>
          <w:rFonts w:ascii="Arial" w:cs="Arial" w:eastAsia="Arial" w:hAnsi="Arial"/>
          <w:sz w:val="18"/>
          <w:szCs w:val="18"/>
          <w:color w:val="auto"/>
        </w:rPr>
      </w:pPr>
    </w:p>
    <w:p>
      <w:pPr>
        <w:ind w:left="960" w:right="380" w:hanging="313"/>
        <w:spacing w:after="0" w:line="255"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these factors could significantly harm our future international expansion of operations and, consequently, our business and results of operations.</w:t>
      </w:r>
    </w:p>
    <w:p>
      <w:pPr>
        <w:spacing w:after="0" w:line="243"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Additionally, in some countries, such as Japan and the countries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90" w:lineRule="exact"/>
        <w:rPr>
          <w:sz w:val="20"/>
          <w:szCs w:val="20"/>
          <w:color w:val="auto"/>
        </w:rPr>
      </w:pPr>
    </w:p>
    <w:p>
      <w:pPr>
        <w:ind w:left="240" w:right="100"/>
        <w:spacing w:after="0" w:line="270" w:lineRule="auto"/>
        <w:rPr>
          <w:sz w:val="20"/>
          <w:szCs w:val="20"/>
          <w:color w:val="auto"/>
        </w:rPr>
      </w:pPr>
      <w:r>
        <w:rPr>
          <w:rFonts w:ascii="Arial" w:cs="Arial" w:eastAsia="Arial" w:hAnsi="Arial"/>
          <w:sz w:val="18"/>
          <w:szCs w:val="18"/>
          <w:b w:val="1"/>
          <w:bCs w:val="1"/>
          <w:i w:val="1"/>
          <w:iCs w:val="1"/>
          <w:color w:val="auto"/>
        </w:rPr>
        <w:t>Our actual or perceived failure to comply with European governmental regulations and other legal obligations related to privacy, data protection and information security could harm our business.</w:t>
      </w:r>
    </w:p>
    <w:p>
      <w:pPr>
        <w:spacing w:after="0" w:line="175" w:lineRule="exact"/>
        <w:rPr>
          <w:sz w:val="20"/>
          <w:szCs w:val="20"/>
          <w:color w:val="auto"/>
        </w:rPr>
      </w:pPr>
    </w:p>
    <w:p>
      <w:pPr>
        <w:ind w:firstLine="445"/>
        <w:spacing w:after="0" w:line="266" w:lineRule="auto"/>
        <w:rPr>
          <w:sz w:val="20"/>
          <w:szCs w:val="20"/>
          <w:color w:val="auto"/>
        </w:rPr>
      </w:pPr>
      <w:r>
        <w:rPr>
          <w:rFonts w:ascii="Arial" w:cs="Arial" w:eastAsia="Arial" w:hAnsi="Arial"/>
          <w:sz w:val="17"/>
          <w:szCs w:val="17"/>
          <w:color w:val="auto"/>
        </w:rPr>
        <w:t>EU member states, Switzerland and other countries have adopted data protection laws and regulations, which impose significant compliance obligations. For example, the General Data Protection Regulation (“GDPR”) imposes strict requirements on controllers and processors of personal data, including special protections for “special category data,” which includes health, biometric and genetic information of data subjects located in the EU. Further, GDPR provides a broad right for EU member states to create supplemental national laws, for example relating to the processing of health, genetic and biometric data, which could further limit our ability to use and share such data or could cause our costs to increase and harm our business and financial condition.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 to the United States or other regions that have not been deemed to offer “adequate” privacy protections.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6" w:name="page57"/>
    <w:bookmarkEnd w:id="56"/>
    <w:p>
      <w:pPr>
        <w:ind w:right="20" w:firstLine="445"/>
        <w:spacing w:after="0" w:line="266" w:lineRule="auto"/>
        <w:rPr>
          <w:sz w:val="20"/>
          <w:szCs w:val="20"/>
          <w:color w:val="auto"/>
        </w:rPr>
      </w:pPr>
      <w:r>
        <w:rPr>
          <w:rFonts w:ascii="Arial" w:cs="Arial" w:eastAsia="Arial" w:hAnsi="Arial"/>
          <w:sz w:val="17"/>
          <w:szCs w:val="17"/>
          <w:color w:val="auto"/>
        </w:rPr>
        <w:t>Failure to comply with the requirements of the GDPR and the related national data protection laws of the EU member states, which may deviate slightly from the GDPR, may result in significant fines of up to 4% of global revenues, or €20.0 million, whichever is greater, and in addition to such fines, our failure to comply with the requirements of GDPR may subject us to litigation and/or adverse publicity, which could have material adverse effects on our reputation and business. As a result of the implementation of the GDPR, we are required to put in place additional mechanisms to ensure compliance with the new data protection rules. For example, the GDPR requires us to make more detailed disclosures to data subjects, requires disclosure of the legal basis on which we can process personal data, makes it harder for us to obtain valid consent for processing, will require the appointment of a data protection officer where sensitive personal data (i.e., health data) is processed on a large scale, introduces mandatory data breach notification throughout the EU, imposes additional obligations on us when we are contracting with service providers and requires us to adopt appropriate privacy governance including policies, procedures, training and data audit.</w:t>
      </w:r>
    </w:p>
    <w:p>
      <w:pPr>
        <w:spacing w:after="0" w:line="185" w:lineRule="exact"/>
        <w:rPr>
          <w:sz w:val="20"/>
          <w:szCs w:val="20"/>
          <w:color w:val="auto"/>
        </w:rPr>
      </w:pPr>
    </w:p>
    <w:p>
      <w:pPr>
        <w:ind w:right="40" w:firstLine="445"/>
        <w:spacing w:after="0" w:line="274" w:lineRule="auto"/>
        <w:rPr>
          <w:sz w:val="20"/>
          <w:szCs w:val="20"/>
          <w:color w:val="auto"/>
        </w:rPr>
      </w:pPr>
      <w:r>
        <w:rPr>
          <w:rFonts w:ascii="Arial" w:cs="Arial" w:eastAsia="Arial" w:hAnsi="Arial"/>
          <w:sz w:val="17"/>
          <w:szCs w:val="17"/>
          <w:color w:val="auto"/>
        </w:rPr>
        <w:t>We are subject to the supervision of local data protection authorities in those jurisdictions where we undertake clinical trials.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175"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We are also subject to evolving European privacy laws on electronic marketing and cookies. The EU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88" w:lineRule="exact"/>
        <w:rPr>
          <w:sz w:val="20"/>
          <w:szCs w:val="20"/>
          <w:color w:val="auto"/>
        </w:rPr>
      </w:pPr>
    </w:p>
    <w:p>
      <w:pPr>
        <w:ind w:left="240" w:right="100"/>
        <w:spacing w:after="0" w:line="415" w:lineRule="auto"/>
        <w:rPr>
          <w:sz w:val="20"/>
          <w:szCs w:val="20"/>
          <w:color w:val="auto"/>
        </w:rPr>
      </w:pPr>
      <w:r>
        <w:rPr>
          <w:rFonts w:ascii="Arial" w:cs="Arial" w:eastAsia="Arial" w:hAnsi="Arial"/>
          <w:sz w:val="14"/>
          <w:szCs w:val="14"/>
          <w:b w:val="1"/>
          <w:bCs w:val="1"/>
          <w:i w:val="1"/>
          <w:iCs w:val="1"/>
          <w:color w:val="auto"/>
        </w:rPr>
        <w:t>The United Kingdom</w:t>
      </w:r>
      <w:r>
        <w:rPr>
          <w:rFonts w:ascii="Arial" w:cs="Arial" w:eastAsia="Arial" w:hAnsi="Arial"/>
          <w:sz w:val="14"/>
          <w:szCs w:val="14"/>
          <w:color w:val="auto"/>
        </w:rPr>
        <w:t>’</w:t>
      </w:r>
      <w:r>
        <w:rPr>
          <w:rFonts w:ascii="Arial" w:cs="Arial" w:eastAsia="Arial" w:hAnsi="Arial"/>
          <w:sz w:val="14"/>
          <w:szCs w:val="14"/>
          <w:b w:val="1"/>
          <w:bCs w:val="1"/>
          <w:i w:val="1"/>
          <w:iCs w:val="1"/>
          <w:color w:val="auto"/>
        </w:rPr>
        <w:t>s decision to withdraw from the EU could result in increased regulatory and legal complexity, which may make it more difficult for us to do business in Europe and impose additional challenges in securing regulatory approval of our product candidates in Europe.</w:t>
      </w:r>
    </w:p>
    <w:p>
      <w:pPr>
        <w:spacing w:after="0" w:line="84"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The United Kingdom’s exit from the EU,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 and result in increased legal and regulatory complexities, as well as potential higher costs of conducting business in Europe. The long-term effects of Brexit will depend in part on how the current and future trade agreements between the United Kingdom and the EU take effect in practice. Changes in United Kingdom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80"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The cumulative effects of the disruption to the regulatory framework may add considerably to the development lead time to marketing authorization and commercialization of products in the EU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 and restrict our ability to generate revenues and achieve and sustain profitability.</w:t>
      </w:r>
    </w:p>
    <w:p>
      <w:pPr>
        <w:spacing w:after="0" w:line="190"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In addition, as a result of Brexit, other European countries may seek to conduct referenda with respect to their continuing membership with the EU. Given these possibilities and others we may not anticipate, as well as the absence of comparable precedent, it is unclear what financial, regulatory and legal implications the withdrawal of the United Kingdom from the EU will have and how such withdrawal will affect us, and the full extent to which our business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Technology</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our facilities, or the facilities of our third-party vendors, incur damage or power is lost for a significant length of time, our business will suffer.</w:t>
      </w:r>
    </w:p>
    <w:p>
      <w:pPr>
        <w:spacing w:after="0" w:line="243"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We and our third-party vendors store commercial product, clinical and stability samples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7" w:name="page58"/>
    <w:bookmarkEnd w:id="57"/>
    <w:p>
      <w:pPr>
        <w:jc w:val="both"/>
        <w:ind w:firstLine="445"/>
        <w:spacing w:after="0" w:line="258" w:lineRule="auto"/>
        <w:rPr>
          <w:sz w:val="20"/>
          <w:szCs w:val="20"/>
          <w:color w:val="auto"/>
        </w:rPr>
      </w:pPr>
      <w:r>
        <w:rPr>
          <w:rFonts w:ascii="Arial" w:cs="Arial" w:eastAsia="Arial" w:hAnsi="Arial"/>
          <w:sz w:val="18"/>
          <w:szCs w:val="18"/>
          <w:color w:val="auto"/>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significant disruption in our information technology systems or a cybersecurity breach could adversely affect our business.</w:t>
      </w:r>
    </w:p>
    <w:p>
      <w:pPr>
        <w:spacing w:after="0" w:line="220"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We are increasingly dependent on information technology systems to operate our business. In addition, the FDA and comparable foreign regulatory authorities regulate, among other things, the record keeping and storage of data pertaining to potential pharmaceutical products. We currently store most of our preclinical research data, our clinical data and our manufacturing data at our facility. While we do store duplicate copies of most of our clinical data offsite and a significant portion of our data is included in regular backups of our systems, we could lose important data if our facility incurs damage, or if our vendor data systems fail, suffer damage or are destroyed.</w:t>
      </w:r>
    </w:p>
    <w:p>
      <w:pPr>
        <w:spacing w:after="0" w:line="190" w:lineRule="exact"/>
        <w:rPr>
          <w:sz w:val="20"/>
          <w:szCs w:val="20"/>
          <w:color w:val="auto"/>
        </w:rPr>
      </w:pPr>
    </w:p>
    <w:p>
      <w:pPr>
        <w:ind w:right="40" w:firstLine="445"/>
        <w:spacing w:after="0" w:line="285" w:lineRule="auto"/>
        <w:rPr>
          <w:sz w:val="20"/>
          <w:szCs w:val="20"/>
          <w:color w:val="auto"/>
        </w:rPr>
      </w:pPr>
      <w:r>
        <w:rPr>
          <w:rFonts w:ascii="Arial" w:cs="Arial" w:eastAsia="Arial" w:hAnsi="Arial"/>
          <w:sz w:val="16"/>
          <w:szCs w:val="16"/>
          <w:color w:val="auto"/>
        </w:rPr>
        <w:t>Like other companies in our industry, our networks and infrastructure may be vulnerable to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Investing in Our Common Stock</w:t>
      </w:r>
    </w:p>
    <w:p>
      <w:pPr>
        <w:spacing w:after="0" w:line="224" w:lineRule="exact"/>
        <w:rPr>
          <w:sz w:val="20"/>
          <w:szCs w:val="20"/>
          <w:color w:val="auto"/>
        </w:rPr>
      </w:pPr>
    </w:p>
    <w:p>
      <w:pPr>
        <w:ind w:left="240" w:right="380"/>
        <w:spacing w:after="0" w:line="270" w:lineRule="auto"/>
        <w:rPr>
          <w:sz w:val="20"/>
          <w:szCs w:val="20"/>
          <w:color w:val="auto"/>
        </w:rPr>
      </w:pPr>
      <w:r>
        <w:rPr>
          <w:rFonts w:ascii="Arial" w:cs="Arial" w:eastAsia="Arial" w:hAnsi="Arial"/>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75" w:lineRule="exact"/>
        <w:rPr>
          <w:sz w:val="20"/>
          <w:szCs w:val="20"/>
          <w:color w:val="auto"/>
        </w:rPr>
      </w:pPr>
    </w:p>
    <w:p>
      <w:pPr>
        <w:ind w:right="260" w:firstLine="445"/>
        <w:spacing w:after="0" w:line="281" w:lineRule="auto"/>
        <w:rPr>
          <w:sz w:val="20"/>
          <w:szCs w:val="20"/>
          <w:color w:val="auto"/>
        </w:rPr>
      </w:pPr>
      <w:r>
        <w:rPr>
          <w:rFonts w:ascii="Arial" w:cs="Arial" w:eastAsia="Arial" w:hAnsi="Arial"/>
          <w:sz w:val="17"/>
          <w:szCs w:val="17"/>
          <w:color w:val="auto"/>
        </w:rPr>
        <w:t>Several of our stockholders own greater than 5% of our outstanding common stock. Our top ten stockholders own close to 50% of BioCryst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167" w:lineRule="exact"/>
        <w:rPr>
          <w:sz w:val="20"/>
          <w:szCs w:val="20"/>
          <w:color w:val="auto"/>
        </w:rPr>
      </w:pPr>
    </w:p>
    <w:p>
      <w:pPr>
        <w:ind w:left="220" w:right="80"/>
        <w:spacing w:after="0" w:line="270" w:lineRule="auto"/>
        <w:rPr>
          <w:sz w:val="20"/>
          <w:szCs w:val="20"/>
          <w:color w:val="auto"/>
        </w:rPr>
      </w:pPr>
      <w:r>
        <w:rPr>
          <w:rFonts w:ascii="Arial" w:cs="Arial" w:eastAsia="Arial" w:hAnsi="Arial"/>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75" w:lineRule="exact"/>
        <w:rPr>
          <w:sz w:val="20"/>
          <w:szCs w:val="20"/>
          <w:color w:val="auto"/>
        </w:rPr>
      </w:pPr>
    </w:p>
    <w:p>
      <w:pPr>
        <w:ind w:right="160" w:firstLine="445"/>
        <w:spacing w:after="0" w:line="274" w:lineRule="auto"/>
        <w:rPr>
          <w:sz w:val="20"/>
          <w:szCs w:val="20"/>
          <w:color w:val="auto"/>
        </w:rPr>
      </w:pPr>
      <w:r>
        <w:rPr>
          <w:rFonts w:ascii="Arial" w:cs="Arial" w:eastAsia="Arial" w:hAnsi="Arial"/>
          <w:sz w:val="17"/>
          <w:szCs w:val="17"/>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September 30, 2021, the 52-week range of the market price of our stock was from $3.36 to $18.48 per share. The following factors, in addition to other risk factors described in this section, may have a significant impact on the market price of our common stock:</w:t>
      </w:r>
    </w:p>
    <w:p>
      <w:pPr>
        <w:spacing w:after="0" w:line="175" w:lineRule="exact"/>
        <w:rPr>
          <w:sz w:val="20"/>
          <w:szCs w:val="20"/>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dilution through sales of our common stock or other derivative securities;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status of new or existing licensing or collaborative agreements and government contracts;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relating to the status of our programs;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and announcements regarding new and virulent strains of influenza;</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partners achieving or failing to achieve development milestones;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regarding actual or potential medical results relating to products under development by us or our competitors;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regarding certain public health concerns for which we are or may be developing treatments;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foreign countries;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concern as to the safety of pharmaceutical products;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including developments in price control legislation;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8" w:name="page59"/>
    <w:bookmarkEnd w:id="58"/>
    <w:p>
      <w:pPr>
        <w:ind w:left="960" w:hanging="31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personnel or members of our board of directors;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purchases or sales of substantial amounts of our stock by existing stockholders, including officers or directors;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and other external factors or other disasters or crises; and</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Future sales and issuances of securities may dilute the ownership interests of our current stockholders and cause our stock price to decline.</w:t>
      </w:r>
    </w:p>
    <w:p>
      <w:pPr>
        <w:spacing w:after="0" w:line="243" w:lineRule="exact"/>
        <w:rPr>
          <w:sz w:val="20"/>
          <w:szCs w:val="20"/>
          <w:color w:val="auto"/>
        </w:rPr>
      </w:pPr>
    </w:p>
    <w:p>
      <w:pPr>
        <w:ind w:right="300" w:firstLine="445"/>
        <w:spacing w:after="0" w:line="255" w:lineRule="auto"/>
        <w:rPr>
          <w:sz w:val="20"/>
          <w:szCs w:val="20"/>
          <w:color w:val="auto"/>
        </w:rPr>
      </w:pPr>
      <w:r>
        <w:rPr>
          <w:rFonts w:ascii="Arial" w:cs="Arial" w:eastAsia="Arial" w:hAnsi="Arial"/>
          <w:sz w:val="18"/>
          <w:szCs w:val="18"/>
          <w:color w:val="auto"/>
        </w:rPr>
        <w:t>Future sales of our common stock by us or our current stockholders into the public market could cause the market price of our stock to fall. As of October 29, 2021, there were 179,936,171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18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As of October 29, 2021, there were 24,410,779 stock options outstanding and 10,120,242 shares available for issuance under our Amended and Restated Stock Incentive Plan, 4,457,699 stock options outstanding and 1,052,332 shares available for issuance under our Amended and Restated Inducement Equity Incentive Plan and 6,056,304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and stock awards have been registered pursuant to registration statements on Form S-8.</w:t>
      </w:r>
    </w:p>
    <w:p>
      <w:pPr>
        <w:spacing w:after="0" w:line="190" w:lineRule="exact"/>
        <w:rPr>
          <w:sz w:val="20"/>
          <w:szCs w:val="20"/>
          <w:color w:val="auto"/>
        </w:rPr>
      </w:pPr>
    </w:p>
    <w:p>
      <w:pPr>
        <w:ind w:right="240" w:firstLine="445"/>
        <w:spacing w:after="0" w:line="255" w:lineRule="auto"/>
        <w:rPr>
          <w:sz w:val="20"/>
          <w:szCs w:val="20"/>
          <w:color w:val="auto"/>
        </w:rPr>
      </w:pPr>
      <w:r>
        <w:rPr>
          <w:rFonts w:ascii="Arial" w:cs="Arial" w:eastAsia="Arial" w:hAnsi="Arial"/>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88" w:lineRule="exact"/>
        <w:rPr>
          <w:sz w:val="20"/>
          <w:szCs w:val="20"/>
          <w:color w:val="auto"/>
        </w:rPr>
      </w:pPr>
    </w:p>
    <w:p>
      <w:pPr>
        <w:ind w:firstLine="445"/>
        <w:spacing w:after="0" w:line="266" w:lineRule="auto"/>
        <w:rPr>
          <w:sz w:val="20"/>
          <w:szCs w:val="20"/>
          <w:color w:val="auto"/>
        </w:rPr>
      </w:pPr>
      <w:r>
        <w:rPr>
          <w:rFonts w:ascii="Arial" w:cs="Arial" w:eastAsia="Arial" w:hAnsi="Arial"/>
          <w:sz w:val="17"/>
          <w:szCs w:val="17"/>
          <w:color w:val="auto"/>
        </w:rPr>
        <w:t>In March 2017, we entered into a Registration Rights Agreement with entities affiliated with Baker Bros. Advisors LP (the “Baker Entities”) to provide that, if requested, we will register the shares of our common stock beneficially owned by the Baker Entities for resale under the Securities Act. Our registration obligations pursuant to the Registration Rights Agreement cover all shares then held or thereafter acquired by the Baker Entities, for up to ten years, and include our obligation to facilitate certain underwritten public offerings of our common stock by the Baker Entities in the future. On May 10, 2017, we filed a registration statement on Form S-3 with respect to 11,710,951 shares of common stock held by the Baker Entities. Subsequently, on November 21, 2019, certain of the Baker Entities acquired pre-funded warrants to purchase 11,764,706 shares of our common stock at a price of $1.69 per warrant. In addition, on June 1, 2020, we issued to the Baker Entities pre-funded warrants to purchase 3,511,111 shares of our common stock at a price of $4.49 per warrant. Each warrant has an exercise price of $0.01 per share. If the Baker Entities, by exercising their underwriting rights or otherwise, sell a large number of our shares, or the market perceives that the Baker Entities intend to sell a large number of our shares, this could adversely affect the market price of our common stock.</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anti-takeover provisions in our corporate charter documents that may result in outcomes with which you do not agree.</w:t>
      </w:r>
    </w:p>
    <w:p>
      <w:pPr>
        <w:spacing w:after="0" w:line="22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88"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7"/>
          <w:szCs w:val="17"/>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bylaws and of Delaware law applicable to us could delay or make more difficult a merger, tender offer or proxy contest involving us.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never paid dividends on our common stock and do not anticipate doing so in the foreseeable future.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never paid cash dividends on our stock. We currently intend to retain all future earnings, if any, for use in the operation of our business.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do not anticipate paying cash dividends on our common stock in the foreseeable future.</w:t>
      </w:r>
    </w:p>
    <w:p>
      <w:pPr>
        <w:spacing w:after="0" w:line="207" w:lineRule="exact"/>
        <w:rPr>
          <w:sz w:val="20"/>
          <w:szCs w:val="20"/>
          <w:color w:val="auto"/>
        </w:rPr>
      </w:pPr>
    </w:p>
    <w:p>
      <w:pPr>
        <w:jc w:val="both"/>
        <w:ind w:left="240"/>
        <w:spacing w:after="0" w:line="258"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w:t>
      </w:r>
      <w:r>
        <w:rPr>
          <w:rFonts w:ascii="Arial" w:cs="Arial" w:eastAsia="Arial" w:hAnsi="Arial"/>
          <w:sz w:val="18"/>
          <w:szCs w:val="18"/>
          <w:color w:val="auto"/>
        </w:rPr>
        <w:t>’</w:t>
      </w:r>
      <w:r>
        <w:rPr>
          <w:rFonts w:ascii="Arial" w:cs="Arial" w:eastAsia="Arial" w:hAnsi="Arial"/>
          <w:sz w:val="18"/>
          <w:szCs w:val="18"/>
          <w:b w:val="1"/>
          <w:bCs w:val="1"/>
          <w:i w:val="1"/>
          <w:iCs w:val="1"/>
          <w:color w:val="auto"/>
        </w:rPr>
        <w:t>s ability to obtain a favorable judicial forum for such disputes with us or our directors, officers or employees.</w:t>
      </w:r>
    </w:p>
    <w:p>
      <w:pPr>
        <w:spacing w:after="0" w:line="186" w:lineRule="exact"/>
        <w:rPr>
          <w:sz w:val="20"/>
          <w:szCs w:val="20"/>
          <w:color w:val="auto"/>
        </w:rPr>
      </w:pPr>
    </w:p>
    <w:p>
      <w:pPr>
        <w:ind w:right="60" w:firstLine="445"/>
        <w:spacing w:after="0" w:line="267"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or the Exchange Act, or any other claim for which the federal courts have exclusive jurisdiction.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9" w:name="page60"/>
    <w:bookmarkEnd w:id="59"/>
    <w:p>
      <w:pPr>
        <w:ind w:right="20" w:firstLine="445"/>
        <w:spacing w:after="0" w:line="255" w:lineRule="auto"/>
        <w:rPr>
          <w:sz w:val="20"/>
          <w:szCs w:val="20"/>
          <w:color w:val="auto"/>
        </w:rPr>
      </w:pPr>
      <w:r>
        <w:rPr>
          <w:rFonts w:ascii="Arial" w:cs="Arial" w:eastAsia="Arial" w:hAnsi="Arial"/>
          <w:sz w:val="18"/>
          <w:szCs w:val="18"/>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 Factors</w:t>
      </w:r>
    </w:p>
    <w:p>
      <w:pPr>
        <w:spacing w:after="0" w:line="220" w:lineRule="exact"/>
        <w:rPr>
          <w:sz w:val="20"/>
          <w:szCs w:val="20"/>
          <w:color w:val="auto"/>
        </w:rPr>
      </w:pPr>
    </w:p>
    <w:p>
      <w:pPr>
        <w:ind w:left="240" w:right="320"/>
        <w:spacing w:after="0" w:line="415" w:lineRule="auto"/>
        <w:rPr>
          <w:sz w:val="20"/>
          <w:szCs w:val="20"/>
          <w:color w:val="auto"/>
        </w:rPr>
      </w:pPr>
      <w:r>
        <w:rPr>
          <w:rFonts w:ascii="Arial" w:cs="Arial" w:eastAsia="Arial" w:hAnsi="Arial"/>
          <w:sz w:val="14"/>
          <w:szCs w:val="14"/>
          <w:b w:val="1"/>
          <w:bCs w:val="1"/>
          <w:i w:val="1"/>
          <w:iCs w:val="1"/>
          <w:color w:val="auto"/>
        </w:rPr>
        <w:t>Natural disasters, epidemic or pandemic disease outbreaks, trade wars, political unrest or other events could disrupt our business or operations or those of our development partners, manufacturers, regulators or other third parties with whom we conduct business now or in the future.</w:t>
      </w:r>
    </w:p>
    <w:p>
      <w:pPr>
        <w:spacing w:after="0" w:line="84" w:lineRule="exact"/>
        <w:rPr>
          <w:sz w:val="20"/>
          <w:szCs w:val="20"/>
          <w:color w:val="auto"/>
        </w:rPr>
      </w:pPr>
    </w:p>
    <w:p>
      <w:pPr>
        <w:ind w:firstLine="534"/>
        <w:spacing w:after="0" w:line="284" w:lineRule="auto"/>
        <w:rPr>
          <w:sz w:val="20"/>
          <w:szCs w:val="20"/>
          <w:color w:val="auto"/>
        </w:rPr>
      </w:pPr>
      <w:r>
        <w:rPr>
          <w:rFonts w:ascii="Arial" w:cs="Arial" w:eastAsia="Arial" w:hAnsi="Arial"/>
          <w:sz w:val="16"/>
          <w:szCs w:val="16"/>
          <w:color w:val="auto"/>
        </w:rPr>
        <w:t>A wide variety of events beyond our control, including natural disasters, epidemic or pandemic disease outbreaks (such as the ongoing COVID-19 pandemic), trade wars, political unrest or other events could disrupt our business or operations or those of our development partners (such as Torii), manufacturers, regulatory authorities, or other third parties with whom we conduct business. These events may cause businesses and government agencies to be shut down, supply chains to be interrupted, slowed, or rendered inoperable, and individuals to become ill, quarantined, or otherwise unable to work and/or travel due to health reasons or governmental restrictions. If our operations or those of third parties with whom we have business are impaired or curtailed as a result of these events, the development and commercialization of our products and product candidates could be impaired or halted, which could have a material adverse impact on our business. See “Risk Factors—Risks Relating to Our Business—Risks Relating to COVID-19 Our business, operations, clinical development or commercialization plans and timelines, and access to capital could be adversely affected by the effects of the COVID-19 pandemic on us or on third parties with whom we conduct business, including without limitation our development partners, manufacturers, clinical research organizations (“CROs”), and others, as well as on the regulatory and government agencies with whom we work.”</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are subject to legal proceedings, which could harm our reputation or result in other losses or unexpected expenditure of time and resources.</w:t>
      </w:r>
    </w:p>
    <w:p>
      <w:pPr>
        <w:spacing w:after="0" w:line="266" w:lineRule="exact"/>
        <w:rPr>
          <w:sz w:val="20"/>
          <w:szCs w:val="20"/>
          <w:color w:val="auto"/>
        </w:rPr>
      </w:pPr>
    </w:p>
    <w:p>
      <w:pPr>
        <w:ind w:right="40" w:firstLine="445"/>
        <w:spacing w:after="0" w:line="287" w:lineRule="auto"/>
        <w:rPr>
          <w:sz w:val="20"/>
          <w:szCs w:val="20"/>
          <w:color w:val="auto"/>
        </w:rPr>
      </w:pPr>
      <w:r>
        <w:rPr>
          <w:rFonts w:ascii="Arial" w:cs="Arial" w:eastAsia="Arial" w:hAnsi="Arial"/>
          <w:sz w:val="16"/>
          <w:szCs w:val="16"/>
          <w:color w:val="auto"/>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proceedings. An unfavorable outcome in any such proceedings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 coverage is increasingly more costly and difficult to obtain or maintain.</w:t>
      </w:r>
    </w:p>
    <w:p>
      <w:pPr>
        <w:spacing w:after="0" w:line="22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90" w:lineRule="exact"/>
        <w:rPr>
          <w:sz w:val="20"/>
          <w:szCs w:val="20"/>
          <w:color w:val="auto"/>
        </w:rPr>
      </w:pPr>
    </w:p>
    <w:p>
      <w:pPr>
        <w:ind w:left="240" w:right="320"/>
        <w:spacing w:after="0" w:line="300" w:lineRule="auto"/>
        <w:rPr>
          <w:sz w:val="20"/>
          <w:szCs w:val="20"/>
          <w:color w:val="auto"/>
        </w:rPr>
      </w:pPr>
      <w:r>
        <w:rPr>
          <w:rFonts w:ascii="Arial" w:cs="Arial" w:eastAsia="Arial" w:hAnsi="Arial"/>
          <w:sz w:val="17"/>
          <w:szCs w:val="17"/>
          <w:b w:val="1"/>
          <w:bCs w:val="1"/>
          <w:i w:val="1"/>
          <w:iCs w:val="1"/>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5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are highly dependent upon our senior management and scientific team, the unexpected loss of whose services might impede the achievement of our development and commercial objectives. This risk has been heightened in the current environment as a result of the ongoing COVID-19 pandemic. Competition for key personnel with the experience that we require is intense and is expected to continue to increase. Our inability to attract and retain the required number of skilled and experienced management, commercial, operational and scientific personnel will harm our business because we rely upon these personnel for many critical functions of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220"/>
          </w:cols>
          <w:pgMar w:left="320" w:top="575" w:right="359" w:bottom="1440" w:gutter="0" w:footer="0" w:header="0"/>
        </w:sectPr>
      </w:pPr>
    </w:p>
    <w:p>
      <w:pPr>
        <w:spacing w:after="0" w:line="354" w:lineRule="exact"/>
        <w:rPr>
          <w:sz w:val="20"/>
          <w:szCs w:val="20"/>
          <w:color w:val="auto"/>
        </w:rPr>
      </w:pPr>
    </w:p>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3.1</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3.2</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3.3</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3.4</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3.5</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3.6</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3.7</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3.8</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3.9</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10.1*</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10.2*</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10.3*</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10.4*</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10.5*</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10.6</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(10.7)</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(10.8)*</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(10.9)*</w:t>
        </w:r>
      </w:hyperlink>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(10.10)*</w:t>
        </w:r>
      </w:hyperlink>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700"/>
        <w:spacing w:after="0" w:line="270" w:lineRule="auto"/>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Third Restated Certificate of Incorporation of Registrant. Incorporated by reference to Exhibit 3.1 to the Company’s Form 8-K filed</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December 22, 2006.</w:t>
        </w:r>
      </w:hyperlink>
    </w:p>
    <w:p>
      <w:pPr>
        <w:spacing w:after="0" w:line="175" w:lineRule="exact"/>
        <w:rPr>
          <w:sz w:val="20"/>
          <w:szCs w:val="20"/>
          <w:color w:val="auto"/>
        </w:rPr>
      </w:pPr>
    </w:p>
    <w:p>
      <w:pPr>
        <w:ind w:right="320"/>
        <w:spacing w:after="0" w:line="270" w:lineRule="auto"/>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Certificate of Amendment to the Third Restated Certificate of Incorporation of Registrant. Incorporated by reference to Exhibit 3.1 to the</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Company’s Form 8-K filed July 24, 2007.</w:t>
        </w:r>
      </w:hyperlink>
    </w:p>
    <w:p>
      <w:pPr>
        <w:spacing w:after="0" w:line="175" w:lineRule="exact"/>
        <w:rPr>
          <w:sz w:val="20"/>
          <w:szCs w:val="20"/>
          <w:color w:val="auto"/>
        </w:rPr>
      </w:pPr>
    </w:p>
    <w:p>
      <w:pPr>
        <w:ind w:right="20"/>
        <w:spacing w:after="0" w:line="270" w:lineRule="auto"/>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Certificate of Increase of Authorized Number of Shares of Series B Junior Participating Preferred Stock. Incorporated by reference to Exhibit</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3.1 to the Company’s Form 8-K filed November 4, 2008.</w:t>
        </w:r>
      </w:hyperlink>
    </w:p>
    <w:p>
      <w:pPr>
        <w:spacing w:after="0" w:line="175" w:lineRule="exact"/>
        <w:rPr>
          <w:sz w:val="20"/>
          <w:szCs w:val="20"/>
          <w:color w:val="auto"/>
        </w:rPr>
      </w:pPr>
    </w:p>
    <w:p>
      <w:pPr>
        <w:ind w:right="320"/>
        <w:spacing w:after="0" w:line="270" w:lineRule="auto"/>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Certificate of Amendment to the Third Restated Certificate of Incorporation of Registrant. Incorporated by reference to Exhibit 3.1 to the</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Company’s Form 8-K filed May 7, 2014.</w:t>
        </w:r>
      </w:hyperlink>
    </w:p>
    <w:p>
      <w:pPr>
        <w:spacing w:after="0" w:line="175" w:lineRule="exact"/>
        <w:rPr>
          <w:sz w:val="20"/>
          <w:szCs w:val="20"/>
          <w:color w:val="auto"/>
        </w:rPr>
      </w:pPr>
    </w:p>
    <w:p>
      <w:pPr>
        <w:ind w:right="20"/>
        <w:spacing w:after="0" w:line="270" w:lineRule="auto"/>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Certificate of Increase of Authorized Number of Shares of Series B Junior Participating Preferred Stock. Incorporated by reference to Exhibit</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3.2 to the Company’s Form 8-K filed May 7, 2014.</w:t>
        </w:r>
      </w:hyperlink>
    </w:p>
    <w:p>
      <w:pPr>
        <w:spacing w:after="0" w:line="175" w:lineRule="exact"/>
        <w:rPr>
          <w:sz w:val="20"/>
          <w:szCs w:val="20"/>
          <w:color w:val="auto"/>
        </w:rPr>
      </w:pPr>
    </w:p>
    <w:p>
      <w:pPr>
        <w:ind w:right="280"/>
        <w:spacing w:after="0" w:line="270" w:lineRule="auto"/>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Certificate of Elimination of the Series B Junior Participating Preferred Stock. Incorporated by reference to Exhibit 3.1 to the Company’s</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Form 8-K filed May 13, 2020.</w:t>
        </w:r>
      </w:hyperlink>
    </w:p>
    <w:p>
      <w:pPr>
        <w:spacing w:after="0" w:line="175" w:lineRule="exact"/>
        <w:rPr>
          <w:sz w:val="20"/>
          <w:szCs w:val="20"/>
          <w:color w:val="auto"/>
        </w:rPr>
      </w:pPr>
    </w:p>
    <w:p>
      <w:pPr>
        <w:spacing w:after="0" w:line="270" w:lineRule="auto"/>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Certificate of Amendment to the Third Restated Certificate of Incorporation. Incorporated by reference to Exhibit 3.2 to the Company’s Form</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8-K filed May 13, 2020.</w:t>
        </w:r>
      </w:hyperlink>
    </w:p>
    <w:p>
      <w:pPr>
        <w:spacing w:after="0" w:line="175" w:lineRule="exact"/>
        <w:rPr>
          <w:sz w:val="20"/>
          <w:szCs w:val="20"/>
          <w:color w:val="auto"/>
        </w:rPr>
      </w:pPr>
    </w:p>
    <w:p>
      <w:pPr>
        <w:ind w:right="80"/>
        <w:spacing w:after="0" w:line="270" w:lineRule="auto"/>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Amended and Restated Bylaws of Registrant effective October 29, 2008. Incorporated by reference to Exhibit 3.2 to the Company’s Form 8-</w:t>
        </w:r>
      </w:hyperlink>
      <w:hyperlink r:id="rId73">
        <w:r>
          <w:rPr>
            <w:rFonts w:ascii="Arial" w:cs="Arial" w:eastAsia="Arial" w:hAnsi="Arial"/>
            <w:sz w:val="18"/>
            <w:szCs w:val="18"/>
            <w:u w:val="single" w:color="auto"/>
            <w:color w:val="0000EE"/>
          </w:rPr>
          <w:t>K filed November 4, 2008.</w:t>
        </w:r>
      </w:hyperlink>
    </w:p>
    <w:p>
      <w:pPr>
        <w:spacing w:after="0" w:line="175" w:lineRule="exact"/>
        <w:rPr>
          <w:sz w:val="20"/>
          <w:szCs w:val="20"/>
          <w:color w:val="auto"/>
        </w:rPr>
      </w:pPr>
    </w:p>
    <w:p>
      <w:pPr>
        <w:ind w:right="340"/>
        <w:spacing w:after="0" w:line="270" w:lineRule="auto"/>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Amendment to Amended and Restated By-Laws of BioCryst Pharmaceuticals, Inc., dated January 21, 2018. Incorporated by reference to</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Exhibit 3.1 to the Company’s Form 8-K filed January 22, 2018.</w:t>
        </w:r>
      </w:hyperlink>
    </w:p>
    <w:p>
      <w:pPr>
        <w:spacing w:after="0" w:line="175" w:lineRule="exact"/>
        <w:rPr>
          <w:sz w:val="20"/>
          <w:szCs w:val="20"/>
          <w:color w:val="auto"/>
        </w:rPr>
      </w:pPr>
    </w:p>
    <w:p>
      <w:pPr>
        <w:ind w:right="140"/>
        <w:spacing w:after="0" w:line="270" w:lineRule="auto"/>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BioCryst Pharmaceuticals, Inc. Inducement Equity Incentive Plan (as amended and restated as of July 23, 2021). Incorporated by reference</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to Exhibit 99.1 to the Company’s Form S-8 (File No. 333-259919) filed September 30, 2021.</w:t>
        </w:r>
      </w:hyperlink>
    </w:p>
    <w:p>
      <w:pPr>
        <w:spacing w:after="0" w:line="175" w:lineRule="exact"/>
        <w:rPr>
          <w:sz w:val="20"/>
          <w:szCs w:val="20"/>
          <w:color w:val="auto"/>
        </w:rPr>
      </w:pPr>
    </w:p>
    <w:p>
      <w:pPr>
        <w:ind w:right="300"/>
        <w:spacing w:after="0" w:line="270" w:lineRule="auto"/>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Amended and Restated Employment Letter Agreement between BioCryst Pharmaceuticals, Inc. and William P. Sheridan, dated August 4,</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2021. Incorporated by reference to Exhibit 10.4 to the Company’s Form 10-Q filed August 9, 2021.</w:t>
        </w:r>
      </w:hyperlink>
    </w:p>
    <w:p>
      <w:pPr>
        <w:spacing w:after="0" w:line="175" w:lineRule="exact"/>
        <w:rPr>
          <w:sz w:val="20"/>
          <w:szCs w:val="20"/>
          <w:color w:val="auto"/>
        </w:rPr>
      </w:pPr>
    </w:p>
    <w:p>
      <w:pPr>
        <w:ind w:right="300"/>
        <w:spacing w:after="0" w:line="270" w:lineRule="auto"/>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Amended and Restated Employment Letter Agreement between BioCryst Pharmaceuticals, Inc. and Yarlagadda S. Babu, dated August 4,</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2021. Incorporated by reference to Exhibit 10.5 to the Company’s Form 10-Q filed August 9, 2021.</w:t>
        </w:r>
      </w:hyperlink>
    </w:p>
    <w:p>
      <w:pPr>
        <w:spacing w:after="0" w:line="175" w:lineRule="exact"/>
        <w:rPr>
          <w:sz w:val="20"/>
          <w:szCs w:val="20"/>
          <w:color w:val="auto"/>
        </w:rPr>
      </w:pPr>
    </w:p>
    <w:p>
      <w:pPr>
        <w:ind w:right="580"/>
        <w:spacing w:after="0" w:line="270" w:lineRule="auto"/>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Amended and Restated Employment Letter Agreement between BioCryst Pharmaceuticals, Inc. and Alane P. Barnes, dated August 4,</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2021. Incorporated by reference to Exhibit 10.6 to the Company’s Form 10-Q filed August 9, 2021.</w:t>
        </w:r>
      </w:hyperlink>
    </w:p>
    <w:p>
      <w:pPr>
        <w:spacing w:after="0" w:line="175" w:lineRule="exact"/>
        <w:rPr>
          <w:sz w:val="20"/>
          <w:szCs w:val="20"/>
          <w:color w:val="auto"/>
        </w:rPr>
      </w:pPr>
    </w:p>
    <w:p>
      <w:pPr>
        <w:ind w:right="1680"/>
        <w:spacing w:after="0" w:line="333" w:lineRule="auto"/>
        <w:rPr>
          <w:rFonts w:ascii="Arial" w:cs="Arial" w:eastAsia="Arial" w:hAnsi="Arial"/>
          <w:sz w:val="16"/>
          <w:szCs w:val="16"/>
          <w:u w:val="single" w:color="auto"/>
          <w:color w:val="0000EE"/>
        </w:rPr>
      </w:pPr>
      <w:hyperlink r:id="rId79">
        <w:r>
          <w:rPr>
            <w:rFonts w:ascii="Arial" w:cs="Arial" w:eastAsia="Arial" w:hAnsi="Arial"/>
            <w:sz w:val="16"/>
            <w:szCs w:val="16"/>
            <w:u w:val="single" w:color="auto"/>
            <w:color w:val="0000EE"/>
          </w:rPr>
          <w:t>Separation Agreement and Release, dated August 8, 2021, by and between BioCryst Pharmaceuticals, Inc. and Megan</w:t>
        </w:r>
      </w:hyperlink>
      <w:r>
        <w:rPr>
          <w:rFonts w:ascii="Arial" w:cs="Arial" w:eastAsia="Arial" w:hAnsi="Arial"/>
          <w:sz w:val="16"/>
          <w:szCs w:val="16"/>
          <w:u w:val="single" w:color="auto"/>
          <w:color w:val="0000EE"/>
        </w:rPr>
        <w:t xml:space="preserve"> </w:t>
      </w:r>
      <w:hyperlink r:id="rId79">
        <w:r>
          <w:rPr>
            <w:rFonts w:ascii="Arial" w:cs="Arial" w:eastAsia="Arial" w:hAnsi="Arial"/>
            <w:sz w:val="16"/>
            <w:szCs w:val="16"/>
            <w:u w:val="single" w:color="auto"/>
            <w:color w:val="0000EE"/>
          </w:rPr>
          <w:t>Sniecinski. Incorporated by reference to Exhibit 10.1 to the Company’s Form 8-K filed August 9, 2021.</w:t>
        </w:r>
      </w:hyperlink>
    </w:p>
    <w:p>
      <w:pPr>
        <w:spacing w:after="0" w:line="130" w:lineRule="exact"/>
        <w:rPr>
          <w:sz w:val="20"/>
          <w:szCs w:val="20"/>
          <w:color w:val="auto"/>
        </w:rPr>
      </w:pPr>
    </w:p>
    <w:p>
      <w:pPr>
        <w:spacing w:after="0" w:line="333" w:lineRule="auto"/>
        <w:rPr>
          <w:rFonts w:ascii="Arial" w:cs="Arial" w:eastAsia="Arial" w:hAnsi="Arial"/>
          <w:sz w:val="16"/>
          <w:szCs w:val="16"/>
          <w:u w:val="single" w:color="auto"/>
          <w:color w:val="0000EE"/>
        </w:rPr>
      </w:pPr>
      <w:hyperlink r:id="rId80">
        <w:r>
          <w:rPr>
            <w:rFonts w:ascii="Arial" w:cs="Arial" w:eastAsia="Arial" w:hAnsi="Arial"/>
            <w:sz w:val="16"/>
            <w:szCs w:val="16"/>
            <w:u w:val="single" w:color="auto"/>
            <w:color w:val="0000EE"/>
          </w:rPr>
          <w:t>Amendment, dated August 27, 2021, to the Contract dated September 1, 2018 between BioCryst Pharmaceuticals, Inc. and the Department of</w:t>
        </w:r>
      </w:hyperlink>
      <w:r>
        <w:rPr>
          <w:rFonts w:ascii="Arial" w:cs="Arial" w:eastAsia="Arial" w:hAnsi="Arial"/>
          <w:sz w:val="16"/>
          <w:szCs w:val="16"/>
          <w:u w:val="single" w:color="auto"/>
          <w:color w:val="0000EE"/>
        </w:rPr>
        <w:t xml:space="preserve"> </w:t>
      </w:r>
      <w:hyperlink r:id="rId80">
        <w:r>
          <w:rPr>
            <w:rFonts w:ascii="Arial" w:cs="Arial" w:eastAsia="Arial" w:hAnsi="Arial"/>
            <w:sz w:val="16"/>
            <w:szCs w:val="16"/>
            <w:u w:val="single" w:color="auto"/>
            <w:color w:val="0000EE"/>
          </w:rPr>
          <w:t>Health and Human Services. Incorporated by reference to Exhibit 10.1 to the Company’s Form 8-K filed September 1, 2021.</w:t>
        </w:r>
      </w:hyperlink>
    </w:p>
    <w:p>
      <w:pPr>
        <w:spacing w:after="0" w:line="130" w:lineRule="exact"/>
        <w:rPr>
          <w:sz w:val="20"/>
          <w:szCs w:val="20"/>
          <w:color w:val="auto"/>
        </w:rPr>
      </w:pPr>
    </w:p>
    <w:p>
      <w:pPr>
        <w:ind w:right="320"/>
        <w:spacing w:after="0" w:line="270" w:lineRule="auto"/>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Amendment #25 to the Agreement between BioCryst Pharmaceuticals, Inc. and the National Institute of Allergy and Infectious Diseases,</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dated September 15, 2021.</w:t>
        </w:r>
      </w:hyperlink>
    </w:p>
    <w:p>
      <w:pPr>
        <w:spacing w:after="0" w:line="175" w:lineRule="exact"/>
        <w:rPr>
          <w:sz w:val="20"/>
          <w:szCs w:val="20"/>
          <w:color w:val="auto"/>
        </w:rPr>
      </w:pPr>
    </w:p>
    <w:p>
      <w:pPr>
        <w:ind w:right="160"/>
        <w:spacing w:after="0" w:line="270" w:lineRule="auto"/>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Amendment No. 1 to the Employment Letter Agreement between BioCryst Pharmaceuticals, Inc. and Anthony Doyle, dated September 24,</w:t>
        </w:r>
      </w:hyperlink>
      <w:r>
        <w:rPr>
          <w:rFonts w:ascii="Arial" w:cs="Arial" w:eastAsia="Arial" w:hAnsi="Arial"/>
          <w:sz w:val="18"/>
          <w:szCs w:val="18"/>
          <w:u w:val="single" w:color="auto"/>
          <w:color w:val="0000EE"/>
        </w:rPr>
        <w:t xml:space="preserve"> </w:t>
      </w:r>
      <w:hyperlink w:anchor="page66">
        <w:r>
          <w:rPr>
            <w:rFonts w:ascii="Arial" w:cs="Arial" w:eastAsia="Arial" w:hAnsi="Arial"/>
            <w:sz w:val="18"/>
            <w:szCs w:val="18"/>
            <w:u w:val="single" w:color="auto"/>
            <w:color w:val="0000EE"/>
          </w:rPr>
          <w:t>2021.</w:t>
        </w:r>
      </w:hyperlink>
    </w:p>
    <w:p>
      <w:pPr>
        <w:spacing w:after="0" w:line="175" w:lineRule="exact"/>
        <w:rPr>
          <w:sz w:val="20"/>
          <w:szCs w:val="20"/>
          <w:color w:val="auto"/>
        </w:rPr>
      </w:pPr>
    </w:p>
    <w:p>
      <w:pPr>
        <w:ind w:right="700"/>
        <w:spacing w:after="0" w:line="270" w:lineRule="auto"/>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Amendment No. 1 to the Employment Letter Agreement between BioCryst Pharmaceuticals, Inc. and Dr. Helen M. Thackray, dated</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September 24, 2021.</w:t>
        </w:r>
      </w:hyperlink>
    </w:p>
    <w:p>
      <w:pPr>
        <w:spacing w:after="0" w:line="175" w:lineRule="exact"/>
        <w:rPr>
          <w:sz w:val="20"/>
          <w:szCs w:val="20"/>
          <w:color w:val="auto"/>
        </w:rPr>
      </w:pPr>
    </w:p>
    <w:p>
      <w:pPr>
        <w:ind w:right="240"/>
        <w:spacing w:after="0" w:line="270" w:lineRule="auto"/>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Amendment No. 1 to the Employment Letter Agreement between BioCryst Pharmaceuticals, Inc. and Charles Gayer, dated September 24,</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2021.</w:t>
        </w:r>
      </w:hyperlink>
    </w:p>
    <w:p>
      <w:pPr>
        <w:spacing w:after="0" w:line="200" w:lineRule="exact"/>
        <w:rPr>
          <w:sz w:val="20"/>
          <w:szCs w:val="20"/>
          <w:color w:val="auto"/>
        </w:rPr>
      </w:pPr>
    </w:p>
    <w:p>
      <w:pPr>
        <w:sectPr>
          <w:pgSz w:w="11900" w:h="16838" w:orient="portrait"/>
          <w:cols w:equalWidth="0" w:num="2">
            <w:col w:w="620" w:space="520"/>
            <w:col w:w="10080"/>
          </w:cols>
          <w:pgMar w:left="320" w:top="575" w:right="359" w:bottom="1440" w:gutter="0" w:footer="0" w:header="0"/>
          <w:type w:val="continuous"/>
        </w:sect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(31.</w:t>
              </w:r>
              <w:r>
                <w:rPr>
                  <w:rFonts w:ascii="Arial" w:cs="Arial" w:eastAsia="Arial" w:hAnsi="Arial"/>
                  <w:sz w:val="18"/>
                  <w:szCs w:val="18"/>
                  <w:u w:val="single" w:color="auto"/>
                  <w:color w:val="0000EE"/>
                  <w:w w:val="89"/>
                </w:rPr>
                <w:t>1)</w:t>
              </w:r>
            </w:hyperlink>
          </w:p>
        </w:tc>
        <w:tc>
          <w:tcPr>
            <w:tcW w:w="700" w:type="dxa"/>
            <w:vAlign w:val="bottom"/>
          </w:tcPr>
          <w:p>
            <w:pPr>
              <w:spacing w:after="0"/>
              <w:rPr>
                <w:sz w:val="17"/>
                <w:szCs w:val="17"/>
                <w:color w:val="auto"/>
              </w:rPr>
            </w:pPr>
          </w:p>
        </w:tc>
        <w:tc>
          <w:tcPr>
            <w:tcW w:w="74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Certification of the Chief Executive Officer Pursuant to Section 302 of the Sarbanes-Oxley Act of 2002.</w:t>
              </w:r>
            </w:hyperlink>
          </w:p>
        </w:tc>
        <w:tc>
          <w:tcPr>
            <w:tcW w:w="1180" w:type="dxa"/>
            <w:vAlign w:val="bottom"/>
          </w:tcPr>
          <w:p>
            <w:pPr>
              <w:spacing w:after="0"/>
              <w:rPr>
                <w:sz w:val="17"/>
                <w:szCs w:val="17"/>
                <w:color w:val="auto"/>
              </w:rPr>
            </w:pPr>
          </w:p>
        </w:tc>
      </w:tr>
      <w:tr>
        <w:trPr>
          <w:trHeight w:val="407"/>
        </w:trPr>
        <w:tc>
          <w:tcPr>
            <w:tcW w:w="440" w:type="dxa"/>
            <w:vAlign w:val="bottom"/>
          </w:tcPr>
          <w:p>
            <w:pPr>
              <w:jc w:val="right"/>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(31.</w:t>
              </w:r>
              <w:r>
                <w:rPr>
                  <w:rFonts w:ascii="Arial" w:cs="Arial" w:eastAsia="Arial" w:hAnsi="Arial"/>
                  <w:sz w:val="18"/>
                  <w:szCs w:val="18"/>
                  <w:u w:val="single" w:color="auto"/>
                  <w:color w:val="0000EE"/>
                  <w:w w:val="89"/>
                </w:rPr>
                <w:t>2)</w:t>
              </w:r>
            </w:hyperlink>
          </w:p>
        </w:tc>
        <w:tc>
          <w:tcPr>
            <w:tcW w:w="700" w:type="dxa"/>
            <w:vAlign w:val="bottom"/>
          </w:tcPr>
          <w:p>
            <w:pPr>
              <w:spacing w:after="0"/>
              <w:rPr>
                <w:sz w:val="24"/>
                <w:szCs w:val="24"/>
                <w:color w:val="auto"/>
              </w:rPr>
            </w:pPr>
          </w:p>
        </w:tc>
        <w:tc>
          <w:tcPr>
            <w:tcW w:w="8600" w:type="dxa"/>
            <w:vAlign w:val="bottom"/>
            <w:gridSpan w:val="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Certification of the Chief Financial Officer Pursuant to Section 302 of the Sarbanes-Oxley Act of 2002.</w:t>
              </w:r>
            </w:hyperlink>
          </w:p>
        </w:tc>
      </w:tr>
      <w:tr>
        <w:trPr>
          <w:trHeight w:val="20"/>
        </w:trPr>
        <w:tc>
          <w:tcPr>
            <w:tcW w:w="4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6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407"/>
        </w:trPr>
        <w:tc>
          <w:tcPr>
            <w:tcW w:w="44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(32.</w:t>
              </w:r>
              <w:r>
                <w:rPr>
                  <w:rFonts w:ascii="Arial" w:cs="Arial" w:eastAsia="Arial" w:hAnsi="Arial"/>
                  <w:sz w:val="18"/>
                  <w:szCs w:val="18"/>
                  <w:u w:val="single" w:color="auto"/>
                  <w:color w:val="0000EE"/>
                  <w:w w:val="89"/>
                </w:rPr>
                <w:t>1)</w:t>
              </w:r>
            </w:hyperlink>
          </w:p>
        </w:tc>
        <w:tc>
          <w:tcPr>
            <w:tcW w:w="700" w:type="dxa"/>
            <w:vAlign w:val="bottom"/>
          </w:tcPr>
          <w:p>
            <w:pPr>
              <w:spacing w:after="0"/>
              <w:rPr>
                <w:sz w:val="24"/>
                <w:szCs w:val="24"/>
                <w:color w:val="auto"/>
              </w:rPr>
            </w:pPr>
          </w:p>
        </w:tc>
        <w:tc>
          <w:tcPr>
            <w:tcW w:w="8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Certification pursuant to 18 U.S.C. Section 1350, as adopted pursuant to Section 906 of the Sarbanes-Oxley Act of 2002.</w:t>
              </w:r>
            </w:hyperlink>
          </w:p>
        </w:tc>
      </w:tr>
      <w:tr>
        <w:trPr>
          <w:trHeight w:val="407"/>
        </w:trPr>
        <w:tc>
          <w:tcPr>
            <w:tcW w:w="44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(32.</w:t>
              </w:r>
              <w:r>
                <w:rPr>
                  <w:rFonts w:ascii="Arial" w:cs="Arial" w:eastAsia="Arial" w:hAnsi="Arial"/>
                  <w:sz w:val="18"/>
                  <w:szCs w:val="18"/>
                  <w:u w:val="single" w:color="auto"/>
                  <w:color w:val="0000EE"/>
                  <w:w w:val="89"/>
                </w:rPr>
                <w:t>2)</w:t>
              </w:r>
            </w:hyperlink>
          </w:p>
        </w:tc>
        <w:tc>
          <w:tcPr>
            <w:tcW w:w="700" w:type="dxa"/>
            <w:vAlign w:val="bottom"/>
          </w:tcPr>
          <w:p>
            <w:pPr>
              <w:spacing w:after="0"/>
              <w:rPr>
                <w:sz w:val="24"/>
                <w:szCs w:val="24"/>
                <w:color w:val="auto"/>
              </w:rPr>
            </w:pPr>
          </w:p>
        </w:tc>
        <w:tc>
          <w:tcPr>
            <w:tcW w:w="8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Certification pursuant to 18 U.S.C. Section 1350, as adopted pursuant to Section 906 of the Sarbanes-Oxley Act of 2002.</w:t>
              </w:r>
            </w:hyperlink>
          </w:p>
        </w:tc>
      </w:tr>
    </w:tbl>
    <w:p>
      <w:pPr>
        <w:spacing w:after="0" w:line="22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Financial statements from the Quarterly Report on Form 10-Q of BioCryst Pharmaceuticals, Inc. for the three and nine months ended</w:t>
      </w:r>
    </w:p>
    <w:p>
      <w:pPr>
        <w:spacing w:after="0" w:line="31" w:lineRule="exact"/>
        <w:rPr>
          <w:sz w:val="20"/>
          <w:szCs w:val="20"/>
          <w:color w:val="auto"/>
        </w:rPr>
      </w:pPr>
    </w:p>
    <w:p>
      <w:pPr>
        <w:ind w:left="1140" w:hanging="1133"/>
        <w:spacing w:after="0" w:line="185" w:lineRule="auto"/>
        <w:tabs>
          <w:tab w:leader="none" w:pos="1140" w:val="left"/>
        </w:tabs>
        <w:numPr>
          <w:ilvl w:val="0"/>
          <w:numId w:val="30"/>
        </w:numPr>
        <w:rPr>
          <w:rFonts w:ascii="Arial" w:cs="Arial" w:eastAsia="Arial" w:hAnsi="Arial"/>
          <w:sz w:val="36"/>
          <w:szCs w:val="36"/>
          <w:color w:val="auto"/>
          <w:vertAlign w:val="subscript"/>
        </w:rPr>
      </w:pPr>
      <w:r>
        <w:rPr>
          <w:rFonts w:ascii="Arial" w:cs="Arial" w:eastAsia="Arial" w:hAnsi="Arial"/>
          <w:sz w:val="18"/>
          <w:szCs w:val="18"/>
          <w:color w:val="auto"/>
        </w:rPr>
        <w:t>September 30, 2021, formatted in Inline XBRL: (i) Consolidated Balance Sheets, (ii) Consolidated Statements of Comprehensive Loss, (iii) Consolidated Statements of Cash Flows, and (iv) Notes to Consolidated Financial Statements, tagged as blocks of text and including detailed tags.</w:t>
      </w:r>
    </w:p>
    <w:p>
      <w:pPr>
        <w:spacing w:after="0" w:line="203" w:lineRule="exact"/>
        <w:rPr>
          <w:sz w:val="20"/>
          <w:szCs w:val="20"/>
          <w:color w:val="auto"/>
        </w:rPr>
      </w:pPr>
    </w:p>
    <w:p>
      <w:pPr>
        <w:ind w:left="1140" w:right="260" w:hanging="1133"/>
        <w:spacing w:after="0" w:line="183" w:lineRule="auto"/>
        <w:tabs>
          <w:tab w:leader="none" w:pos="1140" w:val="left"/>
        </w:tabs>
        <w:numPr>
          <w:ilvl w:val="0"/>
          <w:numId w:val="31"/>
        </w:numPr>
        <w:rPr>
          <w:rFonts w:ascii="Arial" w:cs="Arial" w:eastAsia="Arial" w:hAnsi="Arial"/>
          <w:sz w:val="33"/>
          <w:szCs w:val="33"/>
          <w:color w:val="auto"/>
          <w:vertAlign w:val="subscript"/>
        </w:rPr>
      </w:pPr>
      <w:r>
        <w:rPr>
          <w:rFonts w:ascii="Arial" w:cs="Arial" w:eastAsia="Arial" w:hAnsi="Arial"/>
          <w:sz w:val="17"/>
          <w:szCs w:val="17"/>
          <w:color w:val="auto"/>
        </w:rPr>
        <w:t>Cover Page Interactive Data File – The cover page from this Quarterly Report on Form 10-Q for the quarter ended September 30, 2021 is formatted in Inline XBRL (contained in Exhibit 101).</w:t>
      </w: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Filed or furnished herewith.</w:t>
      </w:r>
    </w:p>
    <w:p>
      <w:pPr>
        <w:spacing w:after="0" w:line="19" w:lineRule="exact"/>
        <w:rPr>
          <w:sz w:val="20"/>
          <w:szCs w:val="20"/>
          <w:color w:val="auto"/>
        </w:rPr>
      </w:pPr>
    </w:p>
    <w:p>
      <w:pPr>
        <w:ind w:left="1140" w:hanging="113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60" w:right="39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4th day of November, 2021.</w:t>
      </w:r>
    </w:p>
    <w:p>
      <w:pPr>
        <w:spacing w:after="0" w:line="3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BIOCRYST PHARMACEUTICALS, INC.</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Jon P. Stonehouse</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7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Anthony Doyle</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7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L. Jones</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7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i w:val="1"/>
          <w:iCs w:val="1"/>
          <w:color w:val="auto"/>
        </w:rPr>
        <w:t>Executive Director, Finance and Principal Accounting Officer</w:t>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320" w:top="575" w:right="399" w:bottom="1440" w:gutter="0" w:footer="0" w:header="0"/>
        </w:sectPr>
      </w:pPr>
    </w:p>
    <w:bookmarkStart w:id="63" w:name="page64"/>
    <w:bookmarkEnd w:id="63"/>
    <w:p>
      <w:pPr>
        <w:ind w:left="9020"/>
        <w:spacing w:after="0"/>
        <w:rPr>
          <w:sz w:val="20"/>
          <w:szCs w:val="20"/>
          <w:color w:val="auto"/>
        </w:rPr>
      </w:pPr>
      <w:r>
        <w:rPr>
          <w:rFonts w:ascii="Arial" w:cs="Arial" w:eastAsia="Arial" w:hAnsi="Arial"/>
          <w:sz w:val="19"/>
          <w:szCs w:val="19"/>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167005</wp:posOffset>
            </wp:positionV>
            <wp:extent cx="7196455" cy="9557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96455" cy="955738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319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AGREEMENT</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this 24th day of September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between BioCryst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Mr. Anthony Doyle (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Employee are parties to that Employment Agreement, dated as of March 29, 2020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terms of the Employment Agreement, as set forth herein, effective as of the date hereof.</w:t>
      </w:r>
    </w:p>
    <w:p>
      <w:pPr>
        <w:spacing w:after="0" w:line="220" w:lineRule="exact"/>
        <w:rPr>
          <w:sz w:val="20"/>
          <w:szCs w:val="20"/>
          <w:color w:val="auto"/>
        </w:rPr>
      </w:pPr>
    </w:p>
    <w:p>
      <w:pPr>
        <w:ind w:firstLine="1281"/>
        <w:spacing w:after="0" w:line="274"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the parties agree as follows:</w:t>
      </w:r>
    </w:p>
    <w:p>
      <w:pPr>
        <w:spacing w:after="0" w:line="172" w:lineRule="exact"/>
        <w:rPr>
          <w:sz w:val="20"/>
          <w:szCs w:val="20"/>
          <w:color w:val="auto"/>
        </w:rPr>
      </w:pPr>
    </w:p>
    <w:p>
      <w:pPr>
        <w:ind w:left="540" w:hanging="533"/>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Section 2(b)</w:t>
      </w:r>
      <w:r>
        <w:rPr>
          <w:rFonts w:ascii="Arial" w:cs="Arial" w:eastAsia="Arial" w:hAnsi="Arial"/>
          <w:sz w:val="18"/>
          <w:szCs w:val="18"/>
          <w:color w:val="auto"/>
        </w:rPr>
        <w:t>. The last sentence of Section 2(b) is hereby amended and restated in its entirety as follows:</w:t>
      </w:r>
    </w:p>
    <w:p>
      <w:pPr>
        <w:spacing w:after="0" w:line="220" w:lineRule="exact"/>
        <w:rPr>
          <w:sz w:val="20"/>
          <w:szCs w:val="20"/>
          <w:color w:val="auto"/>
        </w:rPr>
      </w:pPr>
    </w:p>
    <w:p>
      <w:pPr>
        <w:ind w:left="1920"/>
        <w:spacing w:after="0" w:line="270" w:lineRule="auto"/>
        <w:rPr>
          <w:sz w:val="20"/>
          <w:szCs w:val="20"/>
          <w:color w:val="auto"/>
        </w:rPr>
      </w:pPr>
      <w:r>
        <w:rPr>
          <w:rFonts w:ascii="Arial" w:cs="Arial" w:eastAsia="Arial" w:hAnsi="Arial"/>
          <w:sz w:val="18"/>
          <w:szCs w:val="18"/>
          <w:color w:val="auto"/>
        </w:rPr>
        <w:t>Employee must be employed by the Company at the time Incentive Compensation payments are paid in order to receive the Incentive Compensation payment for each fiscal year.</w:t>
      </w:r>
    </w:p>
    <w:p>
      <w:pPr>
        <w:spacing w:after="0" w:line="175" w:lineRule="exact"/>
        <w:rPr>
          <w:sz w:val="20"/>
          <w:szCs w:val="20"/>
          <w:color w:val="auto"/>
        </w:rPr>
      </w:pPr>
    </w:p>
    <w:p>
      <w:pPr>
        <w:ind w:left="540" w:hanging="533"/>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Section 6(b)</w:t>
      </w:r>
      <w:r>
        <w:rPr>
          <w:rFonts w:ascii="Arial" w:cs="Arial" w:eastAsia="Arial" w:hAnsi="Arial"/>
          <w:sz w:val="18"/>
          <w:szCs w:val="18"/>
          <w:color w:val="auto"/>
        </w:rPr>
        <w:t>. Section 6(b) is hereby amended and restated in its entirety as follows:</w:t>
      </w:r>
    </w:p>
    <w:p>
      <w:pPr>
        <w:spacing w:after="0" w:line="220" w:lineRule="exact"/>
        <w:rPr>
          <w:sz w:val="20"/>
          <w:szCs w:val="20"/>
          <w:color w:val="auto"/>
        </w:rPr>
      </w:pPr>
    </w:p>
    <w:p>
      <w:pPr>
        <w:jc w:val="both"/>
        <w:ind w:left="1920"/>
        <w:spacing w:after="0" w:line="296" w:lineRule="auto"/>
        <w:rPr>
          <w:sz w:val="20"/>
          <w:szCs w:val="20"/>
          <w:color w:val="auto"/>
        </w:rPr>
      </w:pPr>
      <w:r>
        <w:rPr>
          <w:rFonts w:ascii="Arial" w:cs="Arial" w:eastAsia="Arial" w:hAnsi="Arial"/>
          <w:sz w:val="16"/>
          <w:szCs w:val="16"/>
          <w:u w:val="single" w:color="auto"/>
          <w:color w:val="auto"/>
        </w:rPr>
        <w:t>Assignability</w:t>
      </w:r>
      <w:r>
        <w:rPr>
          <w:rFonts w:ascii="Arial" w:cs="Arial" w:eastAsia="Arial" w:hAnsi="Arial"/>
          <w:sz w:val="16"/>
          <w:szCs w:val="16"/>
          <w:color w:val="auto"/>
        </w:rPr>
        <w:t>. This Agreement may not be assigned without prior written consent of the parties hereto, except that the Company may assign this Agreement to a wholly-owned subsidiary of the Company without prior written consent of Employee. To the extent allowable pursuant to this Agreement, this Agreement shall be binding upon and shall inure to the benefit of each of the parties hereto and their respective executors, administrators, personal representatives, heirs, successors and assigns.</w:t>
      </w:r>
    </w:p>
    <w:p>
      <w:pPr>
        <w:spacing w:after="0" w:line="160" w:lineRule="exact"/>
        <w:rPr>
          <w:sz w:val="20"/>
          <w:szCs w:val="20"/>
          <w:color w:val="auto"/>
        </w:rPr>
      </w:pPr>
    </w:p>
    <w:p>
      <w:pPr>
        <w:jc w:val="both"/>
        <w:ind w:firstLine="7"/>
        <w:spacing w:after="0" w:line="258" w:lineRule="auto"/>
        <w:tabs>
          <w:tab w:leader="none" w:pos="77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Continuation of Employment Agreement</w:t>
      </w:r>
      <w:r>
        <w:rPr>
          <w:rFonts w:ascii="Arial" w:cs="Arial" w:eastAsia="Arial" w:hAnsi="Arial"/>
          <w:sz w:val="18"/>
          <w:szCs w:val="18"/>
          <w:color w:val="auto"/>
        </w:rPr>
        <w:t>. Except as otherwise expressly provided herein, all of the terms and provisions of the Employment Agreement shall remain in full force and effect and this Employment Amendment shall not amend or modify any other rights, powers, duties, or obligations of any party to the Employment Agreement.</w:t>
      </w:r>
    </w:p>
    <w:p>
      <w:pPr>
        <w:spacing w:after="0" w:line="186" w:lineRule="exact"/>
        <w:rPr>
          <w:rFonts w:ascii="Arial" w:cs="Arial" w:eastAsia="Arial" w:hAnsi="Arial"/>
          <w:sz w:val="18"/>
          <w:szCs w:val="18"/>
          <w:color w:val="auto"/>
        </w:rPr>
      </w:pPr>
    </w:p>
    <w:p>
      <w:pPr>
        <w:ind w:firstLine="7"/>
        <w:spacing w:after="0" w:line="333" w:lineRule="auto"/>
        <w:tabs>
          <w:tab w:leader="none" w:pos="57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Amendment and the Employment Agreement contain the entire agreement between the parties hereto with respect to the matters contained herein and supersedes and replaces any prior agreement between the parties with respect to the matters set forth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311785</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both"/>
        <w:ind w:firstLine="7"/>
        <w:spacing w:after="0" w:line="258"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any such counterparts may be transmitted by electronic transmission, and each of such counterparts, whether an original or an electronic or ".pdf" of an original, shall be deemed to be an original and all of such counterparts together shall constitute a single agreement.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Amendment, on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5400" w:type="dxa"/>
            <w:vAlign w:val="bottom"/>
            <w:gridSpan w:val="2"/>
          </w:tcPr>
          <w:p>
            <w:pPr>
              <w:ind w:left="1480"/>
              <w:spacing w:after="0"/>
              <w:rPr>
                <w:sz w:val="20"/>
                <w:szCs w:val="20"/>
                <w:color w:val="auto"/>
              </w:rPr>
            </w:pPr>
            <w:r>
              <w:rPr>
                <w:rFonts w:ascii="Arial" w:cs="Arial" w:eastAsia="Arial" w:hAnsi="Arial"/>
                <w:sz w:val="18"/>
                <w:szCs w:val="18"/>
                <w:b w:val="1"/>
                <w:bCs w:val="1"/>
                <w:color w:val="auto"/>
              </w:rPr>
              <w:t>BIOCRYST</w:t>
            </w:r>
          </w:p>
        </w:tc>
      </w:tr>
      <w:tr>
        <w:trPr>
          <w:trHeight w:val="230"/>
        </w:trPr>
        <w:tc>
          <w:tcPr>
            <w:tcW w:w="2480" w:type="dxa"/>
            <w:vAlign w:val="bottom"/>
          </w:tcPr>
          <w:p>
            <w:pPr>
              <w:spacing w:after="0"/>
              <w:rPr>
                <w:sz w:val="20"/>
                <w:szCs w:val="20"/>
                <w:color w:val="auto"/>
              </w:rPr>
            </w:pPr>
          </w:p>
        </w:tc>
        <w:tc>
          <w:tcPr>
            <w:tcW w:w="5400" w:type="dxa"/>
            <w:vAlign w:val="bottom"/>
            <w:gridSpan w:val="2"/>
          </w:tcPr>
          <w:p>
            <w:pPr>
              <w:ind w:left="1480"/>
              <w:spacing w:after="0"/>
              <w:rPr>
                <w:sz w:val="20"/>
                <w:szCs w:val="20"/>
                <w:color w:val="auto"/>
              </w:rPr>
            </w:pPr>
            <w:r>
              <w:rPr>
                <w:rFonts w:ascii="Arial" w:cs="Arial" w:eastAsia="Arial" w:hAnsi="Arial"/>
                <w:sz w:val="18"/>
                <w:szCs w:val="18"/>
                <w:b w:val="1"/>
                <w:bCs w:val="1"/>
                <w:color w:val="auto"/>
              </w:rPr>
              <w:t>PHARMACEUTICALS, INC.</w:t>
            </w:r>
          </w:p>
        </w:tc>
      </w:tr>
      <w:tr>
        <w:trPr>
          <w:trHeight w:val="427"/>
        </w:trPr>
        <w:tc>
          <w:tcPr>
            <w:tcW w:w="2480" w:type="dxa"/>
            <w:vAlign w:val="bottom"/>
          </w:tcPr>
          <w:p>
            <w:pPr>
              <w:spacing w:after="0"/>
              <w:rPr>
                <w:sz w:val="20"/>
                <w:szCs w:val="20"/>
                <w:color w:val="auto"/>
              </w:rPr>
            </w:pPr>
            <w:r>
              <w:rPr>
                <w:rFonts w:ascii="Arial" w:cs="Arial" w:eastAsia="Arial" w:hAnsi="Arial"/>
                <w:sz w:val="18"/>
                <w:szCs w:val="18"/>
                <w:color w:val="auto"/>
              </w:rPr>
              <w:t>/s/ Anthony Doyle</w:t>
            </w:r>
          </w:p>
        </w:tc>
        <w:tc>
          <w:tcPr>
            <w:tcW w:w="5400" w:type="dxa"/>
            <w:vAlign w:val="bottom"/>
            <w:gridSpan w:val="2"/>
          </w:tcPr>
          <w:p>
            <w:pPr>
              <w:ind w:left="1480"/>
              <w:spacing w:after="0"/>
              <w:rPr>
                <w:sz w:val="20"/>
                <w:szCs w:val="20"/>
                <w:color w:val="auto"/>
              </w:rPr>
            </w:pPr>
            <w:r>
              <w:rPr>
                <w:rFonts w:ascii="Arial" w:cs="Arial" w:eastAsia="Arial" w:hAnsi="Arial"/>
                <w:sz w:val="18"/>
                <w:szCs w:val="18"/>
                <w:color w:val="auto"/>
              </w:rPr>
              <w:t>By:  /s/ Jon Stonehouse</w:t>
            </w:r>
          </w:p>
        </w:tc>
      </w:tr>
      <w:tr>
        <w:trPr>
          <w:trHeight w:val="194"/>
        </w:trPr>
        <w:tc>
          <w:tcPr>
            <w:tcW w:w="24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Anthony Doyle</w:t>
            </w:r>
          </w:p>
        </w:tc>
        <w:tc>
          <w:tcPr>
            <w:tcW w:w="1920" w:type="dxa"/>
            <w:vAlign w:val="bottom"/>
          </w:tcPr>
          <w:p>
            <w:pPr>
              <w:spacing w:after="0"/>
              <w:rPr>
                <w:sz w:val="16"/>
                <w:szCs w:val="16"/>
                <w:color w:val="auto"/>
              </w:rPr>
            </w:pPr>
          </w:p>
        </w:tc>
        <w:tc>
          <w:tcPr>
            <w:tcW w:w="34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Jon Stonehouse</w:t>
            </w:r>
          </w:p>
        </w:tc>
      </w:tr>
      <w:tr>
        <w:trPr>
          <w:trHeight w:val="226"/>
        </w:trPr>
        <w:tc>
          <w:tcPr>
            <w:tcW w:w="2480" w:type="dxa"/>
            <w:vAlign w:val="bottom"/>
          </w:tcPr>
          <w:p>
            <w:pPr>
              <w:spacing w:after="0"/>
              <w:rPr>
                <w:sz w:val="19"/>
                <w:szCs w:val="19"/>
                <w:color w:val="auto"/>
              </w:rPr>
            </w:pPr>
          </w:p>
        </w:tc>
        <w:tc>
          <w:tcPr>
            <w:tcW w:w="5400" w:type="dxa"/>
            <w:vAlign w:val="bottom"/>
            <w:gridSpan w:val="2"/>
          </w:tcPr>
          <w:p>
            <w:pPr>
              <w:ind w:left="19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79"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1"/>
          <w:szCs w:val="21"/>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AGREEMENT</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this 24th day of September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between BioCryst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Dr. Helen Thackray (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Employee are parties to that Employment Agreement, dated as of February 18, 2021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terms of the Employment Agreement, as set forth herein, effective as of the date hereof.</w:t>
      </w:r>
    </w:p>
    <w:p>
      <w:pPr>
        <w:spacing w:after="0" w:line="220" w:lineRule="exact"/>
        <w:rPr>
          <w:sz w:val="20"/>
          <w:szCs w:val="20"/>
          <w:color w:val="auto"/>
        </w:rPr>
      </w:pPr>
    </w:p>
    <w:p>
      <w:pPr>
        <w:ind w:right="20" w:firstLine="1281"/>
        <w:spacing w:after="0" w:line="274"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the parties agree as follows:</w:t>
      </w:r>
    </w:p>
    <w:p>
      <w:pPr>
        <w:spacing w:after="0" w:line="172" w:lineRule="exact"/>
        <w:rPr>
          <w:sz w:val="20"/>
          <w:szCs w:val="20"/>
          <w:color w:val="auto"/>
        </w:rPr>
      </w:pPr>
    </w:p>
    <w:p>
      <w:pPr>
        <w:ind w:left="540" w:hanging="531"/>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Section 2(b)</w:t>
      </w:r>
      <w:r>
        <w:rPr>
          <w:rFonts w:ascii="Arial" w:cs="Arial" w:eastAsia="Arial" w:hAnsi="Arial"/>
          <w:sz w:val="18"/>
          <w:szCs w:val="18"/>
          <w:color w:val="auto"/>
        </w:rPr>
        <w:t>. The last sentence of Section 2(b) is hereby amended and restated in its entirety as follows:</w:t>
      </w:r>
    </w:p>
    <w:p>
      <w:pPr>
        <w:spacing w:after="0" w:line="220" w:lineRule="exact"/>
        <w:rPr>
          <w:sz w:val="20"/>
          <w:szCs w:val="20"/>
          <w:color w:val="auto"/>
        </w:rPr>
      </w:pPr>
    </w:p>
    <w:p>
      <w:pPr>
        <w:ind w:left="1940"/>
        <w:spacing w:after="0" w:line="270" w:lineRule="auto"/>
        <w:rPr>
          <w:sz w:val="20"/>
          <w:szCs w:val="20"/>
          <w:color w:val="auto"/>
        </w:rPr>
      </w:pPr>
      <w:r>
        <w:rPr>
          <w:rFonts w:ascii="Arial" w:cs="Arial" w:eastAsia="Arial" w:hAnsi="Arial"/>
          <w:sz w:val="18"/>
          <w:szCs w:val="18"/>
          <w:color w:val="auto"/>
        </w:rPr>
        <w:t>Employee must be employed by the Company at the time Incentive Compensation payments are paid in order to receive the Incentive Compensation payment for each fiscal year.</w:t>
      </w:r>
    </w:p>
    <w:p>
      <w:pPr>
        <w:spacing w:after="0" w:line="175" w:lineRule="exact"/>
        <w:rPr>
          <w:sz w:val="20"/>
          <w:szCs w:val="20"/>
          <w:color w:val="auto"/>
        </w:rPr>
      </w:pPr>
    </w:p>
    <w:p>
      <w:pPr>
        <w:ind w:left="540" w:hanging="531"/>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Section 6(b)</w:t>
      </w:r>
      <w:r>
        <w:rPr>
          <w:rFonts w:ascii="Arial" w:cs="Arial" w:eastAsia="Arial" w:hAnsi="Arial"/>
          <w:sz w:val="18"/>
          <w:szCs w:val="18"/>
          <w:color w:val="auto"/>
        </w:rPr>
        <w:t>. Section 6(b) is hereby amended and restated in its entirety as follows:</w:t>
      </w:r>
    </w:p>
    <w:p>
      <w:pPr>
        <w:spacing w:after="0" w:line="220" w:lineRule="exact"/>
        <w:rPr>
          <w:sz w:val="20"/>
          <w:szCs w:val="20"/>
          <w:color w:val="auto"/>
        </w:rPr>
      </w:pPr>
    </w:p>
    <w:p>
      <w:pPr>
        <w:jc w:val="both"/>
        <w:ind w:left="1940"/>
        <w:spacing w:after="0" w:line="296" w:lineRule="auto"/>
        <w:rPr>
          <w:sz w:val="20"/>
          <w:szCs w:val="20"/>
          <w:color w:val="auto"/>
        </w:rPr>
      </w:pPr>
      <w:r>
        <w:rPr>
          <w:rFonts w:ascii="Arial" w:cs="Arial" w:eastAsia="Arial" w:hAnsi="Arial"/>
          <w:sz w:val="16"/>
          <w:szCs w:val="16"/>
          <w:u w:val="single" w:color="auto"/>
          <w:color w:val="auto"/>
        </w:rPr>
        <w:t>Assignability</w:t>
      </w:r>
      <w:r>
        <w:rPr>
          <w:rFonts w:ascii="Arial" w:cs="Arial" w:eastAsia="Arial" w:hAnsi="Arial"/>
          <w:sz w:val="16"/>
          <w:szCs w:val="16"/>
          <w:color w:val="auto"/>
        </w:rPr>
        <w:t>. This Agreement may not be assigned without prior written consent of the parties hereto, except that the Company may assign this Agreement to a wholly-owned subsidiary of the Company without prior written consent of Employee. To the extent allowable pursuant to this Agreement, this Agreement shall be binding upon and shall inure to the benefit of each of the parties hereto and their respective executors, administrators, personal representatives, heirs, successors and assigns.</w:t>
      </w:r>
    </w:p>
    <w:p>
      <w:pPr>
        <w:spacing w:after="0" w:line="160" w:lineRule="exact"/>
        <w:rPr>
          <w:sz w:val="20"/>
          <w:szCs w:val="20"/>
          <w:color w:val="auto"/>
        </w:rPr>
      </w:pPr>
    </w:p>
    <w:p>
      <w:pPr>
        <w:jc w:val="both"/>
        <w:ind w:firstLine="9"/>
        <w:spacing w:after="0" w:line="258"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Continuation of Employment Agreement</w:t>
      </w:r>
      <w:r>
        <w:rPr>
          <w:rFonts w:ascii="Arial" w:cs="Arial" w:eastAsia="Arial" w:hAnsi="Arial"/>
          <w:sz w:val="18"/>
          <w:szCs w:val="18"/>
          <w:color w:val="auto"/>
        </w:rPr>
        <w:t>. Except as otherwise expressly provided herein, all of the terms and provisions of the Employment Agreement shall remain in full force and effect and this Employment Amendment shall not amend or modify any other rights, powers, duties, or obligations of any party to the Employment Agreement.</w:t>
      </w:r>
    </w:p>
    <w:p>
      <w:pPr>
        <w:spacing w:after="0" w:line="186" w:lineRule="exact"/>
        <w:rPr>
          <w:rFonts w:ascii="Arial" w:cs="Arial" w:eastAsia="Arial" w:hAnsi="Arial"/>
          <w:sz w:val="18"/>
          <w:szCs w:val="18"/>
          <w:color w:val="auto"/>
        </w:rPr>
      </w:pPr>
    </w:p>
    <w:p>
      <w:pPr>
        <w:ind w:firstLine="9"/>
        <w:spacing w:after="0" w:line="333" w:lineRule="auto"/>
        <w:tabs>
          <w:tab w:leader="none" w:pos="53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Amendment and the Employment Agreement contain the entire agreement between the parties hereto with respect to the matters contained herein and supersedes and replaces any prior agreement between the parties with respect to the matters set forth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311785</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460" w:top="112" w:right="339" w:bottom="1440" w:gutter="0" w:footer="0" w:header="0"/>
        </w:sectPr>
      </w:pPr>
    </w:p>
    <w:bookmarkStart w:id="68" w:name="page69"/>
    <w:bookmarkEnd w:id="68"/>
    <w:p>
      <w:pPr>
        <w:jc w:val="both"/>
        <w:ind w:left="140" w:firstLine="9"/>
        <w:spacing w:after="0" w:line="258"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any such counterparts may be transmitted by electronic transmission, and each of such counterparts, whether an original or an electronic or ".pdf" of an original, shall be deemed to be an original and all of such counterparts together shall constitute a single agreement.</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Amendment, on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4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5260" w:type="dxa"/>
            <w:vAlign w:val="bottom"/>
            <w:gridSpan w:val="2"/>
          </w:tcPr>
          <w:p>
            <w:pPr>
              <w:ind w:left="1340"/>
              <w:spacing w:after="0"/>
              <w:rPr>
                <w:sz w:val="20"/>
                <w:szCs w:val="20"/>
                <w:color w:val="auto"/>
              </w:rPr>
            </w:pPr>
            <w:r>
              <w:rPr>
                <w:rFonts w:ascii="Arial" w:cs="Arial" w:eastAsia="Arial" w:hAnsi="Arial"/>
                <w:sz w:val="18"/>
                <w:szCs w:val="18"/>
                <w:b w:val="1"/>
                <w:bCs w:val="1"/>
                <w:color w:val="auto"/>
              </w:rPr>
              <w:t>BIOCRYST</w:t>
            </w:r>
          </w:p>
        </w:tc>
      </w:tr>
      <w:tr>
        <w:trPr>
          <w:trHeight w:val="230"/>
        </w:trPr>
        <w:tc>
          <w:tcPr>
            <w:tcW w:w="2640" w:type="dxa"/>
            <w:vAlign w:val="bottom"/>
          </w:tcPr>
          <w:p>
            <w:pPr>
              <w:spacing w:after="0"/>
              <w:rPr>
                <w:sz w:val="20"/>
                <w:szCs w:val="20"/>
                <w:color w:val="auto"/>
              </w:rPr>
            </w:pPr>
          </w:p>
        </w:tc>
        <w:tc>
          <w:tcPr>
            <w:tcW w:w="5260" w:type="dxa"/>
            <w:vAlign w:val="bottom"/>
            <w:gridSpan w:val="2"/>
          </w:tcPr>
          <w:p>
            <w:pPr>
              <w:ind w:left="1340"/>
              <w:spacing w:after="0"/>
              <w:rPr>
                <w:sz w:val="20"/>
                <w:szCs w:val="20"/>
                <w:color w:val="auto"/>
              </w:rPr>
            </w:pPr>
            <w:r>
              <w:rPr>
                <w:rFonts w:ascii="Arial" w:cs="Arial" w:eastAsia="Arial" w:hAnsi="Arial"/>
                <w:sz w:val="18"/>
                <w:szCs w:val="18"/>
                <w:b w:val="1"/>
                <w:bCs w:val="1"/>
                <w:color w:val="auto"/>
              </w:rPr>
              <w:t>PHARMACEUTICALS, INC.</w:t>
            </w:r>
          </w:p>
        </w:tc>
      </w:tr>
      <w:tr>
        <w:trPr>
          <w:trHeight w:val="427"/>
        </w:trPr>
        <w:tc>
          <w:tcPr>
            <w:tcW w:w="2640" w:type="dxa"/>
            <w:vAlign w:val="bottom"/>
          </w:tcPr>
          <w:p>
            <w:pPr>
              <w:spacing w:after="0"/>
              <w:rPr>
                <w:sz w:val="20"/>
                <w:szCs w:val="20"/>
                <w:color w:val="auto"/>
              </w:rPr>
            </w:pPr>
            <w:r>
              <w:rPr>
                <w:rFonts w:ascii="Arial" w:cs="Arial" w:eastAsia="Arial" w:hAnsi="Arial"/>
                <w:sz w:val="18"/>
                <w:szCs w:val="18"/>
                <w:color w:val="auto"/>
              </w:rPr>
              <w:t>/s/ Helen Thackray</w:t>
            </w:r>
          </w:p>
        </w:tc>
        <w:tc>
          <w:tcPr>
            <w:tcW w:w="5260" w:type="dxa"/>
            <w:vAlign w:val="bottom"/>
            <w:gridSpan w:val="2"/>
          </w:tcPr>
          <w:p>
            <w:pPr>
              <w:ind w:left="1340"/>
              <w:spacing w:after="0"/>
              <w:rPr>
                <w:sz w:val="20"/>
                <w:szCs w:val="20"/>
                <w:color w:val="auto"/>
              </w:rPr>
            </w:pPr>
            <w:r>
              <w:rPr>
                <w:rFonts w:ascii="Arial" w:cs="Arial" w:eastAsia="Arial" w:hAnsi="Arial"/>
                <w:sz w:val="18"/>
                <w:szCs w:val="18"/>
                <w:color w:val="auto"/>
              </w:rPr>
              <w:t>By:   /s/ Jon Stonehouse</w:t>
            </w:r>
          </w:p>
        </w:tc>
      </w:tr>
      <w:tr>
        <w:trPr>
          <w:trHeight w:val="194"/>
        </w:trPr>
        <w:tc>
          <w:tcPr>
            <w:tcW w:w="26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Helen Thackray</w:t>
            </w:r>
          </w:p>
        </w:tc>
        <w:tc>
          <w:tcPr>
            <w:tcW w:w="1840" w:type="dxa"/>
            <w:vAlign w:val="bottom"/>
          </w:tcPr>
          <w:p>
            <w:pPr>
              <w:spacing w:after="0"/>
              <w:rPr>
                <w:sz w:val="16"/>
                <w:szCs w:val="16"/>
                <w:color w:val="auto"/>
              </w:rPr>
            </w:pPr>
          </w:p>
        </w:tc>
        <w:tc>
          <w:tcPr>
            <w:tcW w:w="34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Jon Stonehouse</w:t>
            </w:r>
          </w:p>
        </w:tc>
      </w:tr>
      <w:tr>
        <w:trPr>
          <w:trHeight w:val="226"/>
        </w:trPr>
        <w:tc>
          <w:tcPr>
            <w:tcW w:w="26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79"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1"/>
          <w:szCs w:val="21"/>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AGREEMENT</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this 24th day of September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between BioCryst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Mr. Charles Gayer (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Employee are parties to that Employment Agreement, dated as of January 14, 2020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terms of the Employment Agreement, as set forth herein, effective as of the date hereof.</w:t>
      </w:r>
    </w:p>
    <w:p>
      <w:pPr>
        <w:spacing w:after="0" w:line="220" w:lineRule="exact"/>
        <w:rPr>
          <w:sz w:val="20"/>
          <w:szCs w:val="20"/>
          <w:color w:val="auto"/>
        </w:rPr>
      </w:pPr>
    </w:p>
    <w:p>
      <w:pPr>
        <w:ind w:right="20" w:firstLine="1281"/>
        <w:spacing w:after="0" w:line="274"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the parties agree as follows:</w:t>
      </w:r>
    </w:p>
    <w:p>
      <w:pPr>
        <w:spacing w:after="0" w:line="172" w:lineRule="exact"/>
        <w:rPr>
          <w:sz w:val="20"/>
          <w:szCs w:val="20"/>
          <w:color w:val="auto"/>
        </w:rPr>
      </w:pPr>
    </w:p>
    <w:p>
      <w:pPr>
        <w:ind w:left="540" w:hanging="531"/>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Section 2(b)</w:t>
      </w:r>
      <w:r>
        <w:rPr>
          <w:rFonts w:ascii="Arial" w:cs="Arial" w:eastAsia="Arial" w:hAnsi="Arial"/>
          <w:sz w:val="18"/>
          <w:szCs w:val="18"/>
          <w:color w:val="auto"/>
        </w:rPr>
        <w:t>. The last sentence of Section 2(b) is hereby amended and restated in its entirety as follows:</w:t>
      </w:r>
    </w:p>
    <w:p>
      <w:pPr>
        <w:spacing w:after="0" w:line="220" w:lineRule="exact"/>
        <w:rPr>
          <w:sz w:val="20"/>
          <w:szCs w:val="20"/>
          <w:color w:val="auto"/>
        </w:rPr>
      </w:pPr>
    </w:p>
    <w:p>
      <w:pPr>
        <w:ind w:left="1940"/>
        <w:spacing w:after="0" w:line="270" w:lineRule="auto"/>
        <w:rPr>
          <w:sz w:val="20"/>
          <w:szCs w:val="20"/>
          <w:color w:val="auto"/>
        </w:rPr>
      </w:pPr>
      <w:r>
        <w:rPr>
          <w:rFonts w:ascii="Arial" w:cs="Arial" w:eastAsia="Arial" w:hAnsi="Arial"/>
          <w:sz w:val="18"/>
          <w:szCs w:val="18"/>
          <w:color w:val="auto"/>
        </w:rPr>
        <w:t>Employee must be employed by the Company at the time Incentive Compensation payments are paid in order to receive the Incentive Compensation payment for each fiscal year.</w:t>
      </w:r>
    </w:p>
    <w:p>
      <w:pPr>
        <w:spacing w:after="0" w:line="175" w:lineRule="exact"/>
        <w:rPr>
          <w:sz w:val="20"/>
          <w:szCs w:val="20"/>
          <w:color w:val="auto"/>
        </w:rPr>
      </w:pPr>
    </w:p>
    <w:p>
      <w:pPr>
        <w:ind w:left="540" w:hanging="531"/>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Section 6(b)</w:t>
      </w:r>
      <w:r>
        <w:rPr>
          <w:rFonts w:ascii="Arial" w:cs="Arial" w:eastAsia="Arial" w:hAnsi="Arial"/>
          <w:sz w:val="18"/>
          <w:szCs w:val="18"/>
          <w:color w:val="auto"/>
        </w:rPr>
        <w:t>. Section 6(b) is hereby amended and restated in its entirety as follows:</w:t>
      </w:r>
    </w:p>
    <w:p>
      <w:pPr>
        <w:spacing w:after="0" w:line="220" w:lineRule="exact"/>
        <w:rPr>
          <w:sz w:val="20"/>
          <w:szCs w:val="20"/>
          <w:color w:val="auto"/>
        </w:rPr>
      </w:pPr>
    </w:p>
    <w:p>
      <w:pPr>
        <w:jc w:val="both"/>
        <w:ind w:left="1940"/>
        <w:spacing w:after="0" w:line="296" w:lineRule="auto"/>
        <w:rPr>
          <w:sz w:val="20"/>
          <w:szCs w:val="20"/>
          <w:color w:val="auto"/>
        </w:rPr>
      </w:pPr>
      <w:r>
        <w:rPr>
          <w:rFonts w:ascii="Arial" w:cs="Arial" w:eastAsia="Arial" w:hAnsi="Arial"/>
          <w:sz w:val="16"/>
          <w:szCs w:val="16"/>
          <w:u w:val="single" w:color="auto"/>
          <w:color w:val="auto"/>
        </w:rPr>
        <w:t>Assignability</w:t>
      </w:r>
      <w:r>
        <w:rPr>
          <w:rFonts w:ascii="Arial" w:cs="Arial" w:eastAsia="Arial" w:hAnsi="Arial"/>
          <w:sz w:val="16"/>
          <w:szCs w:val="16"/>
          <w:color w:val="auto"/>
        </w:rPr>
        <w:t>. This Agreement may not be assigned without prior written consent of the parties hereto, except that the Company may assign this Agreement to a wholly-owned subsidiary of the Company without prior written consent of Employee. To the extent allowable pursuant to this Agreement, this Agreement shall be binding upon and shall inure to the benefit of each of the parties hereto and their respective executors, administrators, personal representatives, heirs, successors and assigns.</w:t>
      </w:r>
    </w:p>
    <w:p>
      <w:pPr>
        <w:spacing w:after="0" w:line="160" w:lineRule="exact"/>
        <w:rPr>
          <w:sz w:val="20"/>
          <w:szCs w:val="20"/>
          <w:color w:val="auto"/>
        </w:rPr>
      </w:pPr>
    </w:p>
    <w:p>
      <w:pPr>
        <w:jc w:val="both"/>
        <w:ind w:firstLine="9"/>
        <w:spacing w:after="0" w:line="258"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Continuation of Employment Agreement</w:t>
      </w:r>
      <w:r>
        <w:rPr>
          <w:rFonts w:ascii="Arial" w:cs="Arial" w:eastAsia="Arial" w:hAnsi="Arial"/>
          <w:sz w:val="18"/>
          <w:szCs w:val="18"/>
          <w:color w:val="auto"/>
        </w:rPr>
        <w:t>. Except as otherwise expressly provided herein, all of the terms and provisions of the Employment Agreement shall remain in full force and effect and this Employment Amendment shall not amend or modify any other rights, powers, duties, or obligations of any party to the Employment Agreement.</w:t>
      </w:r>
    </w:p>
    <w:p>
      <w:pPr>
        <w:spacing w:after="0" w:line="186" w:lineRule="exact"/>
        <w:rPr>
          <w:rFonts w:ascii="Arial" w:cs="Arial" w:eastAsia="Arial" w:hAnsi="Arial"/>
          <w:sz w:val="18"/>
          <w:szCs w:val="18"/>
          <w:color w:val="auto"/>
        </w:rPr>
      </w:pPr>
    </w:p>
    <w:p>
      <w:pPr>
        <w:ind w:firstLine="9"/>
        <w:spacing w:after="0" w:line="333" w:lineRule="auto"/>
        <w:tabs>
          <w:tab w:leader="none" w:pos="53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Amendment and the Employment Agreement contain the entire agreement between the parties hereto with respect to the matters contained herein and supersedes and replaces any prior agreement between the parties with respect to the matters set forth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311785</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460" w:top="112" w:right="339" w:bottom="1440" w:gutter="0" w:footer="0" w:header="0"/>
        </w:sectPr>
      </w:pPr>
    </w:p>
    <w:bookmarkStart w:id="70" w:name="page71"/>
    <w:bookmarkEnd w:id="70"/>
    <w:p>
      <w:pPr>
        <w:jc w:val="both"/>
        <w:ind w:left="140" w:firstLine="9"/>
        <w:spacing w:after="0" w:line="258"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any such counterparts may be transmitted by electronic transmission, and each of such counterparts, whether an original or an electronic or ".pdf" of an original, shall be deemed to be an original and all of such counterparts together shall constitute a single agreement.</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Amendment, on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5400" w:type="dxa"/>
            <w:vAlign w:val="bottom"/>
            <w:gridSpan w:val="2"/>
          </w:tcPr>
          <w:p>
            <w:pPr>
              <w:ind w:left="1480"/>
              <w:spacing w:after="0"/>
              <w:rPr>
                <w:sz w:val="20"/>
                <w:szCs w:val="20"/>
                <w:color w:val="auto"/>
              </w:rPr>
            </w:pPr>
            <w:r>
              <w:rPr>
                <w:rFonts w:ascii="Arial" w:cs="Arial" w:eastAsia="Arial" w:hAnsi="Arial"/>
                <w:sz w:val="18"/>
                <w:szCs w:val="18"/>
                <w:b w:val="1"/>
                <w:bCs w:val="1"/>
                <w:color w:val="auto"/>
              </w:rPr>
              <w:t>BIOCRYST</w:t>
            </w:r>
          </w:p>
        </w:tc>
      </w:tr>
      <w:tr>
        <w:trPr>
          <w:trHeight w:val="230"/>
        </w:trPr>
        <w:tc>
          <w:tcPr>
            <w:tcW w:w="2480" w:type="dxa"/>
            <w:vAlign w:val="bottom"/>
          </w:tcPr>
          <w:p>
            <w:pPr>
              <w:spacing w:after="0"/>
              <w:rPr>
                <w:sz w:val="20"/>
                <w:szCs w:val="20"/>
                <w:color w:val="auto"/>
              </w:rPr>
            </w:pPr>
          </w:p>
        </w:tc>
        <w:tc>
          <w:tcPr>
            <w:tcW w:w="5400" w:type="dxa"/>
            <w:vAlign w:val="bottom"/>
            <w:gridSpan w:val="2"/>
          </w:tcPr>
          <w:p>
            <w:pPr>
              <w:ind w:left="1480"/>
              <w:spacing w:after="0"/>
              <w:rPr>
                <w:sz w:val="20"/>
                <w:szCs w:val="20"/>
                <w:color w:val="auto"/>
              </w:rPr>
            </w:pPr>
            <w:r>
              <w:rPr>
                <w:rFonts w:ascii="Arial" w:cs="Arial" w:eastAsia="Arial" w:hAnsi="Arial"/>
                <w:sz w:val="18"/>
                <w:szCs w:val="18"/>
                <w:b w:val="1"/>
                <w:bCs w:val="1"/>
                <w:color w:val="auto"/>
              </w:rPr>
              <w:t>PHARMACEUTICALS, INC.</w:t>
            </w:r>
          </w:p>
        </w:tc>
      </w:tr>
      <w:tr>
        <w:trPr>
          <w:trHeight w:val="427"/>
        </w:trPr>
        <w:tc>
          <w:tcPr>
            <w:tcW w:w="2480" w:type="dxa"/>
            <w:vAlign w:val="bottom"/>
          </w:tcPr>
          <w:p>
            <w:pPr>
              <w:spacing w:after="0"/>
              <w:rPr>
                <w:sz w:val="20"/>
                <w:szCs w:val="20"/>
                <w:color w:val="auto"/>
              </w:rPr>
            </w:pPr>
            <w:r>
              <w:rPr>
                <w:rFonts w:ascii="Arial" w:cs="Arial" w:eastAsia="Arial" w:hAnsi="Arial"/>
                <w:sz w:val="18"/>
                <w:szCs w:val="18"/>
                <w:color w:val="auto"/>
              </w:rPr>
              <w:t>/s/ Charles Gayer</w:t>
            </w:r>
          </w:p>
        </w:tc>
        <w:tc>
          <w:tcPr>
            <w:tcW w:w="5400" w:type="dxa"/>
            <w:vAlign w:val="bottom"/>
            <w:gridSpan w:val="2"/>
          </w:tcPr>
          <w:p>
            <w:pPr>
              <w:ind w:left="1480"/>
              <w:spacing w:after="0"/>
              <w:rPr>
                <w:sz w:val="20"/>
                <w:szCs w:val="20"/>
                <w:color w:val="auto"/>
              </w:rPr>
            </w:pPr>
            <w:r>
              <w:rPr>
                <w:rFonts w:ascii="Arial" w:cs="Arial" w:eastAsia="Arial" w:hAnsi="Arial"/>
                <w:sz w:val="18"/>
                <w:szCs w:val="18"/>
                <w:color w:val="auto"/>
              </w:rPr>
              <w:t>By:  /s/ Jon Stonehouse</w:t>
            </w:r>
          </w:p>
        </w:tc>
      </w:tr>
      <w:tr>
        <w:trPr>
          <w:trHeight w:val="194"/>
        </w:trPr>
        <w:tc>
          <w:tcPr>
            <w:tcW w:w="24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Charles Gayer</w:t>
            </w:r>
          </w:p>
        </w:tc>
        <w:tc>
          <w:tcPr>
            <w:tcW w:w="1920" w:type="dxa"/>
            <w:vAlign w:val="bottom"/>
          </w:tcPr>
          <w:p>
            <w:pPr>
              <w:spacing w:after="0"/>
              <w:rPr>
                <w:sz w:val="16"/>
                <w:szCs w:val="16"/>
                <w:color w:val="auto"/>
              </w:rPr>
            </w:pPr>
          </w:p>
        </w:tc>
        <w:tc>
          <w:tcPr>
            <w:tcW w:w="34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Jon Stonehouse</w:t>
            </w:r>
          </w:p>
        </w:tc>
      </w:tr>
      <w:tr>
        <w:trPr>
          <w:trHeight w:val="226"/>
        </w:trPr>
        <w:tc>
          <w:tcPr>
            <w:tcW w:w="2480" w:type="dxa"/>
            <w:vAlign w:val="bottom"/>
          </w:tcPr>
          <w:p>
            <w:pPr>
              <w:spacing w:after="0"/>
              <w:rPr>
                <w:sz w:val="19"/>
                <w:szCs w:val="19"/>
                <w:color w:val="auto"/>
              </w:rPr>
            </w:pPr>
          </w:p>
        </w:tc>
        <w:tc>
          <w:tcPr>
            <w:tcW w:w="5400" w:type="dxa"/>
            <w:vAlign w:val="bottom"/>
            <w:gridSpan w:val="2"/>
          </w:tcPr>
          <w:p>
            <w:pPr>
              <w:ind w:left="19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79"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Jon P. Stonehouse, certify that:</w:t>
      </w:r>
    </w:p>
    <w:p>
      <w:pPr>
        <w:spacing w:after="0" w:line="220" w:lineRule="exact"/>
        <w:rPr>
          <w:sz w:val="20"/>
          <w:szCs w:val="20"/>
          <w:color w:val="auto"/>
        </w:rPr>
      </w:pPr>
    </w:p>
    <w:p>
      <w:pPr>
        <w:ind w:left="760" w:hanging="326"/>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BioCryst Pharmaceuticals, Inc.;</w:t>
      </w:r>
    </w:p>
    <w:p>
      <w:pPr>
        <w:spacing w:after="0" w:line="219" w:lineRule="exact"/>
        <w:rPr>
          <w:rFonts w:ascii="Arial" w:cs="Arial" w:eastAsia="Arial" w:hAnsi="Arial"/>
          <w:sz w:val="18"/>
          <w:szCs w:val="18"/>
          <w:color w:val="auto"/>
        </w:rPr>
      </w:pPr>
    </w:p>
    <w:p>
      <w:pPr>
        <w:jc w:val="both"/>
        <w:ind w:left="760" w:right="140" w:hanging="326"/>
        <w:spacing w:after="0" w:line="258"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760" w:right="100" w:hanging="326"/>
        <w:spacing w:after="0" w:line="300" w:lineRule="auto"/>
        <w:tabs>
          <w:tab w:leader="none" w:pos="7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jc w:val="both"/>
        <w:ind w:left="760" w:right="140" w:hanging="326"/>
        <w:spacing w:after="0" w:line="258"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jc w:val="both"/>
        <w:ind w:left="1140" w:right="40" w:hanging="319"/>
        <w:spacing w:after="0" w:line="258" w:lineRule="auto"/>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140" w:right="320" w:hanging="319"/>
        <w:spacing w:after="0" w:line="258" w:lineRule="auto"/>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140" w:right="480" w:hanging="319"/>
        <w:spacing w:after="0" w:line="415" w:lineRule="auto"/>
        <w:tabs>
          <w:tab w:leader="none" w:pos="1140" w:val="left"/>
        </w:tabs>
        <w:numPr>
          <w:ilvl w:val="1"/>
          <w:numId w:val="4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4"/>
          <w:szCs w:val="14"/>
          <w:color w:val="auto"/>
        </w:rPr>
      </w:pPr>
    </w:p>
    <w:p>
      <w:pPr>
        <w:ind w:left="1140" w:right="40" w:hanging="319"/>
        <w:spacing w:after="0" w:line="258" w:lineRule="auto"/>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60" w:right="100" w:hanging="326"/>
        <w:spacing w:after="0" w:line="333"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6"/>
          <w:szCs w:val="16"/>
          <w:color w:val="auto"/>
        </w:rPr>
      </w:pPr>
    </w:p>
    <w:p>
      <w:pPr>
        <w:ind w:left="1140" w:right="780" w:hanging="319"/>
        <w:spacing w:after="0" w:line="333" w:lineRule="auto"/>
        <w:tabs>
          <w:tab w:leader="none" w:pos="11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6"/>
          <w:szCs w:val="16"/>
          <w:color w:val="auto"/>
        </w:rPr>
      </w:pPr>
    </w:p>
    <w:p>
      <w:pPr>
        <w:ind w:left="1140" w:right="460" w:hanging="319"/>
        <w:spacing w:after="0" w:line="270" w:lineRule="auto"/>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20"/>
                <w:szCs w:val="20"/>
                <w:color w:val="auto"/>
              </w:rPr>
            </w:pPr>
            <w:r>
              <w:rPr>
                <w:rFonts w:ascii="Arial" w:cs="Arial" w:eastAsia="Arial" w:hAnsi="Arial"/>
                <w:sz w:val="18"/>
                <w:szCs w:val="18"/>
                <w:color w:val="auto"/>
              </w:rPr>
              <w:t>Date: November 4,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P. Stonehouse</w:t>
            </w:r>
          </w:p>
        </w:tc>
      </w:tr>
      <w:tr>
        <w:trPr>
          <w:trHeight w:val="192"/>
        </w:trPr>
        <w:tc>
          <w:tcPr>
            <w:tcW w:w="5620" w:type="dxa"/>
            <w:vAlign w:val="bottom"/>
          </w:tcPr>
          <w:p>
            <w:pPr>
              <w:spacing w:after="0"/>
              <w:rPr>
                <w:sz w:val="16"/>
                <w:szCs w:val="16"/>
                <w:color w:val="auto"/>
              </w:rPr>
            </w:pPr>
          </w:p>
        </w:tc>
        <w:tc>
          <w:tcPr>
            <w:tcW w:w="5620" w:type="dxa"/>
            <w:vAlign w:val="bottom"/>
          </w:tcPr>
          <w:p>
            <w:pPr>
              <w:spacing w:after="0" w:line="193" w:lineRule="exact"/>
              <w:rPr>
                <w:sz w:val="20"/>
                <w:szCs w:val="20"/>
                <w:color w:val="auto"/>
              </w:rPr>
            </w:pPr>
            <w:r>
              <w:rPr>
                <w:rFonts w:ascii="Arial" w:cs="Arial" w:eastAsia="Arial" w:hAnsi="Arial"/>
                <w:sz w:val="18"/>
                <w:szCs w:val="18"/>
                <w:color w:val="auto"/>
              </w:rPr>
              <w:t>Jon P. Stonehouse</w:t>
            </w:r>
          </w:p>
        </w:tc>
      </w:tr>
      <w:tr>
        <w:trPr>
          <w:trHeight w:val="226"/>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Anthony Doyle, certify that:</w:t>
      </w:r>
    </w:p>
    <w:p>
      <w:pPr>
        <w:spacing w:after="0" w:line="220" w:lineRule="exact"/>
        <w:rPr>
          <w:sz w:val="20"/>
          <w:szCs w:val="20"/>
          <w:color w:val="auto"/>
        </w:rPr>
      </w:pPr>
    </w:p>
    <w:p>
      <w:pPr>
        <w:ind w:left="760" w:hanging="326"/>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BioCryst Pharmaceuticals, Inc.;</w:t>
      </w:r>
    </w:p>
    <w:p>
      <w:pPr>
        <w:spacing w:after="0" w:line="219" w:lineRule="exact"/>
        <w:rPr>
          <w:rFonts w:ascii="Arial" w:cs="Arial" w:eastAsia="Arial" w:hAnsi="Arial"/>
          <w:sz w:val="18"/>
          <w:szCs w:val="18"/>
          <w:color w:val="auto"/>
        </w:rPr>
      </w:pPr>
    </w:p>
    <w:p>
      <w:pPr>
        <w:jc w:val="both"/>
        <w:ind w:left="760" w:right="140" w:hanging="326"/>
        <w:spacing w:after="0" w:line="258"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760" w:right="100" w:hanging="326"/>
        <w:spacing w:after="0" w:line="300" w:lineRule="auto"/>
        <w:tabs>
          <w:tab w:leader="none" w:pos="7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jc w:val="both"/>
        <w:ind w:left="760" w:right="140" w:hanging="326"/>
        <w:spacing w:after="0" w:line="258"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jc w:val="both"/>
        <w:ind w:left="1140" w:right="40" w:hanging="319"/>
        <w:spacing w:after="0" w:line="258"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140" w:right="320" w:hanging="319"/>
        <w:spacing w:after="0" w:line="258"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140" w:right="480" w:hanging="319"/>
        <w:spacing w:after="0" w:line="415" w:lineRule="auto"/>
        <w:tabs>
          <w:tab w:leader="none" w:pos="1140" w:val="left"/>
        </w:tabs>
        <w:numPr>
          <w:ilvl w:val="1"/>
          <w:numId w:val="4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4"/>
          <w:szCs w:val="14"/>
          <w:color w:val="auto"/>
        </w:rPr>
      </w:pPr>
    </w:p>
    <w:p>
      <w:pPr>
        <w:ind w:left="1140" w:right="40" w:hanging="319"/>
        <w:spacing w:after="0" w:line="258"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60" w:right="100" w:hanging="326"/>
        <w:spacing w:after="0" w:line="333"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6"/>
          <w:szCs w:val="16"/>
          <w:color w:val="auto"/>
        </w:rPr>
      </w:pPr>
    </w:p>
    <w:p>
      <w:pPr>
        <w:ind w:left="1140" w:right="780" w:hanging="319"/>
        <w:spacing w:after="0" w:line="333" w:lineRule="auto"/>
        <w:tabs>
          <w:tab w:leader="none" w:pos="11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6"/>
          <w:szCs w:val="16"/>
          <w:color w:val="auto"/>
        </w:rPr>
      </w:pPr>
    </w:p>
    <w:p>
      <w:pPr>
        <w:ind w:left="1140" w:right="460" w:hanging="319"/>
        <w:spacing w:after="0" w:line="270"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20"/>
                <w:szCs w:val="20"/>
                <w:color w:val="auto"/>
              </w:rPr>
            </w:pPr>
            <w:r>
              <w:rPr>
                <w:rFonts w:ascii="Arial" w:cs="Arial" w:eastAsia="Arial" w:hAnsi="Arial"/>
                <w:sz w:val="18"/>
                <w:szCs w:val="18"/>
                <w:color w:val="auto"/>
              </w:rPr>
              <w:t>Date: November 4,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Doyle</w:t>
            </w:r>
          </w:p>
        </w:tc>
      </w:tr>
      <w:tr>
        <w:trPr>
          <w:trHeight w:val="192"/>
        </w:trPr>
        <w:tc>
          <w:tcPr>
            <w:tcW w:w="5620" w:type="dxa"/>
            <w:vAlign w:val="bottom"/>
          </w:tcPr>
          <w:p>
            <w:pPr>
              <w:spacing w:after="0"/>
              <w:rPr>
                <w:sz w:val="16"/>
                <w:szCs w:val="16"/>
                <w:color w:val="auto"/>
              </w:rPr>
            </w:pPr>
          </w:p>
        </w:tc>
        <w:tc>
          <w:tcPr>
            <w:tcW w:w="5620" w:type="dxa"/>
            <w:vAlign w:val="bottom"/>
          </w:tcPr>
          <w:p>
            <w:pPr>
              <w:spacing w:after="0" w:line="193" w:lineRule="exact"/>
              <w:rPr>
                <w:sz w:val="20"/>
                <w:szCs w:val="20"/>
                <w:color w:val="auto"/>
              </w:rPr>
            </w:pPr>
            <w:r>
              <w:rPr>
                <w:rFonts w:ascii="Arial" w:cs="Arial" w:eastAsia="Arial" w:hAnsi="Arial"/>
                <w:sz w:val="18"/>
                <w:szCs w:val="18"/>
                <w:color w:val="auto"/>
              </w:rPr>
              <w:t>Anthony Doyle</w:t>
            </w:r>
          </w:p>
        </w:tc>
      </w:tr>
      <w:tr>
        <w:trPr>
          <w:trHeight w:val="226"/>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connection with the Quarterly Report of BioCryst Pharmaceuticals, Inc. (the “Company”) on Form 10-Q for the period ended September 30, 2021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60" w:hanging="326"/>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9" w:lineRule="exact"/>
        <w:rPr>
          <w:rFonts w:ascii="Arial" w:cs="Arial" w:eastAsia="Arial" w:hAnsi="Arial"/>
          <w:sz w:val="18"/>
          <w:szCs w:val="18"/>
          <w:color w:val="auto"/>
        </w:rPr>
      </w:pPr>
    </w:p>
    <w:p>
      <w:pPr>
        <w:ind w:left="760" w:hanging="326"/>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Jon P. Stonehouse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1437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21437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President and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In connection with the Quarterly Report of BioCryst Pharmaceuticals, Inc. (the “Company”) on Form 10-Q for the period ended September 30, 2021 as filed with the Securities and Exchange Commission on the date hereof (the “Report”), I, Anthony Doyle, Chief Financial Officer of the Company, certify, pursuant to 18 U.S.C. § 1350, as adopted pursuant to § 906 of the Sarbanes-Oxley Act of 2002, that, to the best of my knowledge:</w:t>
      </w:r>
    </w:p>
    <w:p>
      <w:pPr>
        <w:spacing w:after="0" w:line="167" w:lineRule="exact"/>
        <w:rPr>
          <w:sz w:val="20"/>
          <w:szCs w:val="20"/>
          <w:color w:val="auto"/>
        </w:rPr>
      </w:pPr>
    </w:p>
    <w:p>
      <w:pPr>
        <w:ind w:left="760" w:hanging="326"/>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9" w:lineRule="exact"/>
        <w:rPr>
          <w:rFonts w:ascii="Arial" w:cs="Arial" w:eastAsia="Arial" w:hAnsi="Arial"/>
          <w:sz w:val="18"/>
          <w:szCs w:val="18"/>
          <w:color w:val="auto"/>
        </w:rPr>
      </w:pPr>
    </w:p>
    <w:p>
      <w:pPr>
        <w:ind w:left="760" w:hanging="326"/>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Anthony Doyle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1437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21437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lowerRoman"/>
      <w:start w:val="3"/>
    </w:lvl>
  </w:abstractNum>
  <w:abstractNum w:abstractNumId="7">
    <w:nsid w:val="2CA88611"/>
    <w:multiLevelType w:val="hybridMultilevel"/>
    <w:lvl w:ilvl="0">
      <w:lvlJc w:val="left"/>
      <w:lvlText w:val="%1"/>
      <w:numFmt w:val="upperLetter"/>
      <w:start w:val="6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01"/>
    </w:lvl>
  </w:abstractNum>
  <w:abstractNum w:abstractNumId="30">
    <w:nsid w:val="51EAD36B"/>
    <w:multiLevelType w:val="hybridMultilevel"/>
    <w:lvl w:ilvl="0">
      <w:lvlJc w:val="left"/>
      <w:lvlText w:val="(%1)"/>
      <w:numFmt w:val="decimal"/>
      <w:start w:val="104"/>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2"/>
    </w:lvl>
  </w:abstractNum>
  <w:abstractNum w:abstractNumId="34">
    <w:nsid w:val="3855585C"/>
    <w:multiLevelType w:val="hybridMultilevel"/>
    <w:lvl w:ilvl="0">
      <w:lvlJc w:val="left"/>
      <w:lvlText w:val="%1."/>
      <w:numFmt w:val="decimal"/>
      <w:start w:val="3"/>
    </w:lvl>
  </w:abstractNum>
  <w:abstractNum w:abstractNumId="35">
    <w:nsid w:val="70A64E2A"/>
    <w:multiLevelType w:val="hybridMultilevel"/>
    <w:lvl w:ilvl="0">
      <w:lvlJc w:val="left"/>
      <w:lvlText w:val="%1."/>
      <w:numFmt w:val="decimal"/>
      <w:start w:val="5"/>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2"/>
    </w:lvl>
  </w:abstractNum>
  <w:abstractNum w:abstractNumId="38">
    <w:nsid w:val="1D4ED43B"/>
    <w:multiLevelType w:val="hybridMultilevel"/>
    <w:lvl w:ilvl="0">
      <w:lvlJc w:val="left"/>
      <w:lvlText w:val="%1."/>
      <w:numFmt w:val="decimal"/>
      <w:start w:val="3"/>
    </w:lvl>
  </w:abstractNum>
  <w:abstractNum w:abstractNumId="39">
    <w:nsid w:val="725A06FB"/>
    <w:multiLevelType w:val="hybridMultilevel"/>
    <w:lvl w:ilvl="0">
      <w:lvlJc w:val="left"/>
      <w:lvlText w:val="%1."/>
      <w:numFmt w:val="decimal"/>
      <w:start w:val="5"/>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2"/>
    </w:lvl>
  </w:abstractNum>
  <w:abstractNum w:abstractNumId="42">
    <w:nsid w:val="7A6D8D3C"/>
    <w:multiLevelType w:val="hybridMultilevel"/>
    <w:lvl w:ilvl="0">
      <w:lvlJc w:val="left"/>
      <w:lvlText w:val="%1."/>
      <w:numFmt w:val="decimal"/>
      <w:start w:val="3"/>
    </w:lvl>
  </w:abstractNum>
  <w:abstractNum w:abstractNumId="43">
    <w:nsid w:val="4B588F54"/>
    <w:multiLevelType w:val="hybridMultilevel"/>
    <w:lvl w:ilvl="0">
      <w:lvlJc w:val="left"/>
      <w:lvlText w:val="%1."/>
      <w:numFmt w:val="decimal"/>
      <w:start w:val="5"/>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jpe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66" Type="http://schemas.openxmlformats.org/officeDocument/2006/relationships/hyperlink" Target="http://www.sec.gov/Archives/edgar/data/882796/000103570406000836/d42297exv3w1.htm" TargetMode="External"/><Relationship Id="rId67" Type="http://schemas.openxmlformats.org/officeDocument/2006/relationships/hyperlink" Target="http://www.sec.gov/Archives/edgar/data/882796/000136231007001386/c70813exv3w1.htm" TargetMode="External"/><Relationship Id="rId68" Type="http://schemas.openxmlformats.org/officeDocument/2006/relationships/hyperlink" Target="http://www.sec.gov/Archives/edgar/data/882796/000136231008006580/c76716exv3w1.htm" TargetMode="External"/><Relationship Id="rId69" Type="http://schemas.openxmlformats.org/officeDocument/2006/relationships/hyperlink" Target="http://www.sec.gov/Archives/edgar/data/882796/000119312514186707/d722313dex31.htm" TargetMode="External"/><Relationship Id="rId70" Type="http://schemas.openxmlformats.org/officeDocument/2006/relationships/hyperlink" Target="http://www.sec.gov/Archives/edgar/data/882796/000119312514186707/d722313dex32.htm" TargetMode="External"/><Relationship Id="rId71" Type="http://schemas.openxmlformats.org/officeDocument/2006/relationships/hyperlink" Target="http://www.sec.gov/Archives/edgar/data/882796/000117184320003680/exh_31.htm" TargetMode="External"/><Relationship Id="rId72" Type="http://schemas.openxmlformats.org/officeDocument/2006/relationships/hyperlink" Target="http://www.sec.gov/Archives/edgar/data/882796/000117184320003680/exh_32.htm" TargetMode="External"/><Relationship Id="rId73" Type="http://schemas.openxmlformats.org/officeDocument/2006/relationships/hyperlink" Target="http://www.sec.gov/Archives/edgar/data/882796/000136231008006580/c76716exv3w2.htm" TargetMode="External"/><Relationship Id="rId74" Type="http://schemas.openxmlformats.org/officeDocument/2006/relationships/hyperlink" Target="http://www.sec.gov/Archives/edgar/data/882796/000110465918003194/a18-3548_1ex3d1.htm#Exhibit3_1_084143" TargetMode="External"/><Relationship Id="rId75" Type="http://schemas.openxmlformats.org/officeDocument/2006/relationships/hyperlink" Target="http://www.sec.gov/Archives/edgar/data/882796/000117184321006732/exh_991.htm" TargetMode="External"/><Relationship Id="rId76" Type="http://schemas.openxmlformats.org/officeDocument/2006/relationships/hyperlink" Target="http://www.sec.gov/Archives/edgar/data/882796/000117184321005674/ex_272109.htm" TargetMode="External"/><Relationship Id="rId77" Type="http://schemas.openxmlformats.org/officeDocument/2006/relationships/hyperlink" Target="http://www.sec.gov/Archives/edgar/data/882796/000117184321005674/ex_272110.htm" TargetMode="External"/><Relationship Id="rId78" Type="http://schemas.openxmlformats.org/officeDocument/2006/relationships/hyperlink" Target="http://www.sec.gov/Archives/edgar/data/882796/000117184321005674/ex_272111.htm" TargetMode="External"/><Relationship Id="rId79" Type="http://schemas.openxmlformats.org/officeDocument/2006/relationships/hyperlink" Target="http://www.sec.gov/Archives/edgar/data/882796/000117184321005671/exh_101.htm" TargetMode="External"/><Relationship Id="rId80" Type="http://schemas.openxmlformats.org/officeDocument/2006/relationships/hyperlink" Target="http://www.sec.gov/Archives/edgar/data/882796/000117184321006257/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2021-11-04T15:58:47Z</dcterms:created>
  <dcterms:modified xsi:type="dcterms:W3CDTF">2021-11-04T15:58:47Z</dcterms:modified>
</cp:coreProperties>
</file>