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240" w:after="283"/>
        <w:jc w:val="both"/>
        <w:rPr/>
      </w:pPr>
      <w:r>
        <w:rPr>
          <w:rFonts w:ascii="Wingdings;sans-serif" w:hAnsi="Wingdings;sans-serif"/>
          <w:b/>
          <w:color w:val="000000"/>
          <w:sz w:val="20"/>
        </w:rPr>
        <w:t>x</w:t>
      </w: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2023 </w:t>
      </w:r>
    </w:p>
    <w:p>
      <w:pPr>
        <w:pStyle w:val="TextBody"/>
        <w:bidi w:val="0"/>
        <w:spacing w:lineRule="auto" w:line="288" w:before="240" w:after="283"/>
        <w:jc w:val="both"/>
        <w:rPr/>
      </w:pPr>
      <w:r>
        <w:rPr>
          <w:rFonts w:ascii="Wingdings;sans-serif" w:hAnsi="Wingdings;sans-serif"/>
          <w:b/>
          <w:color w:val="000000"/>
          <w:sz w:val="20"/>
        </w:rPr>
        <w:t>o</w:t>
      </w: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 to 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000-23186</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438" w:type="dxa"/>
        <w:jc w:val="left"/>
        <w:tblInd w:w="0" w:type="dxa"/>
        <w:tblLayout w:type="fixed"/>
        <w:tblCellMar>
          <w:top w:w="28" w:type="dxa"/>
          <w:left w:w="28" w:type="dxa"/>
          <w:bottom w:w="28" w:type="dxa"/>
          <w:right w:w="28" w:type="dxa"/>
        </w:tblCellMar>
      </w:tblPr>
      <w:tblGrid>
        <w:gridCol w:w="1008"/>
        <w:gridCol w:w="886"/>
        <w:gridCol w:w="895"/>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62-1413174</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4505 Emperor Blvd., Suite 200, Durham, North Carolina 27703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(919) 859-1302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98"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539"/>
        <w:gridCol w:w="539"/>
        <w:gridCol w:w="541"/>
        <w:gridCol w:w="109"/>
        <w:gridCol w:w="109"/>
        <w:gridCol w:w="109"/>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if the registrant is not required to file reports pursuant to Section 13 or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estimates that the aggregate market value of the Common Stock on June 30, 2023 (based upon the closing price shown on the Nasdaq Global Select Market on June 30, 2023) held by non-affiliates was $1,322,900,797.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par value $0.01, of the registrant outstanding as of February 23, 2024 was 206,149,929 shares.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to be filed in connection with the solicitation of proxies for its 2024 annual meeting of stockholders are incorporated by reference into Items 10, 11, 12, 13, and 14 under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456"/>
        <w:gridCol w:w="2972"/>
        <w:gridCol w:w="2983"/>
        <w:gridCol w:w="231"/>
        <w:gridCol w:w="231"/>
        <w:gridCol w:w="332"/>
      </w:tblGrid>
      <w:tr>
        <w:trPr/>
        <w:tc>
          <w:tcPr>
            <w:tcW w:w="3456"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0">
              <w:r>
                <w:rPr>
                  <w:rStyle w:val="InternetLink"/>
                  <w:rFonts w:ascii="Times New Roman;sans-serif" w:hAnsi="Times New Roman;sans-serif"/>
                  <w:b w:val="false"/>
                  <w:color w:val="0000FF"/>
                  <w:sz w:val="20"/>
                  <w:u w:val="single"/>
                </w:rPr>
                <w:t>Cautionary Note Regarding Forward-Looking Statements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0">
              <w:r>
                <w:rPr>
                  <w:rStyle w:val="InternetLink"/>
                  <w:rFonts w:ascii="Times New Roman;sans-serif" w:hAnsi="Times New Roman;sans-serif"/>
                  <w:b w:val="false"/>
                  <w:color w:val="0000EF"/>
                  <w:sz w:val="20"/>
                  <w:u w:val="single"/>
                </w:rPr>
                <w:t>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3">
              <w:r>
                <w:rPr>
                  <w:rStyle w:val="InternetLink"/>
                  <w:rFonts w:ascii="Times New Roman;sans-serif" w:hAnsi="Times New Roman;sans-serif"/>
                  <w:b w:val="false"/>
                  <w:color w:val="0000FF"/>
                  <w:sz w:val="20"/>
                  <w:u w:val="single"/>
                </w:rPr>
                <w:t>Risk Factor Summary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3">
              <w:r>
                <w:rPr>
                  <w:rStyle w:val="InternetLink"/>
                  <w:rFonts w:ascii="Times New Roman;sans-serif" w:hAnsi="Times New Roman;sans-serif"/>
                  <w:b w:val="false"/>
                  <w:color w:val="0000EF"/>
                  <w:sz w:val="20"/>
                  <w:u w:val="single"/>
                </w:rPr>
                <w:t>2</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6">
              <w:r>
                <w:rPr>
                  <w:rStyle w:val="InternetLink"/>
                  <w:rFonts w:ascii="Times New Roman;sans-serif" w:hAnsi="Times New Roman;sans-serif"/>
                  <w:b/>
                  <w:color w:val="000000"/>
                  <w:sz w:val="20"/>
                  <w:u w:val="single"/>
                </w:rPr>
                <w:t>PART 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9">
              <w:r>
                <w:rPr>
                  <w:rStyle w:val="InternetLink"/>
                  <w:rFonts w:ascii="Times New Roman;sans-serif" w:hAnsi="Times New Roman;sans-serif"/>
                  <w:b w:val="false"/>
                  <w:color w:val="0000FF"/>
                  <w:sz w:val="20"/>
                  <w:u w:val="single"/>
                </w:rPr>
                <w:t>ITEM 1. BUSINESS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9">
              <w:r>
                <w:rPr>
                  <w:rStyle w:val="InternetLink"/>
                  <w:rFonts w:ascii="Times New Roman;sans-serif" w:hAnsi="Times New Roman;sans-serif"/>
                  <w:b w:val="false"/>
                  <w:color w:val="0000EF"/>
                  <w:sz w:val="20"/>
                  <w:u w:val="single"/>
                </w:rPr>
                <w:t>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22">
              <w:r>
                <w:rPr>
                  <w:rStyle w:val="InternetLink"/>
                  <w:rFonts w:ascii="Times New Roman;sans-serif" w:hAnsi="Times New Roman;sans-serif"/>
                  <w:b w:val="false"/>
                  <w:color w:val="0000FF"/>
                  <w:sz w:val="20"/>
                  <w:u w:val="single"/>
                </w:rPr>
                <w:t>ITEM 1A. RISK FACTORS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22">
              <w:r>
                <w:rPr>
                  <w:rStyle w:val="InternetLink"/>
                  <w:rFonts w:ascii="Times New Roman;sans-serif" w:hAnsi="Times New Roman;sans-serif"/>
                  <w:b w:val="false"/>
                  <w:color w:val="0000EF"/>
                  <w:sz w:val="20"/>
                  <w:u w:val="single"/>
                </w:rPr>
                <w:t>28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25">
              <w:r>
                <w:rPr>
                  <w:rStyle w:val="InternetLink"/>
                  <w:rFonts w:ascii="Times New Roman;sans-serif" w:hAnsi="Times New Roman;sans-serif"/>
                  <w:b w:val="false"/>
                  <w:color w:val="0000FF"/>
                  <w:sz w:val="20"/>
                  <w:u w:val="single"/>
                </w:rPr>
                <w:t>ITEM 1B. UNRESOLVED STAFF COMMENTS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25">
              <w:r>
                <w:rPr>
                  <w:rStyle w:val="InternetLink"/>
                  <w:rFonts w:ascii="Times New Roman;sans-serif" w:hAnsi="Times New Roman;sans-serif"/>
                  <w:b w:val="false"/>
                  <w:color w:val="0000EF"/>
                  <w:sz w:val="20"/>
                  <w:u w:val="single"/>
                </w:rPr>
                <w:t>57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467">
              <w:r>
                <w:rPr>
                  <w:rStyle w:val="InternetLink"/>
                  <w:rFonts w:ascii="Times New Roman;sans-serif" w:hAnsi="Times New Roman;sans-serif"/>
                  <w:b w:val="false"/>
                  <w:color w:val="000080"/>
                  <w:sz w:val="20"/>
                  <w:u w:val="single"/>
                </w:rPr>
                <w:t>I</w:t>
              </w:r>
            </w:hyperlink>
            <w:hyperlink w:anchor="if2a5e77b966f4b88b1bcfe6af42897ec_467">
              <w:r>
                <w:rPr>
                  <w:rStyle w:val="InternetLink"/>
                  <w:rFonts w:ascii="Times New Roman;sans-serif" w:hAnsi="Times New Roman;sans-serif"/>
                  <w:b w:val="false"/>
                  <w:color w:val="000080"/>
                  <w:sz w:val="20"/>
                  <w:u w:val="single"/>
                </w:rPr>
                <w:t>TEM 1C. CYBERSECURITY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467">
              <w:r>
                <w:rPr>
                  <w:rStyle w:val="InternetLink"/>
                  <w:rFonts w:ascii="Times New Roman;sans-serif" w:hAnsi="Times New Roman;sans-serif"/>
                  <w:b w:val="false"/>
                  <w:color w:val="0000EF"/>
                  <w:sz w:val="20"/>
                  <w:u w:val="single"/>
                </w:rPr>
                <w:t>57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28">
              <w:r>
                <w:rPr>
                  <w:rStyle w:val="InternetLink"/>
                  <w:rFonts w:ascii="Times New Roman;sans-serif" w:hAnsi="Times New Roman;sans-serif"/>
                  <w:b w:val="false"/>
                  <w:color w:val="0000FF"/>
                  <w:sz w:val="20"/>
                  <w:u w:val="single"/>
                </w:rPr>
                <w:t>ITEM 2. PROPERTIES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28">
              <w:r>
                <w:rPr>
                  <w:rStyle w:val="InternetLink"/>
                  <w:rFonts w:ascii="Times New Roman;sans-serif" w:hAnsi="Times New Roman;sans-serif"/>
                  <w:b w:val="false"/>
                  <w:color w:val="0000EF"/>
                  <w:sz w:val="20"/>
                  <w:u w:val="single"/>
                </w:rPr>
                <w:t>59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31">
              <w:r>
                <w:rPr>
                  <w:rStyle w:val="InternetLink"/>
                  <w:rFonts w:ascii="Times New Roman;sans-serif" w:hAnsi="Times New Roman;sans-serif"/>
                  <w:b w:val="false"/>
                  <w:color w:val="0000FF"/>
                  <w:sz w:val="20"/>
                  <w:u w:val="single"/>
                </w:rPr>
                <w:t>ITEM 3. LEGAL PROCEEDINGS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31">
              <w:r>
                <w:rPr>
                  <w:rStyle w:val="InternetLink"/>
                  <w:rFonts w:ascii="Times New Roman;sans-serif" w:hAnsi="Times New Roman;sans-serif"/>
                  <w:b w:val="false"/>
                  <w:color w:val="0000EF"/>
                  <w:sz w:val="20"/>
                  <w:u w:val="single"/>
                </w:rPr>
                <w:t>59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34">
              <w:r>
                <w:rPr>
                  <w:rStyle w:val="InternetLink"/>
                  <w:rFonts w:ascii="Times New Roman;sans-serif" w:hAnsi="Times New Roman;sans-serif"/>
                  <w:b w:val="false"/>
                  <w:color w:val="0000FF"/>
                  <w:sz w:val="20"/>
                  <w:u w:val="single"/>
                </w:rPr>
                <w:t>ITEM 4. MINE SAFETY DISCLOSURES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34">
              <w:r>
                <w:rPr>
                  <w:rStyle w:val="InternetLink"/>
                  <w:rFonts w:ascii="Times New Roman;sans-serif" w:hAnsi="Times New Roman;sans-serif"/>
                  <w:b w:val="false"/>
                  <w:color w:val="0000EF"/>
                  <w:sz w:val="20"/>
                  <w:u w:val="single"/>
                </w:rPr>
                <w:t>59</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37">
              <w:r>
                <w:rPr>
                  <w:rStyle w:val="InternetLink"/>
                  <w:rFonts w:ascii="Times New Roman;sans-serif" w:hAnsi="Times New Roman;sans-serif"/>
                  <w:b/>
                  <w:color w:val="000000"/>
                  <w:sz w:val="20"/>
                  <w:u w:val="single"/>
                </w:rPr>
                <w:t>PART 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40">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40">
              <w:r>
                <w:rPr>
                  <w:rStyle w:val="InternetLink"/>
                  <w:rFonts w:ascii="Times New Roman;sans-serif" w:hAnsi="Times New Roman;sans-serif"/>
                  <w:b w:val="false"/>
                  <w:color w:val="0000EF"/>
                  <w:sz w:val="20"/>
                  <w:u w:val="single"/>
                </w:rPr>
                <w:t>60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43">
              <w:r>
                <w:rPr>
                  <w:rStyle w:val="InternetLink"/>
                  <w:rFonts w:ascii="Times New Roman;sans-serif" w:hAnsi="Times New Roman;sans-serif"/>
                  <w:b w:val="false"/>
                  <w:color w:val="0000FF"/>
                  <w:sz w:val="20"/>
                  <w:u w:val="single"/>
                </w:rPr>
                <w:t>ITEM 6. RESERVED</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43">
              <w:r>
                <w:rPr>
                  <w:rStyle w:val="InternetLink"/>
                  <w:rFonts w:ascii="Times New Roman;sans-serif" w:hAnsi="Times New Roman;sans-serif"/>
                  <w:b w:val="false"/>
                  <w:color w:val="0000EF"/>
                  <w:sz w:val="20"/>
                  <w:u w:val="single"/>
                </w:rPr>
                <w:t>61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46">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46">
              <w:r>
                <w:rPr>
                  <w:rStyle w:val="InternetLink"/>
                  <w:rFonts w:ascii="Times New Roman;sans-serif" w:hAnsi="Times New Roman;sans-serif"/>
                  <w:b w:val="false"/>
                  <w:color w:val="0000EF"/>
                  <w:sz w:val="20"/>
                  <w:u w:val="single"/>
                </w:rPr>
                <w:t>61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64">
              <w:r>
                <w:rPr>
                  <w:rStyle w:val="InternetLink"/>
                  <w:rFonts w:ascii="Times New Roman;sans-serif" w:hAnsi="Times New Roman;sans-serif"/>
                  <w:b w:val="false"/>
                  <w:color w:val="0000FF"/>
                  <w:sz w:val="20"/>
                  <w:u w:val="single"/>
                </w:rPr>
                <w:t>ITEM 7A. QUANTITATIVE AND QUALITATIVE DISCLOSURES ABOUT MARKET RISK</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64">
              <w:r>
                <w:rPr>
                  <w:rStyle w:val="InternetLink"/>
                  <w:rFonts w:ascii="Times New Roman;sans-serif" w:hAnsi="Times New Roman;sans-serif"/>
                  <w:b w:val="false"/>
                  <w:color w:val="0000EF"/>
                  <w:sz w:val="20"/>
                  <w:u w:val="single"/>
                </w:rPr>
                <w:t>73</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67">
              <w:r>
                <w:rPr>
                  <w:rStyle w:val="InternetLink"/>
                  <w:rFonts w:ascii="Times New Roman;sans-serif" w:hAnsi="Times New Roman;sans-serif"/>
                  <w:b w:val="false"/>
                  <w:color w:val="0000FF"/>
                  <w:sz w:val="20"/>
                  <w:u w:val="single"/>
                </w:rPr>
                <w:t>ITEM 8. FINANCIAL STATEMENTS AND SUPPLEMENTARY DATA</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67">
              <w:r>
                <w:rPr>
                  <w:rStyle w:val="InternetLink"/>
                  <w:rFonts w:ascii="Times New Roman;sans-serif" w:hAnsi="Times New Roman;sans-serif"/>
                  <w:b w:val="false"/>
                  <w:color w:val="0000EF"/>
                  <w:sz w:val="20"/>
                  <w:u w:val="single"/>
                </w:rPr>
                <w:t>75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48">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48">
              <w:r>
                <w:rPr>
                  <w:rStyle w:val="InternetLink"/>
                  <w:rFonts w:ascii="Times New Roman;sans-serif" w:hAnsi="Times New Roman;sans-serif"/>
                  <w:b w:val="false"/>
                  <w:color w:val="0000EF"/>
                  <w:sz w:val="20"/>
                  <w:u w:val="single"/>
                </w:rPr>
                <w:t>115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51">
              <w:r>
                <w:rPr>
                  <w:rStyle w:val="InternetLink"/>
                  <w:rFonts w:ascii="Times New Roman;sans-serif" w:hAnsi="Times New Roman;sans-serif"/>
                  <w:b w:val="false"/>
                  <w:color w:val="0000FF"/>
                  <w:sz w:val="20"/>
                  <w:u w:val="single"/>
                </w:rPr>
                <w:t>ITEM 9A. CONTROLS AND PROCEDURES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51">
              <w:r>
                <w:rPr>
                  <w:rStyle w:val="InternetLink"/>
                  <w:rFonts w:ascii="Times New Roman;sans-serif" w:hAnsi="Times New Roman;sans-serif"/>
                  <w:b w:val="false"/>
                  <w:color w:val="0000EF"/>
                  <w:sz w:val="20"/>
                  <w:u w:val="single"/>
                </w:rPr>
                <w:t>115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54">
              <w:r>
                <w:rPr>
                  <w:rStyle w:val="InternetLink"/>
                  <w:rFonts w:ascii="Times New Roman;sans-serif" w:hAnsi="Times New Roman;sans-serif"/>
                  <w:b w:val="false"/>
                  <w:color w:val="0000FF"/>
                  <w:sz w:val="20"/>
                  <w:u w:val="single"/>
                </w:rPr>
                <w:t>ITEM 9B. OTHER INFORMATION</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54">
              <w:r>
                <w:rPr>
                  <w:rStyle w:val="InternetLink"/>
                  <w:rFonts w:ascii="Times New Roman;sans-serif" w:hAnsi="Times New Roman;sans-serif"/>
                  <w:b w:val="false"/>
                  <w:color w:val="0000EF"/>
                  <w:sz w:val="20"/>
                  <w:u w:val="single"/>
                </w:rPr>
                <w:t>116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57">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57">
              <w:r>
                <w:rPr>
                  <w:rStyle w:val="InternetLink"/>
                  <w:rFonts w:ascii="Times New Roman;sans-serif" w:hAnsi="Times New Roman;sans-serif"/>
                  <w:b w:val="false"/>
                  <w:color w:val="0000EF"/>
                  <w:sz w:val="20"/>
                  <w:u w:val="single"/>
                </w:rPr>
                <w:t>117</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60">
              <w:r>
                <w:rPr>
                  <w:rStyle w:val="InternetLink"/>
                  <w:rFonts w:ascii="Times New Roman;sans-serif" w:hAnsi="Times New Roman;sans-serif"/>
                  <w:b/>
                  <w:color w:val="000000"/>
                  <w:sz w:val="20"/>
                  <w:u w:val="single"/>
                </w:rPr>
                <w:t>PART III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63">
              <w:r>
                <w:rPr>
                  <w:rStyle w:val="InternetLink"/>
                  <w:rFonts w:ascii="Times New Roman;sans-serif" w:hAnsi="Times New Roman;sans-serif"/>
                  <w:b w:val="false"/>
                  <w:color w:val="0000FF"/>
                  <w:sz w:val="20"/>
                  <w:u w:val="single"/>
                </w:rPr>
                <w:t>ITEM 10. DIRECTORS, EXECUTIVE OFFICERS, AND CORPORATE GOVERNANCE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63">
              <w:r>
                <w:rPr>
                  <w:rStyle w:val="InternetLink"/>
                  <w:rFonts w:ascii="Times New Roman;sans-serif" w:hAnsi="Times New Roman;sans-serif"/>
                  <w:b w:val="false"/>
                  <w:color w:val="0000EF"/>
                  <w:sz w:val="20"/>
                  <w:u w:val="single"/>
                </w:rPr>
                <w:t>118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66">
              <w:r>
                <w:rPr>
                  <w:rStyle w:val="InternetLink"/>
                  <w:rFonts w:ascii="Times New Roman;sans-serif" w:hAnsi="Times New Roman;sans-serif"/>
                  <w:b w:val="false"/>
                  <w:color w:val="0000FF"/>
                  <w:sz w:val="20"/>
                  <w:u w:val="single"/>
                </w:rPr>
                <w:t>ITEM 11. EXECUTIVE COMPENSATION</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66">
              <w:r>
                <w:rPr>
                  <w:rStyle w:val="InternetLink"/>
                  <w:rFonts w:ascii="Times New Roman;sans-serif" w:hAnsi="Times New Roman;sans-serif"/>
                  <w:b w:val="false"/>
                  <w:color w:val="0000EF"/>
                  <w:sz w:val="20"/>
                  <w:u w:val="single"/>
                </w:rPr>
                <w:t>118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69">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69">
              <w:r>
                <w:rPr>
                  <w:rStyle w:val="InternetLink"/>
                  <w:rFonts w:ascii="Times New Roman;sans-serif" w:hAnsi="Times New Roman;sans-serif"/>
                  <w:b w:val="false"/>
                  <w:color w:val="0000EF"/>
                  <w:sz w:val="20"/>
                  <w:u w:val="single"/>
                </w:rPr>
                <w:t>118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72">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72">
              <w:r>
                <w:rPr>
                  <w:rStyle w:val="InternetLink"/>
                  <w:rFonts w:ascii="Times New Roman;sans-serif" w:hAnsi="Times New Roman;sans-serif"/>
                  <w:b w:val="false"/>
                  <w:color w:val="0000EF"/>
                  <w:sz w:val="20"/>
                  <w:u w:val="single"/>
                </w:rPr>
                <w:t>118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75">
              <w:r>
                <w:rPr>
                  <w:rStyle w:val="InternetLink"/>
                  <w:rFonts w:ascii="Times New Roman;sans-serif" w:hAnsi="Times New Roman;sans-serif"/>
                  <w:b w:val="false"/>
                  <w:color w:val="0000FF"/>
                  <w:sz w:val="20"/>
                  <w:u w:val="single"/>
                </w:rPr>
                <w:t>ITEM 14. PRINCIPAL ACCOUNTANT FEES AND SERVICES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75">
              <w:r>
                <w:rPr>
                  <w:rStyle w:val="InternetLink"/>
                  <w:rFonts w:ascii="Times New Roman;sans-serif" w:hAnsi="Times New Roman;sans-serif"/>
                  <w:b w:val="false"/>
                  <w:color w:val="0000EF"/>
                  <w:sz w:val="20"/>
                  <w:u w:val="single"/>
                </w:rPr>
                <w:t>118</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78">
              <w:r>
                <w:rPr>
                  <w:rStyle w:val="InternetLink"/>
                  <w:rFonts w:ascii="Times New Roman;sans-serif" w:hAnsi="Times New Roman;sans-serif"/>
                  <w:b/>
                  <w:color w:val="000000"/>
                  <w:sz w:val="20"/>
                  <w:u w:val="single"/>
                </w:rPr>
                <w:t>PART IV</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81">
              <w:r>
                <w:rPr>
                  <w:rStyle w:val="InternetLink"/>
                  <w:rFonts w:ascii="Times New Roman;sans-serif" w:hAnsi="Times New Roman;sans-serif"/>
                  <w:b w:val="false"/>
                  <w:color w:val="0000FF"/>
                  <w:sz w:val="20"/>
                  <w:u w:val="single"/>
                </w:rPr>
                <w:t>ITEM 15. EXHIBIT AND FINANCIAL STATEMENT SCHEDULES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81">
              <w:r>
                <w:rPr>
                  <w:rStyle w:val="InternetLink"/>
                  <w:rFonts w:ascii="Times New Roman;sans-serif" w:hAnsi="Times New Roman;sans-serif"/>
                  <w:b w:val="false"/>
                  <w:color w:val="0000EF"/>
                  <w:sz w:val="20"/>
                  <w:u w:val="single"/>
                </w:rPr>
                <w:t>119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84">
              <w:r>
                <w:rPr>
                  <w:rStyle w:val="InternetLink"/>
                  <w:rFonts w:ascii="Times New Roman;sans-serif" w:hAnsi="Times New Roman;sans-serif"/>
                  <w:b w:val="false"/>
                  <w:color w:val="0000FF"/>
                  <w:sz w:val="20"/>
                  <w:u w:val="single"/>
                </w:rPr>
                <w:t>ITEM 16. FORM 10-K SUMMARY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84">
              <w:r>
                <w:rPr>
                  <w:rStyle w:val="InternetLink"/>
                  <w:rFonts w:ascii="Times New Roman;sans-serif" w:hAnsi="Times New Roman;sans-serif"/>
                  <w:b w:val="false"/>
                  <w:color w:val="0000EF"/>
                  <w:sz w:val="20"/>
                  <w:u w:val="single"/>
                </w:rPr>
                <w:t>123</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87">
              <w:r>
                <w:rPr>
                  <w:rStyle w:val="InternetLink"/>
                  <w:rFonts w:ascii="Times New Roman;sans-serif" w:hAnsi="Times New Roman;sans-serif"/>
                  <w:b w:val="false"/>
                  <w:color w:val="0000FF"/>
                  <w:sz w:val="20"/>
                  <w:u w:val="single"/>
                </w:rPr>
                <w:t>SIGNATURES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87">
              <w:r>
                <w:rPr>
                  <w:rStyle w:val="InternetLink"/>
                  <w:rFonts w:ascii="Times New Roman;sans-serif" w:hAnsi="Times New Roman;sans-serif"/>
                  <w:b w:val="false"/>
                  <w:color w:val="0000EF"/>
                  <w:sz w:val="20"/>
                  <w:u w:val="single"/>
                </w:rPr>
                <w:t>124</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subsidiaries1.htm">
              <w:r>
                <w:rPr>
                  <w:rStyle w:val="InternetLink"/>
                  <w:rFonts w:ascii="Times New Roman;sans-serif" w:hAnsi="Times New Roman;sans-serif"/>
                  <w:b w:val="false"/>
                  <w:color w:val="0000FF"/>
                  <w:sz w:val="20"/>
                  <w:u w:val="single"/>
                </w:rPr>
                <w:t>EX-21</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02310xkxdraftco.htm">
              <w:r>
                <w:rPr>
                  <w:rStyle w:val="InternetLink"/>
                  <w:rFonts w:ascii="Times New Roman;sans-serif" w:hAnsi="Times New Roman;sans-serif"/>
                  <w:b w:val="false"/>
                  <w:color w:val="0000FF"/>
                  <w:sz w:val="20"/>
                  <w:u w:val="single"/>
                </w:rPr>
                <w:t>EX-23</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11.htm">
              <w:r>
                <w:rPr>
                  <w:rStyle w:val="InternetLink"/>
                  <w:rFonts w:ascii="Times New Roman;sans-serif" w:hAnsi="Times New Roman;sans-serif"/>
                  <w:b w:val="false"/>
                  <w:color w:val="0000FF"/>
                  <w:sz w:val="20"/>
                  <w:u w:val="single"/>
                </w:rPr>
                <w:t>EX-31.1</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12.htm">
              <w:r>
                <w:rPr>
                  <w:rStyle w:val="InternetLink"/>
                  <w:rFonts w:ascii="Times New Roman;sans-serif" w:hAnsi="Times New Roman;sans-serif"/>
                  <w:b w:val="false"/>
                  <w:color w:val="0000FF"/>
                  <w:sz w:val="20"/>
                  <w:u w:val="single"/>
                </w:rPr>
                <w:t>EX-31.2</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21.htm">
              <w:r>
                <w:rPr>
                  <w:rStyle w:val="InternetLink"/>
                  <w:rFonts w:ascii="Times New Roman;sans-serif" w:hAnsi="Times New Roman;sans-serif"/>
                  <w:b w:val="false"/>
                  <w:color w:val="0000FF"/>
                  <w:sz w:val="20"/>
                  <w:u w:val="single"/>
                </w:rPr>
                <w:t>EX-32.1</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22.htm">
              <w:r>
                <w:rPr>
                  <w:rStyle w:val="InternetLink"/>
                  <w:rFonts w:ascii="Times New Roman;sans-serif" w:hAnsi="Times New Roman;sans-serif"/>
                  <w:b w:val="false"/>
                  <w:color w:val="0000FF"/>
                  <w:sz w:val="20"/>
                  <w:u w:val="single"/>
                </w:rPr>
                <w:t>EX-32.2</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nasdaqcompliantc.htm">
              <w:r>
                <w:rPr>
                  <w:rStyle w:val="InternetLink"/>
                  <w:rFonts w:ascii="Times New Roman;sans-serif" w:hAnsi="Times New Roman;sans-serif"/>
                  <w:b w:val="false"/>
                  <w:color w:val="000080"/>
                  <w:sz w:val="20"/>
                  <w:u w:val="single"/>
                </w:rPr>
                <w:t>E</w:t>
              </w:r>
            </w:hyperlink>
            <w:hyperlink w:anchor="exhibit97-nasdaqcompliantc.htm">
              <w:r>
                <w:rPr>
                  <w:rStyle w:val="InternetLink"/>
                  <w:rFonts w:ascii="Times New Roman;sans-serif" w:hAnsi="Times New Roman;sans-serif"/>
                  <w:b w:val="false"/>
                  <w:color w:val="000080"/>
                  <w:sz w:val="20"/>
                  <w:u w:val="single"/>
                </w:rPr>
                <w:t>X</w:t>
              </w:r>
            </w:hyperlink>
            <w:hyperlink w:anchor="exhibit97-nasdaqcompliantc.htm">
              <w:r>
                <w:rPr>
                  <w:rStyle w:val="InternetLink"/>
                  <w:rFonts w:ascii="Times New Roman;sans-serif" w:hAnsi="Times New Roman;sans-serif"/>
                  <w:b w:val="false"/>
                  <w:color w:val="000080"/>
                  <w:sz w:val="20"/>
                  <w:u w:val="single"/>
                </w:rPr>
                <w:t>-97</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When used in this report, unless otherwise indicated, </w:t>
      </w:r>
      <w:r>
        <w:rPr>
          <w:color w:val="000000"/>
        </w:rPr>
        <w:t>“</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our,</w:t>
      </w:r>
      <w:r>
        <w:rPr>
          <w:color w:val="000000"/>
        </w:rPr>
        <w:t>”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i/>
          <w:color w:val="000000"/>
          <w:sz w:val="20"/>
        </w:rPr>
        <w:t xml:space="preserve">the </w:t>
      </w: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BioCryst</w:t>
      </w:r>
      <w:r>
        <w:rPr>
          <w:color w:val="000000"/>
        </w:rPr>
        <w:t xml:space="preserve">” </w:t>
      </w:r>
      <w:r>
        <w:rPr>
          <w:rFonts w:ascii="Times New Roman;sans-serif" w:hAnsi="Times New Roman;sans-serif"/>
          <w:b w:val="false"/>
          <w:i/>
          <w:color w:val="000000"/>
          <w:sz w:val="20"/>
        </w:rPr>
        <w:t>refer to BioCryst Pharmaceuticals, Inc. and, where appropriate, its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“Business,”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preclinical development, clinical development, commercialization, or post-marketing studies of our products and product candidates, including ORLADEYO® (berotralstat), BCX10013, and early-stage discovery programs (including BCX17725, avoralstat, and our complement inhibitors), and our plans regarding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out-licensing of late-stage development and commercialization of BCX10013;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discovery and commercialization of best-in-class and first-in-class medicines;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regulatory approvals, or milestones, royalties or profit from sales of our products by us or our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implementation of our business model, strategic plans for our business, products, product candidates and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or out-license rights to our products and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plans, programs, progress and potential success of our collaborations, including with Torii Pharmaceutical Co., Ltd. (“Torii”) for ORLADEYO in Japan and Shionogi &amp; Co., Ltd. (“Shionogi”) and Green Cross Corporation (“Green Cross”) for peramivir in their territories;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and our subsidiary guarantors’ ability to satisfy obligations under the Pharmakon Loan Agreement (as defined below) and to comply with the covenants as set forth in the agreements governing our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operate our business without infringing the intellectual property rights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estimates of our revenues, expenses, capital requirements, annual cash utilization, and our needs for additional capital or financing;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or likelihood of regulatory filings or regulatory agreements, deferrals, approvals, and other decisions;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manage our liquidity needs to fund our operations or repay our recourse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financial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statements and projections regarding financial goals, including timing for achieving profitability or positive cash flow;</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remediate any material weakness in our internal control over financial reporting;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competitive companies, technologies, and our industry.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the Company involves risks. You should carefully read this entire report and consider the uncertainties and risks discussed in the “Risk Factors” section in Part 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incurred losses since our inception and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need to raise additional capital in the future. If we are unable to raise capital if and when needed, we may need to adjust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the FDA or comparable foreign regulatory authorities approve generic versions of any of our products that receive marketing approval, the sales of our products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our facilities incur damage or power is lost for a significant length of time, our business will suffer.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Cyber incidents and related disruptions in our or our third-party vendors’ information technology systems could adversely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acquisitions, strategic investments, partnerships, alliances, or divestitures could fail to meet our expectations and/or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identified a material weakness in our internal control over financial reporting. This material weakness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subject to legal proceedings, which could harm our reputation or result in other losses or unexpected expenditure of time and resources.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biotechnology company with a deep commitment to improving the lives of people living with complement-mediated and other rare diseases. We leverage our expertise in structure-guided drug design with the goal of developing first-in-class or best-in-class oral small-molecule and protein therapeutics to target difficult-to-treat rare diseases. Structure-guided drug design is a drug discovery approach by which we design synthetic compounds from detailed structural knowledge of the active sites of targets associated with particular diseases. We use X-ray crystallography, computer modeling of molecular structures and advanced chemistry techniques to focus on the three-dimensional molecular structure and active site characteristics of the protein targets that control cellular biology. Our goal generally is to design a compound that will fit in the active site of a protein target and thereby prevent its activity.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 Molecules from our discovery efforts that are commercially available or that are in active development are summarized in the table below and are discussed in further detail under “Products and Product Candidates” in this “Part I—Item 1—Business” section of this report.</w:t>
      </w:r>
    </w:p>
    <w:tbl>
      <w:tblPr>
        <w:tblW w:w="10205" w:type="dxa"/>
        <w:jc w:val="left"/>
        <w:tblInd w:w="0" w:type="dxa"/>
        <w:tblLayout w:type="fixed"/>
        <w:tblCellMar>
          <w:top w:w="28" w:type="dxa"/>
          <w:left w:w="28" w:type="dxa"/>
          <w:bottom w:w="28" w:type="dxa"/>
          <w:right w:w="28" w:type="dxa"/>
        </w:tblCellMar>
      </w:tblPr>
      <w:tblGrid>
        <w:gridCol w:w="602"/>
        <w:gridCol w:w="358"/>
        <w:gridCol w:w="361"/>
        <w:gridCol w:w="109"/>
        <w:gridCol w:w="109"/>
        <w:gridCol w:w="109"/>
        <w:gridCol w:w="983"/>
        <w:gridCol w:w="738"/>
        <w:gridCol w:w="747"/>
        <w:gridCol w:w="109"/>
        <w:gridCol w:w="109"/>
        <w:gridCol w:w="109"/>
        <w:gridCol w:w="719"/>
        <w:gridCol w:w="719"/>
        <w:gridCol w:w="658"/>
        <w:gridCol w:w="109"/>
        <w:gridCol w:w="109"/>
        <w:gridCol w:w="109"/>
        <w:gridCol w:w="431"/>
        <w:gridCol w:w="431"/>
        <w:gridCol w:w="437"/>
        <w:gridCol w:w="109"/>
        <w:gridCol w:w="109"/>
        <w:gridCol w:w="109"/>
        <w:gridCol w:w="543"/>
        <w:gridCol w:w="479"/>
        <w:gridCol w:w="691"/>
      </w:tblGrid>
      <w:tr>
        <w:trPr/>
        <w:tc>
          <w:tcPr>
            <w:tcW w:w="6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Drug/Drug Candidate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Drug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Therapeutic Area(s)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Rights*</w:t>
            </w:r>
          </w:p>
        </w:tc>
      </w:tr>
      <w:tr>
        <w:trPr/>
        <w:tc>
          <w:tcPr>
            <w:tcW w:w="13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ORLADEYO®</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(berotralstat)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Serine Protease Inhibitor Targeting Kallikrein (once-daily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Hereditary angioedema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Approved</w:t>
              <w:br/>
              <w:t>(United States and multiple global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BioCryst (worldwide)**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Serine Protease Inhibitor Targeting Kallikrein (once-daily treatment for patients who are 2 to &lt;12 years of 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angioedema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Phase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BioCryst (worldwide)**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BCX10013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Oral Factor D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Complement-mediated diseases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Phase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(worldwide)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RAPIVAB®</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Acute uncomplicated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Approved</w:t>
              <w:br/>
              <w:t>(United States, Australia &amp;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(worldwide, except Japan, Taiwan, Korea and Israel)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RAPIACTA®</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Uncomplicated seasonal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Approved</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(Japan &amp; 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Shionogi &amp; Co., Ltd.</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(Japan &amp; Taiwan)</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PERAMIFLU®</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Uncomplicated seasonal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Approved</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Green Cross Corporation</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r>
    </w:tbl>
    <w:p>
      <w:pPr>
        <w:pStyle w:val="TextBody"/>
        <w:bidi w:val="0"/>
        <w:spacing w:lineRule="auto" w:line="288" w:before="240" w:after="283"/>
        <w:ind w:left="0" w:right="0" w:hanging="540"/>
        <w:jc w:val="left"/>
        <w:rPr/>
      </w:pPr>
      <w:r>
        <w:rPr>
          <w:rFonts w:ascii="Times New Roman;sans-serif" w:hAnsi="Times New Roman;sans-serif"/>
          <w:b w:val="false"/>
          <w:i/>
          <w:color w:val="000000"/>
          <w:sz w:val="20"/>
        </w:rPr>
        <w:t xml:space="preserve">*     See </w:t>
      </w:r>
      <w:r>
        <w:rPr>
          <w:color w:val="000000"/>
        </w:rPr>
        <w:t>“</w:t>
      </w:r>
      <w:r>
        <w:rPr>
          <w:rFonts w:ascii="Times New Roman;sans-serif" w:hAnsi="Times New Roman;sans-serif"/>
          <w:b w:val="false"/>
          <w:i/>
          <w:color w:val="000000"/>
          <w:sz w:val="20"/>
        </w:rPr>
        <w:t>Business</w:t>
      </w:r>
      <w:r>
        <w:rPr>
          <w:color w:val="000000"/>
        </w:rPr>
        <w:t>—</w:t>
      </w:r>
      <w:r>
        <w:rPr>
          <w:rFonts w:ascii="Times New Roman;sans-serif" w:hAnsi="Times New Roman;sans-serif"/>
          <w:b w:val="false"/>
          <w:i/>
          <w:color w:val="000000"/>
          <w:sz w:val="20"/>
        </w:rPr>
        <w:t>Collaborations and In-License Relationships</w:t>
      </w:r>
      <w:r>
        <w:rPr>
          <w:color w:val="000000"/>
        </w:rPr>
        <w:t xml:space="preserve">” </w:t>
      </w:r>
      <w:r>
        <w:rPr>
          <w:rFonts w:ascii="Times New Roman;sans-serif" w:hAnsi="Times New Roman;sans-serif"/>
          <w:b w:val="false"/>
          <w:i/>
          <w:color w:val="000000"/>
          <w:sz w:val="20"/>
        </w:rPr>
        <w:t>for a description of our relationships with the third parties identified in this column.</w:t>
      </w:r>
    </w:p>
    <w:p>
      <w:pPr>
        <w:pStyle w:val="TextBody"/>
        <w:bidi w:val="0"/>
        <w:spacing w:lineRule="auto" w:line="288" w:before="240" w:after="283"/>
        <w:ind w:left="0" w:right="0" w:hanging="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    We share rights in Japan with Torii Pharmaceutical Co.,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molecules referenced in the table above, we are pursuing medicines directed at other targets across the classical, lectin and alternative pathways of the complement system, as well as inhibitors designed to treat patients with Netherton syndrome and diabetic macular edema. See “Business—Products and Product Candidates” below for additional details.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is twofold: to serve patients and to create stockholder value both by focusing our discovery and development efforts on potential first-in-class or best-in-class oral small-molecule and protein therapeutics to target difficult-to-treat rare diseases and by efficiently commercializing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select disease targets and product candidates in which an oral small molecule or protein therapeutic has the potential to be best-in-class or would be the first to market. We strive to advance our product candidate portfolio from discovery to commercial markets efficiently by utilizing a small group of talented and highly-skilled employees working in conjunction with strategic outsource partners. We are unique in our approach to treat difficult-to-treat rare diseases with orally-administered small molecules and with protein therapeutics, each identified by utilizing crystallography and structure-guided drug design. The principal elements of our strategy are: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Focusing on High Value-Added Structure-Guided Drug Design Technologies. </w:t>
      </w:r>
      <w:r>
        <w:rPr>
          <w:rFonts w:ascii="Times New Roman;sans-serif" w:hAnsi="Times New Roman;sans-serif"/>
          <w:b w:val="false"/>
          <w:color w:val="000000"/>
          <w:sz w:val="20"/>
        </w:rPr>
        <w:t>We utilize structure-guided drug design in order to most</w:t>
      </w:r>
      <w:r>
        <w:rPr>
          <w:color w:val="000000"/>
        </w:rPr>
        <w:t xml:space="preserve"> </w:t>
      </w:r>
      <w:r>
        <w:rPr>
          <w:rFonts w:ascii="Times New Roman;sans-serif" w:hAnsi="Times New Roman;sans-serif"/>
          <w:b w:val="false"/>
          <w:color w:val="000000"/>
          <w:sz w:val="20"/>
        </w:rPr>
        <w:t>efficiently develop new therapeutic candidates. Structure-guided drug design is a process by which we design a product candidate through detailed structural analysis of the protein target, which the product candidate must inhibit in order to stop the progression of the disease or disorder. We believe that structure-guided drug design is a powerful tool for the efficient development of small-molecule and protein therapeutic product candidates that have the potential to be safe and effective. Our structure-guided drug design technologies typically allow us to design and synthesize multiple product candidates that inhibit the same protein target, with the goal of establishing broad intellectual property protection and formulating compounds with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Selecting Inhibitors that are Promising Product Candidates. </w:t>
      </w:r>
      <w:r>
        <w:rPr>
          <w:rFonts w:ascii="Times New Roman;sans-serif" w:hAnsi="Times New Roman;sans-serif"/>
          <w:b w:val="false"/>
          <w:color w:val="000000"/>
          <w:sz w:val="20"/>
        </w:rPr>
        <w:t>We start by selecting disease targets with well-understood biology and</w:t>
      </w:r>
      <w:r>
        <w:rPr>
          <w:color w:val="000000"/>
        </w:rPr>
        <w:t xml:space="preserve"> </w:t>
      </w:r>
      <w:r>
        <w:rPr>
          <w:rFonts w:ascii="Times New Roman;sans-serif" w:hAnsi="Times New Roman;sans-serif"/>
          <w:b w:val="false"/>
          <w:color w:val="000000"/>
          <w:sz w:val="20"/>
        </w:rPr>
        <w:t>characteristics that fit with our ability to utilize structure-guided drug design capabilities to build potent and specific inhibitors. Next, we narrow our selection of these product candidates based on product characteristics, such as initial indications of safety and biologic activity on the target.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Developing our Product Candidates Efficiently. </w:t>
      </w:r>
      <w:r>
        <w:rPr>
          <w:rFonts w:ascii="Times New Roman;sans-serif" w:hAnsi="Times New Roman;sans-serif"/>
          <w:b w:val="false"/>
          <w:color w:val="000000"/>
          <w:sz w:val="20"/>
        </w:rPr>
        <w:t>An important element of our business strategy is to progress our product</w:t>
      </w:r>
      <w:r>
        <w:rPr>
          <w:color w:val="000000"/>
        </w:rPr>
        <w:t xml:space="preserve"> </w:t>
      </w:r>
      <w:r>
        <w:rPr>
          <w:rFonts w:ascii="Times New Roman;sans-serif" w:hAnsi="Times New Roman;sans-serif"/>
          <w:b w:val="false"/>
          <w:color w:val="000000"/>
          <w:sz w:val="20"/>
        </w:rPr>
        <w:t>candidates efficiently through the development process. In order to accomplish this, we typically strive for disease targets with a defined clinical and regulatory pathway for approval or diseases where high unmet needs allow for frequent interactions with regulators. In addition, as we determine such relationships to be appropriate or desirable, we control certain fixed costs and overhead by outsourcing with strategic partners and contractors or entering into license agreements with third parties. By outsourcing certain aspects of our operations, we are able to control overhead costs and focus financial resources directly where they provide the most benefit and reduce our business risk.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Commercializing our Product Candidates Globally. </w:t>
      </w:r>
      <w:r>
        <w:rPr>
          <w:rFonts w:ascii="Times New Roman;sans-serif" w:hAnsi="Times New Roman;sans-serif"/>
          <w:b w:val="false"/>
          <w:color w:val="000000"/>
          <w:sz w:val="20"/>
        </w:rPr>
        <w:t>A core part of our strategy is to commercialize our rare disease products globally. We</w:t>
      </w:r>
      <w:r>
        <w:rPr>
          <w:color w:val="000000"/>
        </w:rPr>
        <w:t xml:space="preserve"> </w:t>
      </w:r>
      <w:r>
        <w:rPr>
          <w:rFonts w:ascii="Times New Roman;sans-serif" w:hAnsi="Times New Roman;sans-serif"/>
          <w:b w:val="false"/>
          <w:color w:val="000000"/>
          <w:sz w:val="20"/>
        </w:rPr>
        <w:t>have established commercial teams in the United States and other global markets for the commercialization of ORLADEYO, and we are continuing to build the structure and expertise to commercialize our products in additional markets where we believe we can do this efficiently and effectively. We have also established relationships with licensing, distribution and other partners in certain markets, including Japan, the pan-Latin America region, and parts of Europe and Asia, and will continue to seek such relationships where we determine this to be an effective approach.</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Products and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ORLADEYO (Berotralstat)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ORLADEYO is an oral, once-daily therapy discovered and developed by us for the prevention of hereditary angioedema (“HAE”) attacks. HAE is a rare, severely debilitating and potentially fatal genetic condition with an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prevalence of between 1 in 33,000 to 1 in 67,000 people. HAE symptoms include recurrent episodes of edema in various locations, including the hands, feet, face, genitalia and airway. Airway swelling is particularly dangerous and can lead to death by asphyxiation. In addition, patients often have bouts of severe abdominal pain, nausea and vomiting caused by swelling in the intestinal wall. By inhibiting plasma kallikrein, ORLADEYO suppresses bradykinin production. Bradykinin is the mediator of acute swelling attacks in HAE patients.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ORLADEYO was approved by the U.S. Food and Drug Administration (“FDA”) in December 2020 for prophylaxis to prevent attacks of HAE in adults and pediatric patients 12 years and older. Our specialty pharmacy provider for ORLADEYO in the United States began shipping ORLADEYO to patients with a prescription in the United States in December 2020. Through EMPOWER Patient Services, administered by our specialty pharmacy provider, we aim to streamline access to therapy by providing each HAE patient and their healthcare provider with a single point of contact for access to ORLADEYO. A dedicated care coordinator supports access for each patient with comprehensive financial support tools and reimbursement support.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announced that ORLADEYO received approvals in the European Union (the “EU”), Japan, the United Arab Emirates (“UAE”) and the United Kingdom, and in 2022, we announced that ORLADEYO received approvals in Canada, Switzerland, Saudi Arabia, and Israel.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our agreement with Torii, our collaborative partner for the commercialization of ORLADEYO in Japan, we are entitled to receive tiered royalty payments, ranging from 20% to 80% of net sales of ORLADEYO in Japan during each calendar year. See “Collaborations and In-License Relationships” below for a description of our relationship with Torii.</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23, 2023, we announced that the Company entered into a collaboration with Swixx BioPharma AG (“Swixx”) to commercialize ORLADEYO in Central and Eastern Europe (“CEE”). Under the terms of the agreement, Swixx will be responsible for commercializing ORLADEYO in 15 markets within CEE.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2023, we announced the enrollment of the first patient in the pivotal APeX-P trial evaluating ORLADEYO in pediatric HAE patients who are 2 to &lt;12 years of age.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2023, we announced that the Canadian Agency for Drugs and Technologies in Health Canadian Drug Expert Committee issued a final draft positive recommendation for ORLADEYO to be reimbursed for the routine prevention of HAE attacks in adults and pediatric patients 12 years of age and older.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24, 2023, we announced that new data from the APeX-S and APeX-2 clinical trials, which evaluated ORLADEYO for the prophylactic treatment of HAE, demonstrated sustained reductions in attack rates and improvement in quality of life among patients living with HAE, highlighting its profile as a well-tolerated, effective and convenient prophylactic HAE therapeutic option. We also announced additional analyses from new real-world data that further demonstrate a meaningful reduction in attack rates experienced by patients on ORLADEYO, in addition to findings from a survey that underscore a significant disease and treatment burden among pediatric HAE patients, as reported by their caregivers.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that new data from the APeX-S clinical trial, which evaluated ORLADEYO for the prophylactic treatment of HAE, showed sustained reduction in disease burden for patients across multiple subgroups through 96 weeks of treatment.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2023, we announced that the Public Health Institute of Chile granted marketing authorization for ORLADEYO for the prophylaxis of HAE in patients 12 years of age or older. We have an exclusive collaboration with Pint Pharma GmbH (“Pint Pharma”) to register and promote ORLADEYO in the pan-Latin America region. Under the terms of the agreement, Pint Pharma is responsible for obtaining and maintaining all marketing authorizations and for commercializing ORLADEYO in the region.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July 19, 2023, we announced that we entered into a collaboration with Er-Kim Pharmaceuticals to commercialize ORLADEYO in Turkey.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2023, we announced that Austria approved the reimbursement of ORLADEYO for the targeted prophylaxis of HAE in patients 12 years of age or older.</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expect to submit a U.S. supplemental new drug application for the pediatric use of ORLADEYO in 2025. The ongoing APeX-P clinical trial is assessing an oral granule formulation of ORLADEYO in pediatric HAE patients who are 2 to &lt;12 years of age.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10, 2023, we announced new analyses of real-world use of ORLADEYO leading to a reduction in monthly attack rates in patients with HAE who have normal C1-inhibitor level and function. We also announced a new post-hoc analysis from the APeX-S clinical trial that showed a sustained reduction in HAE attacks compared to patients’ self-reported baseline attack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21, 2023, we announced that the Spanish Ministry for Health granted marketing authorization for ORLADEYO for the routine prevention of recurrent HAE attacks in HAE patients 12 years and older.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29, 2023, we announced that the National Administration of Drugs, Foods, and Medical Devices in Argentina granted approval for ORLADEYO for the prophylaxis of HAE attacks in adults and pediatric patients 12 years of age or older.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On December 19, 2023, we announced that data from the open-label extension of the APeX-2 trial of ORLADEYO for the prophylactic treatment of HAE in patients 12 years and older have been published online by the </w:t>
      </w:r>
      <w:r>
        <w:rPr>
          <w:rFonts w:ascii="Times New Roman;sans-serif" w:hAnsi="Times New Roman;sans-serif"/>
          <w:b w:val="false"/>
          <w:i/>
          <w:color w:val="000000"/>
          <w:sz w:val="20"/>
        </w:rPr>
        <w:t>Journal of Allergy and Clinical Immunology: In Practice (JACI: In Practice)</w:t>
      </w:r>
      <w:r>
        <w:rPr>
          <w:rFonts w:ascii="Times New Roman;sans-serif" w:hAnsi="Times New Roman;sans-serif"/>
          <w:b w:val="false"/>
          <w:color w:val="000000"/>
          <w:sz w:val="20"/>
        </w:rPr>
        <w:t>. The authors concluded that ORLADEYO was generally well tolerated, provided rapid and sustained reductions in HAE attacks and improved quality of life over the study duration of 96 weeks.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2024, we announced that the Italian Medicines Agency finalized reimbursement and recommended ORLADEYO for the routine prevention of recurrent attacks of HAE in eligible patients 12 years and older.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2024, we announced new analyses of real-world use of ORLADEYO that showed patients who initiated ORLADEYO experienced rapid, substantial and sustained reductions in attack rates through 18 months of treatment regardless of the severity of their disease, their history of prior prophylaxis or their C1-inhibitor level and function.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each of December 7, 2020 and November 19, 2021, we entered into a Purchase and Sale Agreement with RPI 2019 Intermediate Finance Trust (“RPI”), pursuant to which we sold to RPI the right to receive certain royalty payments from the Company (the “RPI Royalty Purchase Agreements”). On November 19, 2021, we also entered into a Purchase and Sale Agreement (the “OMERS Royalty Purchase Agreement” and, collectively with the RPI Royalty Purchase Agreements, the “Royalty Purchase Agreements”) with OCM IP Healthcare Holdings Limited, an affiliate of OMERS Capital Markets (“OMERS”), pursuant to which we sold to OMERS the right to receive certain royalty payments from the Company. The transactions contemplated under the Royalty Purchase Agreements are referred to herein as the “Royalty Sales.” See “Note 8—Royalty Financing Obligations—ORLADEYO and Factor D Inhibitors” in the Notes to Consolidated Financial Statements in Part II, Item 8 of this report for additional information about our obligations under the Royalty Purchase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three full years of commercialization experience with ORLADEYO in the United States from 2021 through 2023, we anticipate the global commercial market for ORLADEYO has the potential to reach a global peak of $1 billion in annual net ORLADEYO revenues. We expect approximately 80 percent of our revenue at peak to come from the United States. Based on three full years of commercialization experience with ORLADEYO, we believe there is a seasonal impact to our business in the first quarter of each year due to typical first quarter requirements from payors for prescription reauthorization of specialty products, like ORLADEYO, that can temporarily move patients from paid drug to free product.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 Item 1A of this report for further discussion of these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Complement-Mediated Diseases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goal of our overall complement program is to advance several first-in-class and/or best-in-class compounds across multiple pathways in the complement system to treat many complement-mediated diseases. The complement system is part of the body’s natural immune system and is responsible for helping the body eliminate microbes (including viral and bacterial infections) and damaged cells. It is comprised of proteins that are primarily produced in the liver and circulate in the blood. Once activated, the complement system stimulates inflammation, phagocytosis and cell lysis. Excessive or uncontrolled activation of the complement system can cause severe, and potentially fatal, immune and inflammatory disorders. The complement system comprises biological cascades of amplifying enzyme cleavages involving more than 30 proteins and protein fragments, and may be activated through three pathways: the classical pathway (initiated by antibody-antigen complexes), the lectin pathway (initiated by lectin binding) and the alternative pathway (initiated by microbial surfaces). The alternative pathway also provides a critical amplification loop for all three pathways, regardless of the initiating mechanism. Several rare diseases are known to be mediated by dysregulation of the complement system.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BCX10013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BCX10013 is a potential once-daily, oral Factor D inhibitor, which targets the alternative pathway of complement. Factor D is an essential enzyme in the alternative pathway, thus making Factor D an attractive target to address complement-mediated diseases. On January 9, 2023, we announced that initial data from ongoing phase 1 single ascending dose and multiple ascending dose trials in healthy volunteers showed rapid, sustained and &gt;97 percent suppression of the alternative pathway of the complement system 24 hours following a single 110 mg dose, and that BCX10013 had been safe and generally well-tolerated at all doses studied to date. On February 21, 2023, we announced that dose-related observations in an ongoing BCX10013 nonclinical study would delay the clinical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2023, we announced that we began opening clinical trial sites for a dose-ranging trial in patients with paroxysmal nocturnal hemoglobinuria (“PNH”) and expected to begin patient enrollment (in countries without other approved therapies) by the end of the year. On October 26, 2023, we announced the enrollment of the first patient in a proof-of-concept clinical trial evaluating BCX10013, and on November 3, 2023, we announced that we expect to report data from our ongoing proof-of-concept trial in 2024. On November 3, 2023, we also presented data at our R&amp;D Day from the recently completed 160 mg cohort of our multiple ascending dose healthy volunteer trial, which highlights the strength and duration of alternative pathway suppression achieved at this dose level, supporting once-daily clinical dosing.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5, 2024, we announced that, if our ongoing proof-of-concept trial produces best-in-class data, we plan to out-license late-stage development and commercialization of BCX10013 to a partner that can drive the speed and breadth of investment required to accelerate BCX10013 for patients across multiple complement-mediated diseases and maximize the commercial potential of the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RPI Royalty Purchase Agreements, RPI will be entitled to receive tiered, sales-based royalties on net product sales, if any, of BCX10013, as well as tiered, profit share amounts from certain other permitted sales in certain markets. See “Note 8—Royalty Financing Obligations—ORLADEYO and Factor D Inhibitors” in the Notes to Consolidated Financial Statements in Part II, Item 8 of this report for additional information about our obligations under the RPI Royalty Purchase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C5 Inhibitor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an oral C5 inhibitor that could be the first targeted oral therapy with competitive efficacy to currently-approved 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Bifunctional Complement Inhibitor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 bifunctional complement inhibitor anti-C2 monoclonal antibody that also inhibits the alternative pathway. This investigational candidate could be a first-in-class combined inhibitor of the classical, lectin and alternative pathways of the complement system to treat complex renal complement-mediated diseases like Immunoglobulin A Nephropathy (“IgAN”) and lupus nephritis, which are influenced by multiple complement pathways.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C2 Inhibitor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 classical and lectin pathway complement inhibitor to treat autoimmune hemolytic anemias, including cold 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are developing BCX17725, a potent and selective investigational fusion protein KLK5 inhibitor designed to provide best-in-class, potentially disease-modifying treatment for people with Netherton syndrome. Netherton syndrome is a rare, lifelong genetic disorder that often presents in neonates or infancy. The disease is caused by the deficiency of a natural inhibitor (SPINK5) of KLK5, a serine protease responsible for regulating skin shedding. Patients may have red, scaly and inflamed skin and susceptibility to recurrent immune reactions. Netherton syndrome can be life-threatening, especially during infancy when patients are vulnerable to dehydration and recurrent infections. Currently, there is no approved treatment for Netherton syndrome.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Avoralstat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entered into a license agreement (the “Clearside Agreement”) with Clearside Biomedical, Inc. (“Clearside”), enabling us to develop our investigational plasma kallikrein inhibitor, avoralstat, with Clearside’s SCS Microinjector® to deliver avoralstat to the back of the eye through the suprachoroidal space to treat patients with diabetic macular edema (“DME”). DME is the most common cause of vision loss in individuals with diabetes, and at least one-third of patients have persistent DME despite anti-vascular endothelial growth factor therapies, which are administered via monthly injection. Avoralstat, which was previously studied in an oral formulation in a phase 3 trial in patients with HAE, has high potency and low solubility, two characteristics we believe are important to achieving potential efficacy with reduced dosing frequency in the eye for DME patients.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Clearside Agreement, Clearside received a $5.0 million upfront license fee from us. Clearside is eligible to receive up to an additional $30.0 million in clinical and regulatory milestone payments, and up to a total of $47.5 million in three post-approval sales-based milestone payments as annual global net sales progress to $2.0 billion. We will pay Clearside tiered mid-single digit royalties on annual global net product sales, at three tiers, including a top tier of &gt;$1.5 billion.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Peramivir Injection (RAPIVAB, RAPIACTA, PERAMIFLU)</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RAPIVAB (peramivir injection) was developed under a $234.8 million contract from the Biomedical Advanced Research and Development Authority within the U.S. Department of Health and Human Services (“BARDA/HHS”). In January 2010, our partner, Shionogi, received the first approval for peramivir injection and launched it in Japan under the commercial name RAPIACTA. It is approved in Japan for the treatment of adults, children, and infants with uncomplicated seasonal influenza and those patients at high-risk for complications associated with influenza. In August 2010, our partner, Green Cross, received marketing and manufacturing approval from the Korean Food &amp; Drug Administration under the commercial name PERAMIFLU to treat patients with influenza A &amp; B viruses, including pandemic H1N1 and avian influenza. See “Collaborations and In-License Relationships” below for a discussion of these licensing arrangements.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Peramivir was also approved in the United States in 2014, Taiwan in 2016, Canada in 2017, and Australia in 2018. A Supplemental New Drug Application (“sNDA”) was approved in the United States in February 2021, extending RAPIVAB’s availability for the treatment of acute uncomplicated influenza to pediatric patients six months and older. Prior to this approval, peramivir had been indicated in the United States for pediatric patients two years and older. In the United States, peramivir is indicated for the treatment of acute uncomplicated influenza in patients who have been symptomatic for no more than two days.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the U.S. Department of Health and Human Services (“HHS”) awarded us a $34.7 million contract for the procurement of up to 50,000 doses of RAPIVAB over a five-year period to supply the Strategic National Stockpile for use in a public health emergency. We initially delivered 20,000 doses of RAPIVAB under this contract in 2019 for a total price of approximately $13.9 million. We further delivered 20,000 and 9,980 doses of RAPIVAB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2021, respectively, and recorded revenue of $13.9 million and $6.9 million for the years ending December 31, 2022 and 2021, respectively. As of December 31, 2022, we had delivered a total of 49,980 RAPIVAB doses of the 50,000 RAPIVAB doses available under the contract, effectively completing the contract with HHS.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Collaborations and In-License Relationships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ORLADEYO</w:t>
      </w:r>
    </w:p>
    <w:p>
      <w:pPr>
        <w:pStyle w:val="TextBody"/>
        <w:bidi w:val="0"/>
        <w:spacing w:lineRule="auto" w:line="288" w:before="240" w:after="283"/>
        <w:jc w:val="left"/>
        <w:rPr/>
      </w:pPr>
      <w:r>
        <w:rPr>
          <w:rFonts w:ascii="Times New Roman;sans-serif" w:hAnsi="Times New Roman;sans-serif"/>
          <w:b w:val="false"/>
          <w:i/>
          <w:color w:val="000000"/>
          <w:sz w:val="20"/>
        </w:rPr>
        <w:t>Torii Pharmaceutical Co., Ltd. (</w:t>
      </w:r>
      <w:r>
        <w:rPr>
          <w:color w:val="000000"/>
        </w:rPr>
        <w:t>“</w:t>
      </w:r>
      <w:r>
        <w:rPr>
          <w:rFonts w:ascii="Times New Roman;sans-serif" w:hAnsi="Times New Roman;sans-serif"/>
          <w:b w:val="false"/>
          <w:i/>
          <w:color w:val="000000"/>
          <w:sz w:val="20"/>
        </w:rPr>
        <w:t>Torii</w:t>
      </w:r>
      <w:r>
        <w:rPr>
          <w:color w:val="000000"/>
        </w:rPr>
        <w:t>”</w:t>
      </w:r>
      <w:r>
        <w:rPr>
          <w:rFonts w:ascii="Times New Roman;sans-serif" w:hAnsi="Times New Roman;sans-serif"/>
          <w:b w:val="false"/>
          <w:i/>
          <w:color w:val="000000"/>
          <w:sz w:val="20"/>
        </w:rPr>
        <w: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5, 2019, we entered into a Commercialization and License Agreement with Torii (the “Original Torii Agreement”), granting Torii the exclusive right to commercialize ORLADEYO for the prevention of HAE attacks in Japan. Under the Original Torii Agreement, we received an upfront, non-refundable payment of $22.0 million. We received an additional milestone payment of $15.0 million in the second quarter of 2021 upon receipt from the Japanese National Health Insurance System (“NHI”) of a reimbursement price approval for ORLADEYO. On November 30, 2023, we entered into an Amended and Restated Commercialization and License Agreement with Torii (as amended, the “Torii Agreement”).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Torii Agreement, we are entitled to receive tiered royalty payments, ranging from 20% to 80% of annual net sales of ORLADEYO in Japan during each calendar year. We are now responsible for all commercial promotion activities to support ORLADEYO sales in Japan, and Torii will be responsible for HAE disease awareness activities in Japan. We will receive a 20% royalty on annual Japanese sales below a prespecified threshold and an 80% royalty on annual Japanese sales above the prespecified threshold.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Torii’s updated royalty payment obligations commenced upon November 30, 2023 and expire upon the later of (i) the tenth anniversary of the date of first commercial sale of ORLADEYO in Japan, (ii) the expiration of our patents covering ORLADEYO, and (iii) the expiration of regulatory exclusivity for ORLADEYO in Japan.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Collaborations for ORLADEYO</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 number of collaborations with commercial partners to help support the global launch of ORLADEYO. In 2021, we entered into supply and distribution agreements with Neopharm Ltd. (“Neopharm”) and NewBridge Pharmaceuticals (“NewBridge”) to support commercialization efforts in Israel and the UAE, respectively. Under the terms of these agreements, Neopharm will have the exclusive rights to commercialize ORLADEYO in Israel and the Palestinian Authority, and NewBridge will support commercialization efforts in the UAE, as well as the Gulf Cooperation Council and Iraq. On June 9, 2022, we announced that we have entered into an exclusive collaboration with Pint Pharma to register and promote ORLADEYO in the pan-Latin America region. Under the terms of the agreement, Pint Pharma will be responsible for obtaining and maintaining all marketing authorizations and for commercializing ORLADEYO in the region. On January 23, 2023, we announced that we have entered into a collaboration with Swixx to commercialize ORLADEYO in CEE. Under the terms of the agreement, Swixx will be responsible for commercializing ORLADEYO in 15 markets within CEE. On July 19, 2023, we announced that we have entered into a collaboration with Er-Kim Pharmaceuticals to commercialize ORLADEYO in Turkey.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Peramivir Injection (RAPIVAB, RAPIACTA, PERAMIFLU)</w:t>
      </w:r>
    </w:p>
    <w:p>
      <w:pPr>
        <w:pStyle w:val="TextBody"/>
        <w:bidi w:val="0"/>
        <w:spacing w:lineRule="auto" w:line="288" w:before="240" w:after="283"/>
        <w:jc w:val="left"/>
        <w:rPr/>
      </w:pPr>
      <w:r>
        <w:rPr>
          <w:rFonts w:ascii="Times New Roman;sans-serif" w:hAnsi="Times New Roman;sans-serif"/>
          <w:b w:val="false"/>
          <w:i/>
          <w:color w:val="000000"/>
          <w:sz w:val="20"/>
        </w:rPr>
        <w:t>Shionogi &amp; Co., Ltd. (</w:t>
      </w:r>
      <w:r>
        <w:rPr>
          <w:color w:val="000000"/>
        </w:rPr>
        <w:t>“</w:t>
      </w:r>
      <w:r>
        <w:rPr>
          <w:rFonts w:ascii="Times New Roman;sans-serif" w:hAnsi="Times New Roman;sans-serif"/>
          <w:b w:val="false"/>
          <w:i/>
          <w:color w:val="000000"/>
          <w:sz w:val="20"/>
        </w:rPr>
        <w:t>Shionogi</w:t>
      </w:r>
      <w:r>
        <w:rPr>
          <w:color w:val="000000"/>
        </w:rPr>
        <w:t>”</w:t>
      </w:r>
      <w:r>
        <w:rPr>
          <w:rFonts w:ascii="Times New Roman;sans-serif" w:hAnsi="Times New Roman;sans-serif"/>
          <w:b w:val="false"/>
          <w:i/>
          <w:color w:val="000000"/>
          <w:sz w:val="20"/>
        </w:rPr>
        <w: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February 2007, we entered into a License, Development and Commercialization Agreement (as</w:t>
      </w:r>
      <w:r>
        <w:rPr>
          <w:color w:val="000000"/>
        </w:rPr>
        <w:t xml:space="preserve"> </w:t>
      </w:r>
      <w:r>
        <w:rPr>
          <w:rFonts w:ascii="Times New Roman;sans-serif" w:hAnsi="Times New Roman;sans-serif"/>
          <w:b w:val="false"/>
          <w:color w:val="000000"/>
          <w:sz w:val="20"/>
        </w:rPr>
        <w:t>amended, supplemented or otherwise modified, the “Shionogi Agreement”), an exclusive license agreement with Shionogi to develop and commercialize peramivir in Japan for the treatment of seasonal and potentially life-threatening human influenza. In October 2008, we and Shionogi amended the Shionogi Agreement to expand the territory covered by the agreement to include Taiwan. The Shionogi Agreement provided for an upfront payment in exchange for the rights to injectable formulations of peramivir in Japan, development milestone payments (which have all been paid), commercial milestone payments, and royalty payments on product sales of peramivir, in accordance with the terms of the Shionogi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the Shionogi Agreement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Shionogi Royalty Financing and Non-Recourse Notes Payable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On March 9, 2011, we completed a $30.0 million financing transaction to</w:t>
      </w:r>
      <w:r>
        <w:rPr>
          <w:color w:val="000000"/>
        </w:rPr>
        <w:t xml:space="preserve"> </w:t>
      </w:r>
      <w:r>
        <w:rPr>
          <w:rFonts w:ascii="Times New Roman;sans-serif" w:hAnsi="Times New Roman;sans-serif"/>
          <w:b w:val="false"/>
          <w:color w:val="000000"/>
          <w:sz w:val="20"/>
        </w:rPr>
        <w:t>monetize certain future royalty and milestone payments under the Shionogi Agreement. Pursuant to the transaction, JPR Royalty Sub LLC, a wholly-owned subsidiary of the Company (“Royalty Sub”), issued $30.0 million in aggregate principal amount of its PhaRMA Senior Secured 14.0% Notes due 2020 (the “PhaRMA Notes”) in a private placement to institutional investors. The PhaRMA Notes were issued under an indenture, dated as of March 9, 2011 (the “Indenture”), by and between Royalty Sub and U.S. Bank National Association, as Trustee. We received net proceeds of $22.7 million from this transaction.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and interest on the PhaRMA Notes are payable from, and are secured by the rights to royalty and milestone payments under the Shionogi Agreement, which were transferred by us to Royalty Sub in 2011. Royalty Sub’s obligations to pay principal and interest on the PhaRMA Notes are obligations solely of Royalty Sub and are without recourse to any other person, including the Company, except to the extent of our pledge of our equity interests in Royalty Sub in support of the PhaRMA Notes.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2014, Royalty Sub was unable to pay the full amount of interest payable in September 2013 by the next succeeding payment date for the PhaRMA Notes, which was September 1, 2014. This inability constituted an event of default under the terms of the Indenture. As of December 31, 2023, the PhaRMA Notes remained in default. We wrote off the balance due under the PhaRMA Notes to other income as a debt extinguishment as of December 31, 2021. See “Note 8—Royalty Financing Obligations—RAPIACTA—Non-Recourse Notes Payable—Debt Extinguishment” in the Notes to Consolidated Financial Statements in Part II, Item 8 of this report for additional information about the write-off.</w:t>
      </w:r>
    </w:p>
    <w:p>
      <w:pPr>
        <w:pStyle w:val="TextBody"/>
        <w:bidi w:val="0"/>
        <w:spacing w:lineRule="auto" w:line="288" w:before="240" w:after="283"/>
        <w:jc w:val="left"/>
        <w:rPr/>
      </w:pPr>
      <w:r>
        <w:rPr>
          <w:rFonts w:ascii="Times New Roman;sans-serif" w:hAnsi="Times New Roman;sans-serif"/>
          <w:b w:val="false"/>
          <w:i/>
          <w:color w:val="000000"/>
          <w:sz w:val="20"/>
        </w:rPr>
        <w:t>Green Cross Corporation (</w:t>
      </w:r>
      <w:r>
        <w:rPr>
          <w:color w:val="000000"/>
        </w:rPr>
        <w:t>“</w:t>
      </w:r>
      <w:r>
        <w:rPr>
          <w:rFonts w:ascii="Times New Roman;sans-serif" w:hAnsi="Times New Roman;sans-serif"/>
          <w:b w:val="false"/>
          <w:i/>
          <w:color w:val="000000"/>
          <w:sz w:val="20"/>
        </w:rPr>
        <w:t>Green Cross</w:t>
      </w:r>
      <w:r>
        <w:rPr>
          <w:color w:val="000000"/>
        </w:rPr>
        <w:t>”</w:t>
      </w:r>
      <w:r>
        <w:rPr>
          <w:rFonts w:ascii="Times New Roman;sans-serif" w:hAnsi="Times New Roman;sans-serif"/>
          <w:b w:val="false"/>
          <w:i/>
          <w:color w:val="000000"/>
          <w:sz w:val="20"/>
        </w:rPr>
        <w: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June 2006, we entered into an agreement with Green Cross to develop and commercialize peramivir</w:t>
      </w:r>
      <w:r>
        <w:rPr>
          <w:color w:val="000000"/>
        </w:rPr>
        <w:t xml:space="preserve"> </w:t>
      </w:r>
      <w:r>
        <w:rPr>
          <w:rFonts w:ascii="Times New Roman;sans-serif" w:hAnsi="Times New Roman;sans-serif"/>
          <w:b w:val="false"/>
          <w:color w:val="000000"/>
          <w:sz w:val="20"/>
        </w:rPr>
        <w:t>in Korea. Under the terms of the agreement, Green Cross is responsible for all development, regulatory, and commercialization costs in Korea and we are entitled to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the agreement in the event of an uncured material breach. In the event of termination, all rights, data, materials, products, and other information would be transferred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Additional Collaborations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contracts with the U.S. Government, including the procurement contract with HHS for up to 50,000 doses of RAPIVAB over a five-year period to supply the Strategic National Stockpile for use in a public health emergency and contracts with the National Institute of Allergy and Infectious Diseases within the HHS (“NIAID/HHS”) and BARDA/HHS for the development of galidesivir, as more fully discussed in “Note 15—Collaborative and Other Relationships” in the Notes to Consolidated Financial Statements in Part II, Item 8 of this report. As of December 31, 2022, we had delivered a total of 49,980 RAPIVAB doses of the 50,000 RAPIVAB doses available under the procurement contract, effectively completing the contract with HHS, and all of our government funding for galidesivir has expired.</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We also have non-material license agreements with certain third parties, such as Albert Einstein College of Medicine of Yeshiva University (“AECOM”), Industrial Research, Ltd. (“IRL”), and the University of Alabama at Birmingham (“UAB”), which require that we make certain payments related to development of the product candidates covered by these agreements, net sales on any resulting product made by us, and annual license fees. We licensed a series of potent inhibitors of purine nucleoside phosphorylase (“PNP”) from AECOM and IRL, as well as an exclusive worldwide license of galidesivir for any antiviral use, and we have agreements with UAB for influenza neuraminidase and complement</w:t>
      </w:r>
      <w:r>
        <w:rPr>
          <w:color w:val="000000"/>
        </w:rPr>
        <w:t xml:space="preserve"> </w:t>
      </w:r>
      <w:r>
        <w:rPr>
          <w:rFonts w:ascii="Times New Roman;sans-serif" w:hAnsi="Times New Roman;sans-serif"/>
          <w:b w:val="false"/>
          <w:color w:val="000000"/>
          <w:sz w:val="20"/>
        </w:rPr>
        <w:t>inhibitors. There is currently no activity between us and UAB on these agreements, but when we license this technology, such as in the case of the Shionogi and Green Cross agreements, or commercialize products related to these programs, we will owe sublicense fees or royalties on amounts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under “Products and Product Candidates” and in “Note 15—Collaborative and Other Relationships” in the Notes to Consolidated Financial Statements in Part II, Item 8 of this report, we entered into the Clearside Agreement to develop our investigational plasma kallikrein inhibitor, avoralstat, with Clearside’s SCS Microinjector® to deliver avoralstat to the back of the eye through the suprachoroidal space to treat patients with DME.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Patents and Proprietary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 and product candidates.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been issued approximately 39 U.S. patents that expire between 2027 and 2039 and that relate to our kallikrein inhibitor compounds, neuraminidase inhibitor compounds, broad-spectrum antiviral (“BSAV”) compounds, PNP inhibitor compounds, and complement-mediated disease program compounds. We have licensed a number of compounds protected by certain composition of matter patents from AECOM and IRL, totaling two additional U.S. patents that expire between 2024 and 2029. Additionally, we have approximately 28 Patent Cooperation Treaty or U.S. patent applications pending related to kallikrein inhibitor compounds, neuraminidase inhibitor compounds, BSAV compounds, PNP inhibitor compounds, KLK5 program compounds, and complement-mediated disease program compounds.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method of use patents. The enforceability of these patents varies from jurisdiction to jurisdiction and may not be allowed or enforceable in some territories where we may seek approval. We may not have the funds to continue patent prosecution or to defend all of our existing patents in our current patent estate and may selectively abandon patents or patent families worldwide or in certain territories.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 Our commercial potential could also be reduced or eliminated if our competitors develop and commercialize products that are safer, more effective, have fewer or less severe side effects, are more convenient or are less expensive than products that we may develop. Any of these competitive factors may impact our decisions with respect to our products, product candidates and early-stage discovery programs. See “Risk Factors—Risks Relating to Our Business—Risks Relating to Competing in our Industry” in Part I, Item 1A of this report for further discussion of these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compete successfully, we must develop proprietary positions in patented drugs for therapeutic markets that have not been satisfactorily addressed by conventional research strategies and, in the process, expand our expertise in structure-based drug design. Our product candidates, even if successfully tested and developed, may not be adopted by physicians over other products and may not offer economically feasible alternatives to other therapies.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HAE</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HAE is an autosomal dominant disease characterized by painful, unpredictable, recurrent attacks of inflammation affecting the hands, feet,</w:t>
      </w:r>
      <w:r>
        <w:rPr>
          <w:color w:val="000000"/>
        </w:rPr>
        <w:t xml:space="preserve"> </w:t>
      </w:r>
      <w:r>
        <w:rPr>
          <w:rFonts w:ascii="Times New Roman;sans-serif" w:hAnsi="Times New Roman;sans-serif"/>
          <w:b w:val="false"/>
          <w:color w:val="000000"/>
          <w:sz w:val="20"/>
        </w:rPr>
        <w:t>face, abdomen, urogenital tract, and the larynx. The inflammation can be disfiguring, debilitating, or in the case of laryngeal attacks, life-threatening. Prevalence for HAE is uncertain but is estimated to be approximately 1 case per 33,000 to 67,000 persons without known differences among ethnic groups and is caused by deficient (Type I) or dysfunctional (Type II) levels of C1-Inhibitor (“C1-INH”), a naturally occurring molecule that is known to inhibit kallikrein, bradykinin, and other serine proteases in the blood. If left untreated, HAE can result in a mortality rate as high as 50% primarily due to upper airway obstruction. There are several licensed therapies for HAE, including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C1-INH replacement therapy is available as an acute therapy (Berinert®) and as a prophylactic therapy (Haegarda® and Cinryze®). These therapies are dosed subcutaneously and intravenously. Recombinant C1-INH (Ruconest®) is also available as an acute therapy.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Kallikrein Inhibitors — Kalbitor® (ecallantide) is a specific recombinant plasma kallikrein inhibitor that is dosed subcutaneously by healthcare providers to treat acute HAE attacks. Takhzyro® (lanadelumab-flyo) is a monoclonal antibody approved for prophylaxis of HAE attacks and can be self-administered as a subcutaneous injection.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Bradykinin receptor antagonist — Firazyr® (icatibant) and generic icatibant are indicated for the treatment of acute attacks and are administered by subcutaneous administration.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medications — Prophylactic administration of synthetic attenuated androgens (generically available as danazol or stanozolol) has been 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aware of a number of HAE therapies in clinical development that, if approved, may compete with ORLADEYO. These include:</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553"/>
        <w:gridCol w:w="469"/>
        <w:gridCol w:w="474"/>
        <w:gridCol w:w="109"/>
        <w:gridCol w:w="109"/>
        <w:gridCol w:w="109"/>
        <w:gridCol w:w="535"/>
        <w:gridCol w:w="493"/>
        <w:gridCol w:w="495"/>
        <w:gridCol w:w="109"/>
        <w:gridCol w:w="109"/>
        <w:gridCol w:w="109"/>
        <w:gridCol w:w="574"/>
        <w:gridCol w:w="574"/>
        <w:gridCol w:w="576"/>
        <w:gridCol w:w="109"/>
        <w:gridCol w:w="109"/>
        <w:gridCol w:w="109"/>
        <w:gridCol w:w="471"/>
        <w:gridCol w:w="471"/>
        <w:gridCol w:w="425"/>
        <w:gridCol w:w="109"/>
        <w:gridCol w:w="109"/>
        <w:gridCol w:w="109"/>
        <w:gridCol w:w="506"/>
        <w:gridCol w:w="430"/>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Mechanism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Route of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Trial Phase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Role in Therapy</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KalVista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Sebetralstat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Kallikrein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Acute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Pharvaris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PHA121</w:t>
              <w:br/>
              <w:t>(PHVS416/PHVS719)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B2 receptor antagonist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Acute and Prophylaxis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Attune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ATN-249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Kallikrein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I/Potentially Inactive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Garadacimab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Anti-factor XII 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Prophylaxis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Ionis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Donidalorsen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Prekallikrien Antisense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Prophylaxis</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Astria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STAR-0215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Kallikrein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Ib/II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Prophylaxis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ADARx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ADX-324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siRNA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Prophylaxis</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Intellia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NTLA-2002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Gene Editing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Curative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BioMarin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BMN-331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Gene Therapy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Curative</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Complement-Mediated Diseases</w:t>
      </w:r>
    </w:p>
    <w:p>
      <w:pPr>
        <w:pStyle w:val="TextBody"/>
        <w:bidi w:val="0"/>
        <w:spacing w:lineRule="auto" w:line="288" w:before="240" w:after="283"/>
        <w:ind w:left="0" w:right="0" w:firstLine="468"/>
        <w:jc w:val="left"/>
        <w:rPr/>
      </w:pPr>
      <w:r>
        <w:rPr>
          <w:rFonts w:ascii="Times New Roman;sans-serif" w:hAnsi="Times New Roman;sans-serif"/>
          <w:b w:val="false"/>
          <w:color w:val="000000"/>
          <w:sz w:val="20"/>
        </w:rPr>
        <w:t>Several rare diseases are known to be mediated by defects of the complement system, including, but not limited to, PNH, atypical hemolytic uremic syndrome (“aHUS”), complement 3 glomerulopathy (“C3G”), IgAN, and myasthenia gravis. Alexion’s (part of AstraZeneca Rare Disease) Soliris® (eculizumab) is a C5 inhibitor approved for PNH, aHUS, myasthenia gravis, and neuromyelitis optica spectrum disorder. Soliris had global sales of over $3.1 billion in 2023. Alexion also received FDA approval for Ultomiris® (ravulizumab), a longer-acting C5 inhibitor, as a treatment for PNH in late 2018, aHUS in late 2019, and myasthenia gravis in 2022. Global sales for Ultomiris were over $2.6 billion in 2023. Apellis Pharmaceuticals, Inc.’s Empaveli®</w:t>
      </w:r>
      <w:r>
        <w:rPr>
          <w:color w:val="000000"/>
        </w:rPr>
        <w:t xml:space="preserve"> </w:t>
      </w:r>
      <w:r>
        <w:rPr>
          <w:rFonts w:ascii="Times New Roman;sans-serif" w:hAnsi="Times New Roman;sans-serif"/>
          <w:b w:val="false"/>
          <w:color w:val="000000"/>
          <w:sz w:val="20"/>
        </w:rPr>
        <w:t>is a C3 inhibitor approved for PNH in the United States and Europe in 2021.</w:t>
      </w:r>
    </w:p>
    <w:p>
      <w:pPr>
        <w:pStyle w:val="TextBody"/>
        <w:bidi w:val="0"/>
        <w:spacing w:lineRule="auto" w:line="288" w:before="240" w:after="283"/>
        <w:ind w:left="0" w:right="0" w:firstLine="468"/>
        <w:jc w:val="left"/>
        <w:rPr>
          <w:rFonts w:ascii="Times New Roman;sans-serif" w:hAnsi="Times New Roman;sans-serif"/>
          <w:b w:val="false"/>
          <w:color w:val="000000"/>
          <w:sz w:val="20"/>
        </w:rPr>
      </w:pPr>
      <w:r>
        <w:rPr>
          <w:rFonts w:ascii="Times New Roman;sans-serif" w:hAnsi="Times New Roman;sans-serif"/>
          <w:b w:val="false"/>
          <w:color w:val="000000"/>
          <w:sz w:val="20"/>
        </w:rPr>
        <w:t>We are aware of a number of complement pathway-based products in development, which include:</w:t>
      </w:r>
    </w:p>
    <w:tbl>
      <w:tblPr>
        <w:tblW w:w="10205" w:type="dxa"/>
        <w:jc w:val="left"/>
        <w:tblInd w:w="0" w:type="dxa"/>
        <w:tblLayout w:type="fixed"/>
        <w:tblCellMar>
          <w:top w:w="28" w:type="dxa"/>
          <w:left w:w="28" w:type="dxa"/>
          <w:bottom w:w="28" w:type="dxa"/>
          <w:right w:w="28" w:type="dxa"/>
        </w:tblCellMar>
      </w:tblPr>
      <w:tblGrid>
        <w:gridCol w:w="406"/>
        <w:gridCol w:w="358"/>
        <w:gridCol w:w="362"/>
        <w:gridCol w:w="109"/>
        <w:gridCol w:w="109"/>
        <w:gridCol w:w="109"/>
        <w:gridCol w:w="666"/>
        <w:gridCol w:w="627"/>
        <w:gridCol w:w="634"/>
        <w:gridCol w:w="109"/>
        <w:gridCol w:w="109"/>
        <w:gridCol w:w="109"/>
        <w:gridCol w:w="530"/>
        <w:gridCol w:w="530"/>
        <w:gridCol w:w="531"/>
        <w:gridCol w:w="109"/>
        <w:gridCol w:w="109"/>
        <w:gridCol w:w="109"/>
        <w:gridCol w:w="755"/>
        <w:gridCol w:w="755"/>
        <w:gridCol w:w="757"/>
        <w:gridCol w:w="109"/>
        <w:gridCol w:w="109"/>
        <w:gridCol w:w="109"/>
        <w:gridCol w:w="596"/>
        <w:gridCol w:w="596"/>
        <w:gridCol w:w="794"/>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Mechanism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Route of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Trial Phase</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Apellis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Empaveli® (pegcetacoplan)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C3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Akari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Nomacopan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Roche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Crovalimab (RG6107)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 / 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(approved outside U.S.)</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Regeneron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Pozelimab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 / Subcutaneous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Omeros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Narsoplimab</w:t>
              <w:br/>
              <w:t>OMS906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MASP-2 Inhibitor</w:t>
              <w:br/>
              <w:t>MASP-3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 / Subcutaneous 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w:t>
              <w:br/>
              <w:t>I</w:t>
            </w:r>
          </w:p>
        </w:tc>
      </w:tr>
      <w:tr>
        <w:trPr/>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AstraZeneca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Danicopan (ALXN2040)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Factor D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Filed (approved outside U.S.) </w:t>
            </w:r>
          </w:p>
        </w:tc>
      </w:tr>
      <w:tr>
        <w:trPr/>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Gefurulimab (ALXN1720)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r>
      <w:tr>
        <w:trPr/>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Vemircopan (ALXN2050)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Factor D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Novartis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Fabhalta® (Iptacopan)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Factor B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Amgen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Tavneos® (avacopan)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C5aR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 / UCB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Zilbrysq® (Zilucoplan)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Approved</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Alnylam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Cemdisiran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C5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Subcutaneous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Amgen (Phase 3), Samsung (marketed in Europe and Japan as EPYSQLI®), and Isu Abxis are also in clinical trials developing biosimilars of eculizumab.</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diseases that are mediated by defects of the complement system, such as IgAN, may also have pathology that is mediated by other mechanisms. Products that are not inhibitors of the complement system, such as Tarpeyo (DR-budesonide) for IgAN, may change the treatment landscape and future competitive environment for our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Antivirals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pharmaceutical market for products that prevent or treat influenza is very competitive. Key competitive factors for RAPIVAB</w:t>
      </w:r>
      <w:r>
        <w:rPr>
          <w:color w:val="000000"/>
        </w:rPr>
        <w:t xml:space="preserve"> </w:t>
      </w:r>
      <w:r>
        <w:rPr>
          <w:rFonts w:ascii="Times New Roman;sans-serif" w:hAnsi="Times New Roman;sans-serif"/>
          <w:b w:val="false"/>
          <w:color w:val="000000"/>
          <w:sz w:val="20"/>
        </w:rPr>
        <w:t>(peramivir injection) include, among others, efficacy, ease of use, safety, price and cost-effectiveness, storage and handling requirements, and reimbursement. A number of products are currently available in the United States and/or other countries, including Japan, for the prevention or treatment of influenza, including seasonal flu vaccines, F. Hoffmann-La Roche Ltd.’s (“Roche”) TAMIFLU® (oseltamivir), generic oseltamivir, GlaxoSmithKline plc’s RELENZA®, Genentech and Shionogi’s XOFLUZA® and Daiichi Sankyo Co., Ltd.’s (“Daiichi”) INAVIR®. In addition, FUJIFILM Corporation’s favipiravir, a polymerase inhibitor, is approved in Japan.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Netherton Syndrome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Netherton syndrome is a rare, lifelong genetic disorder that often presents in neonates or infancy. The disease is caused by the deficiency of a natural inhibitor (SPINK5) of KLK5, a serine protease responsible for regulating skin shedding. While there is currently no approved treatment for Netherton syndrome, we are aware of a number of therapies in development for treatment that, if approved, may compete with BCX17725. In particular, Quoin Pharmaceuticals Ltd.’s QRX-003 currently in Phase III and Daiichi’s DS-2325a currently in Phase Ib/II are in clinical trials for the treatment of Netherton syndrome.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Diabetic Macular Edema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Clearside Agreement, we are developing our investigational plasma kallikrein inhibitor, avoralstat, with Clearside’s SCS Microinjector® to deliver avoralstat to the back of the eye through the suprachoroidal space to treat patients with DME. There are several approved anti-vascular endothelial growth factor (“anti-VEGF”) therapies available for the treatment of DME, including Roche’s VABYSMO® (faricimab-svoa) and Regeneron Pharmaceuticals, Inc.’s EYLEA® (aflibercept). In addition, we are aware of a number of products in development that would offer alternatives to anti-VEGF therapies, which could affect the competitive environment for our products. In particular, Rezolute Inc.’s oral plasma kallikrein inhibitor RZ-402 is currently in phase II for diabetic macular edema.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initiated our research and development activities in 1986. We have assembled a scientific research staff with expertise in a broad base of advanced research technologies, including protein biochemistry, X-ray crystallography, chemistry, and pharmacology. Our research facilities, located in Birmingham, Alabama, include protein biochemistry and organic synthesis laboratories, testing facilities, X-ray crystallography, computer and graphics equipment and facilities to make product candidates on a small scale for early-stage clinical trials.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extensive regulation by the FDA and foreign governments. These regulations include, among other things, regulations for the development, testing, manufacture, safety, efficacy, record-keeping, labeling, storage, approval, advertising, promotion, sale and distribution of pharmaceutical products. The regulatory review and approval process is lengthy, expensive, and uncertain. Before obtaining regulatory approvals for the commercial sale of any products, we or our partners must demonstrate that our product candidates are safe and effective for use in humans. The approval process takes many years, substantial expenses may be incurred, and significant time may be devoted to clinical development. Further, the duration of the approval process may be exacerbated by global health concerns or other considerations that could prevent regulatory authorities from conducting their inspections, reviews, or other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activities that could significantly impact the ability of such authorities to timely review and process our regulatory submissions.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the FDA or foreign regulatory authorities approve a product candidate, the approval may limit the indicated uses for the product candidate, impose other restrictions on the product candidate, and/or may require post-approval studies that could impair the commercial viability of the product candidate. Even upon any approval to market our potential products, whether in the United States or internationally, we will continue to be subject to extensive regulatory requirements. These requirements are wide ranging and govern, among other things: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drug experience reporting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promotion;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product manufacturing, including good manufacturing practice requirements;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changes or modifications.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government regulations are a significant factor in the production and marketing of any pharmaceutical products that we develop. Failure to comply with applicable FDA and other regulatory requirements at any stage during the regulatory process may subject us to sanctions,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recalls or seizures;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penalties;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refusal of the FDA or any foreign regulatory authority to review pending market approval applications or supplements to approval applications;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civil penalties;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withdrawals of previously approved marketing applications;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criminal prosecutions.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policies of the FDA and foreign regulatory authorities may change, and additional government regulations may be enacted that could prevent or delay regulatory approval of our product candidates or approval of new indications for our existing products. We cannot predict the likelihood, nature, or extent of adverse governmental regulation that might arise from future legislative or administrative action, either in the United States or abroad.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FDA Regulation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Before testing potential product candidates in humans, we carry out laboratory and animal studies to determine safety and biological activity. After completing preclinical trials, we must file an investigational new drug application (“IND”), including a proposal to begin clinical trials, with the FDA. Thirty days after filing an IND, a phase 1 human clinical trial can start, unless the FDA places a hold on the trial.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to support a new drug application (“NDA”) are typically conducted in three sequential phases, but the phases may overlap.</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Phase 1 — During phase 1, which involves the initial introduction of the drug into healthy volunteers, the drug is tested to assess metabolism, pharmacokinetic, and pharmacological actions and safety, including side effects associated with increasing doses.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Phase 2 — Phase 2 usually involves trials in a limited patient population to: (1) assess the efficacy of the drug in specific, targeted indications; (2) assess dosage tolerance and optimal dosage; and (3) identify possible adverse effects and safety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Phase 3 — If a compound is found to be potentially effective and to have an acceptable safety profile in phase 2 evaluations, phase 3 clinical trials, also sometimes called pivotal studies, major studies, or advanced clinical trials, are typically undertaken to further demonstrate clinical efficacy and to further test for safety within an expanded patient population at geographically dispersed clinical trial 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Initiation and completion of the clinical trial phases are dependent upon many factors, including things that are beyond our control. For example, the clinical trials cannot begin at a particular site until that site receives approval from its Institutional Review Board (“IRB”), which reviews the protocol and related documents. This process can take several weeks to several months. In addition, clinical trials are dependent on patient enrollment, but the rate at which patients enroll in a study depends 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willingness of investigators to participate in a study;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ability of clinical sites to obtain approval from their IRB;</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existing or other experimental drugs for the disease we intend to treat;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willingness of patients to participate;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patients meeting the eligibility criteria.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planned patient enrollment may result in increased expense and longer development timelines. 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Good clinical practice standards are required for clinical studies regardless of the location of the study.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FDA requires that at least two adequate and well-controlled clinical trials be conducted. After successful completion of the required clinical testing, generally an NDA is submitted. Upon receipt of the NDA,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may refer NDAs for new molecular entities to an appropriate advisory committee for review and evaluation in regard to providing a recommendation as to whether the application should be approved. The FDA is not bound to follow the recommendation of an advisory committee.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a “complete response letter.” A complete response letter will state that the FDA cannot approve the NDA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could be subsequently cited. An applicant receiving a complete response letter is permitted to resubmit the NDA addressing the identified deficiencies (in which case a new two- or six-month review cycle will begin), or withdraw the NDA. The FDA may consider a failure to take action within one year of a complete response letter to be a request to withdraw, unless the applicant has requested an extension of time in which to resubmit the NDA. If the FDA approves an NDA, the marketing of the product will be limited to the particular disease states and conditions of use that are described in the product label. The FDA strictly regulates marketing, labeling, advertising, and promotion of products that are placed on the market.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Post-Approval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Approved drugs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For example, 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After approval, most changes to the approved product, such as adding new indications or other labeling claims and some manufacturing and supplier changes, are subject to prior FDA review and approval. The FDA may impose a number of post-approval requirements as a condition of approval of an NDA. For example, the FDA may require post-marketing testing, including phase 4 clinical trials, and surveillance programs to further assess and monitor the product’s safety and effectiveness after commercialization.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and all of our contract manufacturers are also required to comply with the applicable FDA current Good Manufacturing Practice (“cGMP”) regulations during clinical development and to ensure that the product can be consistently manufactured to meet the specifications submitted in an NDA. The cGMP regulations include requirements relating to product quality,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for distribution into the United States are also subject to inspection by the FDA. Additionally, failure to comply with local regulatory requirements could affect production and availability of product in relevant markets.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Orphan Drugs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grant orphan drug designation to drugs intended to treat a rare disease or condition, which is generally a disease or condition that affects fewer than 200,000 individuals in the United States. Orphan drug designation, if sought,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with FDA orphan drug designation for a particular active ingredient to receive FDA approval of the designated drug for the disease indication for which it has such designation is entitled to a seven-year exclusive marketing period (“orphan drug exclusivity”) in the United States for that product, for that indication. During the seven-year period, the FDA may not finally approve any other applications to market the same drug for the same disease, except in limited circumstances, such as a showing of clinical superiority to the product with orphan drug exclusivity or if the license holder cannot supply sufficient quantities of the product. Orphan drug exclusivity does not prevent the FDA from approving a different drug for the same disease or condition, or the same drug for a different disease or condition, provided that the sponsor has conducted appropriate clinical trials required for approval. Among the other benefits of orphan drug designation are tax credits for certain research and a waiver of the NDA application user fee for the orphan indication.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FDA’s interpretation of the scope of orphan drug exclusivity may change. In light of recent litigation and FDA announcements, the scope of orphan drug exclusivity and other issues relating to the FDA’s implementation of the Orphan Drug Act with respect to both previously approved and future products continues to evolve and may be the subject of further litigation or legislative action.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Fast Track Designation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Fast Track program, the sponsor of an IND may request the FDA to designate the drug candidate as a Fast Track drug if it is intended to treat a serious or life-threatening condition and data demonstrate its potential to fulfill an unmet medical need. The FDA must determine if the drug candidate qualifies for Fast Track designation within 60 days of receipt of the sponsor’s request. Once the FDA designates a drug as a Fast Track candidate, it is required to facilitate the development and expedite the review of that drug by providing more frequent communication with, and guidance to, the sponsor. The key benefits of Fast Track Designation are the eligibility for priority review, rolling review (submission of portions of an application before the complete marketing application is submitted), and accelerated approval, if relevant criteria are met.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other benefits, such as greater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review period as specified under the Prescription Drug User Fee Act for filing and reviewing an application does not begin until the last section of the NDA has been submitted. Additionally, the Fast Track designation may be withdrawn by the FDA if the FDA believes that the designation is no longer supported by data emerging in the clinical trial process.</w:t>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Breakthrough Therapy Designation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the FDA will provide more intensive guidance on the drug development program and expedite its review.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Abbreviated New Drug Applications for Generic Drugs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In 1984, with passage of the Drug Price Competition and Patent Term Restoration Act of 1984 (commonly referred to as the “Hatch-Waxman Amendments”) amending the </w:t>
      </w:r>
      <w:r>
        <w:rPr>
          <w:rFonts w:ascii="Times New Roman;sans-serif" w:hAnsi="Times New Roman;sans-serif"/>
          <w:b w:val="false"/>
          <w:color w:val="000000"/>
          <w:sz w:val="20"/>
          <w:shd w:fill="FFFFFF" w:val="clear"/>
        </w:rPr>
        <w:t>Federal Food, Drug, and Cosmetic Act (“</w:t>
      </w:r>
      <w:r>
        <w:rPr>
          <w:rFonts w:ascii="Times New Roman;sans-serif" w:hAnsi="Times New Roman;sans-serif"/>
          <w:b w:val="false"/>
          <w:color w:val="000000"/>
          <w:sz w:val="20"/>
        </w:rPr>
        <w:t xml:space="preserve">FDCA”), Congress authorized the FDA to approve generic drugs that are the same as drugs previously approved by the FDA under the NDA provisions of the statute. To obtain approval of a generic drug, an applicant must submit an abbreviated new drug application (“ANDA”) to the agency. Upon approval of an ANDA, the FDA indicates that the generic product is “therapeutically equivalent” to the drug product previously approved under an NDA, known as the reference listed drug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Hatch-Waxman Amendments, the FDA may not approve an ANDA until any applicable period of nonpatent exclusivity for the RLD has expired. The FDCA provides a period of five years of data exclusivity for NDAs containing a new chemical entity. In cases where such exclusivity has been granted, an ANDA may not be filed with the FDA until the expiration of five years unless the submission is accompanied by a Paragraph IV certification (discussed further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Hatch-Waxman Patent Certification and the 30 Month Stay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approval of an NDA or a supplement thereto, NDA sponsors are required to list with the FDA each patent with claims that cover the applicant’s product or a method of using the product. When an ANDA applicant files its application with the FDA, the applicant is required to certify to the FDA concerning any patents listed for the reference product in the Orange Book, except for patents covering methods of use for which the ANDA applicant is not seeking approval.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505(b)(2) New Drug Applications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alternative path to FDA approval for modifications to formulations or uses of products previously approved by the FDA pursuant to an NDA, an applicant may submit an NDA under Section 505(b)(2) of the FDCA.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Pediatric Studies and Exclusivity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Patent Term Restoration and Extension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Regulation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are subject to a variety of foreign regulatory requirements governing human clinical trials and marketing approval, commercial sales, and distribution of drugs. The foreign regulatory approval process includes all of the risks associated with FDA approval set forth above, as well as additional country-specific regulations.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Some countries, such as certain countries in Latin America and in the Middle East, have review processes and data requirements similar to those of the European Union, and, in some cases, can rely on prior marketing approval from U.S. or EU regulatory authorities. The regulatory process in these countries may include manufacturing/testing facility inspections, testing of drug product upon importation and other domestic requirements. Certain Asian countries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European Union.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requirements governing the conduct of clinical trials, product licensing, pricing, and reimbursement vary greatly from country to country, some of which are discussed below, and may also include post-approval commitments.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European Union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various phases of preclinical and clinical research in the European Union are subject to significant regulatory controls. Pursuant to the Clinical Trials Directive 2001/20/EC, as amended (the “Clinical Trials Directive”), a system for the approval of clinical trials in the European Union has been implemented through national legislation of the member states. Under this system, approval must be obtained from the national competent authority of each EU member state in which a clinical trial is planned to be conducted. A clinical trial application (“CTA”) is submitted, which must be supported by an investigational medicinal product dossier and further supporting information prescribed by the Clinical Trials Directive and other applicable guidance documents, including, but not limited to, the clinical trial protocol. Further, a clinical trial may only be started after an independent ethics committee has issued a favorable opinion on the CTA in that country.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2014, the European Union adopted a new Clinical Trials Regulation (EU) No 536/2014 (the “Regulation”), which replaced the Clinical Trials Directive. The Regulation came into effect on January 31, 2022 with a three-year transition period in which clinical trial sponsors will be able to choose among different submission pathways. The Regulation, which is directly applicable in all EU member states, aims to simplify and streamline the approval of clinical trials in the European Union. For instance, the Regulation provides for a streamlined application procedure via a single entry point and strictly defined deadlines for the assessment of clinical trial applications.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import into the European Union of investigational medicinal products for use in clinical trials is subject to the holding of appropriate authorizations and must be carried out in accordance with cGMP.</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EU regulatory systems, we may submit marketing authorizations either under a centralized or decentralized procedure. The centralized procedure provides for the grant of a single marketing authorization that is valid for all EU member states. Under the centralized procedure, a single marketing authorization application is submitted to the Committee for Medicinal Products for Human Use of the European Medicines Agency (“EMA”), which then makes a recommendation to the European Commission (“EC”). The EC makes the final determination on whether to approve the application. The decentralized procedure provides for mutual recognition of national approval decisions, and the holder of a national marketing authorization may submit an application to the remaining member states. The decentralized procedure is only available for pharmaceutical products not falling within the mandatory scope of the centralized procedure.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United Kingdom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Kingdom formally left the European Union on January 31, 2020 (“Brexit”), and EU laws now only apply to the United Kingdom in respect of Northern Ireland as laid out in the Protocol on Ireland and Northern Ireland. The European Union and the United Kingdom have agreed on a trade and cooperation agreement (“TCA”) which includes provisions affecting the life sciences sector (including on customs and tariffs). There are some specific provisions concerning pharmaceuticals, including the mutual recognition of GMP and issued GMP documents. The TCA does not, however, contain wholesale mutual recognition of U.K. and EU pharmaceutical regulations and protect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 of the United Kingdom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 The Medicines and Medical Devices Act 2021 supplements the United Kingdom Medical Devices Regulations 2002, which are based on the EU Medical Devices Directive as amended to reflect the United Kingdom’s post-Brexit regulatory regime. Core aspects of the new regime are planned to come into force on July 1, 2025, with strengthened post-market surveillance proposals to be introduced in advance of such time.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Japan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Japanese regulatory system administered by the Japanese Pharmaceuticals and Medical Devices Agency (“PMDA”), pre-marketing approval and clinical studies are required for all pharmaceutical products. To obtain manufacturing/marketing approval, we must submit an application for approval to the Ministry of Health, Labor and Welfare (“MHLW”) with results of nonclinical and clinical studies to show the quality, efficacy, and safety of a new drug. A data compliance review, good Clinical Practices on-site inspection, cGMP audit, and detailed data review are undertaken by the PMDA. The application is then discussed by the committees of the Pharmaceutical Affairs and Food Sanitation Council (“PAFSC”). Based on the results of these reviews, the final decision on approval is made by the MHLW. In Japan, the National Health Insurance system maintains a Drug Price List specifying which pharmaceutical products are eligible for reimbursement, and the MHLW sets the prices of the products on this list. The price will be determined within 60 to 90 days following approval unless the applicant disagrees, which may result in extended pricing negotiations.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Japanese government has also promoted the use of generics, where available.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Fraud and Abuse and Related Regulatory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the federal physician sunshine act and certain similar physician payment and drug pricing transparency legislation in various states.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Reimbursement and Healthcare Reform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both the United States and other countries, sales and reimbursement of any approved products will depend, in part, on the extent to which the costs of such products will be covered by third-party payors, such as government health programs, commercial insurance and managed healthcare organizations. These third-party payors are increasingly challenging the prices charged for medical products and services and imposing controls to manage costs. The containment of healthcare costs has become a priority of federal and state governments, and the prices of drugs have been a focus in this effort. Governments have shown significant interest in implementing cost-containment programs, including price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on reimbursement, and requirements for substitution of generic products. Adoption of price controls and cost-containment measures, and adoption of more restrictive policies in jurisdictions with existing controls and measures, could limit our net revenue and results. In addition, there is significant uncertainty regarding the reimbursement status of newly approved healthcare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Adequate coverage and reimbursement in the United States and other countries is critical to the commercial success of approved products. Recently in the United States, there has been heightened governmental scrutiny over the manner in which manufacturers set prices for their marketed products, which has resulted in several Congressional inquiries and proposed bills designed, among other things, to reform government program reimbursement methodologies. In addition,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that establish pricing and reimbursement levels. Exclusion of a product from a formulary can lead to its sharply reduced usage in the third-party payor’s patient population. The process for obtaining coverage can be lengthy and costly, and it could take several months before a particular payor initially reviews a product and makes a decision with respect to coverage. For example, third-party payors may require cost-benefit analysis data in order to demonstrate the cost-effectiveness of a particular product.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ensuring adequate coverage and payment for drug products can have challenges. Pricing of prescription pharmaceuticals is subject to governmental control in many countries. Pricing negotiations with governmental authorities can extend well beyond the receipt of regulatory marketing approval for a product and may require us to conduct an active comparator clinical trial to demonstrate the relative effectiveness of our therapeutic candidates or products to other available therapies to support our pricing, which could be expensive and result in delays in our commercialization efforts. Third-party payors are challenging the prices charged for medical products and services, and many third-party payors limit reimbursement for newly-approved healthcare products. Recent budgetary pressures in many EU countries are also causing governments to consider or implement various cost-containment measures, including reference price grouping,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Inflation Reduction Act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(2) starting in 2024, Medicare Part D be redesigned to cap beneficiary out-of-pocket costs and, beginning January 1, 2025, federal reinsurance be reduced in the catastrophic phase (resulting in a shift and increase of such costs to Part D plans and manufacturers, including by requiring manufacturer discounts on certain drugs); and (3) beginning October 1, 2022, manufacturers owe rebates on drugs reimbursed under Medicare Part D if price increases outpace inflation, and beginning January 1, 2023, manufacturers owe rebates on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reimbursed under Medicare Part B if price increases outpace inflation. Although the IRA has passed, the environment remains dynamic, and the presidential administration and Congress are continuing to consider drug pricing reforms. Other potential policies cover a wide range of areas, including allowing the importation of drugs from other countries; increasing transparency in drug pricing; and using third-party value assessments to determine drug prices.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continuing efforts of the government, insurance companies, managed care organizations and other payors of healthcare services to contain or reduce costs of healthcare could result in decreased net revenues from our pharmaceutical products and decreased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federal and state laws is difficult and time consuming, and companies that do not comply with these laws can face severe civil penalties.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Data Privacy and Security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may be subject to U.S. federal and state health information privacy, security, data breach notification, and consumer protection laws (e.g., Section 5 of the Federal Trade Commission Act) which may govern the collection, use, disclosure, and protection of health-related and other personal data. State laws may be more stringent, broader in scope, or offer greater individual rights with respect to protected health information (“PHI”), than the federal Health Insurance Portability and Accountability Act of 1996, as amended, and its implementing regulations, which are collectively referred to as HIPAA, and state laws may differ from each other, which may complicate compliance efforts. Entities that are found to be in violation of HIPAA or that enter into a resolution agreement with the HHS to settle actual or potential allegations of HIPAA noncompliance may be subject to significant civil, criminal, and administrative fines and penalties and/or additional reporting and oversight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state laws govern the privacy of personal data in specified circumstances. For example, in California the California Consumer Privacy Act of 2018, as amended by the California Privacy Rights Act of 2020 (together, “CCPA”) establishes a privacy framework for covered businesses by creating an expanded definition of personal data, establishing data privacy rights for consumers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While clinical trial data and information governed by HIPAA are currently exempt from the CCPA, other personal data may be covered. Several other states, such as Virginia, Colorado and Utah, have also enacted comprehensive privacy laws, and it is possible that additional states will follow suit.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and regulations may govern data privacy and security. For example, EU member states, the United Kingdom, Switzerland, and other jurisdictions have adopted data protection laws and regulations, which impose significant compliance obligations. In the European Economic Area (“EEA”), the collection and use of personal data, including clinical trial data, is governed by the provisions of the General Data Protection Regulation (“GDPR”). The GDPR, together with national legislation, regulations, and guidelines of the states in the EEA, the United Kingdom, and Switzerland governing the processing of personal data, impose strict obligations and restrictions on the ability to collect, analyze, and transfer personal data, including health data from clinical trials and adverse event reporting. The GDPR also imposes additional special protections for “special category data,” which includes health, biometric and genetic information of data subjects located in the EEA.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data, allow them to request deletion of personal data in certain circumstances, and provide the individual with an express right to seek legal remedies in the event the individual believes his or her rights have been violated.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GDPR and similar legislation, such as the United Kingdom GDPR and Switzerland’s Federal Data Protection Act, impose strict rules on the transfer of personal data out of the EEA, the United Kingdom, Switzerland, and other countries to the United States or other regions that have not been deemed to offer “adequate” privacy protections. These obligations and regulations also concern security breach notifications, security and confidentiality of the personal data, and imposition of substantial potential fines for breaches of the data protection obligations. Local data protection authorities may interpret the GDPR and national laws differently and impose additional requirements, which add to the complexity of processing personal data in or from the EEA, the United Kingdom, or Switzerland. Guidance on implementation and compliance practices are often updated or otherwise revised.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EU Clinical Trials Regulation also imposes new obligations to make publicly available certain information generated from clinical trials. Only very limited information is exempted from disclosure, i.e. commercially confidential information (which is construed increasingly narrowly) and protected personal data. It may be possible for others to use this data (for example, competitors who may use this data in their own research and development programs) once this data is in the public domain.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European privacy laws on electronic marketing and cookies. For example,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Anti-Corruption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U.S. Foreign Corrupt Practices Act (“FCPA”), which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or in EU member states, that restrict improper payments to public and private parties. Many countries have laws prohibiting these types of payments within the respective country. In addition to these anti-corruption laws, we are subject to import and export control laws, tariffs, trade barriers, economic sanctions, and regulatory limitations on our ability to operate in certain foreign markets.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Corporate Compliance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ensure compliance with applicable laws and regulations, our Chief Financial Officer, Chief Legal Officer, and Chief People Officer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FCPA; Nasdaq listing requirements; the regulations of the Financial Industry Regulatory Authority, the SEC, the FDA, and HHS; and applicable laws and regulations administered by foreign regulatory authorities, including those of the European Union, the United Kingdom, and Japan. Our standard operating procedures are designed to provide a framework for corporate governance in accordance with ethical standards and best legal practices.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we had approximately 536 employees, of whom approximately 197 employees were engaged in the research and development function of our operations, which we defined this year to include any employee included in research and development expenses for financial reporting purposes. Our research and development staff, many of whom hold Ph.D. or M.D. degrees, have diversified experience in biochemistry, pharmacology, X-ray crystallography,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synthetic organic chemistry, computational chemistry, medicinal chemistry, clinical development, quality assurance, and regulatory affairs.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successfully execute on our strategic initiatives is highly dependent upon our ability to recruit, retain, and reward our employees. We engage in targeted recruitment strategies to fill highly skilled positions. Our employees enjoy competitive salaries and benefits, as well as equity participation. Our compensation philosophy is designed to provide an appealing, competitive, and rewarding compensation program that encourages high personal and company performance, strong cultural and ethical behavior, and incentives aligned with stockholder interests.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providing a workplace that protects the health and well-being of our employees. All employees are required to abide by our Code of Conduct and Compliance Plan and health and safety parameters and to contribute to a positive, inclusive, and friendly company culture. Where we believe such arrangements can be effective, we have implemented flexible working arrangements, including work from home arrangements, for our employees. We consider our relations with our employees to be satisfactory.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Delaware corporation originally founded in 1986. Our corporate headquarters is located at 4505 Emperor Blvd., Suite 200, Durham, North Carolina 27703, and our corporate telephone number is (919) 859-1302. For more information about us, please visit our website at www.biocryst.com. The information on our website is not incorporated into this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our revenues, profits, net loss and total assets, in addition to other financial information, please refer to the Consolidated Financial Statements and Notes to Consolidated Financial Statements contained in Part II, Item 8 of this report. Financial information about revenues derived from countries outside the United States is included in Note 2 to the Consolidated Financial Statements contained in this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www.biocryst.com.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Conduct, which applies to all our employees as well as the members of our Board of Directors. Any amendment to, or waiver from, our Code of Conduct will be posted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hanging="1080"/>
        <w:jc w:val="left"/>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and Liquidity Risks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losses since our inception and may never be profitable.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achieved sustained profitability. Our expectations as to when we may achieve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and maintain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on our anticipated timeline, or at all, the market value of our common stock will likely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in the future. If we are unable to raise capital if and when needed, we may need to adjust our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sustained operating losses for the majority of our corporate history and expect that our total 2024 expenses will exceed our total 2024 revenues. We expect to continue to incur operating losses and negative cash flows unless and until revenues reach a level sufficient to support ongoing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able to achieve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“Management’s Discussion and Analysis of Financial Condition and Results of Operations—Liquidity and Capital Resources” in Part II, Item 7 of this report for additional information about our liquidity needs, capital requirements, potential funding alternatives, and adequacy of available funds.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Drug Development and Commercialization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w:t>
      </w:r>
      <w:r>
        <w:rPr>
          <w:color w:val="000000"/>
        </w:rPr>
        <w:t xml:space="preserve"> </w:t>
      </w:r>
      <w:r>
        <w:rPr>
          <w:rFonts w:ascii="Times New Roman;sans-serif" w:hAnsi="Times New Roman;sans-serif"/>
          <w:b w:val="false"/>
          <w:color w:val="000000"/>
          <w:sz w:val="20"/>
        </w:rPr>
        <w:t>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(inclusive of BCX10013) and our other rare disease product candidates (including the additional therapies in our pipeline described in “Management’s Discussion and Analysis of Financial Condition and Results of Operations—Overview—Recent Developments” in Part II, Item 7 of this report), could result in delays in or modifications to our trials or require the performance of additional unplanned trials. For example, dose-related observations in an ongoing BCX10013 nonclinical study reported in 2023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development plans for our product candidates, including our clinical trials (inclusive of BCX10013),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Undesirable or inconclusive data in our preclinical studies and clinical trials or side effects in humans could result in the FDA or foreign regulatory authorities (including, e.g., the EMA, the MHLW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complete the clinical development process successfully is dependent upon many factors,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clinical protocols or study procedures may not be adequately designed or followed by the investigators;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any global health pandemic, such as COVID-19, on one or more of the foregoing factors.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heavily upon third parties for many important stages of our product candidate development,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the starting materials and drug substance required to formulate our products and the product candidates to be used in our clinical trials, toxicology studies and any potential commercial product;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certain regulatory interactions outside of the United States.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market acceptance of our products, including ORLADEYO; our ability to raise additional capital if needed; our ability to secure partnerships with third parties for our product candidates when deemed advisable (such as for the potential out-licensing of the late-stage development and commercialization of BCX10013);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continue future operations, progress our drug discovery and development programs, and commercialize our current products and product candidates, we may be required to raise additional capital. Our ability to raise additional capital as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complement program for diseases of the complement system and other rare disease product candidates (including the additional therapies in our pipeline described in “Management’s Discussion and Analysis of Financial Condition and Results of Operations—Overview—Recent Developments” in Part II, Item 7 of this report),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“Risks Relating to Our Business—Financial and Liquidity Risks—We may need to raise additional capital in the future. If we are unable to raise capital if and when needed, we may need to adjust our operations” in this section and “Management’s Discussion and Analysis of Financial Condition and Results of Operations—Liquidity and Capital Resources” in Part II, Item 7 of this report for additional information about our liquidity risks and capital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a potential U.S. Government shutdown, the upcoming presidential election in the United States, geopolitical instability (including the Ukraine-Russia and Israel-Hamas conflicts or rising tensions between China and Taiwan), or public health emergencies such as the COVID-19 pandemic.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w:t>
      </w:r>
      <w:r>
        <w:rPr>
          <w:color w:val="000000"/>
        </w:rPr>
        <w:t xml:space="preserve"> </w:t>
      </w:r>
      <w:r>
        <w:rPr>
          <w:rFonts w:ascii="Times New Roman;sans-serif" w:hAnsi="Times New Roman;sans-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“Risk Factors—Risks Relating to Our Business—Legal and Regulatory Risks—We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various laws and regulations related to our products and product candidates, and if we or our partners do not comply with these laws and regulations, we could face substantial penalties.”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focus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w:t>
      </w:r>
      <w:r>
        <w:rPr>
          <w:color w:val="000000"/>
        </w:rPr>
        <w:t xml:space="preserve"> </w:t>
      </w:r>
      <w:r>
        <w:rPr>
          <w:rFonts w:ascii="Times New Roman;sans-serif" w:hAnsi="Times New Roman;sans-serif"/>
          <w:b w:val="false"/>
          <w:color w:val="000000"/>
          <w:sz w:val="20"/>
        </w:rPr>
        <w:t>See “Business—Government Regulation—FDA Regulation—Orphan Drugs” in Part I, Item 1 of this report.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“Business—Government Regulation—FDA Regulation—Abbreviated New Drug Applications for Generic Drugs” in Part I, Item 1 of this report.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may not approve an ANDA for a generic drug until any applicable period of non-patent exclusivity for the reference-listed drug has expired, as described in “Business—Government Regulation—FDA Regulation—Abbreviated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Applications for Generic Drugs” in Part I, Item 1 of this report,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product may become less competitive and our reputation may suffer.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contracts for collaborative arrangements may expire;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partners may choose to pursue alternative technologies, including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not devote sufficient capital or resources toward our products and product candidates;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not comply with applicable government regulatory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results of our partnership with Torii may not meet our current expectations.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 partnership agreement with Torii for ORLADEYO in Japan. Under the Torii Agreement,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and our partners’ ability to successfully commercialize our products is affected by the competitive landscape, which cannot be fully known at this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revenue from product sales will depend on our ability to successfully complete clinical studies, obtain regulatory approvals, and manufacture, market, distribute and commercialize our approved drugs;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public health emergencies or the outbreak of disease, such as the COVID-19 pandemic, on us or our partners.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impurities in our drug substance or products that could affect availability of product for our clinical trials or future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provide us with accurate or timely information regarding inventories,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termination or nonrenewal of a critical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compliance or cooperation with regulations and specifications or requests set forth by the FDA or other foreign regulatory agencies or local customs, particularly associated with ORLADEYO, BCX10013, peramivir and our early-stage compounds.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bidi w:val="0"/>
        <w:spacing w:lineRule="auto" w:line="288" w:before="240" w:after="283"/>
        <w:jc w:val="left"/>
        <w:rPr/>
      </w:pPr>
      <w:r>
        <w:rPr>
          <w:rFonts w:ascii="Times New Roman;sans-serif" w:hAnsi="Times New Roman;sans-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ans-serif" w:hAnsi="Times New Roman;sans-serif"/>
          <w:b/>
          <w:i/>
          <w:color w:val="000000"/>
          <w:sz w:val="20"/>
        </w:rPr>
        <w:t>Any potential revenue benefits to us, including in the form of milestone payments, royalties or other consideration are highly speculative.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and third-party payors may not provide sufficient coverage or reimbursement, which would negatively impact the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supply commercial material to our partners and our partners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Competing in Our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compete effectively, the demand for our products may be reduced.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drug development technologies;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small molecule or other classes of therapeutic agents.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Developments by others may render our products, product candidates, or technologies obsolete or noncompetitive.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this report for further discussion of our competitors, competitive products or programs, and the competitive conditions in these and other therapeutic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us, many of our competitors and potential competitors have substantially greater: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production facilities.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 and Regulatory Risks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partners’ activities related to approved products or, following their regulatory approval (if applicable), any of our product candidates under development, such as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operations with respect to our products that are subject to healthcare laws and regulations are found to be in violation of any of the healthcare fraud and abuse laws described above or in “Business—Government Regulation” in Part I, Item 1 of this report or any other governmental regulations that apply to us, we may be subject to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We are subject to new legislation, regulatory, and healthcare payor initiatives, including the PPACA, which made extensive changes to the delivery of healthcare in the United States, as discussed in “Business—Government Regulation” in Part I, Item 1 of this report.</w:t>
      </w:r>
      <w:r>
        <w:rPr>
          <w:color w:val="00FFFF"/>
        </w:rPr>
        <w:t xml:space="preserve"> </w:t>
      </w:r>
      <w:r>
        <w:rPr>
          <w:rFonts w:ascii="Times New Roman;sans-serif" w:hAnsi="Times New Roman;sans-serif"/>
          <w:b w:val="false"/>
          <w:color w:val="000000"/>
          <w:sz w:val="20"/>
        </w:rPr>
        <w:t>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For example, the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legal obligations at the federal, state, and local level related to privacy and data protection, as described in “Business—Government Regulation—Data Privacy and Security Laws” in Part I, Item 1 of this report. Compliance with stringent 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subject to the GDPR in the EEA and similar legislation in the United Kingdom and Switzerland. See “Business—Government Regulation—Data Privacy and Security Laws” in Part I, Item 1 of this report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Despite our efforts, our personnel or third parties on whom we rely may fail to comply with such data privacy and security obligations, which could negatively impact our business operations.</w:t>
      </w:r>
      <w:r>
        <w:rPr>
          <w:color w:val="000000"/>
        </w:rPr>
        <w:t xml:space="preserve"> </w:t>
      </w:r>
      <w:r>
        <w:rPr>
          <w:rFonts w:ascii="Times New Roman;sans-serif" w:hAnsi="Times New Roman;sans-serif"/>
          <w:b w:val="false"/>
          <w:color w:val="000000"/>
          <w:sz w:val="20"/>
        </w:rPr>
        <w:t xml:space="preserve">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Intellectual Property Risks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involved in legal proceedings to protect or enforce our patents, the patents of our partners or our other intellectual property rights, which could be expensive, time consuming and unsuccessful.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covered by our patent applications.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stop using the subject matter claimed in those patents;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 damages.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therapeutics product candidates are targeting.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U.S. patent law could diminish the value of patents in general, thereby impairing our ability to protect our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Liability Risks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from managing our business.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Contractual Arrangements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risks related to our government-funded programs and are subject to various U.S. Government contract requirements, which may create a disadvantage and additional risks to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contracts with BARDA/HHS and NIAID/HHS for the development of galidesivir as a treatment for diseases caused by RNA pathogens, including Marburg virus disease, Yellow Fever and Ebola virus disease. In contracting with these government agencies, we became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terminate or reduce the scope of our contract with or without cause;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interpret relevant regulations (federal acquisition regulation clauses);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performance under circumstances which may not be favorable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an in-process review where the U.S. Government will review the project and its options under the contract;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control the timing and amount of funding, which impacts the development progress of our programs;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audit and object to our contract-related costs and fees, including allocated indirect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termination or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2011, JPR Royalty Sub LLC, our wholly-owned subsidiary (“Royalty Sub”), issued $30.0 million in aggregate principal amount of PhaRMA Senior Secured 14% Notes due on December 1, 2020 (the “PhaRMA Notes”). The PhaRMA Notes are secured principally by (i) certain royalty and milestone payments under our agreement with Shionogi (the “Shionogi Agreement”),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otherwise accrue to us following repayment of the PhaRMA Notes, we may incur legal costs, and we might otherwise be adversely affected.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wrote off the balance due under the PhaRMA Notes to other income as a debt extinguishment as of December 31, 2021. See “Note 8—Royalty Financing Obligations—RAPIACTA—Non-Recourse Notes Payable—Debt Extinguishment” in the Notes to Consolidated Financial Statements in Part II, Item 8 of this report for additional information about the write-off.</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December 31, 2023, we had an outstanding principal balance under the Pharmakon Loan Agreement of $313.7 million, inclusive of the Pharmakon PIK Interest Payments (as defined in “Note 9—Debt—Pharmakon Loan Agreement” in the Notes to the Consolidated Financial Statements included in Part II, Item 8 of this report). Under the Pharmakon Loan 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stockholders. For example, it: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requires us to dedicate a portion of our cash flow from operations to interest payments, limiting the availability of cash for other purposes;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places us at a competitive disadvantage compared to our competitors that have less indebtedness.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International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exposes us to business, legal, regulatory, political, operational, financial, and economic risks.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natural disasters and political and economic instability, including wars (e.g., the Ukraine-Russia and Israel-Hamas conflicts), terrorism, political unrest, results of certain elections and votes, actual or threatened public health emergencies and outbreak of disease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and compliance risks that relate to maintaining accurate information and control over commercial operations and activities that may fall within the purview of the FCPA, including its books and records provisions or anti-bribery provisions, or the U.K. Bribery Act and similar foreign laws and regulations;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international expansion of operations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fluctuations could have an adverse impact on our results of operations, financial position, and 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II, Item 7A of this report for additional information about our foreign currency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European governmental laws and regulations and other legal obligations related to privacy, data protection and information security could harm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“Business—Government Regulation—Data Privacy and Security Laws” in Part I, Item 1 of this report. Failure to comply with the requirements of these laws may result in significant fines. For example, the GDPR or related national data protection laws, which may deviate from the GDPR, may result in significant fines of up to 4% of global revenues, or €20.0 million, whichever is greater.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w:t>
      </w:r>
      <w:r>
        <w:rPr>
          <w:color w:val="000000"/>
        </w:rPr>
        <w:t xml:space="preserve"> </w:t>
      </w:r>
      <w:r>
        <w:rPr>
          <w:rFonts w:ascii="Times New Roman;sans-serif" w:hAnsi="Times New Roman;sans-serif"/>
          <w:b w:val="false"/>
          <w:color w:val="000000"/>
          <w:sz w:val="20"/>
        </w:rPr>
        <w:t xml:space="preserve">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United Kingdom’s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Technology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Cyber incidents and related disruptions in our or our third-party vendors’ information technology systems could adversely affect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the increasing use of AI and machine learning technology in the biopharmaceutical industry presents new risks and challenges.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Operational Risks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health epidemic or pandemic, such as the COVID-19 pandemic, and related government orders or evolving business policies and procedures, could cause disruptions to our business, operations, and clinical development or commercialization plans and timelines, as well as the business and operations of third parties with whom we conduct business.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addition, our clinical trials were affected by the COVID-19 pandemic and we may experience similar delays or interruptions due to COVID-19 or other health epidemics or pandemics in the future, which could adversely impact our clinical trial operations.</w:t>
      </w:r>
      <w:r>
        <w:rPr>
          <w:color w:val="000000"/>
        </w:rPr>
        <w:t xml:space="preserve"> </w:t>
      </w:r>
      <w:r>
        <w:rPr>
          <w:rFonts w:ascii="Times New Roman;sans-serif" w:hAnsi="Times New Roman;sans-serif"/>
          <w:b w:val="false"/>
          <w:color w:val="000000"/>
          <w:sz w:val="20"/>
        </w:rPr>
        <w:t>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global impact of a health epidemic or pandemic such as COVID-19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w:t>
      </w:r>
      <w:r>
        <w:rPr>
          <w:color w:val="000000"/>
        </w:rPr>
        <w:t xml:space="preserve"> </w:t>
      </w:r>
      <w:r>
        <w:rPr>
          <w:rFonts w:ascii="Times New Roman;sans-serif" w:hAnsi="Times New Roman;sans-serif"/>
          <w:b w:val="false"/>
          <w:color w:val="000000"/>
          <w:sz w:val="20"/>
        </w:rPr>
        <w:t>Health epidemics or pandemics could also have the effect of heightening many of the other risks described in this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a potential U.S. Government shutdown, instability in connection with the upcoming presidential election in the United States, geopolitical instability (such as the Ukraine-Russia and Israel-Hamas conflicts or rising tensions between China and Taiwan), or public health emergencies,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TextBody"/>
        <w:bidi w:val="0"/>
        <w:spacing w:lineRule="auto" w:line="288" w:before="240" w:after="283"/>
        <w:ind w:left="0" w:right="0" w:firstLine="547"/>
        <w:jc w:val="left"/>
        <w:rPr>
          <w:rFonts w:ascii="Times New Roman;sans-serif" w:hAnsi="Times New Roman;sans-serif"/>
          <w:b w:val="false"/>
          <w:color w:val="000000"/>
          <w:sz w:val="20"/>
        </w:rPr>
      </w:pPr>
      <w:r>
        <w:rPr>
          <w:rFonts w:ascii="Times New Roman;sans-serif" w:hAnsi="Times New Roman;sans-serif"/>
          <w:b w:val="false"/>
          <w:color w:val="000000"/>
          <w:sz w:val="20"/>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Insurance coverage is increasingly more costly and difficult to obtain or maintain.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Investing in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stockholders own greater than 5% of our outstanding common stock. Our top ten stockholders own approximately 45%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2023, the 52-week range of the market price of our stock was from $4.83 to $12.08 per share. The following factors, in addition to other risk factors described in this section, may have, and in some cases have had, a significant impact on the market price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additional dilution through sales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or our partners achieving or failing to achieve development milestones;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structure of healthcare payment systems, including developments in price control legislation;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period-to-period fluctuations in our financial results.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divert our management’s attention from other business concerns, which could seriously harm our business and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 over financial reporting. This material weakness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identified a material weakness in our internal control over financial reporting, as described in “Controls and Procedures” in Part II, Item 9A of this report. As further described in that section, we are implementing measures, and will continue to implement measures, to remediate the material weakness identified by management and to improve our internal control over financial reporting such that these controls are designed, implemented, and operating effectively. This material weakness will not be considered remediated until the applicable remediated controls are operating for a sufficient period of time and management has concluded, through testing, that these controls are operating effectively. Remediating the material weakness could take longer than expected and divert management’s attention away from other areas of the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sales and issuances of securities may dilute the ownership interests of our current stockholders and cause our stock price to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of our common stock by us or our current stockholders into the public market could cause the market price of our stock to fall. As of December 31, 2023, there were 205,770,667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41,096,637 stock options and restricted stock units outstanding and 3,375,511 shares available for issuance under our Amended and Restated Stock Incentive Plan, 6,442,678 stock options and restricted stock units outstanding and 1,650,708 shares available for issuance under our Amended and Restated Inducement Equity Incentive Plan, and 5,454,386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anti-takeover provisions in our corporate charter documents that may result in outcomes with which you do not agree.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the holders of common stock. The issuance of preferred stock could make it more difficult for third parties to acquire a majority of our outstanding voting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never paid dividends on our common stock and do not anticipate doing so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provide that the Court of Chancery of the State of Delaware will be the sole and exclusive forum for certain litigation that may be initiated by our stockholders, which may limit a stockholder’s ability to obtain a favorable judicial forum for such disputes with us or our directors, officers or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wide variety of events beyond our control, such as natural disasters (including as a result of climate change), epidemic or pandemic disease outbreaks (such as the COVID-19 pandemic), trade wars, armed conflict, political unrest, government shutdowns, instability in connection with the upcoming presidential election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Factors—Risks Relating to Our Business—Other Operational Risks—Our business, operations, clinical development or commercialization plans and timelines, and access to capital could be adversely affected by unpredictable and unstable market and economic conditions.” In addition, other events, such as the Ukraine-Russia and Israel-Hamas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exchange rates, and financial markets, which could adversely impact our operations and financial results, as well as those of third parties with whom we conduct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legal proceedings, which could harm our reputation or result in other losses or unexpected expenditure of time and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1B.    </w:t>
      </w:r>
      <w:r>
        <w:rPr>
          <w:rFonts w:ascii="Times New Roman;sans-serif" w:hAnsi="Times New Roman;sans-serif"/>
          <w:b/>
          <w:i/>
          <w:color w:val="000000"/>
          <w:sz w:val="20"/>
        </w:rPr>
        <w:t>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1C.    </w:t>
      </w:r>
      <w:r>
        <w:rPr>
          <w:rFonts w:ascii="Times New Roman;sans-serif" w:hAnsi="Times New Roman;sans-serif"/>
          <w:b/>
          <w:i/>
          <w:color w:val="000000"/>
          <w:sz w:val="20"/>
        </w:rPr>
        <w:t>CYBERSECURITY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cybersecurity program that is reasonably designed to assess, identify, and manage risks from cybersecurity threats that may result in material adverse effects on the confidentiality, integrity, and availability of our information systems.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Governance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Board of Directors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directly and through its committees, oversees the Company’s risk management function. The Board of Directors has delegated the primary responsibility to oversee cybersecurity matters to the Audit Committee. The Audit Committee reviews the measures implemented by the Company to identify and mitigate data protection and cybersecurity risks. As part of such reviews, the Audit Committee regularly receives reports and presentations from members of our Cybersecurity Steering Committee as appropriate, with a minimum frequency of once per year. These reports and presentations address a wide range of topics including recent developments, status of ongoing and planned cybersecurity initiatives and strategies, evolving standards, vulnerability assessments, third-party and independent reviews, the threat environment, security spend, technological trends and information security considerations arising with respect to the Company’s peers and third parties. The Audit Committee reports to the Board of Directors on data protection and cybersecurity matters. We have protocols by which certain cybersecurity incidents are escalated within the Company and, where appropriate, reported to the Audit Committee, as well as ongoing updates regarding any such incident until it has been addressed.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the management level, the Chief Financial Officer and Chief Legal Officer attend meetings of the Company’s Cybersecurity Steering Committee (discussed further below) to receive reports on ongoing cybersecurity matters. This ensures that management is involved in an ongoing dialogue regarding the Company’s material risks from cybersecurity threats. In addition, members of the Cybersecurity Steering Committee provide updates on the Company’s cybersecurity control and risk posture and the status of ongoing and planned cybersecurity initiatives and strategies to the Company’s senior management team on an annual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Steering Committee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implemented a broad spectrum cross-functional approach to assessing, identifying, and managing risks from cybersecurity threats. Our Cybersecurity Steering Committee has broad oversight of the Company’s cybersecurity risk management processes. The Cybersecurity Steering Committee is composed of the Company’s Chief Financial Officer, Chief Legal Officer, Senior Vice President, Information Technology, senior cybersecurity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of the finance and legal departments, and other individuals invited as appropriate on an ad hoc basis. On at least a quarterly basis, the Cybersecurity Steering Committee meets to discuss recent cybersecurity events or threats, status of ongoing and planned cybersecurity initiatives and strategies, external cybersecurity trends, and risk management measures implemented by the Company to identify and mitigate data protection and cybersecurity risks, among other topics. In addition to the scheduled meetings, the Cybersecurity Steering Committee is informed of potentially material cybersecurity events as they arise.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Cybersecurity Steering Committee, our virtual Chief Information Security Officer (vCISO) and our Senior Manager, Security Engineering are primarily responsible for assessing, monitoring, and managing our cybersecurity risks. Our vCISO is a seasoned cyber consultant providing CISO-level advisory services to the Company and reports to the Senior Vice President, Information Technology, who is directly managed by the Chief Financial Officer. He has held CISO positions in several Fortune-500 companies across multiple industry sectors, has worked in information security for over 23 years, is a Certified Information Systems Security Professional (CISSP), and has extensive experience with multiple commercial and government security frameworks. He leads the Company’s information security program and sets the strategic direction for, and establishes and governs the structure of, the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Manager, Security Engineering is managed by the Company’s Executive Director, IT Infrastructure &amp; Operations, who directly reports to the Senior Vice President, Information Technology. He has over 38 years of experience in information security and data privacy and has CISSP and Cisco Certified Network Associate (CCNA) certifications. He implements and oversees processes for the regular monitoring of our information systems and detection of cybersecurity vulnerabilities.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Cybersecurity Steering Committee also works closely with members of the legal department to oversee compliance with legal and regulatory security requirements. In addition, the Cybersecurity Steering Committee has implemented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Cybersecurity Program</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Company’s cybersecurity program leverages the National Institute of Standards and Technology (NIST) Cybersecurity Framework (CSF) for governance and program management and refers to the Center for Internet Security (CIS) guidelines when reviewing the Company’s security controls posture. The Company uses certain advanced security measures, regular system audits, third party monitoring tools, and ongoing intelligence gathering on the latest developments in cybersecurity to identify, assess, and manage potential vulnerabilities and risks. In addition, the Company engages third parties to assist with assessing, identifying and managing material risks from cybersecurity threats. Once the relevant material risks have been identified, the Company implements controls and processes to help manage these risks, including conducting tabletop</w:t>
      </w:r>
      <w:r>
        <w:rPr>
          <w:color w:val="000000"/>
        </w:rPr>
        <w:t xml:space="preserve"> </w:t>
      </w:r>
      <w:r>
        <w:rPr>
          <w:rFonts w:ascii="Times New Roman;sans-serif" w:hAnsi="Times New Roman;sans-serif"/>
          <w:b w:val="false"/>
          <w:color w:val="000000"/>
          <w:sz w:val="20"/>
        </w:rPr>
        <w:t>exercises to simulate response to a cybersecurity incident, regular testing (e.g., penetration tests, vulnerability scanning) and control gap analyses and assessments designed to confirm appropriate security controls are in place and are maintaining functionality in accordance with the established policies.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employ systems and processes designed to oversee, identify, and reduce the potential impact of cybersecurity threats associated with any third-party vendor, service provider or customer or otherwise implicating the third-party technology and systems we use.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integrated into the Company’s overall risk management framework to help identify, assess, educate, and manage the Company’s cybersecurity risk. Our Board of Directors and the Audit Committee, in its role assisting the Board of Directors in its oversight of the Company’s risk management function, consider cybersecurity threat risks alongside other Company risks as part of our overall risk assessment.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Incident Response</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The Company has adopted a technology incident response plan (IRP) applicable to all Company employees and contractors, which sets forth the process for responding to and documenting data and information technology-related incidents such as </w:t>
      </w:r>
      <w:r>
        <w:rPr>
          <w:rFonts w:ascii="Times New Roman;sans-serif" w:hAnsi="Times New Roman;sans-serif"/>
          <w:b w:val="false"/>
          <w:color w:val="000000"/>
          <w:sz w:val="20"/>
          <w:shd w:fill="FFFFFF" w:val="clear"/>
        </w:rPr>
        <w:t>security breaches, system failures, data loss, and service interruption</w:t>
      </w:r>
      <w:r>
        <w:rPr>
          <w:rFonts w:ascii="Times New Roman;sans-serif" w:hAnsi="Times New Roman;sans-serif"/>
          <w:b w:val="false"/>
          <w:color w:val="333333"/>
          <w:sz w:val="20"/>
          <w:shd w:fill="FFFFFF" w:val="clear"/>
        </w:rPr>
        <w:t>.</w:t>
      </w:r>
      <w:r>
        <w:rPr>
          <w:color w:val="000000"/>
        </w:rPr>
        <w:t xml:space="preserve"> </w:t>
      </w:r>
      <w:r>
        <w:rPr>
          <w:rFonts w:ascii="Times New Roman;sans-serif" w:hAnsi="Times New Roman;sans-serif"/>
          <w:b w:val="false"/>
          <w:color w:val="000000"/>
          <w:sz w:val="20"/>
        </w:rPr>
        <w:t xml:space="preserve">The IRP provides a standardized framework for investigating, containing, documenting and mitigating cybersecurity incidents, including reporting findings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keeping senior management and other key stakeholders informed and involved as appropriate. The Company’s employees are required to review the IRP and undergo additional cybersecurity training on a regular basis.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Material Cybersecurity Risk, Threats &amp; Incidents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detailed elsewhere in this report, we rely on information technology systems and third-party providers to operate our business. Despite ongoing efforts to continually improve our and our third-party providers’ ability to protect against cyber incidents, our networks and infrastructure may be vulnerable to cyberattacks or intrusions, which could result in a violation of applicable privacy and other laws, significant legal and financial exposure, damage to our reputation, loss or misuse of the information or a loss of confidence in our data security measures, among other consequences. While we have not experienced any material cybersecurity threats or incidents, there can be no guarantee that we will not be the subject of future successful attacks, threats, or incidents. See “Risk Factors—Risks Relating to Our Business—Risks Relating to Technology—Cyber incidents and related disruptions in our or our third-party vendors’ information technology systems could adversely affect our business” in Part I, Item IA of this report for additional information on cybersecurity risks we face, which should be read together with the foregoing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2.    </w:t>
      </w:r>
      <w:r>
        <w:rPr>
          <w:rFonts w:ascii="Times New Roman;sans-serif" w:hAnsi="Times New Roman;sans-serif"/>
          <w:b/>
          <w:i/>
          <w:color w:val="000000"/>
          <w:sz w:val="20"/>
        </w:rPr>
        <w:t>PROPERTIES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lease property in both Durham, North Carolina and Birmingham, Alabama. Our headquarters, including our clinical and regulatory operations, are based in Durham, while our principal research facility is located in Birmingham. We currently lease approximately 24,500 square feet in Durham through leases expiring June 30, 2024 and August 31, 2025, and we lease approximately 49,000 square feet in Birmingham through July 31, 2030, with options for additional extensions. We also contract for smaller offices in a number of other countries. We believe that our facilities are adequate for our current and planned future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3.    </w:t>
      </w:r>
      <w:r>
        <w:rPr>
          <w:rFonts w:ascii="Times New Roman;sans-serif" w:hAnsi="Times New Roman;sans-serif"/>
          <w:b/>
          <w:i/>
          <w:color w:val="000000"/>
          <w:sz w:val="20"/>
        </w:rPr>
        <w:t>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w:t>
      </w:r>
      <w:r>
        <w:rPr>
          <w:color w:val="000000"/>
        </w:rPr>
        <w:t>’</w:t>
      </w:r>
      <w:r>
        <w:rPr>
          <w:rFonts w:ascii="Times New Roman;sans-serif" w:hAnsi="Times New Roman;sans-serif"/>
          <w:b/>
          <w:i/>
          <w:color w:val="000000"/>
          <w:sz w:val="20"/>
        </w:rPr>
        <w: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Nasdaq Global Select Market under the symbol BCRX.</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23, 2024, there were approximately 152 holders of record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and do not anticipate paying cash dividends in the foreseeable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PERFORMANCE GRAPH FOR BIOCRYST</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Indexed Comparison Since 2018</w:t>
      </w:r>
    </w:p>
    <w:p>
      <w:pPr>
        <w:pStyle w:val="TextBody"/>
        <w:bidi w:val="0"/>
        <w:spacing w:before="240" w:after="283"/>
        <w:jc w:val="center"/>
        <w:rPr/>
      </w:pPr>
      <w:r>
        <w:rPr/>
        <w:drawing>
          <wp:inline distT="0" distB="0" distL="0" distR="0">
            <wp:extent cx="6667500" cy="2857500"/>
            <wp:effectExtent l="0" t="0" r="0" b="0"/>
            <wp:docPr id="6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 descr=""/>
                    <pic:cNvPicPr>
                      <a:picLocks noChangeAspect="1" noChangeArrowheads="1"/>
                    </pic:cNvPicPr>
                  </pic:nvPicPr>
                  <pic:blipFill>
                    <a:blip r:embed="rId2"/>
                    <a:stretch>
                      <a:fillRect/>
                    </a:stretch>
                  </pic:blipFill>
                  <pic:spPr bwMode="auto">
                    <a:xfrm>
                      <a:off x="0" y="0"/>
                      <a:ext cx="6667500" cy="2857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593"/>
        <w:gridCol w:w="521"/>
        <w:gridCol w:w="523"/>
        <w:gridCol w:w="247"/>
        <w:gridCol w:w="846"/>
        <w:gridCol w:w="127"/>
        <w:gridCol w:w="109"/>
        <w:gridCol w:w="109"/>
        <w:gridCol w:w="109"/>
        <w:gridCol w:w="254"/>
        <w:gridCol w:w="743"/>
        <w:gridCol w:w="133"/>
        <w:gridCol w:w="109"/>
        <w:gridCol w:w="109"/>
        <w:gridCol w:w="109"/>
        <w:gridCol w:w="254"/>
        <w:gridCol w:w="743"/>
        <w:gridCol w:w="133"/>
        <w:gridCol w:w="109"/>
        <w:gridCol w:w="109"/>
        <w:gridCol w:w="109"/>
        <w:gridCol w:w="230"/>
        <w:gridCol w:w="786"/>
        <w:gridCol w:w="118"/>
        <w:gridCol w:w="109"/>
        <w:gridCol w:w="109"/>
        <w:gridCol w:w="109"/>
        <w:gridCol w:w="230"/>
        <w:gridCol w:w="786"/>
        <w:gridCol w:w="118"/>
        <w:gridCol w:w="109"/>
        <w:gridCol w:w="109"/>
        <w:gridCol w:w="109"/>
        <w:gridCol w:w="252"/>
        <w:gridCol w:w="737"/>
        <w:gridCol w:w="196"/>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Beginning Investment at 12/31/18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Investment at 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at 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at 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at 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Investment at 12/31/23</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Stock Market (United States)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Pharmaceutical Stocks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above graph measures the change in a $100 investment in our common stock based on its closing price of $8.07 on December 31, 2018 and its year-end closing price thereafter. Our relative performance is then compared with the CRSP Total Return Indexes for the Nasdaq Stock Market (United States) and Nasdaq Pharmaceutical Stocks.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our common stock during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6.    </w:t>
      </w:r>
      <w:r>
        <w:rPr>
          <w:rFonts w:ascii="Times New Roman;sans-serif" w:hAnsi="Times New Roman;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7.    </w:t>
      </w:r>
      <w:r>
        <w:rPr>
          <w:rFonts w:ascii="Times New Roman;sans-serif" w:hAnsi="Times New Roman;sans-serif"/>
          <w:b/>
          <w:i/>
          <w:color w:val="000000"/>
          <w:sz w:val="20"/>
        </w:rPr>
        <w:t>MANAGEMENT</w:t>
      </w:r>
      <w:r>
        <w:rPr>
          <w:color w:val="000000"/>
        </w:rPr>
        <w:t>’</w:t>
      </w:r>
      <w:r>
        <w:rPr>
          <w:rFonts w:ascii="Times New Roman;sans-serif" w:hAnsi="Times New Roman;sans-serif"/>
          <w:b/>
          <w:i/>
          <w:color w:val="000000"/>
          <w:sz w:val="20"/>
        </w:rPr>
        <w:t>S DISCUSSION AND ANALYSIS OF FINANCIAL CONDITION AND RESULTS OF OPERATIONS</w:t>
      </w:r>
    </w:p>
    <w:p>
      <w:pPr>
        <w:pStyle w:val="TextBody"/>
        <w:bidi w:val="0"/>
        <w:spacing w:lineRule="auto" w:line="288" w:before="240" w:after="283"/>
        <w:ind w:left="0" w:right="0" w:firstLine="540"/>
        <w:jc w:val="both"/>
        <w:rPr/>
      </w:pPr>
      <w:r>
        <w:rPr>
          <w:rFonts w:ascii="Times New Roman;sans-serif" w:hAnsi="Times New Roman;sans-serif"/>
          <w:b w:val="false"/>
          <w:i/>
          <w:color w:val="000000"/>
          <w:sz w:val="20"/>
        </w:rPr>
        <w:t>The following Management</w:t>
      </w:r>
      <w:r>
        <w:rPr>
          <w:color w:val="000000"/>
        </w:rPr>
        <w:t>’</w:t>
      </w:r>
      <w:r>
        <w:rPr>
          <w:rFonts w:ascii="Times New Roman;sans-serif" w:hAnsi="Times New Roman;sans-serif"/>
          <w:b w:val="false"/>
          <w:i/>
          <w:color w:val="000000"/>
          <w:sz w:val="20"/>
        </w:rPr>
        <w:t>s Discussion and Analysis (</w:t>
      </w:r>
      <w:r>
        <w:rPr>
          <w:color w:val="000000"/>
        </w:rPr>
        <w:t>“</w:t>
      </w:r>
      <w:r>
        <w:rPr>
          <w:rFonts w:ascii="Times New Roman;sans-serif" w:hAnsi="Times New Roman;sans-serif"/>
          <w:b w:val="false"/>
          <w:i/>
          <w:color w:val="000000"/>
          <w:sz w:val="20"/>
        </w:rPr>
        <w:t>MD&amp;A</w:t>
      </w:r>
      <w:r>
        <w:rPr>
          <w:color w:val="000000"/>
        </w:rPr>
        <w:t>”</w:t>
      </w:r>
      <w:r>
        <w:rPr>
          <w:rFonts w:ascii="Times New Roman;sans-serif" w:hAnsi="Times New Roman;sans-serif"/>
          <w:b w:val="false"/>
          <w:i/>
          <w:color w:val="000000"/>
          <w:sz w:val="20"/>
        </w:rPr>
        <w:t xml:space="preserve">) is intended to help the reader understand our results of operations and financial condition. MD&amp;A is provided as a supplement to, and should be read in conjunction with, our audited financial statements and the accompanying notes to the financial statements and other disclosures included in this report (including the </w:t>
      </w:r>
      <w:r>
        <w:rPr>
          <w:color w:val="000000"/>
        </w:rPr>
        <w:t>“</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i/>
          <w:color w:val="000000"/>
          <w:sz w:val="20"/>
        </w:rPr>
        <w:t xml:space="preserve">at the beginning of this report and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in Part I, Item 1A of this report).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global biotechnology company with a deep commitment to improving the lives of people living with complement-mediated and other rare diseases. We leverage our expertise in structure-guided drug design with the goal of developing first-in-class or best-in-class oral small-molecule and protein therapeutics to target difficult-to-treat rare diseases.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Products and Product Candidates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ORLADEYO® (berotralstat)</w:t>
      </w:r>
      <w:r>
        <w:rPr>
          <w:rFonts w:ascii="Times New Roman;sans-serif" w:hAnsi="Times New Roman;sans-serif"/>
          <w:b w:val="false"/>
          <w:color w:val="000000"/>
          <w:sz w:val="20"/>
        </w:rPr>
        <w:t>. ORLADEYO is an oral, once-daily therapy discovered and developed by us for the prevention of hereditary angioedema (“HAE”) attacks. ORLADEYO is approved in the United States and multiple global markets for the prevention of HAE attacks in adults and pediatric patients 12 years and older.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three full years of commercialization experience with ORLADEYO, we anticipate the global commercial market for ORLADEYO has the potential to reach a global peak of $1 billion in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ORLADEYO revenues. We expect approximately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 Item 1A of this report for further discussion of these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sales of ORLADEYO in 2023, which was our third full year of ORLADEYO sales,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are continuing to monitor and analyze this data as we continue to commercialize ORLADEYO.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Complement Program</w:t>
      </w:r>
      <w:r>
        <w:rPr>
          <w:rFonts w:ascii="Times New Roman;sans-serif" w:hAnsi="Times New Roman;sans-serif"/>
          <w:b w:val="false"/>
          <w:color w:val="000000"/>
          <w:sz w:val="20"/>
        </w:rPr>
        <w:t xml:space="preserve">. The goal of our overall complement program is to advance several first-in-class and/or best-in-class compounds across multiple pathways in the complement system to treat many complement-mediated diseases. We are pursuing oral medicines and protein therapeutics directed at targets across the classical, lectin, and terminal pathways of the complement system. For more information on these therapies, see “Recent Developments” below in this MD&amp;A.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RAPIVAB®/RAPIACTA®/PERAMIFLU® (peramivir injection)</w:t>
      </w:r>
      <w:r>
        <w:rPr>
          <w:rFonts w:ascii="Times New Roman;sans-serif" w:hAnsi="Times New Roman;sans-serif"/>
          <w:b w:val="false"/>
          <w:color w:val="000000"/>
          <w:sz w:val="20"/>
        </w:rPr>
        <w:t>. 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Netherton Syndrome. </w:t>
      </w:r>
      <w:r>
        <w:rPr>
          <w:rFonts w:ascii="Times New Roman;sans-serif" w:hAnsi="Times New Roman;sans-serif"/>
          <w:b w:val="false"/>
          <w:color w:val="000000"/>
          <w:sz w:val="20"/>
        </w:rPr>
        <w:t>BCX17725 is a potent and selective investigational fusion protein KLK5 inhibitor designed to provide best-in-class, potentially disease-modifying treatment for people with Netherton syndrome. Netherton syndrome is a rare, lifelong genetic disorder that often presents in neonates or infancy. The disease is caused by the deficiency of a natural inhibitor (SPINK5) of KLK5, a serine protease responsible for regulating skin shedding. Patients may have red, scaly and inflamed skin and susceptibility to recurrent immune reactions. Netherton syndrome can be life-threatening, especially during infancy when patients are vulnerable to dehydration and recurrent infections. Currently, there is no approved treatment for Netherton syndrome.</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 xml:space="preserve">Avoralstat. </w:t>
      </w:r>
      <w:r>
        <w:rPr>
          <w:rFonts w:ascii="Times New Roman;sans-serif" w:hAnsi="Times New Roman;sans-serif"/>
          <w:b w:val="false"/>
          <w:color w:val="000000"/>
          <w:sz w:val="20"/>
        </w:rPr>
        <w:t>We are developing our investigational plasma kallikrein inhibitor, avoralstat, with Clearside Biomedical, Inc.’s (“Clearside”) Microinjector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to deliver avoralstat to the back of the eye through the suprachoroidal space to treat patients with diabetic macular edema (“DME”). DME is the most common cause of vision loss in individuals with diabetes, and at least one-third of patients have persistent DME despite anti-vascular endothelial growth factor therapies, which are administered via monthly injection. Avoralstat, which was previously studied in an oral formulation in a phase 3 trial in patients with HAE, has high potency and low solubility, two characteristics we believe are important to achieving potential efficacy with reduced dosing frequency in the eye for DME patients.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 and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are difficult to predict and depend on several factors, including those discussed in the “Risk Factors” section in Part 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 Item 1A of this report. Management may be able to control the timing and level of research and development and selling,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 many of these expenditures will occur irrespective of our actions due to contractually committed activities and/or payments.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240" w:after="283"/>
        <w:ind w:left="0" w:right="0" w:hanging="540"/>
        <w:jc w:val="left"/>
        <w:rPr>
          <w:rFonts w:ascii="Times New Roman;sans-serif" w:hAnsi="Times New Roman;sans-serif"/>
          <w:b w:val="false"/>
          <w:i/>
          <w:color w:val="000000"/>
          <w:sz w:val="20"/>
        </w:rPr>
      </w:pPr>
      <w:r>
        <w:rPr>
          <w:rFonts w:ascii="Times New Roman;sans-serif" w:hAnsi="Times New Roman;sans-serif"/>
          <w:b w:val="false"/>
          <w:i/>
          <w:color w:val="000000"/>
          <w:sz w:val="20"/>
        </w:rPr>
        <w:t>ORLADEYO (berotralstat)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2023, we announced that Austria approved the reimbursement of ORLADEYO for the targeted prophylaxis of HAE in patients 12 years of age or older.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expect to submit a U.S. supplemental new drug application for the pediatric use of ORLADEYO in 2025. The ongoing APeX-P clinical trial is assessing an oral granule formulation of ORLADEYO in pediatric HAE patients who are 2 to &lt;12 years of age.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10, 2023, we announced new analyses of real-world use of ORLADEYO leading to a reduction in monthly attack rates in patients with HAE who have normal C1-inhibitor level and function. We also announced a new post-hoc analysis from the APeX-S clinical trial that showed a sustained reduction in HAE attacks compared to patients’ self-reported baseline attack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21, 2023, we announced that the Spanish Ministry for Health granted marketing authorization for ORLADEYO for the routine prevention of recurrent HAE attacks in HAE patients 12 years and older.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29, 2023, we announced that the National Administration of Drugs, Foods, and Medical Devices in Argentina granted approval for ORLADEYO for the prophylaxis of HAE attacks in adults and pediatric patients 12 years of age or older.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On December 19, 2023, we announced that data from the open-label extension of the APeX-2 trial of ORLADEYO for the prophylactic treatment of HAE in patients 12 years and older have been published online by the </w:t>
      </w:r>
      <w:r>
        <w:rPr>
          <w:rFonts w:ascii="Times New Roman;sans-serif" w:hAnsi="Times New Roman;sans-serif"/>
          <w:b w:val="false"/>
          <w:i/>
          <w:color w:val="000000"/>
          <w:sz w:val="20"/>
        </w:rPr>
        <w:t>Journal of Allergy and Clinical Immunology: In Practice (JACI: In Practice)</w:t>
      </w:r>
      <w:r>
        <w:rPr>
          <w:rFonts w:ascii="Times New Roman;sans-serif" w:hAnsi="Times New Roman;sans-serif"/>
          <w:b w:val="false"/>
          <w:color w:val="000000"/>
          <w:sz w:val="20"/>
        </w:rPr>
        <w:t>. The authors concluded that ORLADEYO was generally well tolerated, provided rapid and sustained reductions in HAE attacks and improved quality of life over the study duration of 96 weeks.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2024, we announced that the Italian Medicines Agency finalized reimbursement and recommended ORLADEYO for the routine prevention of recurrent attacks of HAE in eligible patients 12 years and older.</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2024, we announced new analyses of real-world use of ORLADEYO that showed patients who initiated ORLADEYO experienced rapid, substantial and sustained reductions in attack rates through 18 months of treatment regardless of the severity of their disease, their history of prior prophylaxis or their C1-inhibitor level and function.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Complement-Mediated Diseases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BCX10013</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26, 2023, we announced the enrollment of the first patient in a proof-of-concept clinical trial evaluating BCX10013. The goal of this proof-of-concept trial is to understand the preliminary efficacy and safety profile of once-daily dosing with BCX10013. On November 3, 2023, we announced that we expect to report data from our ongoing proof-of-concept trial in 2024.</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presented data at our R&amp;D Day from the recently completed 160 mg cohort of our multiple ascending dose healthy volunteer trial, which highlights the strength and duration of alternative pathway suppression achieved at this dose level, supporting once-daily clinical dosing.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5, 2024, we announced that, if our ongoing proof-of-concept trial produces best-in-class data, we plan to out-license late-stage development and commercialization of BCX10013 to a partner that can drive the speed and breadth of investment required to accelerate BCX10013 for patients across multiple complement-mediated diseases and maximize the commercial potential of the program.</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C5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an oral C5 inhibitor that could be the first targeted oral therapy with competitive efficacy to currently approved 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 </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Bifunctional Complement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 bifunctional complement inhibitor anti-C2 monoclonal antibody that also inhibits the alternative pathway. This investigational candidate could be a first-in-class combined inhibitor of the classical, lectin and alternative pathways of the complement system to treat complex renal complement-mediated diseases like Immunoglobulin A Nephropathy and lupus nephritis, which are influenced by multiple complement pathways. </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C2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a classical and lectin pathway complement inhibitor to treat autoimmune hemolytic anemias, including cold 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are developing BCX17725, a potent and selective investigational fusion protein KLK5 inhibitor designed to provide best-in-class, potentially disease-modifying treatment for people with Netherton syndrome. </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Avoralstat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On November 3, 2023, we announced that we entered into a license agreement (the “Clearside Agreement”) with Clearside, enabling us to develop our investigational plasma kallikrein inhibitor, avoralstat, with Clearside’s SCS Microinjector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to deliver avoralstat to the back of the eye through the suprachoroidal space to treat patients with DME.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Clearside Agreement, Clearside received a $5.0 million upfront license fee from us, which has been recognized in research and development expenses during the year ended December 31, 2023. Clearside is eligible to receive up to an additional $30.0 million in clinical and regulatory milestone payments, and up to a total of $47.5 million in three post-approval sales-based milestone payments as annual global net sales progress to $2.0 billion. We will pay Clearside tiered mid-single digit royalties on annual global net product sales, at three tiers, including a top tier of &gt;$1.5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below presents a summary of our results of operations for fiscal years 2023 and 2022. See Part II, Item 7, “Management’s Discussion and Analysis of Financial Condition and Results of Operations—Results of Operations” of our Annual Report on Form 10-K for the fiscal year ended December 31, 2022, filed with the SEC on February 27, 2023, for a summary of our results of operations for the fiscal year ended December 31, 2021.</w:t>
      </w:r>
    </w:p>
    <w:p>
      <w:pPr>
        <w:pStyle w:val="TextBody"/>
        <w:bidi w:val="0"/>
        <w:spacing w:lineRule="auto" w:line="288" w:before="240" w:after="283"/>
        <w:jc w:val="left"/>
        <w:rPr/>
      </w:pPr>
      <w:r>
        <w:rPr>
          <w:rFonts w:ascii="Times New Roman;sans-serif" w:hAnsi="Times New Roman;sans-serif"/>
          <w:b/>
          <w:i/>
          <w:color w:val="000000"/>
          <w:sz w:val="20"/>
        </w:rPr>
        <w:t>Year Ended December 31, 2023 Compared to 2022</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total revenues were $331.4 million as compared to $270.8 million for the year ended December 31, 2022. The increase was primarily due to ORLADEYO net revenue, including royalties,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$326.0 million, an increase of $74.4 million. The increase in ORLADEYO net revenue was partially offset by a decrease in other net revenues of $13.8 million, primarily due to RAPIVAB stockpiling sales to the U.S. Department of Health and Human Services (“HHS”) in the year ended December 31, 2022 that did not occur in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the years ended December 31, 2023 and 2022 was $4.5 million and $6.4 million, respectively. The decrease in cost of product sales for the year ended December 31, 2023 was primarily associated with the peramivir product sales to our partners and the RAPIVAB stockpiling sales to HHS during the year ended December 31, 2022 that did not occur in 2023, partially offset by an increase in ORLADEYO sales in the current year period.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research and development expenses for the periods indicated (amounts are in thousands). Certain prior period amounts have been reclassified for consistency with the current year presentation. These reclassifications had no effect on the total research and development expenses. </w:t>
      </w:r>
    </w:p>
    <w:tbl>
      <w:tblPr>
        <w:tblW w:w="6834" w:type="dxa"/>
        <w:jc w:val="left"/>
        <w:tblInd w:w="0" w:type="dxa"/>
        <w:tblLayout w:type="fixed"/>
        <w:tblCellMar>
          <w:top w:w="28" w:type="dxa"/>
          <w:left w:w="28" w:type="dxa"/>
          <w:bottom w:w="28" w:type="dxa"/>
          <w:right w:w="28" w:type="dxa"/>
        </w:tblCellMar>
      </w:tblPr>
      <w:tblGrid>
        <w:gridCol w:w="1501"/>
        <w:gridCol w:w="1316"/>
        <w:gridCol w:w="1323"/>
        <w:gridCol w:w="211"/>
        <w:gridCol w:w="841"/>
        <w:gridCol w:w="109"/>
        <w:gridCol w:w="109"/>
        <w:gridCol w:w="109"/>
        <w:gridCol w:w="109"/>
        <w:gridCol w:w="211"/>
        <w:gridCol w:w="841"/>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by program:</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 D Program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Berotralstat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Peramivir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Galidesivir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preclinical and development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216,566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253,297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to $216.6 million for the year ended December 31, 2023 from $253.3 million for the year ended December 31, 2022. The decrease in Factor D program expenses was primarily due to the discontinuation of the BCX9930 program, which was announced in December 2022, partially offset by increased spending on BCX10013 due to an increase in the allocation of indirect costs as the program moved into the clinical trials. The decrease in fibrodysplasia ossificans progressiva (“FOP”) expenses was primarily due to the discontinuation of the BCX9250 program, which was announced in November 2022. These reductions were partially offset by increased spending on berotralstat due to ORLADEYO label expansion and life cycle investments, such as our ongoing ORLADEYO pediatric trial, and increased spending on other research, preclinical and development costs. Other research, preclinical and development costs increased due to increased spending on BCX17725 for manufacturing costs and investigational new drug application-enabling activities, an upfront payment of $5.0 million to Clearside under the Clearside Agreement, and increased spending related to our other early-stage discovery programs.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research and development personnel and costs of outside parties to conduct laboratory studies, develop manufacturing processes,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research and development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bidi w:val="0"/>
        <w:spacing w:lineRule="auto" w:line="288" w:before="240" w:after="283"/>
        <w:ind w:left="0" w:right="0" w:firstLine="5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year ended December 31, 2023 were $213.9 million compared to $159.4 million in the year ended December 31, 2022. The increase was primarily related to increased headcount and increased investment in order to expand and enhance the U.S. commercial team and expand and support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2023 was $108.2 million compared to $99.1 million for the year ended December 31, 2022. The increase in interest expense was primarily associated with the interest accrued on the larger Tranche A Loan of $300.0 million under the Pharmakon Loan Agreement (as defined below).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year ended December 31, 2023 included $70.4 million of non-cash interest expense due to the amortization of interest associated with the royalty financing obligations, $28.0 million of interest expense, including the amortization of the deferred financing associated with the borrowings under the Pharmakon Loan Agreement, and $9.5 million of interest expense, net of deferred financing amortization, associated with the borrowings under the Athyrium Credit Agreement (as defined below). Interest expense for the year ended December 31, 2022 consisted of $76.5 million of non-cash interest expense due to the amortization of interest associated with the royalty financing obligations and $22.5 million of interest expense, net of deferred financing amortization, associated with the borrowings under the Athyrium Credit Agreement. </w:t>
      </w:r>
    </w:p>
    <w:p>
      <w:pPr>
        <w:pStyle w:val="TextBody"/>
        <w:bidi w:val="0"/>
        <w:spacing w:lineRule="auto" w:line="288" w:before="240" w:after="283"/>
        <w:ind w:left="0" w:right="0" w:firstLine="58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other expense was comprised primarily of a loss on extinguishment of debt of $29.0 million on the repayment of the term loans under the Athyrium Credit Agreement and net foreign currency losses of $1.0 million, partially offset by interest income of $15.8 million. For the year ended December 31, 2022, other income was comprised of interest income of $5.1 million, partially offset by net foreign currency losses of $2.0 million.</w:t>
      </w:r>
    </w:p>
    <w:p>
      <w:pPr>
        <w:pStyle w:val="TextBody"/>
        <w:bidi w:val="0"/>
        <w:spacing w:lineRule="auto" w:line="288" w:before="240" w:after="283"/>
        <w:ind w:left="0" w:right="0" w:firstLine="5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we incurred a tax expense of $0.3 million as compared to tax expense of $2.7 million for the year ended December 31, 2022. The tax expense for 2023 was primarily the result of amendments to Section 174 of the Internal Revenue Code of 1986, as amended (“IRC”), which no longer permits an immediate deduction for research and development expenditures in the tax year that such costs are incurred. Instead, these IRC Section 174 research and development costs are capitalized and amortized over either a five or fifteen year period, depending on the location of the activities performed. The new amortization period begins with the midpoint of any taxable year that IRC Section 174 research and development costs are first incurred, regardless of whether the expenditures were made prior to or after July 1, and runs until the midpoint of year five for activities conducted in the United States or year fifteen for research and development activities conducted outside of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 See “Note 9—Debt—Pharmakon Loan Agreement” in the Notes to Consolidated Financial Statements in Part II, Item 8 of this report for additional information about our obligations under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2020 and 2021, we entered into the Royalty Purchase Agreements (as defined in “Note 8—Royalty Financing Obligations—ORLADEYO and Factor D Inhibitors” in the Notes to Consolidated Financial Statements in Part II, Item 8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“Note 8—Royalty Financing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ORLADEYO and Factor D Inhibitors” in the Notes to Consolidated Financial Statements in Part II, Item 8 of this report for additional information about these financing transactions.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net working capital of $346.0 million, a decrease of approximately $65.0 million from $411.0 million at December 31, 2022. The decrease in working capital was primarily the result of normal operating expenses associated with the development of our product candidates and commercialization of ORLADEYO, partially offset by net proceeds of $25.8 million received following the funding of the Tranche A Loan of $300.0 million under the Pharmakon Loan Agreement. Our principal sources of liquidity at December 31, 2023 were approximately $110.6 million in cash and cash equivalents and approximately $278.3 million in investments considered available-for-sale.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contain costs and cash flow requirements by closely managing our third-party costs and headcount, leasing scientific equipment and facilities, contracting with other parties to conduct certain research and development projects, and using consultants. In addition, we reduced the size of our research and development organization and postponed previously planned capital expenditures at our Discovery Center in Alabama, which we believe will help accelerate our path to profitability.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finance our needs principally from the following: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revenues from product sales;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payments under current or future collaborative and licensing agreements with corporate partners;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lease, royalty, or loan financing;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or private equity and/or debt financing.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expectations for revenue and operating expenses, we believe our financial resources will be sufficient to fund our operations for at least the next 12 months, and we have no immediate intentions to access the capital markets or draw down additional debt available to us. However, we have sustained operating losses for the majority of our corporate history and expect that our total 2024 expenses will exceed our total 2024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and the adequacy of our available funds will depend upon many factors, including: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receive reimbursement and stockpiling procurement contracts;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establish additional collaborative relationships with academic institutions, biotechnology or pharmaceutical companies and governmental agencies or other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of manufacturing of our drug substance and product candidates required for future new drug application (“NDA”) filings;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post-approval commitments for ORLADEYO, RAPIVAB, and other products that receive regulatory approval;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 in Part I, Item 1A of this report for further discussion of the risks related to obtaining additional capital.</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Pharmakon Loan Agreement contains representations and warranties and affirmative and negative covenants customary for financings of this type, as well as customary events of default.</w:t>
      </w:r>
      <w:r>
        <w:rPr>
          <w:color w:val="000000"/>
        </w:rPr>
        <w:t xml:space="preserve"> </w:t>
      </w:r>
      <w:r>
        <w:rPr>
          <w:rFonts w:ascii="Times New Roman;sans-serif" w:hAnsi="Times New Roman;sans-serif"/>
          <w:b w:val="false"/>
          <w:color w:val="000000"/>
          <w:sz w:val="20"/>
        </w:rPr>
        <w:t xml:space="preserve">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December 31, 2023, we were in compliance with the negative covenants under the Pharmakon Loan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Critical Accounting Estimates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significant accounting policies are more fully described in “Note 1—Significant Accounting Policies and Concentrations of Risk” in the Notes to Consolidated Financial Statements in Part II, Item 8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 </w:t>
      </w:r>
    </w:p>
    <w:p>
      <w:pPr>
        <w:pStyle w:val="TextBody"/>
        <w:bidi w:val="0"/>
        <w:spacing w:lineRule="auto" w:line="288" w:before="240" w:after="283"/>
        <w:jc w:val="left"/>
        <w:rPr/>
      </w:pPr>
      <w:r>
        <w:rPr>
          <w:rFonts w:ascii="Times New Roman;sans-serif" w:hAnsi="Times New Roman;sans-serif"/>
          <w:b/>
          <w:i/>
          <w:color w:val="000000"/>
          <w:sz w:val="20"/>
        </w:rPr>
        <w:t>Revenue Recognition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Product Sales, Net</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product sales are sales of ORLADEYO, which we began shipping to patients in December 2020, sales of peramivir to our licensing partners, and in prior years, sales of RAPIVAB to HHS under our historical procurement contract, which was completed in 2022. In the United States, we ship ORLADEYO directly to patients through a single specialty pharmacy, which is considered our customer. In the European Union, United Kingdom, Canada, Latin America, and elsewhere, we sell ORLADEYO to specialty distributors as well as hospitals and pharmacies, which collectively are considered our customers.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xml:space="preserve">.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xml:space="preserve">. Chargebacks are discounts that occur when certain contracted customers, pharmacy benefit managers, insurance companies, and 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with us. We estimate chargebacks and adjust gross product revenues and accounts receivable based on the estimates at the time revenues are recognized.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xml:space="preserve">. Patients who have commercial insurance and meet certain eligibility requirements may 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xml:space="preserve">.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Collaborative and Other Revenues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collaboration and license agreements with a number of third parties as well as research and development agreements with certain government entities. Our primary sources of revenue from these collaborative and other research and development arrangements are license, service and royalty revenues.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Reimbursements received for direct out-of-pocket expenses related to research and development costs are recorded as revenue in the Consolidated Statements of Comprehensive Loss rather than as a reduction in expenses. Under our historical contracts with BARDA/HHS and NIAID/HHS, revenue was recognized as reimbursable direct and indirect costs were incurred.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 </w:t>
      </w:r>
    </w:p>
    <w:p>
      <w:pPr>
        <w:pStyle w:val="TextBody"/>
        <w:bidi w:val="0"/>
        <w:spacing w:lineRule="auto" w:line="288" w:before="240" w:after="283"/>
        <w:jc w:val="left"/>
        <w:rPr/>
      </w:pPr>
      <w:r>
        <w:rPr>
          <w:rFonts w:ascii="Times New Roman;sans-serif" w:hAnsi="Times New Roman;sans-serif"/>
          <w:b/>
          <w:i/>
          <w:color w:val="000000"/>
          <w:sz w:val="20"/>
        </w:rPr>
        <w:t>Inventory</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inventories primarily relate to ORLADEYO. Additionally, our inventory includes RAPIVAB and peramivir.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During the year ended December 31, 2023, we evaluated our inventory levels and associated expiration dating relative to the latest sales forecasts for ORLADEYO, RAPIVAB, and peramivir and estimated those inventories at risk of obsolescence. Accordingly, we recorded an increase to the inventory valuation reserve of $0.4 million for a total reserve of $1.6 million as of December 31, 2023.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 and Related Accruals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incurred. Research and development expenses include all direct and indirect development costs related to the development of our portfolio of product candidates.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have license agreements with third parties, such as Albert Einstein College of Medicine of Yeshiva University, Industrial Research, Ltd., and the University of Alabama at Birmingham (“UAB”), which require fees related to sublicense agreements. We expense sublicense payments as incurred.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group our research and development expenses into two major categories: direct external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process of preparing our consolidated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As of December 31, 2023 and 2022, the carrying value of accrued expenses approximates their fair value due to their short-term settlement. </w:t>
      </w:r>
    </w:p>
    <w:p>
      <w:pPr>
        <w:pStyle w:val="TextBody"/>
        <w:bidi w:val="0"/>
        <w:spacing w:lineRule="auto" w:line="288" w:before="240" w:after="283"/>
        <w:jc w:val="left"/>
        <w:rPr/>
      </w:pPr>
      <w:r>
        <w:rPr>
          <w:rFonts w:ascii="Times New Roman;sans-serif" w:hAnsi="Times New Roman;sans-serif"/>
          <w:b/>
          <w:i/>
          <w:color w:val="000000"/>
          <w:sz w:val="20"/>
        </w:rPr>
        <w:t>Stock-Based Compensation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our current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i/>
          <w:color w:val="000000"/>
          <w:sz w:val="20"/>
        </w:rPr>
        <w:t>Interest Expense and Royalty Financing Obligations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 </w:t>
      </w:r>
    </w:p>
    <w:p>
      <w:pPr>
        <w:pStyle w:val="TextBody"/>
        <w:bidi w:val="0"/>
        <w:spacing w:lineRule="auto" w:line="288" w:before="240" w:after="283"/>
        <w:jc w:val="left"/>
        <w:rPr/>
      </w:pPr>
      <w:r>
        <w:rPr>
          <w:rFonts w:ascii="Times New Roman;sans-serif" w:hAnsi="Times New Roman;sans-serif"/>
          <w:b/>
          <w:i/>
          <w:color w:val="000000"/>
          <w:sz w:val="20"/>
        </w:rPr>
        <w:t>Income Taxes</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Recent Accounting Pronouncements</w:t>
      </w:r>
      <w:r>
        <w:rPr>
          <w:color w:val="000000"/>
        </w:rPr>
        <w:t xml:space="preserve"> </w:t>
      </w:r>
    </w:p>
    <w:p>
      <w:pPr>
        <w:pStyle w:val="TextBody"/>
        <w:bidi w:val="0"/>
        <w:spacing w:lineRule="auto" w:line="288" w:before="240" w:after="283"/>
        <w:ind w:left="0" w:right="0" w:firstLine="540"/>
        <w:jc w:val="left"/>
        <w:rPr>
          <w:color w:val="000000"/>
        </w:rPr>
      </w:pPr>
      <w:r>
        <w:rPr>
          <w:color w:val="000000"/>
        </w:rPr>
        <w:t>“</w:t>
      </w:r>
      <w:r>
        <w:rPr>
          <w:rFonts w:ascii="Times New Roman;sans-serif" w:hAnsi="Times New Roman;sans-serif"/>
          <w:b w:val="false"/>
          <w:color w:val="000000"/>
          <w:sz w:val="20"/>
        </w:rPr>
        <w:t>Note 1—Significant Accounting Policies and Concentrations of Risk” in the Notes to the Consolidated Financial Statements included in Part II, Item 8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7A.    </w:t>
      </w:r>
      <w:r>
        <w:rPr>
          <w:rFonts w:ascii="Times New Roman;sans-serif" w:hAnsi="Times New Roman;sans-serif"/>
          <w:b/>
          <w:i/>
          <w:color w:val="000000"/>
          <w:sz w:val="20"/>
        </w:rPr>
        <w:t>QUANTITATIVE AND QUALITATIVE DISCLOSURES ABOUT MARKET RISK.</w:t>
      </w:r>
      <w:r>
        <w:rPr>
          <w:color w:val="000000"/>
        </w:rPr>
        <w:t xml:space="preserve"> </w:t>
      </w:r>
    </w:p>
    <w:p>
      <w:pPr>
        <w:pStyle w:val="TextBody"/>
        <w:bidi w:val="0"/>
        <w:spacing w:lineRule="auto" w:line="288" w:before="240" w:after="283"/>
        <w:jc w:val="left"/>
        <w:rPr/>
      </w:pPr>
      <w:r>
        <w:rPr>
          <w:rFonts w:ascii="Times New Roman;sans-serif" w:hAnsi="Times New Roman;sans-serif"/>
          <w:b/>
          <w:color w:val="000000"/>
          <w:sz w:val="20"/>
        </w:rPr>
        <w:t>Interest Rate Risk</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(as defined in “Note 9—Debt—Pharmakon Loan Agreement” in the Notes to the Consolidated Financial Statements included in Part II, Item 8 of this report) is made, SOFR plus 7.25%. Accordingly, increases in interest rates will increase the associated interest payments that we are required to make on the Tranche A Loan. For the year ended December 31, 2023, interest was accrued at an effective rate of 13.30% on the $300.0 million borrowing under the Pharmakon Loan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 </w:t>
      </w:r>
    </w:p>
    <w:p>
      <w:pPr>
        <w:pStyle w:val="TextBody"/>
        <w:bidi w:val="0"/>
        <w:spacing w:lineRule="auto" w:line="288" w:before="240" w:after="283"/>
        <w:jc w:val="left"/>
        <w:rPr/>
      </w:pPr>
      <w:r>
        <w:rPr>
          <w:rFonts w:ascii="Times New Roman;sans-serif" w:hAnsi="Times New Roman;sans-serif"/>
          <w:b/>
          <w:color w:val="000000"/>
          <w:sz w:val="20"/>
        </w:rPr>
        <w:t>Foreign Currency Risk</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year ended December 31, 2023,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2023; however, we may do so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ind w:left="0" w:right="0" w:hanging="1080"/>
        <w:jc w:val="left"/>
        <w:rPr/>
      </w:pPr>
      <w:r>
        <w:rPr>
          <w:rFonts w:ascii="Times New Roman;sans-serif" w:hAnsi="Times New Roman;sans-serif"/>
          <w:b/>
          <w:color w:val="000000"/>
          <w:sz w:val="20"/>
        </w:rPr>
        <w:t>ITEM 8.    </w:t>
      </w:r>
      <w:r>
        <w:rPr>
          <w:rFonts w:ascii="Times New Roman;sans-serif" w:hAnsi="Times New Roman;sans-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amounts)</w:t>
      </w:r>
    </w:p>
    <w:tbl>
      <w:tblPr>
        <w:tblW w:w="10205" w:type="dxa"/>
        <w:jc w:val="left"/>
        <w:tblInd w:w="0" w:type="dxa"/>
        <w:tblLayout w:type="fixed"/>
        <w:tblCellMar>
          <w:top w:w="28" w:type="dxa"/>
          <w:left w:w="28" w:type="dxa"/>
          <w:bottom w:w="28" w:type="dxa"/>
          <w:right w:w="28" w:type="dxa"/>
        </w:tblCellMar>
      </w:tblPr>
      <w:tblGrid>
        <w:gridCol w:w="2956"/>
        <w:gridCol w:w="2276"/>
        <w:gridCol w:w="2295"/>
        <w:gridCol w:w="211"/>
        <w:gridCol w:w="831"/>
        <w:gridCol w:w="109"/>
        <w:gridCol w:w="109"/>
        <w:gridCol w:w="109"/>
        <w:gridCol w:w="109"/>
        <w:gridCol w:w="211"/>
        <w:gridCol w:w="831"/>
        <w:gridCol w:w="158"/>
      </w:tblGrid>
      <w:tr>
        <w:trPr/>
        <w:tc>
          <w:tcPr>
            <w:tcW w:w="295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net </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financing obligations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financing obligations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term loan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shares authorized — 5,000; no shares outstanding at December 31, 2023 and 2022</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 450,000; shares issued and outstanding – 205,771 and 187,906 at December 31, 2023 and 2022,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(1,454,620)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(294,597)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8951" w:type="dxa"/>
        <w:jc w:val="left"/>
        <w:tblInd w:w="0" w:type="dxa"/>
        <w:tblLayout w:type="fixed"/>
        <w:tblCellMar>
          <w:top w:w="28" w:type="dxa"/>
          <w:left w:w="28" w:type="dxa"/>
          <w:bottom w:w="28" w:type="dxa"/>
          <w:right w:w="28" w:type="dxa"/>
        </w:tblCellMar>
      </w:tblPr>
      <w:tblGrid>
        <w:gridCol w:w="1666"/>
        <w:gridCol w:w="1456"/>
        <w:gridCol w:w="1467"/>
        <w:gridCol w:w="211"/>
        <w:gridCol w:w="901"/>
        <w:gridCol w:w="109"/>
        <w:gridCol w:w="109"/>
        <w:gridCol w:w="109"/>
        <w:gridCol w:w="109"/>
        <w:gridCol w:w="211"/>
        <w:gridCol w:w="901"/>
        <w:gridCol w:w="109"/>
        <w:gridCol w:w="109"/>
        <w:gridCol w:w="109"/>
        <w:gridCol w:w="109"/>
        <w:gridCol w:w="211"/>
        <w:gridCol w:w="901"/>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 for sale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192,198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185,908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179,117</w:t>
            </w: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21"/>
        <w:gridCol w:w="1943"/>
        <w:gridCol w:w="1949"/>
        <w:gridCol w:w="196"/>
        <w:gridCol w:w="792"/>
        <w:gridCol w:w="109"/>
        <w:gridCol w:w="109"/>
        <w:gridCol w:w="109"/>
        <w:gridCol w:w="109"/>
        <w:gridCol w:w="196"/>
        <w:gridCol w:w="792"/>
        <w:gridCol w:w="109"/>
        <w:gridCol w:w="109"/>
        <w:gridCol w:w="109"/>
        <w:gridCol w:w="109"/>
        <w:gridCol w:w="196"/>
        <w:gridCol w:w="792"/>
        <w:gridCol w:w="156"/>
      </w:tblGrid>
      <w:tr>
        <w:trPr/>
        <w:tc>
          <w:tcPr>
            <w:tcW w:w="2321"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(184,062)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obsolescence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 on royalty financing obligations and secured term loan and amortization of debt issuance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premium/discount on investments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extinguishment of debt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(95,141)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(161,850)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(142,157)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property and equipment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maturities of investments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investing activities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(131,498)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(128,238)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15,804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common stock,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common stock issued under stock-based compensation plans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common stock issued to directors in lieu of cash retainer</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Withholding taxes paid on stock-based awards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secured term loans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Athyrium secured term loans principal</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Prepayment and repayment fees on Athyrium secured term loans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 on Pharmakon Tranche A term loan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finance lease liabilities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royalty financing liabilities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financing activities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32,485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88,027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359,668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Effects of exchange rates on cash, cash equivalents and restricted cash</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cash, cash equivalents and restricted cash</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year</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112,447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306,239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507,734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disclosure: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on stock-based awards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pPr>
      <w:r>
        <w:rPr>
          <w:rFonts w:ascii="Times New Roman;sans-serif" w:hAnsi="Times New Roman;sans-serif"/>
          <w:b/>
          <w:color w:val="000000"/>
          <w:sz w:val="20"/>
        </w:rPr>
        <w:t>CONSOLIDATED STATEMENTS OF STOCKHOLDERS</w:t>
      </w:r>
      <w:r>
        <w:rPr>
          <w:color w:val="000000"/>
        </w:rPr>
        <w:t xml:space="preserve">’ </w:t>
      </w:r>
      <w:r>
        <w:rPr>
          <w:rFonts w:ascii="Times New Roman;sans-serif" w:hAnsi="Times New Roman;sans-serif"/>
          <w:b/>
          <w:color w:val="000000"/>
          <w:sz w:val="20"/>
        </w:rPr>
        <w:t>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300"/>
        <w:gridCol w:w="973"/>
        <w:gridCol w:w="975"/>
        <w:gridCol w:w="196"/>
        <w:gridCol w:w="571"/>
        <w:gridCol w:w="109"/>
        <w:gridCol w:w="109"/>
        <w:gridCol w:w="109"/>
        <w:gridCol w:w="109"/>
        <w:gridCol w:w="196"/>
        <w:gridCol w:w="886"/>
        <w:gridCol w:w="109"/>
        <w:gridCol w:w="109"/>
        <w:gridCol w:w="109"/>
        <w:gridCol w:w="109"/>
        <w:gridCol w:w="272"/>
        <w:gridCol w:w="792"/>
        <w:gridCol w:w="152"/>
        <w:gridCol w:w="109"/>
        <w:gridCol w:w="109"/>
        <w:gridCol w:w="109"/>
        <w:gridCol w:w="196"/>
        <w:gridCol w:w="910"/>
        <w:gridCol w:w="109"/>
        <w:gridCol w:w="109"/>
        <w:gridCol w:w="109"/>
        <w:gridCol w:w="109"/>
        <w:gridCol w:w="196"/>
        <w:gridCol w:w="799"/>
        <w:gridCol w:w="156"/>
      </w:tblGrid>
      <w:tr>
        <w:trPr/>
        <w:tc>
          <w:tcPr>
            <w:tcW w:w="130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Deficit</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1,002,408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(1,023,442)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(19,262)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(184,062)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3,290 shares,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sales, 321 shares,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associated with royalty financing agreement, 3,846 shares,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to directors in lieu of cash retainer, 9 shares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1,098,498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177</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(1,207,504)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(106,986)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2,573 shares,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439 shares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sales, 260 shares,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 253 shares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to directors in lieu of cash retainer, 32 shares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1,879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1,158,118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26</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(1,454,620)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(294,597)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 1,276 shares,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1,276 shares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taxes for vesting of restricted stock units, 59 shares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sales, 338 shares,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warrants, 14,997 shares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to directors in lieu of cash retainer, 37 shares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2,058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1,222,236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6"/>
              </w:rPr>
              <w:t>1,337</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(1,681,159)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6"/>
              </w:rPr>
            </w:pPr>
            <w:r>
              <w:rPr>
                <w:rFonts w:ascii="Times New Roman;sans-serif" w:hAnsi="Times New Roman;sans-serif"/>
                <w:b/>
                <w:color w:val="000000"/>
                <w:sz w:val="16"/>
              </w:rPr>
              <w:t>(455,528)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w:t>
      </w:r>
      <w:r>
        <w:rPr>
          <w:rFonts w:ascii="Times New Roman;sans-serif" w:hAnsi="Times New Roman;sans-serif"/>
          <w:b/>
          <w:color w:val="000000"/>
          <w:sz w:val="20"/>
        </w:rPr>
        <w:t>Significant Accounting Policies and Concentrations of Risk</w:t>
      </w:r>
    </w:p>
    <w:p>
      <w:pPr>
        <w:pStyle w:val="TextBody"/>
        <w:bidi w:val="0"/>
        <w:spacing w:lineRule="auto" w:line="288" w:before="240" w:after="283"/>
        <w:jc w:val="left"/>
        <w:rPr/>
      </w:pPr>
      <w:r>
        <w:rPr>
          <w:rFonts w:ascii="Times New Roman;sans-serif" w:hAnsi="Times New Roman;sans-serif"/>
          <w:b/>
          <w:i/>
          <w:color w:val="000000"/>
          <w:sz w:val="20"/>
        </w:rPr>
        <w:t>The Company</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 (the “Company”) is a global biotechnology company with a deep commitment to improving the lives of people living with complement-mediated and other rare diseases. The Company leverages its expertise in structure-guided drug design with the goal of developing first-in-class or best-in-class oral small-molecule and protein therapeutics to target difficult-to-treat rare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conducts certain commercialization activities with respect to ORLADEYO for the prevention of HAE attacks in exchange for certain royalty payments to the Company. In addition to its approval in the United States, peramivir injection has received regulatory approvals in Canada, Australia, Japan, Taiwan and Korea.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expectations for revenue and operating expenses, the Company believes its financial resources available at December 31, 2023 will be sufficient to fund its operations for at least the next 12 months. The Company has sustained operating losses for the majority of its corporate history and expects that its total 2024 expenses will exceed its total 2024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pStyle w:val="TextBody"/>
        <w:bidi w:val="0"/>
        <w:spacing w:lineRule="auto" w:line="288" w:before="240" w:after="283"/>
        <w:jc w:val="left"/>
        <w:rPr/>
      </w:pPr>
      <w:r>
        <w:rPr>
          <w:rFonts w:ascii="Times New Roman;sans-serif" w:hAnsi="Times New Roman;sans-serif"/>
          <w:b/>
          <w:i/>
          <w:color w:val="000000"/>
          <w:sz w:val="20"/>
        </w:rPr>
        <w:t>Basis of Presentation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its subsidiaries. All intercompany transactions and balances among the consolidated entities have been eliminated from the consolidated financial statements.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certain presentation changes relative to its revenue, which management considers fundamental to understanding the Company’s current business and financial performance related to its primary product, ORLADEYO, including expanded international sales of ORLADEYO, relative to the Company’s other sources of revenue. Accordingly, certain disaggregated revenue information has been provided in this Note 1 and “Note 2—Revenue”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These presentation changes have been applied to prior year revenue amounts for consistency and comparability.</w:t>
      </w:r>
    </w:p>
    <w:p>
      <w:pPr>
        <w:pStyle w:val="TextBody"/>
        <w:bidi w:val="0"/>
        <w:spacing w:lineRule="auto" w:line="288" w:before="240" w:after="283"/>
        <w:jc w:val="left"/>
        <w:rPr/>
      </w:pPr>
      <w:r>
        <w:rPr>
          <w:rFonts w:ascii="Times New Roman;sans-serif" w:hAnsi="Times New Roman;sans-serif"/>
          <w:b/>
          <w:i/>
          <w:color w:val="000000"/>
          <w:sz w:val="20"/>
        </w:rPr>
        <w:t>Use of Estimates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lineRule="auto" w:line="288" w:before="240" w:after="283"/>
        <w:jc w:val="left"/>
        <w:rPr/>
      </w:pPr>
      <w:r>
        <w:rPr>
          <w:rFonts w:ascii="Times New Roman;sans-serif" w:hAnsi="Times New Roman;sans-serif"/>
          <w:b/>
          <w:i/>
          <w:color w:val="000000"/>
          <w:sz w:val="20"/>
        </w:rPr>
        <w:t>Revenue Recognition</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revenues for the years ended December 31, 2023, 2022, and 2021 (in thousands):</w:t>
      </w:r>
    </w:p>
    <w:tbl>
      <w:tblPr>
        <w:tblW w:w="7001" w:type="dxa"/>
        <w:jc w:val="left"/>
        <w:tblInd w:w="0" w:type="dxa"/>
        <w:tblLayout w:type="fixed"/>
        <w:tblCellMar>
          <w:top w:w="28" w:type="dxa"/>
          <w:left w:w="28" w:type="dxa"/>
          <w:bottom w:w="28" w:type="dxa"/>
          <w:right w:w="28" w:type="dxa"/>
        </w:tblCellMar>
      </w:tblPr>
      <w:tblGrid>
        <w:gridCol w:w="1021"/>
        <w:gridCol w:w="897"/>
        <w:gridCol w:w="901"/>
        <w:gridCol w:w="211"/>
        <w:gridCol w:w="841"/>
        <w:gridCol w:w="109"/>
        <w:gridCol w:w="109"/>
        <w:gridCol w:w="109"/>
        <w:gridCol w:w="109"/>
        <w:gridCol w:w="211"/>
        <w:gridCol w:w="841"/>
        <w:gridCol w:w="109"/>
        <w:gridCol w:w="109"/>
        <w:gridCol w:w="109"/>
        <w:gridCol w:w="109"/>
        <w:gridCol w:w="211"/>
        <w:gridCol w:w="84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331,412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270,827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157,170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 </w:t>
      </w:r>
    </w:p>
    <w:p>
      <w:pPr>
        <w:pStyle w:val="TextBody"/>
        <w:bidi w:val="0"/>
        <w:spacing w:lineRule="auto" w:line="288" w:before="240" w:after="283"/>
        <w:jc w:val="left"/>
        <w:rPr/>
      </w:pPr>
      <w:r>
        <w:rPr>
          <w:rFonts w:ascii="Times New Roman;sans-serif" w:hAnsi="Times New Roman;sans-serif"/>
          <w:b w:val="false"/>
          <w:i/>
          <w:color w:val="000000"/>
          <w:sz w:val="20"/>
        </w:rPr>
        <w:t>Product Sales, Net</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sources of product sales are sales of ORLADEYO, which the Company began shipping to patients in December 2020, sales of peramivir to the Company’s licensing partners, and in prior years, sales of RAPIVAB to the U.S. Department of Health and Human Services (“HHS”) under the Company’s historical procurement contract, which was completed in 2022.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ORLADEYO.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xml:space="preserve">.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xml:space="preserve">.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 </w:t>
      </w:r>
    </w:p>
    <w:p>
      <w:pPr>
        <w:pStyle w:val="TextBody"/>
        <w:bidi w:val="0"/>
        <w:spacing w:lineRule="auto" w:line="288" w:before="240" w:after="283"/>
        <w:jc w:val="left"/>
        <w:rPr/>
      </w:pPr>
      <w:r>
        <w:rPr>
          <w:rFonts w:ascii="Times New Roman;sans-serif" w:hAnsi="Times New Roman;sans-serif"/>
          <w:b w:val="false"/>
          <w:i/>
          <w:color w:val="000000"/>
          <w:sz w:val="20"/>
        </w:rPr>
        <w:t>Collaborative and Other Revenues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Reimbursements received for direct out-of-pocket expenses related to research and development costs are recorded as revenue in the Consolidated Statements of Comprehensive Loss rather than as a reduction in expenses. Under the Company’s historical contracts with the Biomedical Advanced Research and Development Authority within the HHS (“BARDA/HHS”) and the National Institute of Allergy and Infectious Diseases (“NIAID/HHS”), revenue was recognized as reimbursable direct and indirect costs are incurred.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pStyle w:val="TextBody"/>
        <w:bidi w:val="0"/>
        <w:spacing w:lineRule="auto" w:line="288" w:before="240" w:after="283"/>
        <w:jc w:val="left"/>
        <w:rPr/>
      </w:pPr>
      <w:r>
        <w:rPr>
          <w:rFonts w:ascii="Times New Roman;sans-serif" w:hAnsi="Times New Roman;sans-serif"/>
          <w:b/>
          <w:i/>
          <w:color w:val="000000"/>
          <w:sz w:val="20"/>
        </w:rPr>
        <w:t>Restricted Cash</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 was $1,804 and $1,472 as of December 31, 2023 and 2022, respectively, and primarily consisted of $1,493 and $1,449 as of December 31, 2023 and 2022, respectively, for a letter of credit the Company is required to maintain associated with its Birmingham lease.</w:t>
      </w:r>
    </w:p>
    <w:p>
      <w:pPr>
        <w:pStyle w:val="TextBody"/>
        <w:bidi w:val="0"/>
        <w:spacing w:lineRule="auto" w:line="288" w:before="240" w:after="283"/>
        <w:jc w:val="left"/>
        <w:rPr/>
      </w:pPr>
      <w:r>
        <w:rPr>
          <w:rFonts w:ascii="Times New Roman;sans-serif" w:hAnsi="Times New Roman;sans-serif"/>
          <w:b/>
          <w:i/>
          <w:color w:val="000000"/>
          <w:sz w:val="20"/>
        </w:rPr>
        <w:t>Investments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Items measured at fair value on a recurring basis include investments (Note 3). The carrying amounts reflected in the Consolidated Balance Sheets for cash and cash equivalents, trade receivables, prepaid expenses and other current assets, accounts payable and accrued expenses approximate their fair values due to the short-term nature of these assets and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Trade Receivables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collaborations are recorded for amounts due to the Company related to reimbursable research and development costs from the HHS (Note 15), and royalty receivables from the Company’s partners, including Shionogi, Green Cross, and Torii (Note 15).</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Monthly invoices were submitted to the HHS related to reimbursable research and development costs. The Company was also entitled to monthly reimbursement of indirect costs based on rates stipulated in the underlying contract. The Company’s calculations of its indirect cost rates are subject to audit by the U.S. Government.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adjust its receivables for the effects of a significant financing component at contract inception if it expects to collect the receivables in one year or less from the time of sale.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primarily relate to ORLADEYO. Additionally, the Company’s inventories include RAPIVAB and peramivir.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the drug product. Finished goods include packaged and labelled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40" w:after="283"/>
        <w:jc w:val="left"/>
        <w:rPr/>
      </w:pPr>
      <w:r>
        <w:rPr>
          <w:rFonts w:ascii="Times New Roman;sans-serif" w:hAnsi="Times New Roman;sans-serif"/>
          <w:b/>
          <w:i/>
          <w:color w:val="000000"/>
          <w:sz w:val="20"/>
        </w:rPr>
        <w:t>Accrued Expenses</w:t>
      </w:r>
      <w:r>
        <w:rPr>
          <w:color w:val="000000"/>
        </w:rPr>
        <w:t xml:space="preserve">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w:t>
      </w:r>
      <w:r>
        <w:rPr>
          <w:color w:val="000000"/>
        </w:rPr>
        <w:t xml:space="preserve"> </w:t>
      </w:r>
      <w:r>
        <w:rPr>
          <w:rFonts w:ascii="Times New Roman;sans-serif" w:hAnsi="Times New Roman;sans-serif"/>
          <w:b w:val="false"/>
          <w:color w:val="000000"/>
          <w:sz w:val="20"/>
        </w:rPr>
        <w:t xml:space="preserve">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underestimates or overestimates the level of these costs, actual expenses could differ from such estimates. As of December 31, 2023 and December 31, 2022, the carrying value of accrued expenses approximates their fair value due to their short-term settlement.</w:t>
      </w:r>
    </w:p>
    <w:p>
      <w:pPr>
        <w:pStyle w:val="TextBody"/>
        <w:bidi w:val="0"/>
        <w:spacing w:lineRule="auto" w:line="288" w:before="240" w:after="283"/>
        <w:jc w:val="left"/>
        <w:rPr/>
      </w:pPr>
      <w:r>
        <w:rPr>
          <w:rFonts w:ascii="Times New Roman;sans-serif" w:hAnsi="Times New Roman;sans-serif"/>
          <w:b/>
          <w:i/>
          <w:color w:val="000000"/>
          <w:sz w:val="20"/>
        </w:rPr>
        <w:t>Cost of Product Sales</w:t>
      </w:r>
      <w:r>
        <w:rPr>
          <w:color w:val="000000"/>
        </w:rPr>
        <w:t xml:space="preserve"> </w:t>
      </w:r>
    </w:p>
    <w:p>
      <w:pPr>
        <w:pStyle w:val="TextBody"/>
        <w:bidi w:val="0"/>
        <w:spacing w:lineRule="auto" w:line="288" w:before="240" w:after="283"/>
        <w:ind w:left="0" w:right="0" w:firstLine="58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pStyle w:val="TextBody"/>
        <w:bidi w:val="0"/>
        <w:spacing w:lineRule="auto" w:line="288" w:before="240" w:after="283"/>
        <w:jc w:val="left"/>
        <w:rPr/>
      </w:pPr>
      <w:r>
        <w:rPr>
          <w:rFonts w:ascii="Times New Roman;sans-serif" w:hAnsi="Times New Roman;sans-serif"/>
          <w:b/>
          <w:i/>
          <w:color w:val="000000"/>
          <w:sz w:val="20"/>
        </w:rPr>
        <w:t>Research and Development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research and development costs are expensed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 Company over the service periods specified in the contracts, and estimates are adjusted based upon the Company’s ongoing review of the level of services actually performed.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has license agreements with third parties, such as Albert Einstein College of Medicine of Yeshiva University, Industrial Research, Ltd., and the University of Alabama at Birmingham (“UAB”), which require fees related to sublicense agreements. The Company expenses sublicense payments as incurred.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are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related to ORLADEYO of $14,404, $14,891 and $5,705 were expensed as incurred for the years ended December 31, 2023, 2022 and 2021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patent related costs are expensed to selling, general and administrative expenses when incurred as recoverability of such expenditures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i/>
          <w:color w:val="000000"/>
          <w:sz w:val="20"/>
        </w:rPr>
        <w:t>Leases</w:t>
      </w:r>
      <w:r>
        <w:rPr>
          <w:color w:val="000000"/>
        </w:rPr>
        <w:t xml:space="preserve">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Company leases certain assets under operating and finance leases, which consist of real estate leases, laboratory equipment leases and office equipment leases as of December 31, 2023. The Company accounts for lease obligations in accordance with ASU 2016-02:</w:t>
      </w:r>
      <w:r>
        <w:rPr>
          <w:color w:val="000000"/>
        </w:rPr>
        <w:t xml:space="preserve">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xml:space="preserve">, which requires a lessee to recognize a right-of-use asset and a lease liability on its balance sheet for most leases.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operating leases provide for renewal options, which can vary by lease. The right-of-use asset and lease liabilities on the Company’s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used in the calculation of the Company’s right-of-use asset and lease liability was determined based on the stated rate within each contract when available, or the Company’s collateralized borrowing rate from lending institutions.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made any residual value guarantees related to its leases; therefore, the Company has no corresponding liability recorded on its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share-based payments, including grants of stock option awards and restricted stock unit awards, are recognized in the Company’s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to be used in the valuation of the options. Actual results, and future changes in estimates, may differ substantially from the Company’s current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and Deferred Financing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relates to the PhaRMA Notes (Note 8), royalty financing obligations (Note 8), the secured term loan borrowings under the Athyrium Credit Agreement (Note 9), and during 2023, the term loan borrowings under the Pharmakon Loan Agreement (Note 9).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 </w:t>
      </w:r>
    </w:p>
    <w:p>
      <w:pPr>
        <w:pStyle w:val="TextBody"/>
        <w:bidi w:val="0"/>
        <w:spacing w:lineRule="auto" w:line="288" w:before="240" w:after="283"/>
        <w:jc w:val="left"/>
        <w:rPr/>
      </w:pPr>
      <w:r>
        <w:rPr>
          <w:rFonts w:ascii="Times New Roman;sans-serif" w:hAnsi="Times New Roman;sans-serif"/>
          <w:b/>
          <w:i/>
          <w:color w:val="000000"/>
          <w:sz w:val="20"/>
        </w:rPr>
        <w:t>Interest Expense and Royalty Financing Obligations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 income in each of the jurisdictions in which the Company operates and the period over which its deferred tax assets will be recoverable.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2021, the Company began accruing for U.S. state taxes and foreign income taxes as a result of increased nexus in both U.S. state and foreign jurisdictions where historically the Company had no presence.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starting in 2022, amendments to Section 174 of the Internal Revenue Code of 1986, as amended (“IRC”), will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fifteen in the case of development conducted on foreign soil.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currencies of the Company’s foreign subsidiaries primarily are the local currencies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Consolidated Statement of Comprehensive Loss.</w:t>
      </w:r>
    </w:p>
    <w:p>
      <w:pPr>
        <w:pStyle w:val="TextBody"/>
        <w:bidi w:val="0"/>
        <w:spacing w:lineRule="auto" w:line="288" w:before="240" w:after="283"/>
        <w:jc w:val="left"/>
        <w:rPr/>
      </w:pPr>
      <w:r>
        <w:rPr>
          <w:rFonts w:ascii="Times New Roman;sans-serif" w:hAnsi="Times New Roman;sans-serif"/>
          <w:b/>
          <w:i/>
          <w:color w:val="000000"/>
          <w:sz w:val="20"/>
        </w:rPr>
        <w:t>Net Loss Per Share</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warrants and common shares expected to be issued under the Company’s equity compensation plans would be anti-dilutive. The Company excluded the following potential common shares, presented based on amounts outstanding as of December 31, 2023 and 2022, from the computation of diluted net loss per share attributable to common stockholders because including them would have had an anti-dilutive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5403" w:type="dxa"/>
        <w:jc w:val="left"/>
        <w:tblInd w:w="0" w:type="dxa"/>
        <w:tblLayout w:type="fixed"/>
        <w:tblCellMar>
          <w:top w:w="28" w:type="dxa"/>
          <w:left w:w="28" w:type="dxa"/>
          <w:bottom w:w="28" w:type="dxa"/>
          <w:right w:w="28" w:type="dxa"/>
        </w:tblCellMar>
      </w:tblPr>
      <w:tblGrid>
        <w:gridCol w:w="1136"/>
        <w:gridCol w:w="996"/>
        <w:gridCol w:w="1002"/>
        <w:gridCol w:w="360"/>
        <w:gridCol w:w="361"/>
        <w:gridCol w:w="176"/>
        <w:gridCol w:w="138"/>
        <w:gridCol w:w="138"/>
        <w:gridCol w:w="138"/>
        <w:gridCol w:w="360"/>
        <w:gridCol w:w="361"/>
        <w:gridCol w:w="237"/>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i/>
          <w:color w:val="000000"/>
          <w:sz w:val="20"/>
        </w:rPr>
        <w:t>Accumulated Other Comprehensive Income</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There were no realized gains or losses reclassified out of accumulated other comprehensive income for the years ended December 31, 2023 and 2022. For the year ended December 31, 2021, realized gains of $1 were reclassified out of accumulated other comprehensive income.</w:t>
      </w:r>
    </w:p>
    <w:p>
      <w:pPr>
        <w:pStyle w:val="TextBody"/>
        <w:bidi w:val="0"/>
        <w:spacing w:lineRule="auto" w:line="288" w:before="240" w:after="283"/>
        <w:jc w:val="left"/>
        <w:rPr/>
      </w:pPr>
      <w:r>
        <w:rPr>
          <w:rFonts w:ascii="Times New Roman;sans-serif" w:hAnsi="Times New Roman;sans-serif"/>
          <w:b/>
          <w:i/>
          <w:color w:val="000000"/>
          <w:sz w:val="20"/>
        </w:rPr>
        <w:t>Significant Customers and Other Risks</w:t>
      </w:r>
      <w:r>
        <w:rPr>
          <w:color w:val="000000"/>
        </w:rPr>
        <w:t xml:space="preserve"> </w:t>
      </w:r>
    </w:p>
    <w:p>
      <w:pPr>
        <w:pStyle w:val="TextBody"/>
        <w:bidi w:val="0"/>
        <w:spacing w:lineRule="auto" w:line="288" w:before="240" w:after="283"/>
        <w:jc w:val="left"/>
        <w:rPr/>
      </w:pPr>
      <w:r>
        <w:rPr>
          <w:rFonts w:ascii="Times New Roman;sans-serif" w:hAnsi="Times New Roman;sans-serif"/>
          <w:b w:val="false"/>
          <w:i/>
          <w:color w:val="000000"/>
          <w:sz w:val="20"/>
        </w:rPr>
        <w:t>Significant Customers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revenue and cash flow are the sales of ORLADEYO in the United States and other global markets and, during the years ended December 31, 2022 and 2021, sales of RAPIVAB (peramivir injection) under the Company’s historical procurement contract with the Assistant Secretary for Preparedness and Response within HHS. Additionally, the Company previously received reimbursement of galidesivir (formerly BCX4430) development expenses earned under cost-plus-fixed-fee contracts with BARDA/HHS and NIAID/HHS during the years ended December 31, 2022 and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distributing ORLADEYO in other global markets directly or through distributors, except in Japan where Torii, the Company’s collaborative partner, has the exclusive right to commercialize ORLADEYO.</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relied on BARDA/HHS and NIAID/HHS to reimburse predominantly all of the development costs for its galidesivir program and stockpiling sales of RAPIVAB to HHS. Accordingly, reimbursement of these expenses represented a significant portion of the Company’s collaborative and other research and development revenues. All government funding for galidesivir expired in 2022. Additionally, HHS was the primary customer for RAPIVAB, and it exercised the remaining options for the purchase of RAPIVAB under the procurement contract with the Company during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Company’s drug development activities are performed by a limited group of third-party vendors. If any of these vendors were unable to perform its services, this could significantly impact the Company’s ability to complete its drug development activities. </w:t>
      </w:r>
    </w:p>
    <w:p>
      <w:pPr>
        <w:pStyle w:val="TextBody"/>
        <w:bidi w:val="0"/>
        <w:spacing w:lineRule="auto" w:line="288" w:before="240" w:after="283"/>
        <w:jc w:val="left"/>
        <w:rPr/>
      </w:pPr>
      <w:r>
        <w:rPr>
          <w:rFonts w:ascii="Times New Roman;sans-serif" w:hAnsi="Times New Roman;sans-serif"/>
          <w:b w:val="false"/>
          <w:i/>
          <w:color w:val="000000"/>
          <w:sz w:val="20"/>
        </w:rPr>
        <w:t>Risks from Third-Party Manufacturing and Distribution Concentration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val="false"/>
          <w:i/>
          <w:color w:val="000000"/>
          <w:sz w:val="20"/>
        </w:rPr>
        <w:t>Credit Risk</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receivables from collaborations are due from the U.S. Government, for which there is no assumed credit risk.</w:t>
      </w:r>
    </w:p>
    <w:p>
      <w:pPr>
        <w:pStyle w:val="TextBody"/>
        <w:bidi w:val="0"/>
        <w:spacing w:lineRule="auto" w:line="288" w:before="240" w:after="283"/>
        <w:jc w:val="left"/>
        <w:rPr/>
      </w:pPr>
      <w:r>
        <w:rPr>
          <w:rFonts w:ascii="Times New Roman;sans-serif" w:hAnsi="Times New Roman;sans-serif"/>
          <w:b/>
          <w:i/>
          <w:color w:val="000000"/>
          <w:sz w:val="20"/>
        </w:rPr>
        <w:t>Recently Adopted Accounting Pronouncements</w:t>
      </w:r>
      <w:r>
        <w:rPr>
          <w:color w:val="000000"/>
        </w:rPr>
        <w:t xml:space="preserve">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In December 2020, the FASB issued ASU No. 2019-12 (ASC Topic 740), </w:t>
      </w:r>
      <w:r>
        <w:rPr>
          <w:rFonts w:ascii="Times New Roman;sans-serif" w:hAnsi="Times New Roman;sans-serif"/>
          <w:b w:val="false"/>
          <w:i/>
          <w:color w:val="000000"/>
          <w:sz w:val="20"/>
        </w:rPr>
        <w:t>Simplifying the Accounting for Income Taxes</w:t>
      </w:r>
      <w:r>
        <w:rPr>
          <w:rFonts w:ascii="Times New Roman;sans-serif" w:hAnsi="Times New Roman;sans-serif"/>
          <w:b w:val="false"/>
          <w:color w:val="000000"/>
          <w:sz w:val="20"/>
        </w:rPr>
        <w:t xml:space="preserve">. ASU 2019-12 simplifies accounting for income taxes by removing certain exceptions to the general principles and clarifying existing guidance. This standard is effective for fiscal years, and interim periods within those years, beginning after December 15, 2020. The Company adopted ASU No. 2019-12 as of January 1, 2021. The adoption of this standard did not have a material impact to the Company’s financial position, results of operations or cash flows.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New Accounting Pronouncements Not Yet Adopted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new accounting pronouncements that were issued as of December 31, 2023 and does not believe that these pronouncements are either applicable to the Company, or that they will have a material impact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w:t>
      </w:r>
      <w:r>
        <w:rPr>
          <w:rFonts w:ascii="Times New Roman;sans-serif" w:hAnsi="Times New Roman;sans-serif"/>
          <w:b/>
          <w:color w:val="000000"/>
          <w:sz w:val="20"/>
        </w:rPr>
        <w:t>Revenue</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following revenues for the years ended December 31 (in thousands): </w:t>
      </w:r>
    </w:p>
    <w:tbl>
      <w:tblPr>
        <w:tblW w:w="5786" w:type="dxa"/>
        <w:jc w:val="left"/>
        <w:tblInd w:w="0" w:type="dxa"/>
        <w:tblLayout w:type="fixed"/>
        <w:tblCellMar>
          <w:top w:w="28" w:type="dxa"/>
          <w:left w:w="28" w:type="dxa"/>
          <w:bottom w:w="28" w:type="dxa"/>
          <w:right w:w="28" w:type="dxa"/>
        </w:tblCellMar>
      </w:tblPr>
      <w:tblGrid>
        <w:gridCol w:w="597"/>
        <w:gridCol w:w="525"/>
        <w:gridCol w:w="527"/>
        <w:gridCol w:w="211"/>
        <w:gridCol w:w="826"/>
        <w:gridCol w:w="109"/>
        <w:gridCol w:w="109"/>
        <w:gridCol w:w="109"/>
        <w:gridCol w:w="109"/>
        <w:gridCol w:w="211"/>
        <w:gridCol w:w="82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ORLADEYO:</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ORLADEYO</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ORLADEYO revenues represent total revenues from product sales, collaborative revenues and royalties. Royalty revenue from sales of ORLADEYO in Japan by the Company’s collaborative partner, Torii, were $2,178, $1,944, and $690 for the years ended December 31, 2023, 2022, and 2021 respectively.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primarily relate to the Company’s product sales and royalties for peramivir injection (RAPIVAB/RAPIACTA/PERAMIFLU), and for the years ended December 31, 2022 and 2021, galidesivir development contracts with BARDA/HHS and NIAID/HHS. Other revenues for the year ended December 31, 2021 also includes milestone revenue of $15,000 upon receipt from the Japanese National Health Insurance System (“NHI”) of a reimbursement price approval for ORLADEYO.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color w:val="000000"/>
          <w:sz w:val="20"/>
        </w:rPr>
        <w:t>Note 3</w:t>
      </w:r>
      <w:r>
        <w:rPr>
          <w:color w:val="000000"/>
        </w:rPr>
        <w:t xml:space="preserve">— </w:t>
      </w:r>
      <w:r>
        <w:rPr>
          <w:rFonts w:ascii="Times New Roman;sans-serif" w:hAnsi="Times New Roman;sans-serif"/>
          <w:b/>
          <w:color w:val="000000"/>
          <w:sz w:val="20"/>
        </w:rPr>
        <w:t>Investments</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were as follows (in thousands):</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valuation techniques during the years ended December 31, 2023 and 2022. There were no liabilities measured at fair value on a recurring basis as of December 31, 2023 and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11 securities with a total estimated fair market value of $18,513 in an unrealized loss position. The Company believes the individual unrealized losses represent temporary declines primarily resulting from interest rate changes. The Company does not have intent to sell these investments, and it is more likely than not that the investments will be held until recovery of their amortized cost basis. As such, no allowance was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fair value of the Company’s investments by type (in thousands): </w:t>
      </w:r>
    </w:p>
    <w:tbl>
      <w:tblPr>
        <w:tblW w:w="10205" w:type="dxa"/>
        <w:jc w:val="left"/>
        <w:tblInd w:w="0" w:type="dxa"/>
        <w:tblLayout w:type="fixed"/>
        <w:tblCellMar>
          <w:top w:w="28" w:type="dxa"/>
          <w:left w:w="28" w:type="dxa"/>
          <w:bottom w:w="28" w:type="dxa"/>
          <w:right w:w="28" w:type="dxa"/>
        </w:tblCellMar>
      </w:tblPr>
      <w:tblGrid>
        <w:gridCol w:w="800"/>
        <w:gridCol w:w="702"/>
        <w:gridCol w:w="706"/>
        <w:gridCol w:w="229"/>
        <w:gridCol w:w="900"/>
        <w:gridCol w:w="118"/>
        <w:gridCol w:w="109"/>
        <w:gridCol w:w="109"/>
        <w:gridCol w:w="109"/>
        <w:gridCol w:w="285"/>
        <w:gridCol w:w="631"/>
        <w:gridCol w:w="149"/>
        <w:gridCol w:w="109"/>
        <w:gridCol w:w="109"/>
        <w:gridCol w:w="109"/>
        <w:gridCol w:w="385"/>
        <w:gridCol w:w="851"/>
        <w:gridCol w:w="199"/>
        <w:gridCol w:w="109"/>
        <w:gridCol w:w="109"/>
        <w:gridCol w:w="109"/>
        <w:gridCol w:w="441"/>
        <w:gridCol w:w="786"/>
        <w:gridCol w:w="229"/>
        <w:gridCol w:w="109"/>
        <w:gridCol w:w="109"/>
        <w:gridCol w:w="109"/>
        <w:gridCol w:w="261"/>
        <w:gridCol w:w="1025"/>
        <w:gridCol w:w="200"/>
      </w:tblGrid>
      <w:tr>
        <w:trPr/>
        <w:tc>
          <w:tcPr>
            <w:tcW w:w="8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800"/>
        <w:gridCol w:w="702"/>
        <w:gridCol w:w="706"/>
        <w:gridCol w:w="229"/>
        <w:gridCol w:w="900"/>
        <w:gridCol w:w="118"/>
        <w:gridCol w:w="109"/>
        <w:gridCol w:w="109"/>
        <w:gridCol w:w="109"/>
        <w:gridCol w:w="285"/>
        <w:gridCol w:w="631"/>
        <w:gridCol w:w="149"/>
        <w:gridCol w:w="109"/>
        <w:gridCol w:w="109"/>
        <w:gridCol w:w="109"/>
        <w:gridCol w:w="417"/>
        <w:gridCol w:w="802"/>
        <w:gridCol w:w="216"/>
        <w:gridCol w:w="109"/>
        <w:gridCol w:w="109"/>
        <w:gridCol w:w="109"/>
        <w:gridCol w:w="321"/>
        <w:gridCol w:w="968"/>
        <w:gridCol w:w="168"/>
        <w:gridCol w:w="109"/>
        <w:gridCol w:w="109"/>
        <w:gridCol w:w="109"/>
        <w:gridCol w:w="261"/>
        <w:gridCol w:w="1025"/>
        <w:gridCol w:w="199"/>
      </w:tblGrid>
      <w:tr>
        <w:trPr/>
        <w:tc>
          <w:tcPr>
            <w:tcW w:w="8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maturity for the Company’s investments at December 31, 2023 and 2022 (in thousands):</w:t>
      </w:r>
    </w:p>
    <w:tbl>
      <w:tblPr>
        <w:tblW w:w="6189" w:type="dxa"/>
        <w:jc w:val="left"/>
        <w:tblInd w:w="0" w:type="dxa"/>
        <w:tblLayout w:type="fixed"/>
        <w:tblCellMar>
          <w:top w:w="28" w:type="dxa"/>
          <w:left w:w="28" w:type="dxa"/>
          <w:bottom w:w="28" w:type="dxa"/>
          <w:right w:w="28" w:type="dxa"/>
        </w:tblCellMar>
      </w:tblPr>
      <w:tblGrid>
        <w:gridCol w:w="1277"/>
        <w:gridCol w:w="1122"/>
        <w:gridCol w:w="1126"/>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4</w:t>
      </w:r>
      <w:r>
        <w:rPr>
          <w:color w:val="000000"/>
        </w:rPr>
        <w:t xml:space="preserve">— </w:t>
      </w:r>
      <w:r>
        <w:rPr>
          <w:rFonts w:ascii="Times New Roman;sans-serif" w:hAnsi="Times New Roman;sans-serif"/>
          <w:b/>
          <w:color w:val="000000"/>
          <w:sz w:val="20"/>
        </w:rPr>
        <w:t>Trade Receivables</w:t>
      </w:r>
      <w:r>
        <w:rPr>
          <w:color w:val="000000"/>
        </w:rPr>
        <w:t xml:space="preserve"> </w:t>
      </w:r>
    </w:p>
    <w:p>
      <w:pPr>
        <w:pStyle w:val="TextBody"/>
        <w:bidi w:val="0"/>
        <w:spacing w:lineRule="auto" w:line="288" w:before="240" w:after="283"/>
        <w:jc w:val="left"/>
        <w:rPr/>
      </w:pPr>
      <w:r>
        <w:rPr>
          <w:rFonts w:ascii="Times New Roman;sans-serif" w:hAnsi="Times New Roman;sans-serif"/>
          <w:b/>
          <w:i/>
          <w:color w:val="000000"/>
          <w:sz w:val="20"/>
        </w:rPr>
        <w:t>Product Sales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product sales are recorded for amounts due to the Company related to sales of ORLADEYO and RAPIVAB. At December 31, 2023 and 2022, receivables, net of reserves, related to sales of ORLADEYO were $54,149 and $41,508, respectively. A returns reserve related to sales of ORLADEYO of $288 was recorded as of December 31, 2023. No reserve or allowance amounts were recorded as of December 31, 2022 related to sales of ORLADEYO. At December 31, 2023 and 2022, receivables related to sales of RAPIVAB were $505 and $823, respectively. No reserve or allowance amounts were recorded as of December 31, 2023 and 2022, related to sales of RAPIVAB.</w:t>
      </w:r>
    </w:p>
    <w:p>
      <w:pPr>
        <w:pStyle w:val="TextBody"/>
        <w:bidi w:val="0"/>
        <w:spacing w:lineRule="auto" w:line="288" w:before="240" w:after="283"/>
        <w:jc w:val="left"/>
        <w:rPr/>
      </w:pPr>
      <w:r>
        <w:rPr>
          <w:rFonts w:ascii="Times New Roman;sans-serif" w:hAnsi="Times New Roman;sans-serif"/>
          <w:b/>
          <w:i/>
          <w:color w:val="000000"/>
          <w:sz w:val="20"/>
        </w:rPr>
        <w:t>Collaborations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from collaborations were as follows (in thousands): </w:t>
      </w:r>
    </w:p>
    <w:tbl>
      <w:tblPr>
        <w:tblW w:w="6341" w:type="dxa"/>
        <w:jc w:val="left"/>
        <w:tblInd w:w="0" w:type="dxa"/>
        <w:tblLayout w:type="fixed"/>
        <w:tblCellMar>
          <w:top w:w="28" w:type="dxa"/>
          <w:left w:w="28" w:type="dxa"/>
          <w:bottom w:w="28" w:type="dxa"/>
          <w:right w:w="28" w:type="dxa"/>
        </w:tblCellMar>
      </w:tblPr>
      <w:tblGrid>
        <w:gridCol w:w="1102"/>
        <w:gridCol w:w="970"/>
        <w:gridCol w:w="972"/>
        <w:gridCol w:w="211"/>
        <w:gridCol w:w="406"/>
        <w:gridCol w:w="109"/>
        <w:gridCol w:w="109"/>
        <w:gridCol w:w="109"/>
        <w:gridCol w:w="109"/>
        <w:gridCol w:w="211"/>
        <w:gridCol w:w="616"/>
        <w:gridCol w:w="109"/>
        <w:gridCol w:w="109"/>
        <w:gridCol w:w="109"/>
        <w:gridCol w:w="109"/>
        <w:gridCol w:w="211"/>
        <w:gridCol w:w="61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collaborators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7671" w:type="dxa"/>
        <w:jc w:val="left"/>
        <w:tblInd w:w="0" w:type="dxa"/>
        <w:tblLayout w:type="fixed"/>
        <w:tblCellMar>
          <w:top w:w="28" w:type="dxa"/>
          <w:left w:w="28" w:type="dxa"/>
          <w:bottom w:w="28" w:type="dxa"/>
          <w:right w:w="28" w:type="dxa"/>
        </w:tblCellMar>
      </w:tblPr>
      <w:tblGrid>
        <w:gridCol w:w="1548"/>
        <w:gridCol w:w="1359"/>
        <w:gridCol w:w="1367"/>
        <w:gridCol w:w="211"/>
        <w:gridCol w:w="616"/>
        <w:gridCol w:w="109"/>
        <w:gridCol w:w="109"/>
        <w:gridCol w:w="109"/>
        <w:gridCol w:w="109"/>
        <w:gridCol w:w="221"/>
        <w:gridCol w:w="489"/>
        <w:gridCol w:w="116"/>
        <w:gridCol w:w="109"/>
        <w:gridCol w:w="109"/>
        <w:gridCol w:w="109"/>
        <w:gridCol w:w="211"/>
        <w:gridCol w:w="61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collaborations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collaborators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reserve related to royalties from collaborations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5</w:t>
      </w:r>
      <w:r>
        <w:rPr>
          <w:color w:val="000000"/>
        </w:rPr>
        <w:t xml:space="preserve">— </w:t>
      </w:r>
      <w:r>
        <w:rPr>
          <w:rFonts w:ascii="Times New Roman;sans-serif" w:hAnsi="Times New Roman;sans-serif"/>
          <w:b/>
          <w:color w:val="000000"/>
          <w:sz w:val="20"/>
        </w:rPr>
        <w:t>Inventory</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the Company’s inventory primarily related to ORLADEYO. Additionally, inventory included RAPIVAB and peramivir, which is manufactured for the Company’s partners.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inventories consisted of the following (in thousands): </w:t>
      </w:r>
    </w:p>
    <w:tbl>
      <w:tblPr>
        <w:tblW w:w="4194" w:type="dxa"/>
        <w:jc w:val="left"/>
        <w:tblInd w:w="0" w:type="dxa"/>
        <w:tblLayout w:type="fixed"/>
        <w:tblCellMar>
          <w:top w:w="28" w:type="dxa"/>
          <w:left w:w="28" w:type="dxa"/>
          <w:bottom w:w="28" w:type="dxa"/>
          <w:right w:w="28" w:type="dxa"/>
        </w:tblCellMar>
      </w:tblPr>
      <w:tblGrid>
        <w:gridCol w:w="630"/>
        <w:gridCol w:w="552"/>
        <w:gridCol w:w="558"/>
        <w:gridCol w:w="211"/>
        <w:gridCol w:w="721"/>
        <w:gridCol w:w="109"/>
        <w:gridCol w:w="109"/>
        <w:gridCol w:w="109"/>
        <w:gridCol w:w="109"/>
        <w:gridCol w:w="211"/>
        <w:gridCol w:w="72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and 2022, the Company evaluated its inventory levels and associated expiration dating relative to the latest sales forecasts for ORLADEYO, RAPIVAB and peramivir and recorded estimated inventory valuation reserves for those inventories at risk of obsolescence.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6</w:t>
      </w:r>
      <w:r>
        <w:rPr>
          <w:color w:val="000000"/>
        </w:rPr>
        <w:t xml:space="preserve">— </w:t>
      </w:r>
      <w:r>
        <w:rPr>
          <w:rFonts w:ascii="Times New Roman;sans-serif" w:hAnsi="Times New Roman;sans-serif"/>
          <w:b/>
          <w:color w:val="000000"/>
          <w:sz w:val="20"/>
        </w:rPr>
        <w:t>Property and Equipment</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consisted of the following (in thousands): </w:t>
      </w:r>
    </w:p>
    <w:tbl>
      <w:tblPr>
        <w:tblW w:w="6504" w:type="dxa"/>
        <w:jc w:val="left"/>
        <w:tblInd w:w="0" w:type="dxa"/>
        <w:tblLayout w:type="fixed"/>
        <w:tblCellMar>
          <w:top w:w="28" w:type="dxa"/>
          <w:left w:w="28" w:type="dxa"/>
          <w:bottom w:w="28" w:type="dxa"/>
          <w:right w:w="28" w:type="dxa"/>
        </w:tblCellMar>
      </w:tblPr>
      <w:tblGrid>
        <w:gridCol w:w="1466"/>
        <w:gridCol w:w="1288"/>
        <w:gridCol w:w="1296"/>
        <w:gridCol w:w="211"/>
        <w:gridCol w:w="721"/>
        <w:gridCol w:w="109"/>
        <w:gridCol w:w="109"/>
        <w:gridCol w:w="109"/>
        <w:gridCol w:w="109"/>
        <w:gridCol w:w="211"/>
        <w:gridCol w:w="721"/>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2023, 2022, and 2021 was $1,655, $1,437, and $777, respectively. The Company recorded an impairment loss of $1,548 and contract termination fees of $440 related to the discontinuation of the Birmingham research facilities expansion, which has been recognized in research and development expenses during the year ended December 31, 2023. The Company did not record any impairment losses during the years ended December 31,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color w:val="000000"/>
          <w:sz w:val="20"/>
        </w:rPr>
        <w:t>Note 7</w:t>
      </w:r>
      <w:r>
        <w:rPr>
          <w:color w:val="000000"/>
        </w:rPr>
        <w:t xml:space="preserve">— </w:t>
      </w:r>
      <w:r>
        <w:rPr>
          <w:rFonts w:ascii="Times New Roman;sans-serif" w:hAnsi="Times New Roman;sans-serif"/>
          <w:b/>
          <w:color w:val="000000"/>
          <w:sz w:val="20"/>
        </w:rPr>
        <w:t>Accrued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consisted of the following (in thousands): </w:t>
      </w:r>
    </w:p>
    <w:tbl>
      <w:tblPr>
        <w:tblW w:w="7089" w:type="dxa"/>
        <w:jc w:val="left"/>
        <w:tblInd w:w="0" w:type="dxa"/>
        <w:tblLayout w:type="fixed"/>
        <w:tblCellMar>
          <w:top w:w="28" w:type="dxa"/>
          <w:left w:w="28" w:type="dxa"/>
          <w:bottom w:w="28" w:type="dxa"/>
          <w:right w:w="28" w:type="dxa"/>
        </w:tblCellMar>
      </w:tblPr>
      <w:tblGrid>
        <w:gridCol w:w="1640"/>
        <w:gridCol w:w="1443"/>
        <w:gridCol w:w="1447"/>
        <w:gridCol w:w="211"/>
        <w:gridCol w:w="826"/>
        <w:gridCol w:w="109"/>
        <w:gridCol w:w="109"/>
        <w:gridCol w:w="109"/>
        <w:gridCol w:w="109"/>
        <w:gridCol w:w="211"/>
        <w:gridCol w:w="72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Revenue-related reserves for discounts and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8</w:t>
      </w:r>
      <w:r>
        <w:rPr>
          <w:color w:val="000000"/>
        </w:rPr>
        <w:t xml:space="preserve">— </w:t>
      </w:r>
      <w:r>
        <w:rPr>
          <w:rFonts w:ascii="Times New Roman;sans-serif" w:hAnsi="Times New Roman;sans-serif"/>
          <w:b/>
          <w:color w:val="000000"/>
          <w:sz w:val="20"/>
        </w:rPr>
        <w:t>Royalty Financing Obligations</w:t>
      </w:r>
      <w:r>
        <w:rPr>
          <w:color w:val="000000"/>
        </w:rPr>
        <w:t xml:space="preserve"> </w:t>
      </w:r>
    </w:p>
    <w:p>
      <w:pPr>
        <w:pStyle w:val="TextBody"/>
        <w:bidi w:val="0"/>
        <w:spacing w:lineRule="auto" w:line="288" w:before="240" w:after="283"/>
        <w:jc w:val="left"/>
        <w:rPr/>
      </w:pPr>
      <w:r>
        <w:rPr>
          <w:rFonts w:ascii="Times New Roman;sans-serif" w:hAnsi="Times New Roman;sans-serif"/>
          <w:b/>
          <w:i/>
          <w:color w:val="000000"/>
          <w:sz w:val="20"/>
        </w:rPr>
        <w:t>ORLADEYO and Factor D Inhibitors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annual net sales above $3,000,000. RPI is also entitled to receive tiered profit share amounts of up to 3.0% from certain other permitted sales in certain other markets.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royalties payable under the 2021 RPI Royalty Purchase Agreement are in addition to the royalties payable to RPI under the 2020 RPI Royalty Purchase Agreement.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OMERS Royalty Purchase Agreement, commencing with the calendar quarter beginning October 1, 2023, OMERS is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For each calendar quarter beginning on or after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transactions contemplated by each of the Royalty Purchase Agreements are referred to herein as the “Royalty Sales.”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9 herein) through its payoff and termination on April 17, 2023 or, subsequent to that date and the Pharmakon Loan Agreement (as defined in Note 9 herein), as applicable. See “Note 9—Debt”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liability. In such case of excess payments relative to interest accretion for the next twelve months, the excess payments are considered to be a short-term liability and classified within current liabilities on the Company’s Consolidated Balance Sheets.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adjusted its forecasts related to its BCX10013 program and updated its ORLADEYO forecast based on actual results for the year ended December 31, 2023. The primary factors that impacted forecasts on the BCX10013 development program were development delays, reduced probability of success, reduced pricing assumptions and reduced market share assumptions. These adjustments impacted the amount and timing of expected royalties to be made under the Royalty Purchase Agreements. As a result, the effective interest rate related to the 2020 RPI Royalty Purchase Agreement decreased from 22.4% to 22.3%, the effective interest rate related to the 2021 RPI Royalty Purchase Agreement decreased from 13.1% to 0.0%, and the effective interest rate related to the OMERS Royalty Purchase Agreement decreased from 10.6% to 10.0%.</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within the Royalty financing obligations account (in thousands) as well as the effective interest rate as of December 31, 2023: </w:t>
      </w:r>
    </w:p>
    <w:tbl>
      <w:tblPr>
        <w:tblW w:w="10205" w:type="dxa"/>
        <w:jc w:val="left"/>
        <w:tblInd w:w="0" w:type="dxa"/>
        <w:tblLayout w:type="fixed"/>
        <w:tblCellMar>
          <w:top w:w="28" w:type="dxa"/>
          <w:left w:w="28" w:type="dxa"/>
          <w:bottom w:w="28" w:type="dxa"/>
          <w:right w:w="28" w:type="dxa"/>
        </w:tblCellMar>
      </w:tblPr>
      <w:tblGrid>
        <w:gridCol w:w="1077"/>
        <w:gridCol w:w="851"/>
        <w:gridCol w:w="857"/>
        <w:gridCol w:w="283"/>
        <w:gridCol w:w="1111"/>
        <w:gridCol w:w="364"/>
        <w:gridCol w:w="109"/>
        <w:gridCol w:w="109"/>
        <w:gridCol w:w="109"/>
        <w:gridCol w:w="283"/>
        <w:gridCol w:w="1111"/>
        <w:gridCol w:w="364"/>
        <w:gridCol w:w="109"/>
        <w:gridCol w:w="109"/>
        <w:gridCol w:w="109"/>
        <w:gridCol w:w="278"/>
        <w:gridCol w:w="1091"/>
        <w:gridCol w:w="358"/>
        <w:gridCol w:w="109"/>
        <w:gridCol w:w="109"/>
        <w:gridCol w:w="109"/>
        <w:gridCol w:w="211"/>
        <w:gridCol w:w="826"/>
        <w:gridCol w:w="159"/>
      </w:tblGrid>
      <w:tr>
        <w:trPr/>
        <w:tc>
          <w:tcPr>
            <w:tcW w:w="10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2020 RPI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2021 RPI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OMERS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Royalty sale: Royalty financing obligations, net of issuance costs</w:t>
            </w:r>
          </w:p>
        </w:tc>
        <w:tc>
          <w:tcPr>
            <w:tcW w:w="1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38,267 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17,901 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(28,768)</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174,480 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185,345 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171,774 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left"/>
              <w:rPr>
                <w:color w:val="000000"/>
              </w:rPr>
            </w:pPr>
            <w:r>
              <w:rPr>
                <w:color w:val="000000"/>
              </w:rPr>
              <w:t> </w:t>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issuance costs pursuant to the Royalty financing obligations, which consist primarily of advisory and legal fees, totaled $8,532 as of December 31, 2023 and 2022. The Royalty financing obligations liabilities and the associated deferred issuance costs are amortized using the effective interest method over the term of the arrangement.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See “Note 11—Stockholders’ Equity” for further details on the common stock sale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RAPIACTA </w:t>
      </w:r>
    </w:p>
    <w:p>
      <w:pPr>
        <w:pStyle w:val="TextBody"/>
        <w:bidi w:val="0"/>
        <w:spacing w:lineRule="auto" w:line="288" w:before="240" w:after="283"/>
        <w:jc w:val="left"/>
        <w:rPr/>
      </w:pPr>
      <w:r>
        <w:rPr>
          <w:rFonts w:ascii="Times New Roman;sans-serif" w:hAnsi="Times New Roman;sans-serif"/>
          <w:b w:val="false"/>
          <w:i/>
          <w:color w:val="000000"/>
          <w:sz w:val="20"/>
        </w:rPr>
        <w:t>Overview</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9, 2011, the Company completed a $30,000 financing transaction to monetize certain future royalty and milestone payments under the Company’s agreement (the “Shionogi Agreement”) with Shionogi &amp; Co., Ltd. (“Shionogi”), pursuant to which Shionogi licensed from the Company the rights to market RAPIACTA in Japan and Taiwan. The Company received net proceeds of $22,691 from the transaction.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transaction, the Company entered into a purchase and sale agreement dated as of March 9, 2011 with JPR Royalty Sub LLC, a wholly-owned subsidiary of the Company (“Royalty Sub”), whereby the Company transferred to Royalty Sub, among other things, its rights to receive certain royalty and milestone payments from Shionogi arising under the Shionogi Agreement. Royalty payments are paid by Shionogi in Japanese Yen, and any milestone payments will be paid in U.S. dollars. The Company’s collaboration with Shionogi was not impacted as a result of this transaction. </w:t>
      </w:r>
    </w:p>
    <w:p>
      <w:pPr>
        <w:pStyle w:val="TextBody"/>
        <w:bidi w:val="0"/>
        <w:spacing w:lineRule="auto" w:line="288" w:before="240" w:after="283"/>
        <w:jc w:val="left"/>
        <w:rPr/>
      </w:pPr>
      <w:r>
        <w:rPr>
          <w:rFonts w:ascii="Times New Roman;sans-serif" w:hAnsi="Times New Roman;sans-serif"/>
          <w:b w:val="false"/>
          <w:i/>
          <w:color w:val="000000"/>
          <w:sz w:val="20"/>
        </w:rPr>
        <w:t>Non-Recourse Notes Payable</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2011, Royalty Sub completed a private placement to institutional investors of $30,000 in aggregate principal amount of its PhaRMA Senior Secured 14%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The PhaRMA Notes bear interest at 14% per annum, payable annually in arrears on September 1st of each year. The Company remains entitled to receive any royalties and milestone payments related to sales of peramivir by Shionogi following repayment of the PhaRMA Notes. 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December 1, 2020, at which time the outstanding principal amount of the PhaRMA Notes of $30,000, together with accrued and unpaid interest of $20,614, was due in full.</w:t>
      </w:r>
    </w:p>
    <w:p>
      <w:pPr>
        <w:pStyle w:val="TextBody"/>
        <w:bidi w:val="0"/>
        <w:spacing w:lineRule="auto" w:line="288" w:before="240" w:after="283"/>
        <w:jc w:val="left"/>
        <w:rPr/>
      </w:pPr>
      <w:r>
        <w:rPr>
          <w:rFonts w:ascii="Times New Roman;sans-serif" w:hAnsi="Times New Roman;sans-serif"/>
          <w:b w:val="false"/>
          <w:i/>
          <w:color w:val="000000"/>
          <w:sz w:val="20"/>
        </w:rPr>
        <w:t xml:space="preserve">Non-Recourse Notes Payable </w:t>
      </w:r>
      <w:r>
        <w:rPr>
          <w:color w:val="000000"/>
        </w:rPr>
        <w:t xml:space="preserve">– </w:t>
      </w:r>
      <w:r>
        <w:rPr>
          <w:rFonts w:ascii="Times New Roman;sans-serif" w:hAnsi="Times New Roman;sans-serif"/>
          <w:b w:val="false"/>
          <w:i/>
          <w:color w:val="000000"/>
          <w:sz w:val="20"/>
        </w:rPr>
        <w:t>Debt Extinguishment</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royalty-bearing patents associated with RAPIACTA in Japan expired. Accordingly, the Company evaluated the current circumstances of the PhaRMA Notes, including (i) their non-recourse nature relative to the Company, (ii) the current state of default since September 1, 2014 and the legal maturity on December 1, 2020 and (iii) the loss of patent protection relative to RAPIACTA in Japan, upon which any significant repayment of the PhaRMA Notes is predicated. As a result, the Company determined that it was no longer the financial obligor, and as a result, the principal balance of $30,000 and associated accrued interest payable balance of $25,838 were written off, resulting in a gain on extinguishment recorded in other income (expense) for the year ended December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9</w:t>
      </w:r>
      <w:r>
        <w:rPr>
          <w:color w:val="000000"/>
        </w:rPr>
        <w:t xml:space="preserve">— </w:t>
      </w:r>
      <w:r>
        <w:rPr>
          <w:rFonts w:ascii="Times New Roman;sans-serif" w:hAnsi="Times New Roman;sans-serif"/>
          <w:b/>
          <w:color w:val="000000"/>
          <w:sz w:val="20"/>
        </w:rPr>
        <w:t>Debt</w:t>
      </w:r>
      <w:r>
        <w:rPr>
          <w:color w:val="000000"/>
        </w:rPr>
        <w:t xml:space="preserv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also provides for three additional term loan tranches, at the Company’s option, in principal amounts of $50,000 each (each a “Subsequent Tranche Loan” and, collectively with the Tranche A Loan, the “Pharmakon Term Loans” and each, a “Pharmakon Term Loan”), which may be requested on or prior to September 30, 2024. The maturity date of the Pharmakon Loan Agreement is April 17, 2028 (the “Maturity Date”), the fifth anniversary of the Tranche A Closing Date.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has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Tranche A Loan accrued interest at an effective interest rate of 13.30% for the year ended December 31, 2023.</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upon the drawing of any Subsequent Tranche Loan, certain funding fees are required to be paid.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Pharmakon Loan Agreement are secured by a security interest in, subject to certain exceptions, substantially all of the Company’s assets.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total borrowings of $300,000 under the Pharmakon Loan Agreement. Interest expense on the Tranche A Loan for the year ended December 31, 2023 totaled $27,326. As allowable under the Pharmakon Loan Agreement, the Company has designated and accounted for 50% of the quarterly interest payments for the year ended December 31, 2023 as a Pharmakon PIK Interest Payment and the amount of $13,663 has been added to the outstanding principal balance of the borrowing. The remaining 50% of the quarterly interest payments of $13,663 have been paid at the end of each quarterly period. As of December 31, 2023, borrowings, including the Pharmakon PIK Interest Payments, totaled $313,663. The fair value of the debt approximates its carrying value based on prevailing interest rates as of the balance sheet date and is considered as Level 2 in the fair value hierarchy.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Incurred debt fees and issuance costs associated with the Tranche A Loan under the Pharmakon Loan Agreement totaled $11,147 and have been deferred and are being amortized as interest expense on an effective interest rate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the remaining term of the Tranche A Loan. Deferred financing amortization of $715 was recognized for the year ended December 31, 2023.</w:t>
      </w:r>
    </w:p>
    <w:p>
      <w:pPr>
        <w:pStyle w:val="TextBody"/>
        <w:bidi w:val="0"/>
        <w:spacing w:lineRule="auto" w:line="288" w:before="200" w:after="283"/>
        <w:jc w:val="left"/>
        <w:rPr/>
      </w:pPr>
      <w:r>
        <w:rPr>
          <w:rFonts w:ascii="Times New Roman;sans-serif" w:hAnsi="Times New Roman;sans-serif"/>
          <w:b/>
          <w:i/>
          <w:color w:val="000000"/>
          <w:sz w:val="20"/>
        </w:rPr>
        <w:t>Athyrium Credit Agreement</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The Company used a portion of the proceeds from the Term A Loan to repay $43,298 of outstanding indebtedness, including accrued interest, under its prior credit facility with MidCap Financial Trust.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Athyrium Credit Agreement also provided for two additional term loans, at the Company’s option, in the respective principal amounts of $25,000 (the “Term B Loan”) and $50,000 (the “Term C Loan” and, collectively with the Term A Loan and the Term B Loan, the “Athyrium Term Loans”). Having achieved all required revenue-based milestones, the Company exercised its option to draw upon the additional funding available under the Athyrium Credit Agreement, borrowing the principal amounts of $25,000 under the Term B Loan and $50,000 under the Term C Loan. Both the Term B Loan and the Term C Loan were funded on July 29, 2022 in the aggregate principal amount of $75,000. The Company incurred deferred debt fees and issuance costs associated with the Term B and Term C Loans of $3,428. The Term B Loan and the Term C Loan were subject to all the provisions under the Athyrium Credit Agreement.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and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financing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 8.25%, or for each interest period in which an Athyrium PIK Interest Payment was made, LIBOR plus 10.25%. The quarter ended December 31, 2022 was the last period eligible for the Athyrium PIK Interest Payment designation.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Athyrium Term Loans accrued interest at an effective interest rate of 13.71% during the period in which the debt was outstanding for the year ended 2023 compared to 12.87% for fiscal year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interest payments under the Athyrium Credit Agreement for the year ended December 31, 2023 totaled $8,476. Quarterly interest payments under the Athyrium Credit Agreement for the year ended December 31, 2022 totaled $23,387 and were designated and accounted for as Athyrium PIK Interest Payments and added to the outstanding principal balance of the borrowing. From the Athyrium Term Loans’ inception through December 31, 2022, the quarterly interest payments were designated and accounted for as Athyrium PIK Interest Payments and added to the outstanding principal balance of the borrowing. The quarter ended December 31, 2022 was the last period eligible for the Athyrium PIK Interest Payment designation. Deferred financing amortization of $1,069 and $916, and $531 was recognized for the years ended December 31, 2023, 2022, and 2021 respectively.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Athyrium Credit Agreement, upon the prepayment or repayment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 As a result, the Company incurred prepayment and final payment fees of $17,261 upon repayment of the Athyrium Term Loans. Additionally, unamortized deferred financing costs of $11,758 associated with the Athyrium Term Loans were written-off at the time of repayment. Collectively, the prepayment and final payment fees and unamortized deferred financing costs totaled $29,019 and are reflected as a one-time loss on extinguishment of debt on the Consolidated Statements of Comprehensive Loss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color w:val="000000"/>
          <w:sz w:val="20"/>
        </w:rPr>
        <w:t>Lease Obligations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assets under operating and finance leases, which consist of real estate leases, laboratory equipment leases and office equipment leases as of December 31, 2023. Renewal options for the Company’s leases range from 1 to 3 years in length and begin from 2024 through 2030.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 under operating and finance leases was as follows (in thousands):</w:t>
      </w:r>
    </w:p>
    <w:tbl>
      <w:tblPr>
        <w:tblW w:w="6744" w:type="dxa"/>
        <w:jc w:val="left"/>
        <w:tblInd w:w="0" w:type="dxa"/>
        <w:tblLayout w:type="fixed"/>
        <w:tblCellMar>
          <w:top w:w="28" w:type="dxa"/>
          <w:left w:w="28" w:type="dxa"/>
          <w:bottom w:w="28" w:type="dxa"/>
          <w:right w:w="28" w:type="dxa"/>
        </w:tblCellMar>
      </w:tblPr>
      <w:tblGrid>
        <w:gridCol w:w="1054"/>
        <w:gridCol w:w="925"/>
        <w:gridCol w:w="931"/>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information related to leases was as follows:</w:t>
      </w:r>
    </w:p>
    <w:tbl>
      <w:tblPr>
        <w:tblW w:w="6070" w:type="dxa"/>
        <w:jc w:val="left"/>
        <w:tblInd w:w="0" w:type="dxa"/>
        <w:tblLayout w:type="fixed"/>
        <w:tblCellMar>
          <w:top w:w="28" w:type="dxa"/>
          <w:left w:w="28" w:type="dxa"/>
          <w:bottom w:w="28" w:type="dxa"/>
          <w:right w:w="28" w:type="dxa"/>
        </w:tblCellMar>
      </w:tblPr>
      <w:tblGrid>
        <w:gridCol w:w="1220"/>
        <w:gridCol w:w="1074"/>
        <w:gridCol w:w="1081"/>
        <w:gridCol w:w="343"/>
        <w:gridCol w:w="273"/>
        <w:gridCol w:w="459"/>
        <w:gridCol w:w="142"/>
        <w:gridCol w:w="142"/>
        <w:gridCol w:w="142"/>
        <w:gridCol w:w="343"/>
        <w:gridCol w:w="273"/>
        <w:gridCol w:w="578"/>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years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presentation in the Consolidated Balance Sheets of the Company’s operating leases (in thousands): </w:t>
      </w:r>
    </w:p>
    <w:tbl>
      <w:tblPr>
        <w:tblW w:w="9846" w:type="dxa"/>
        <w:jc w:val="left"/>
        <w:tblInd w:w="0" w:type="dxa"/>
        <w:tblLayout w:type="fixed"/>
        <w:tblCellMar>
          <w:top w:w="28" w:type="dxa"/>
          <w:left w:w="28" w:type="dxa"/>
          <w:bottom w:w="28" w:type="dxa"/>
          <w:right w:w="28" w:type="dxa"/>
        </w:tblCellMar>
      </w:tblPr>
      <w:tblGrid>
        <w:gridCol w:w="1157"/>
        <w:gridCol w:w="1016"/>
        <w:gridCol w:w="1022"/>
        <w:gridCol w:w="1359"/>
        <w:gridCol w:w="1359"/>
        <w:gridCol w:w="1362"/>
        <w:gridCol w:w="109"/>
        <w:gridCol w:w="109"/>
        <w:gridCol w:w="109"/>
        <w:gridCol w:w="211"/>
        <w:gridCol w:w="616"/>
        <w:gridCol w:w="109"/>
        <w:gridCol w:w="109"/>
        <w:gridCol w:w="109"/>
        <w:gridCol w:w="109"/>
        <w:gridCol w:w="211"/>
        <w:gridCol w:w="61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4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net</w:t>
            </w:r>
          </w:p>
        </w:tc>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liabilities –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liabilities –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presentation in the Consolidated Balance Sheets of the Company’s finance leases (in thousands): </w:t>
      </w:r>
    </w:p>
    <w:tbl>
      <w:tblPr>
        <w:tblW w:w="9500" w:type="dxa"/>
        <w:jc w:val="left"/>
        <w:tblInd w:w="0" w:type="dxa"/>
        <w:tblLayout w:type="fixed"/>
        <w:tblCellMar>
          <w:top w:w="28" w:type="dxa"/>
          <w:left w:w="28" w:type="dxa"/>
          <w:bottom w:w="28" w:type="dxa"/>
          <w:right w:w="28" w:type="dxa"/>
        </w:tblCellMar>
      </w:tblPr>
      <w:tblGrid>
        <w:gridCol w:w="1089"/>
        <w:gridCol w:w="961"/>
        <w:gridCol w:w="964"/>
        <w:gridCol w:w="1304"/>
        <w:gridCol w:w="1304"/>
        <w:gridCol w:w="1307"/>
        <w:gridCol w:w="109"/>
        <w:gridCol w:w="109"/>
        <w:gridCol w:w="109"/>
        <w:gridCol w:w="211"/>
        <w:gridCol w:w="616"/>
        <w:gridCol w:w="109"/>
        <w:gridCol w:w="109"/>
        <w:gridCol w:w="109"/>
        <w:gridCol w:w="109"/>
        <w:gridCol w:w="211"/>
        <w:gridCol w:w="61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 net</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liabilities</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lease liabilities –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Finance lease liabilities –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are recorded net of accumulated amortization of $4,794 and $3,268 as of December 31, 2023 and 2022, respectively. Finance lease assets are recorded net of accumulated amortization of $2,293 and $1,081 as of December 31, 2023 and 2022,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lease liabilities as of December 31, 2023 are as follows (in thousands): </w:t>
      </w:r>
    </w:p>
    <w:tbl>
      <w:tblPr>
        <w:tblW w:w="5527" w:type="dxa"/>
        <w:jc w:val="left"/>
        <w:tblInd w:w="0" w:type="dxa"/>
        <w:tblLayout w:type="fixed"/>
        <w:tblCellMar>
          <w:top w:w="28" w:type="dxa"/>
          <w:left w:w="28" w:type="dxa"/>
          <w:bottom w:w="28" w:type="dxa"/>
          <w:right w:w="28" w:type="dxa"/>
        </w:tblCellMar>
      </w:tblPr>
      <w:tblGrid>
        <w:gridCol w:w="667"/>
        <w:gridCol w:w="585"/>
        <w:gridCol w:w="593"/>
        <w:gridCol w:w="109"/>
        <w:gridCol w:w="109"/>
        <w:gridCol w:w="109"/>
        <w:gridCol w:w="358"/>
        <w:gridCol w:w="1046"/>
        <w:gridCol w:w="185"/>
        <w:gridCol w:w="109"/>
        <w:gridCol w:w="109"/>
        <w:gridCol w:w="109"/>
        <w:gridCol w:w="309"/>
        <w:gridCol w:w="904"/>
        <w:gridCol w:w="226"/>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2330"/>
        <w:gridCol w:w="2014"/>
        <w:gridCol w:w="2025"/>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33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 obtained in exchange for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increase to operating lease assets due to remeasurement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Stockholders</w:t>
      </w:r>
      <w:r>
        <w:rPr>
          <w:color w:val="000000"/>
        </w:rPr>
        <w:t xml:space="preserve">’ </w:t>
      </w:r>
      <w:r>
        <w:rPr>
          <w:rFonts w:ascii="Times New Roman;sans-serif" w:hAnsi="Times New Roman;sans-serif"/>
          <w:b/>
          <w:color w:val="000000"/>
          <w:sz w:val="20"/>
        </w:rPr>
        <w:t>Equity</w:t>
      </w:r>
      <w:r>
        <w:rPr>
          <w:color w:val="000000"/>
        </w:rPr>
        <w:t xml:space="preserve"> </w:t>
      </w:r>
    </w:p>
    <w:p>
      <w:pPr>
        <w:pStyle w:val="TextBody"/>
        <w:bidi w:val="0"/>
        <w:spacing w:lineRule="auto" w:line="288" w:before="240" w:after="283"/>
        <w:jc w:val="left"/>
        <w:rPr/>
      </w:pPr>
      <w:r>
        <w:rPr>
          <w:rFonts w:ascii="Times New Roman;sans-serif" w:hAnsi="Times New Roman;sans-serif"/>
          <w:b/>
          <w:i/>
          <w:color w:val="000000"/>
          <w:sz w:val="20"/>
        </w:rPr>
        <w:t>Sales of Common Stock</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concurrent with the Company entering into the 2021 RPI Royalty Purchase Agreement, the Company and RPI entered into the Common Stock Purchase Agreement, pursuant to which the Company issued 3,846 shares of the Company’s common stock to RPI for an aggregate purchase price of $50,000, at a price of $13.00 per share, calculated based on the 20-day volume weighted average price. The $13.00 per share price represented a premium of $1.11 over the closing price of $11.89 of the Company’s common stock on November 19,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 Following the exercises, there are no outstanding warrants.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 (in thousands):</w:t>
      </w:r>
    </w:p>
    <w:tbl>
      <w:tblPr>
        <w:tblW w:w="9394" w:type="dxa"/>
        <w:jc w:val="left"/>
        <w:tblInd w:w="0" w:type="dxa"/>
        <w:tblLayout w:type="fixed"/>
        <w:tblCellMar>
          <w:top w:w="28" w:type="dxa"/>
          <w:left w:w="28" w:type="dxa"/>
          <w:bottom w:w="28" w:type="dxa"/>
          <w:right w:w="28" w:type="dxa"/>
        </w:tblCellMar>
      </w:tblPr>
      <w:tblGrid>
        <w:gridCol w:w="2363"/>
        <w:gridCol w:w="2078"/>
        <w:gridCol w:w="2084"/>
        <w:gridCol w:w="360"/>
        <w:gridCol w:w="361"/>
        <w:gridCol w:w="251"/>
        <w:gridCol w:w="251"/>
        <w:gridCol w:w="252"/>
        <w:gridCol w:w="109"/>
        <w:gridCol w:w="109"/>
        <w:gridCol w:w="109"/>
        <w:gridCol w:w="109"/>
        <w:gridCol w:w="360"/>
        <w:gridCol w:w="361"/>
        <w:gridCol w:w="237"/>
      </w:tblGrid>
      <w:tr>
        <w:trPr/>
        <w:tc>
          <w:tcPr>
            <w:tcW w:w="236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394" w:type="dxa"/>
            <w:gridSpan w:val="7"/>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exercises of outstanding 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vesting of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exercises of 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issuance under the Stock Incentive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issuance under the Inducement Equity Incentive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issuance under the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67,235 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pPr>
      <w:r>
        <w:rPr>
          <w:rFonts w:ascii="Times New Roman;sans-serif" w:hAnsi="Times New Roman;sans-serif"/>
          <w:b/>
          <w:color w:val="000000"/>
          <w:sz w:val="20"/>
        </w:rPr>
        <w:t>Note 12</w:t>
      </w:r>
      <w:r>
        <w:rPr>
          <w:color w:val="000000"/>
        </w:rPr>
        <w:t xml:space="preserve">— </w:t>
      </w:r>
      <w:r>
        <w:rPr>
          <w:rFonts w:ascii="Times New Roman;sans-serif" w:hAnsi="Times New Roman;sans-serif"/>
          <w:b/>
          <w:color w:val="000000"/>
          <w:sz w:val="20"/>
        </w:rPr>
        <w:t>Stock-Based Compensation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24, 2023 and approved by the Company’s stockholders on June 13, 2023.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stock-based compensation expense (in thousands):</w:t>
      </w:r>
    </w:p>
    <w:tbl>
      <w:tblPr>
        <w:tblW w:w="6821" w:type="dxa"/>
        <w:jc w:val="left"/>
        <w:tblInd w:w="0" w:type="dxa"/>
        <w:tblLayout w:type="fixed"/>
        <w:tblCellMar>
          <w:top w:w="28" w:type="dxa"/>
          <w:left w:w="28" w:type="dxa"/>
          <w:bottom w:w="28" w:type="dxa"/>
          <w:right w:w="28" w:type="dxa"/>
        </w:tblCellMar>
      </w:tblPr>
      <w:tblGrid>
        <w:gridCol w:w="1087"/>
        <w:gridCol w:w="954"/>
        <w:gridCol w:w="958"/>
        <w:gridCol w:w="211"/>
        <w:gridCol w:w="721"/>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Plan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was allocated as follows: </w:t>
      </w:r>
    </w:p>
    <w:tbl>
      <w:tblPr>
        <w:tblW w:w="7271" w:type="dxa"/>
        <w:jc w:val="left"/>
        <w:tblInd w:w="0" w:type="dxa"/>
        <w:tblLayout w:type="fixed"/>
        <w:tblCellMar>
          <w:top w:w="28" w:type="dxa"/>
          <w:left w:w="28" w:type="dxa"/>
          <w:bottom w:w="28" w:type="dxa"/>
          <w:right w:w="28" w:type="dxa"/>
        </w:tblCellMar>
      </w:tblPr>
      <w:tblGrid>
        <w:gridCol w:w="1251"/>
        <w:gridCol w:w="1096"/>
        <w:gridCol w:w="1102"/>
        <w:gridCol w:w="211"/>
        <w:gridCol w:w="721"/>
        <w:gridCol w:w="109"/>
        <w:gridCol w:w="109"/>
        <w:gridCol w:w="109"/>
        <w:gridCol w:w="109"/>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i/>
          <w:color w:val="000000"/>
          <w:sz w:val="20"/>
        </w:rPr>
        <w:t>Stock Incentive Plan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Stock option awards and restricted stock units granted to employees generally vest 25% each year until fully vested after four years.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2014, the Company issued 1,250 performance-based stock options. These awards vest upon successful completion of specific development milestones. As of December 31, 2023, 85% of these grants have vested.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issued 221 performance-based restricted stock unit awards. 21 of the awards met the performance objectives in 2022 and became eligible for vesting at 50% on the first anniversary of the grant date and 25% on each of the second and third anniversaries of the grant date, until fully vested after three years. The Company recognized $34 and $158 of stock compensation expense related to these awards during the years ended December 31, 2023 and December 31, 2022, respectively.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the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821"/>
        <w:gridCol w:w="721"/>
        <w:gridCol w:w="725"/>
        <w:gridCol w:w="412"/>
        <w:gridCol w:w="355"/>
        <w:gridCol w:w="356"/>
        <w:gridCol w:w="109"/>
        <w:gridCol w:w="109"/>
        <w:gridCol w:w="109"/>
        <w:gridCol w:w="505"/>
        <w:gridCol w:w="1226"/>
        <w:gridCol w:w="263"/>
        <w:gridCol w:w="109"/>
        <w:gridCol w:w="109"/>
        <w:gridCol w:w="109"/>
        <w:gridCol w:w="760"/>
        <w:gridCol w:w="760"/>
        <w:gridCol w:w="762"/>
        <w:gridCol w:w="109"/>
        <w:gridCol w:w="109"/>
        <w:gridCol w:w="109"/>
        <w:gridCol w:w="301"/>
        <w:gridCol w:w="1030"/>
        <w:gridCol w:w="227"/>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br/>
              <w:t>(in thousands)</w:t>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Forfeited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2023</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stock option awards exercised under the Incentive Plan was $21,150 and $25,484 during the years ended December 31, 2022 and 2021, respectively. The aggregate intrinsic value represents the total proceeds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 received by all individuals who exercised stock option awards during the period.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 under the Incentive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790"/>
        <w:gridCol w:w="2308"/>
        <w:gridCol w:w="577"/>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2023, 2022, and 2021 was $6.71, $11.20, and 11.36, respectively. The fair value of the restricted stock unit awards is amortized to expense over the vesting periods using a straight-line expense attribution method.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cost related to unvested restricted stock unit awards granted under the Incentive Plan was $40,981, which is expected to be recognized over a weighted average period of 2.0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Inducement Equity Incentive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the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830"/>
        <w:gridCol w:w="729"/>
        <w:gridCol w:w="733"/>
        <w:gridCol w:w="356"/>
        <w:gridCol w:w="356"/>
        <w:gridCol w:w="357"/>
        <w:gridCol w:w="109"/>
        <w:gridCol w:w="109"/>
        <w:gridCol w:w="109"/>
        <w:gridCol w:w="511"/>
        <w:gridCol w:w="1241"/>
        <w:gridCol w:w="266"/>
        <w:gridCol w:w="109"/>
        <w:gridCol w:w="109"/>
        <w:gridCol w:w="109"/>
        <w:gridCol w:w="769"/>
        <w:gridCol w:w="769"/>
        <w:gridCol w:w="771"/>
        <w:gridCol w:w="109"/>
        <w:gridCol w:w="109"/>
        <w:gridCol w:w="109"/>
        <w:gridCol w:w="327"/>
        <w:gridCol w:w="960"/>
        <w:gridCol w:w="249"/>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br/>
              <w:t>(in thousands)</w:t>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Forfeited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7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2023</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stock option awards exercised under the Inducement Plan was $3,710 and $6,700 during the years ended December 31, 2022 and 2021, respectively. The aggregate intrinsic value represents the total proceeds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 received by all individuals who exercised stock option awards during the period.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 under the Inducement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790"/>
        <w:gridCol w:w="2308"/>
        <w:gridCol w:w="577"/>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restricted stock unit awards granted under the Inducement Plan, the fair value of the awards is determined based on the market value of the Company’s shares on the grant date. The weighted average grant date fair value of these awards granted during 2023 and 2022 was $7.81 and 13.21, respectively. The fair value of the restricted stock unit awards is amortized to expense over the vesting periods using a straight-line expense attribution method. No restricted stock unit awards were granted under the Inducement Plan during 2021.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cost related to unvested restricted stock unit awards granted under the Inducement Plan was $7,044, which is expected to be recognized over a weighted average period of 1.8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for Stock Option Awards Granted to Employees and Directors under the Incentive and Inducement Plans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the expected life was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Effective July 1, 2023, the expected life is based on the historical settlement of options by taking into account exercises and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terminations and weighing them based on the number of options settled. This change in approach did not have a significant impact on the value of the stock option awards granted.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pStyle w:val="TextBody"/>
        <w:bidi w:val="0"/>
        <w:spacing w:lineRule="auto" w:line="288" w:before="240" w:after="283"/>
        <w:jc w:val="left"/>
        <w:rPr/>
      </w:pPr>
      <w:r>
        <w:rPr>
          <w:rFonts w:ascii="Times New Roman;sans-serif" w:hAnsi="Times New Roman;sans-serif"/>
          <w:b/>
          <w:i/>
          <w:color w:val="000000"/>
          <w:sz w:val="20"/>
        </w:rPr>
        <w:t>Stock Incentive Plan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by the Company to value the stock option awards granted under the Incentive Plan during the years ended December 31, 2023, 2022, and 2021:</w:t>
      </w:r>
    </w:p>
    <w:tbl>
      <w:tblPr>
        <w:tblW w:w="7697" w:type="dxa"/>
        <w:jc w:val="left"/>
        <w:tblInd w:w="0" w:type="dxa"/>
        <w:tblLayout w:type="fixed"/>
        <w:tblCellMar>
          <w:top w:w="28" w:type="dxa"/>
          <w:left w:w="28" w:type="dxa"/>
          <w:bottom w:w="28" w:type="dxa"/>
          <w:right w:w="28" w:type="dxa"/>
        </w:tblCellMar>
      </w:tblPr>
      <w:tblGrid>
        <w:gridCol w:w="1457"/>
        <w:gridCol w:w="1279"/>
        <w:gridCol w:w="1283"/>
        <w:gridCol w:w="211"/>
        <w:gridCol w:w="511"/>
        <w:gridCol w:w="271"/>
        <w:gridCol w:w="109"/>
        <w:gridCol w:w="109"/>
        <w:gridCol w:w="109"/>
        <w:gridCol w:w="211"/>
        <w:gridCol w:w="511"/>
        <w:gridCol w:w="271"/>
        <w:gridCol w:w="109"/>
        <w:gridCol w:w="109"/>
        <w:gridCol w:w="109"/>
        <w:gridCol w:w="211"/>
        <w:gridCol w:w="511"/>
        <w:gridCol w:w="316"/>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stock option awards vested under the Incentive Plan was $33,731, $28,916, and $20,510 during the years ended December 31, 2023, 2022, and 2021, respectively. As of December 31, 2023, total unrecognized compensation cost related to unvested stock option awards granted under the Incentive Plan was $75,164, which is expected to be recognized over a weighted average period of 1.9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Inducement Equity Incentive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by the Company to value the stock option awards granted under the Inducement Plan during the years ended December 31, 2023, 2022, and 2021:</w:t>
      </w:r>
    </w:p>
    <w:tbl>
      <w:tblPr>
        <w:tblW w:w="7697" w:type="dxa"/>
        <w:jc w:val="left"/>
        <w:tblInd w:w="0" w:type="dxa"/>
        <w:tblLayout w:type="fixed"/>
        <w:tblCellMar>
          <w:top w:w="28" w:type="dxa"/>
          <w:left w:w="28" w:type="dxa"/>
          <w:bottom w:w="28" w:type="dxa"/>
          <w:right w:w="28" w:type="dxa"/>
        </w:tblCellMar>
      </w:tblPr>
      <w:tblGrid>
        <w:gridCol w:w="1457"/>
        <w:gridCol w:w="1279"/>
        <w:gridCol w:w="1283"/>
        <w:gridCol w:w="211"/>
        <w:gridCol w:w="511"/>
        <w:gridCol w:w="271"/>
        <w:gridCol w:w="109"/>
        <w:gridCol w:w="109"/>
        <w:gridCol w:w="109"/>
        <w:gridCol w:w="211"/>
        <w:gridCol w:w="511"/>
        <w:gridCol w:w="271"/>
        <w:gridCol w:w="109"/>
        <w:gridCol w:w="109"/>
        <w:gridCol w:w="109"/>
        <w:gridCol w:w="211"/>
        <w:gridCol w:w="511"/>
        <w:gridCol w:w="316"/>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stock option awards vested under the Inducement Plan was $7,698, $4,659, and $2,885 during the years ended December 31, 2023, 2022, and 2021, respectively. As of December 31, 2023, total unrecognized compensation cost related to unvested stock option awards granted under the Inducement Plan was $16,216, which is expected to be recognized over a weighted average period of 1.5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a total of 7,975 shares of common stock to be purchased under the ESPP, of which 5,454 shares remain available for purchase at December 31, 2023. Eligible employees may authorize up to 15% of their salary to purchase common stock at the lower of 85% of the beginning or 85% of the ending price during six-month purchase intervals. No more than three thousand shares may be purchased by any one employee at each purchase date, and no employee may purchase stock having a fair market value at the commencement date of $25 or more in any one calendar year.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2022, and 2021, the Company issued 338, 260, and 321 shares of common stock under the ESPP, respectively, at a weighted average price per share of $7.68, $11.03, and $6.20,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Compensation expense for shares purchased under the ESPP related to the purchase discount and the “look-back” option were determined using a Black-Scholes option pricing model. The weighted average grant date fair values of shares granted under the ESPP during the years ended December 31, 2023, 2022, and 2021, were $3.82, $6.02, and $2.80,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provision for income taxes were as follows (in thousands):</w:t>
      </w:r>
    </w:p>
    <w:tbl>
      <w:tblPr>
        <w:tblW w:w="7617" w:type="dxa"/>
        <w:jc w:val="left"/>
        <w:tblInd w:w="0" w:type="dxa"/>
        <w:tblLayout w:type="fixed"/>
        <w:tblCellMar>
          <w:top w:w="28" w:type="dxa"/>
          <w:left w:w="28" w:type="dxa"/>
          <w:bottom w:w="28" w:type="dxa"/>
          <w:right w:w="28" w:type="dxa"/>
        </w:tblCellMar>
      </w:tblPr>
      <w:tblGrid>
        <w:gridCol w:w="1178"/>
        <w:gridCol w:w="1033"/>
        <w:gridCol w:w="1044"/>
        <w:gridCol w:w="211"/>
        <w:gridCol w:w="901"/>
        <w:gridCol w:w="109"/>
        <w:gridCol w:w="109"/>
        <w:gridCol w:w="109"/>
        <w:gridCol w:w="109"/>
        <w:gridCol w:w="211"/>
        <w:gridCol w:w="901"/>
        <w:gridCol w:w="109"/>
        <w:gridCol w:w="109"/>
        <w:gridCol w:w="109"/>
        <w:gridCol w:w="109"/>
        <w:gridCol w:w="211"/>
        <w:gridCol w:w="90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(benefit) expense for income taxes were as follows (in thousands):</w:t>
      </w:r>
    </w:p>
    <w:tbl>
      <w:tblPr>
        <w:tblW w:w="6491" w:type="dxa"/>
        <w:jc w:val="left"/>
        <w:tblInd w:w="0" w:type="dxa"/>
        <w:tblLayout w:type="fixed"/>
        <w:tblCellMar>
          <w:top w:w="28" w:type="dxa"/>
          <w:left w:w="28" w:type="dxa"/>
          <w:bottom w:w="28" w:type="dxa"/>
          <w:right w:w="28" w:type="dxa"/>
        </w:tblCellMar>
      </w:tblPr>
      <w:tblGrid>
        <w:gridCol w:w="1136"/>
        <w:gridCol w:w="997"/>
        <w:gridCol w:w="1001"/>
        <w:gridCol w:w="211"/>
        <w:gridCol w:w="466"/>
        <w:gridCol w:w="109"/>
        <w:gridCol w:w="109"/>
        <w:gridCol w:w="109"/>
        <w:gridCol w:w="109"/>
        <w:gridCol w:w="211"/>
        <w:gridCol w:w="616"/>
        <w:gridCol w:w="109"/>
        <w:gridCol w:w="109"/>
        <w:gridCol w:w="109"/>
        <w:gridCol w:w="109"/>
        <w:gridCol w:w="211"/>
        <w:gridCol w:w="6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 (benefit) provision:</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and state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expense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 (benefit) provision: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and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expense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Company’s effective tax rate and the statutory tax rate in 2023, 2022, and 2021 were as follows (in thousands):</w:t>
      </w:r>
    </w:p>
    <w:tbl>
      <w:tblPr>
        <w:tblW w:w="10182" w:type="dxa"/>
        <w:jc w:val="left"/>
        <w:tblInd w:w="0" w:type="dxa"/>
        <w:tblLayout w:type="fixed"/>
        <w:tblCellMar>
          <w:top w:w="28" w:type="dxa"/>
          <w:left w:w="28" w:type="dxa"/>
          <w:bottom w:w="28" w:type="dxa"/>
          <w:right w:w="28" w:type="dxa"/>
        </w:tblCellMar>
      </w:tblPr>
      <w:tblGrid>
        <w:gridCol w:w="2218"/>
        <w:gridCol w:w="1955"/>
        <w:gridCol w:w="1962"/>
        <w:gridCol w:w="211"/>
        <w:gridCol w:w="796"/>
        <w:gridCol w:w="109"/>
        <w:gridCol w:w="109"/>
        <w:gridCol w:w="109"/>
        <w:gridCol w:w="109"/>
        <w:gridCol w:w="211"/>
        <w:gridCol w:w="796"/>
        <w:gridCol w:w="109"/>
        <w:gridCol w:w="109"/>
        <w:gridCol w:w="109"/>
        <w:gridCol w:w="109"/>
        <w:gridCol w:w="211"/>
        <w:gridCol w:w="796"/>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at federal statutory rate (21% for 2023, 2022 and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attribute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impact of a tax position in its financial statements if it is more likely than not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 underlying credit. Any changes to the Company’s unrecognized tax benefits are offset by an adjustment to the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and there would be no impact on the Company’s financial statements. The Company does not expect its unrecognized tax benefits to change significantly over the next 12 months.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w:t>
      </w:r>
    </w:p>
    <w:tbl>
      <w:tblPr>
        <w:tblW w:w="5918" w:type="dxa"/>
        <w:jc w:val="left"/>
        <w:tblInd w:w="0" w:type="dxa"/>
        <w:tblLayout w:type="fixed"/>
        <w:tblCellMar>
          <w:top w:w="28" w:type="dxa"/>
          <w:left w:w="28" w:type="dxa"/>
          <w:bottom w:w="28" w:type="dxa"/>
          <w:right w:w="28" w:type="dxa"/>
        </w:tblCellMar>
      </w:tblPr>
      <w:tblGrid>
        <w:gridCol w:w="1255"/>
        <w:gridCol w:w="1101"/>
        <w:gridCol w:w="1108"/>
        <w:gridCol w:w="211"/>
        <w:gridCol w:w="721"/>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current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to prior period tax provisions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utilize the net operating loss and tax credit carryforwards in the future may be subject to substantial restrictions in the event of past or future ownership changes as defined in Section 382 of the IRC and similar state tax law.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are as follows (in thousands):</w:t>
      </w:r>
    </w:p>
    <w:tbl>
      <w:tblPr>
        <w:tblW w:w="5784" w:type="dxa"/>
        <w:jc w:val="left"/>
        <w:tblInd w:w="0" w:type="dxa"/>
        <w:tblLayout w:type="fixed"/>
        <w:tblCellMar>
          <w:top w:w="28" w:type="dxa"/>
          <w:left w:w="28" w:type="dxa"/>
          <w:bottom w:w="28" w:type="dxa"/>
          <w:right w:w="28" w:type="dxa"/>
        </w:tblCellMar>
      </w:tblPr>
      <w:tblGrid>
        <w:gridCol w:w="1132"/>
        <w:gridCol w:w="992"/>
        <w:gridCol w:w="996"/>
        <w:gridCol w:w="211"/>
        <w:gridCol w:w="826"/>
        <w:gridCol w:w="109"/>
        <w:gridCol w:w="109"/>
        <w:gridCol w:w="109"/>
        <w:gridCol w:w="109"/>
        <w:gridCol w:w="211"/>
        <w:gridCol w:w="826"/>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federal and state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valuation allowance against substantially all the net deferred tax assets due to uncertainties as to their ultimate realization. The valuation allowance will remain at the full amount of the deferred tax assets until it is more likely than not that the related tax benefits will be realized. The Company’s valuation allowance increased by $47,490, $70,894, and $47,954 in 2023, 2022, and 2021,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U.S. federal operating loss carryforwards of $432,328, state operating loss carryforwards of $183,478, foreign net operating losses of $65,416, and U.S. research and development and orphan drug credit carryforwards of $102,752, which will expire at various dates from 2024 through 2043. Federal losses, state losses, and research and development credit carryforwards began expiring in 2021. The foreign net operating losses have an indefinite carryforward period.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years 2020-2023 remain open to examination by the major taxing jurisdictions to which the Company is subject. Additionally, years prior to 2020 are also open to examination to the extent of loss and credit carryforwards from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The Company recognizes interest and penalties accrued related to unrecognized tax benefits as components of its income tax provision. However, there were no provisions or accruals for interest and penalties in 2023, 2022, and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minimal accumulated undistributed earnings generated by its foreign subsidiaries which have already been subject to local and U.S. tax (as part of the global intangible low-taxed income provisions). The Company intends to indefinitely reinvest these earnings, as well as future earnings from its foreign subsidiaries to fund its international operations. In addition, the Company expects future U.S. cash generation will be sufficient to meet future U.S. cash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Employee 401(k)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1991, the Company adopted an employee retirement plan (“401(k) Plan”) under Section 401(k) of the IRC covering all employees. Employee contributions may be made to the 401(k) Plan up to limits established by the Internal Revenue Service. Company matching contributions may be made at the discretion of the Board of Directors. The Company made matching contributions of $5,716, $3,758, and $2,834 in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Collaborative and Other Relationships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Government Collaborations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National Institute of Allergy and Infectious Diseases (“NIAID/HHS”)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2013, NIAID/HHS contracted with the Company for the development of galidesivir as a treatment for Marburg virus disease 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All options under the contract have been awarded.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NIAID/HHS awarded the Company a new contract, with potential aggregate funding of up to $43,908 if all contract options were exercised, to manufacture and evaluate the safety, efficacy and tolerability of galidesivir. NIAID/HHS made an initial award of $6,326 to the Company under this contract. Revenue related to this contract was recognized during the years ended December 31, 2022 and 2021.</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Biomedical Advanced Research and Development Authority (“BARDA/HHS”)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2015, BARDA/HHS awarded the Company a contract for the continued development of galidesivir as a potential treatment for diseases caused by RNA pathogens, including filoviruses. This BARDA/HHS contract included a base contract of $16,265 to support galidesivir drug manufacturing, as well as $22,855 in additional development options that could be exercised by the government, bringing the potential value of the contract to $39,120. As of December 31, 2022, a total of $20,574 was awarded under exercised options within this contract. The most recent development option was completed as of December 31,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contracts with NIAID/HHS and BARDA/HHS were cost-plus-fixed-fee contracts. That is, the Company was entitled to receive reimbursement for all costs incurred in accordance with the contract provisions that were related to the development of galidesivir plus a fixed fee, or profit. BARDA/HHS and NIAID/HHS made periodic assessments of progress, and the continuation of the contracts was based on the Company’s performance, the timeliness and quality of deliverables, and other factors. The government had rights under certain contract clauses to terminate these contracts. These contracts were terminable by the government at any time for breach or without cause. As of December 31, 2022, all of the Company’s government funding for galidesivir had expired.</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U.S. Department of Health and Human Services (“HHS”)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HHS awarded the Company a $34,660 contract for the procurement of up to 50,000 doses of RAPIVAB (peramivir injection) over a five-year period. The Company initially delivered 20,000 doses of RAPIVAB under this contract in 2019 for a total price of approximately $13,864. The Company further delivered 20,000 and 9,980 doses of RAPIVAB in 2022 and 2021, respectively, and recorded revenue of $13,864 and $6,918 for the years ending December 31, 2022 and 2021, respectively. As of December 31, 2022, the Company had delivered a total of 49,980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RAPIVAB doses of the 50,000 RAPIVAB doses available under the contract, effectively completing the contract with HHS.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ORLADEYO</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Torii Pharmaceutical Co., Ltd. (“Torii”)</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5, 2019, the Company entered into a Commercialization and License Agreement with Torii (the “Original Torii Agreement”), granting Torii the exclusive right to commercialize ORLADEYO for the prevention of hereditary angioedema (“HAE”) attacks in Japan. Under the Original Torii Agreement, the Company received an upfront, non-refundable payment of $22,000. The Company received an additional milestone payment of $15,000 in the second quarter of 2021 upon receipt from the Japanese NHI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Torii’s updated royalty payment obligations commenced upon November 30, 2023 and expire upon the later of (i) the tenth anniversary of the date of first commercial sale of ORLADEYO in Japan, (ii) the expiration of the Company’s patents covering ORLADEYO, and (iii) the expiration of regulatory exclusivity for ORLADEYO in Japan.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Peramivir Injection (RAPIVAB, RAPIACTA, PERAMIFLU)</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Shionogi &amp; Co., Ltd. (“Shionogi”)</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will owe sublicense payments to UAB on any future milestone payments and/or royalties received by the Company from Shionogi.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Green Cross Corporation (“Green Cross”)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the Company a premium over its cost to supply peramivir for development and any future marketing of peramivir products in Korea.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Collaborations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Clearside Biomedical, Inc. (“Clearside”)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Clearside Agreement, Clearside received a $5,000 upfront license fee from the Company, which has been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16</w:t>
      </w:r>
      <w:r>
        <w:rPr>
          <w:color w:val="000000"/>
        </w:rPr>
        <w:t xml:space="preserve">— </w:t>
      </w:r>
      <w:r>
        <w:rPr>
          <w:rFonts w:ascii="Times New Roman;sans-serif" w:hAnsi="Times New Roman;sans-serif"/>
          <w:b/>
          <w:color w:val="000000"/>
          <w:sz w:val="20"/>
        </w:rPr>
        <w:t>Workforce Reduction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announced a reduction of workforce. The majority of the impacted employees had a termination date in January 2024, with certain employees exiting later in 2024. The Company notified the impacted employees in January 2024.</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The Company incurred costs related to employee severance, benefits, and related costs which were accounted for as ongoing terminations benefits under ASC Topic 712, </w:t>
      </w:r>
      <w:r>
        <w:rPr>
          <w:rFonts w:ascii="Times New Roman;sans-serif" w:hAnsi="Times New Roman;sans-serif"/>
          <w:b w:val="false"/>
          <w:i/>
          <w:color w:val="000000"/>
          <w:sz w:val="20"/>
        </w:rPr>
        <w:t>Nonretirement Postemployment Benefits</w:t>
      </w:r>
      <w:r>
        <w:rPr>
          <w:rFonts w:ascii="Times New Roman;sans-serif" w:hAnsi="Times New Roman;sans-serif"/>
          <w:b w:val="false"/>
          <w:color w:val="000000"/>
          <w:sz w:val="20"/>
        </w:rPr>
        <w:t>.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has been recognized in research and development expenses and $354 has been recognized in selling, general and administrative expenses in the Consolidated Statement of Comprehensive Loss. As of December 31, 2023, none of the costs were paid and are included within accrued expenses on the Consolidated Balance Sheet. These costs are expected to be disbursed during the period of January 1, 2024 through December 31, 2024.</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In addition, the employees impacted by the workforce reduction received an amount equal to the bonus amount the employee would have received through continued employment with the Company, which was considered a one-time termination benefit pursuant to ASC Topic 420, </w:t>
      </w:r>
      <w:r>
        <w:rPr>
          <w:rFonts w:ascii="Times New Roman;sans-serif" w:hAnsi="Times New Roman;sans-serif"/>
          <w:b w:val="false"/>
          <w:i/>
          <w:color w:val="000000"/>
          <w:sz w:val="20"/>
        </w:rPr>
        <w:t>Exit or Disposal Costs</w:t>
      </w:r>
      <w:r>
        <w:rPr>
          <w:rFonts w:ascii="Times New Roman;sans-serif" w:hAnsi="Times New Roman;sans-serif"/>
          <w:b w:val="false"/>
          <w:color w:val="000000"/>
          <w:sz w:val="20"/>
        </w:rPr>
        <w:t>. As a result, $1,264 will be recognized during the three months ended March 31, 2024, the period in which the communication occurred, of which $1,201 will be recognized in research and development expenses, and $63 will be recognized in selling, general and administrative expenses in the Consolidated Statement of Comprehensive Loss. This cost is expected to be disbursed during the period of January 1, 2024 through March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expect to incur any additional significant costs related to this workforce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17</w:t>
      </w:r>
      <w:r>
        <w:rPr>
          <w:color w:val="000000"/>
        </w:rPr>
        <w:t xml:space="preserve">— </w:t>
      </w:r>
      <w:r>
        <w:rPr>
          <w:rFonts w:ascii="Times New Roman;sans-serif" w:hAnsi="Times New Roman;sans-serif"/>
          <w:b/>
          <w:color w:val="000000"/>
          <w:sz w:val="20"/>
        </w:rPr>
        <w:t>Subsequent Events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 except as described in “Note 16— Workforce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BioCryst Pharmaceuticals,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We have audited the accompanying consolidated balance sheets of BioCryst Pharmaceuticals, Inc. </w:t>
      </w:r>
      <w:r>
        <w:rPr>
          <w:rFonts w:ascii="Times New Roman;sans-serif" w:hAnsi="Times New Roman;sans-serif"/>
          <w:b w:val="false"/>
          <w:color w:val="333333"/>
          <w:sz w:val="20"/>
        </w:rPr>
        <w:t>(the Company) as of December 31, 2023 and 2022, the related consolidated statements of comprehensive loss, stockholders’ deficit and cash flows for each of the three years in the period ended December 31, 2023, and the related notes</w:t>
      </w:r>
      <w:r>
        <w:rPr>
          <w:color w:val="0088CC"/>
        </w:rPr>
        <w:t xml:space="preserve"> </w:t>
      </w:r>
      <w:r>
        <w:rPr>
          <w:rFonts w:ascii="Times New Roman;sans-serif" w:hAnsi="Times New Roman;sans-serif"/>
          <w:b w:val="false"/>
          <w:color w:val="333333"/>
          <w:sz w:val="20"/>
        </w:rPr>
        <w:t>(collectively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27, 2024 expressed an adverse opinion thereon.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464"/>
        <w:gridCol w:w="408"/>
        <w:gridCol w:w="410"/>
        <w:gridCol w:w="2810"/>
        <w:gridCol w:w="2520"/>
        <w:gridCol w:w="3593"/>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Royalty Financing Obligations</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23"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8 to the consolidated financial statements, the Company entered into Royalty Purchase Agreements (“RPA’s”) with third parties. Pursuant to the RPA’s, the Company received proceeds of approximately $425 million in exchange for the right to receive royalty payments based on future net revenues of the Company’s commercialized drug, ORLADEYO, and other drug candidates as specified in the agreements. </w:t>
            </w:r>
          </w:p>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RPA’s as liability instruments (royalty financing obligations) on the balance sheet at their carrying value of $531.6 million as of December 31, 2023, and imputed interest expense associated with these liabilities using the effective interest rate method. The effective interest rate is calculated based on the rate that would enable the liability to be repaid in full over the anticipated life of each arrangement. The interest rates on these instruments may vary during the term of the agreement depending on a number of factors, including the level and timing of forecasted net revenues which affects the repayment timing and ultimate amount of repayment. In order to amortize the royalty financing obligations, the Company utilizes the prospective method to estimate the future royalties to be paid by the Company to the third parties over the life of the arrangements. Under the prospective method, a new effective interest rate is determined based on the revised estimate of remaining cash flows. The Company periodically assesses the amount and timing of expected royalty payments using a combination of internal projections and forecasts from external sources. </w:t>
            </w:r>
          </w:p>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royalty financing obligations may be complex and highly judgmental due to the estimation uncertainty in determining the effective interest rates. The Company’s effective interest rate models include actual revenues recorded and royalties paid to-date, as well as revenue projections for which future royalties will be paid, which are sensitive to significant assumptions (including population, market penetration, probability of success, and sales price, among others) that are affected by expectations about future market conditions.</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23"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evaluate the royalty financing obligations, our audit procedures included, among others, assessing the underlying data and assumptions used by the Company in its effective interest rate models. We compared the significant assumptions in the revenue projections to current industry, market and economic trends. We recalculated the current year interest expense based on the amortization schedules and estimates of royalties using the effective interest method and performed sensitivity analyses to evaluate the changes in the effective interest rates, and associated interest expense, that would result from changes in the assumptions.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506"/>
        <w:gridCol w:w="445"/>
        <w:gridCol w:w="448"/>
        <w:gridCol w:w="2732"/>
        <w:gridCol w:w="2627"/>
        <w:gridCol w:w="3447"/>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06"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when recognizing product revenue, the Company makes an estimate of the net selling price (transaction price), which includes estimates of variable consideration. For the year ended December 31, 2023, the Company recorded net product sales of $324.7 million. Product sales are recorded net of adjustments for variable consideration including estimated government rebates, managed care rebates, chargebacks, costs of co-payment for assistance programs, and product returns at the time revenue is recorded. </w:t>
            </w:r>
          </w:p>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variable consideration depend on the identification of key customer contract terms and conditions. The revenue recognition process can be complex and can involve judgment related to these estimates as well as to identify and assess the terms and conditions of customer agreements and related government regulations that could affect revenue recognition, as the Company’s revenue expands with new customers and new markets.</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06"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test product sales, our audit procedures included, among others, tracing a sample of revenue transactions recognized during the year to source documentation. We also confirmed a sample of outstanding receivable balances directly with the Company’s customers. To test management’s estimates of variable consideration, we obtained management’s calculations for the respective estimates and performed one or more of the following procedures: tested the adjustments for variable consideration recorded for a sample of revenue transactions, tested management’s estimation process to assess whether the recorded reserve balances are within a reasonable range of estimate, assessed subsequent events, and tested credits issued throughout the year.</w:t>
            </w:r>
          </w:p>
        </w:tc>
      </w:tr>
    </w:tbl>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1993.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Raleigh, 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BioCryst Pharmaceuticals,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BioCryst Pharmaceuticals, Inc.’s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BioCryst Pharmaceuticals, Inc. (the Company) has not maintained effective internal control over financial reporting as of December 31, 2023, based on the COSO criteria.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experienced insufficient staffing resources in its accounting function, which restricts its ability to consistently execute review procedures over financial statement close processes.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2023 consolidated financial statements of the Company. This material weakness was considered in determining the nature, timing and extent of audit tests applied in our audit of the 2023 consolidated financial statements, and this report does not affect our report dated February 27, 2024, which expressed an unqualified opinion thereon.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Raleigh, 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9A.    </w:t>
      </w:r>
      <w:r>
        <w:rPr>
          <w:rFonts w:ascii="Times New Roman;sans-serif" w:hAnsi="Times New Roman;sans-serif"/>
          <w:b/>
          <w:i/>
          <w:color w:val="000000"/>
          <w:sz w:val="20"/>
        </w:rPr>
        <w:t>CONTROLS AND PROCEDURES</w:t>
      </w:r>
    </w:p>
    <w:p>
      <w:pPr>
        <w:pStyle w:val="TextBody"/>
        <w:bidi w:val="0"/>
        <w:spacing w:lineRule="auto" w:line="288" w:before="240" w:after="283"/>
        <w:jc w:val="left"/>
        <w:rPr/>
      </w:pPr>
      <w:r>
        <w:rPr>
          <w:rFonts w:ascii="Times New Roman;sans-serif" w:hAnsi="Times New Roman;sans-serif"/>
          <w:b/>
          <w:color w:val="000000"/>
          <w:sz w:val="20"/>
        </w:rPr>
        <w:t>Evaluation of Disclosure Controls and Procedures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15d-15(e) under the Exchange Act). Based on that evaluation, our Chief Executive Officer and Chief Financial Officer concluded that, as of December 31, 2023, our disclosure controls and procedures were not effective as of that date due to a material weakness in internal control over financial reporting, described below. </w:t>
      </w:r>
    </w:p>
    <w:p>
      <w:pPr>
        <w:pStyle w:val="TextBody"/>
        <w:bidi w:val="0"/>
        <w:spacing w:lineRule="auto" w:line="288" w:before="240" w:after="283"/>
        <w:jc w:val="left"/>
        <w:rPr/>
      </w:pPr>
      <w:r>
        <w:rPr>
          <w:rFonts w:ascii="Times New Roman;sans-serif" w:hAnsi="Times New Roman;sans-serif"/>
          <w:b/>
          <w:color w:val="000000"/>
          <w:sz w:val="20"/>
        </w:rPr>
        <w:t>Management</w:t>
      </w:r>
      <w:r>
        <w:rPr>
          <w:color w:val="000000"/>
        </w:rPr>
        <w:t>’</w:t>
      </w:r>
      <w:r>
        <w:rPr>
          <w:rFonts w:ascii="Times New Roman;sans-serif" w:hAnsi="Times New Roman;sans-serif"/>
          <w:b/>
          <w:color w:val="000000"/>
          <w:sz w:val="20"/>
        </w:rPr>
        <w:t>s Annual Report on Internal Control Over Financial Reporting</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and for the assessment of the effectiveness of internal control over financial reporting. As defined in Rule 13a-15(f) or Rule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 Internal control over financial reporting includes policies and procedures that (1) pertain to the maintenance of records that, in reasonable detail, accurately and fairly reflect our transactions and the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our annual financial statements, management has undertaken an assessment of the effectiveness of our internal control over financial reporting as of December 31, 2023,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management has concluded that, as of December 31, 2023, our internal control over financial reporting was not effective due to the material weakness described below. In our Quarterly Report on Form 10-Q for the quarter ended September 30, 2023, we identified two material weaknesses in our disclosure controls. As noted below, we believe we have remediated one of those material weaknesses.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insufficient staffing resources in our accounting function, which restricts our ability to consistently execute review procedures over financial statement close processes.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Ernst &amp; Young LLP, the independent registered public accounting firm that audited our financial statements included in this report, has also issued an adverse report on the effectiveness of the Company’s internal control over financial reporting as of December 31, 2023.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Remediation of Material Weakness in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remediated the material weakness identified in our Quarterly Report on Form 10-Q for the quarter ended September 30, 2023 concerning our ability to perform requisite reviews and approval of manual journal entries posted to the general ledger. In continuing to address the remaining material weakness we have engaged third party experts and undertaken actions in each of the steps identified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Hiring, developing, and retaining additional personnel with appropriate accounting and internal controls expertise;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updating (as appropriate) the organizational design of the controllership function;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Reviewing and updating (as appropriate) our methodologies, policies, and procedures designed to ensure adequate internal control over financial reporting, including underlying information technology and business process controls;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Ongoing (as appropriate) training programs on relevant internal control over financial reporting matters.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is a high priority for the Company. Management will continue to implement measures to remediate this material weakness, such that these controls are designed, implemented, and operating effectively.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Once implemented, these remediation activities are designed to strengthen our internal control over financial reporting and remediate the material weakness; however, remediation will not be confirmed until management has completed the requisite remediation activities and tested the design and operation of such controls.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existence of this material weakness, we believe the consolidated financial statements included in the period covered by this Annual Report on Form 10-K fairly present, in all material respects, our financial condition, results of operations and cash flows for the periods presented in conformity with U.S. GAAP.</w:t>
      </w:r>
    </w:p>
    <w:p>
      <w:pPr>
        <w:pStyle w:val="TextBody"/>
        <w:bidi w:val="0"/>
        <w:spacing w:lineRule="auto" w:line="288" w:before="240" w:after="283"/>
        <w:jc w:val="left"/>
        <w:rPr/>
      </w:pPr>
      <w:r>
        <w:rPr>
          <w:rFonts w:ascii="Times New Roman;sans-serif" w:hAnsi="Times New Roman;sans-serif"/>
          <w:b/>
          <w:color w:val="000000"/>
          <w:sz w:val="20"/>
        </w:rPr>
        <w:t>Changes in Internal Control over Financial Reporting</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described above, there have been no changes in our internal control over financial reporting that occurred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9B.    </w:t>
      </w:r>
      <w:r>
        <w:rPr>
          <w:rFonts w:ascii="Times New Roman;sans-serif" w:hAnsi="Times New Roman;sans-serif"/>
          <w:b/>
          <w:i/>
          <w:color w:val="000000"/>
          <w:sz w:val="20"/>
        </w:rPr>
        <w:t>OTHER INFORMATION</w:t>
      </w:r>
      <w:r>
        <w:rPr>
          <w:color w:val="000000"/>
        </w:rPr>
        <w:t xml:space="preserve">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Director and Officer Trading Arrangements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 directors and officers of the Company adopted or terminated the “Rule 10b5-1 trading arrangements” or “non-Rule 10b5-1 trading arrangements” (as each term is defined in Item 408(a) of Regulation S-K) set forth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660"/>
        <w:gridCol w:w="580"/>
        <w:gridCol w:w="523"/>
        <w:gridCol w:w="109"/>
        <w:gridCol w:w="109"/>
        <w:gridCol w:w="109"/>
        <w:gridCol w:w="369"/>
        <w:gridCol w:w="369"/>
        <w:gridCol w:w="373"/>
        <w:gridCol w:w="109"/>
        <w:gridCol w:w="109"/>
        <w:gridCol w:w="109"/>
        <w:gridCol w:w="420"/>
        <w:gridCol w:w="420"/>
        <w:gridCol w:w="421"/>
        <w:gridCol w:w="109"/>
        <w:gridCol w:w="109"/>
        <w:gridCol w:w="109"/>
        <w:gridCol w:w="506"/>
        <w:gridCol w:w="506"/>
        <w:gridCol w:w="507"/>
        <w:gridCol w:w="109"/>
        <w:gridCol w:w="109"/>
        <w:gridCol w:w="109"/>
        <w:gridCol w:w="518"/>
        <w:gridCol w:w="518"/>
        <w:gridCol w:w="519"/>
        <w:gridCol w:w="109"/>
        <w:gridCol w:w="109"/>
        <w:gridCol w:w="109"/>
        <w:gridCol w:w="396"/>
        <w:gridCol w:w="396"/>
        <w:gridCol w:w="569"/>
      </w:tblGrid>
      <w:tr>
        <w:trPr/>
        <w:tc>
          <w:tcPr>
            <w:tcW w:w="6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Duration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w:t>
            </w:r>
          </w:p>
        </w:tc>
      </w:tr>
      <w:tr>
        <w:trPr/>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Jon P. Stonehouse, </w:t>
            </w:r>
            <w:r>
              <w:rPr>
                <w:rFonts w:ascii="Times New Roman;sans-serif" w:hAnsi="Times New Roman;sans-serif"/>
                <w:b w:val="false"/>
                <w:i/>
                <w:color w:val="000000"/>
                <w:sz w:val="20"/>
              </w:rPr>
              <w:t>President and Chief Executive Officer</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295"/>
        <w:gridCol w:w="772"/>
        <w:gridCol w:w="778"/>
        <w:gridCol w:w="132"/>
        <w:gridCol w:w="132"/>
        <w:gridCol w:w="132"/>
        <w:gridCol w:w="449"/>
        <w:gridCol w:w="449"/>
        <w:gridCol w:w="450"/>
        <w:gridCol w:w="132"/>
        <w:gridCol w:w="132"/>
        <w:gridCol w:w="132"/>
        <w:gridCol w:w="445"/>
        <w:gridCol w:w="445"/>
        <w:gridCol w:w="447"/>
        <w:gridCol w:w="132"/>
        <w:gridCol w:w="132"/>
        <w:gridCol w:w="132"/>
        <w:gridCol w:w="612"/>
        <w:gridCol w:w="612"/>
        <w:gridCol w:w="613"/>
        <w:gridCol w:w="132"/>
        <w:gridCol w:w="132"/>
        <w:gridCol w:w="132"/>
        <w:gridCol w:w="132"/>
        <w:gridCol w:w="132"/>
        <w:gridCol w:w="132"/>
        <w:gridCol w:w="132"/>
        <w:gridCol w:w="132"/>
        <w:gridCol w:w="132"/>
        <w:gridCol w:w="132"/>
        <w:gridCol w:w="132"/>
        <w:gridCol w:w="198"/>
      </w:tblGrid>
      <w:tr>
        <w:trPr/>
        <w:tc>
          <w:tcPr>
            <w:tcW w:w="129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Anthony J. Doyle, </w:t>
            </w:r>
            <w:r>
              <w:rPr>
                <w:rFonts w:ascii="Times New Roman;sans-serif" w:hAnsi="Times New Roman;sans-serif"/>
                <w:b w:val="false"/>
                <w:i/>
                <w:color w:val="000000"/>
                <w:sz w:val="20"/>
              </w:rPr>
              <w:t>Chief Financial Officer and Treasurer</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Helen M. Thackray, M.D., </w:t>
            </w:r>
            <w:r>
              <w:rPr>
                <w:rFonts w:ascii="Times New Roman;sans-serif" w:hAnsi="Times New Roman;sans-serif"/>
                <w:b w:val="false"/>
                <w:i/>
                <w:color w:val="000000"/>
                <w:sz w:val="20"/>
              </w:rPr>
              <w:t>Chief Research &amp; Development Officer</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8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Alane P. Barnes, </w:t>
            </w:r>
            <w:r>
              <w:rPr>
                <w:rFonts w:ascii="Times New Roman;sans-serif" w:hAnsi="Times New Roman;sans-serif"/>
                <w:b w:val="false"/>
                <w:i/>
                <w:color w:val="000000"/>
                <w:sz w:val="20"/>
              </w:rPr>
              <w:t>Chief Legal Officer and Secretary</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8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Charles K. Gayer, </w:t>
            </w:r>
            <w:r>
              <w:rPr>
                <w:rFonts w:ascii="Times New Roman;sans-serif" w:hAnsi="Times New Roman;sans-serif"/>
                <w:b w:val="false"/>
                <w:i/>
                <w:color w:val="000000"/>
                <w:sz w:val="20"/>
              </w:rPr>
              <w:t>Chief Commercial Officer</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This trading plan was originally adopted on March 11, 2022, to cover tax withholding obligations, commissions and any fees related to the vesting of restricted stock units, with a scheduled expiration date of December 31, 2025. The aggregate number of securities that would have been sold under this plan is indeterminable because the number of shares that would have been sold to satisfy applicable tax withholding obligations upon vesting is unknown, as the number would vary based on the extent to which vesting conditions were satisfied and the market price of the Company’s common stock at the time of settlement.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This trading plan was originally adopted on March 14, 2022, to cover tax withholding obligations, commissions and any fees related to the vesting of restricted stock units, with a scheduled expiration date of December 31, 2025. The aggregate number of securities that would have been sold under this plan is indeterminable because the number of shares that would have been sold to satisfy applicable tax withholding obligations upon vesting is unknown, as the number would vary based on the extent to which vesting conditions were satisfied and the market price of the Company’s common stock at the time of settlement.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9C.    </w:t>
      </w:r>
      <w:r>
        <w:rPr>
          <w:rFonts w:ascii="Times New Roman;sans-serif" w:hAnsi="Times New Roman;sans-serif"/>
          <w:b/>
          <w:i/>
          <w:color w:val="000000"/>
          <w:sz w:val="20"/>
        </w:rPr>
        <w:t>DISCLOSURE REGARDING FOREIGN JURISDICTIONS THAT PREVENT INSPECTIONS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10.    </w:t>
      </w:r>
      <w:r>
        <w:rPr>
          <w:rFonts w:ascii="Times New Roman;sans-serif" w:hAnsi="Times New Roman;sans-serif"/>
          <w:b/>
          <w:i/>
          <w:color w:val="000000"/>
          <w:sz w:val="20"/>
        </w:rPr>
        <w:t>DIRECTORS, EXECUTIVE OFFICERS AND CORPORATE GOVERNANCE</w:t>
      </w:r>
      <w:r>
        <w:rPr>
          <w:color w:val="000000"/>
        </w:rPr>
        <w:t xml:space="preserve">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information required by this item is set forth under the captions “</w:t>
      </w:r>
      <w:r>
        <w:rPr>
          <w:rFonts w:ascii="Times New Roman;sans-serif" w:hAnsi="Times New Roman;sans-serif"/>
          <w:b w:val="false"/>
          <w:i/>
          <w:color w:val="000000"/>
          <w:sz w:val="20"/>
        </w:rPr>
        <w:t xml:space="preserve">Items to be Voted upon </w:t>
      </w:r>
      <w:r>
        <w:rPr>
          <w:color w:val="000000"/>
        </w:rPr>
        <w:t xml:space="preserve">— </w:t>
      </w:r>
      <w:r>
        <w:rPr>
          <w:rFonts w:ascii="Times New Roman;sans-serif" w:hAnsi="Times New Roman;sans-serif"/>
          <w:b w:val="false"/>
          <w:i/>
          <w:color w:val="000000"/>
          <w:sz w:val="20"/>
        </w:rPr>
        <w:t>1. Election of Directors,</w:t>
      </w:r>
      <w:r>
        <w:rPr>
          <w:color w:val="000000"/>
        </w:rPr>
        <w:t>” “</w:t>
      </w:r>
      <w:r>
        <w:rPr>
          <w:rFonts w:ascii="Times New Roman;sans-serif" w:hAnsi="Times New Roman;sans-serif"/>
          <w:b w:val="false"/>
          <w:i/>
          <w:color w:val="000000"/>
          <w:sz w:val="20"/>
        </w:rPr>
        <w:t>Executive Officers,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Corporate Governance</w:t>
      </w:r>
      <w:r>
        <w:rPr>
          <w:color w:val="000000"/>
        </w:rPr>
        <w:t xml:space="preserve">” </w:t>
      </w:r>
      <w:r>
        <w:rPr>
          <w:rFonts w:ascii="Times New Roman;sans-serif" w:hAnsi="Times New Roman;sans-serif"/>
          <w:b w:val="false"/>
          <w:color w:val="000000"/>
          <w:sz w:val="20"/>
        </w:rPr>
        <w:t>in our definitive Proxy Statement for the 2024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11.    </w:t>
      </w:r>
      <w:r>
        <w:rPr>
          <w:rFonts w:ascii="Times New Roman;sans-serif" w:hAnsi="Times New Roman;sans-serif"/>
          <w:b/>
          <w:i/>
          <w:color w:val="000000"/>
          <w:sz w:val="20"/>
        </w:rPr>
        <w:t>EXECUTIVE COMPENSATION</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information required by this item is set forth under the captions “</w:t>
      </w:r>
      <w:r>
        <w:rPr>
          <w:rFonts w:ascii="Times New Roman;sans-serif" w:hAnsi="Times New Roman;sans-serif"/>
          <w:b w:val="false"/>
          <w:i/>
          <w:color w:val="000000"/>
          <w:sz w:val="20"/>
        </w:rPr>
        <w:t>Compensation Discussion and Analysis,</w:t>
      </w:r>
      <w:r>
        <w:rPr>
          <w:color w:val="000000"/>
        </w:rPr>
        <w:t>” “</w:t>
      </w:r>
      <w:r>
        <w:rPr>
          <w:rFonts w:ascii="Times New Roman;sans-serif" w:hAnsi="Times New Roman;sans-serif"/>
          <w:b w:val="false"/>
          <w:i/>
          <w:color w:val="000000"/>
          <w:sz w:val="20"/>
        </w:rPr>
        <w:t xml:space="preserve">Executive Compensation,” </w:t>
      </w:r>
      <w:r>
        <w:rPr>
          <w:color w:val="000000"/>
        </w:rPr>
        <w:t>“</w:t>
      </w:r>
      <w:r>
        <w:rPr>
          <w:rFonts w:ascii="Times New Roman;sans-serif" w:hAnsi="Times New Roman;sans-serif"/>
          <w:b w:val="false"/>
          <w:i/>
          <w:color w:val="000000"/>
          <w:sz w:val="20"/>
        </w:rPr>
        <w:t>2023 Director Compensation,</w:t>
      </w:r>
      <w:r>
        <w:rPr>
          <w:color w:val="000000"/>
        </w:rPr>
        <w:t>” “</w:t>
      </w:r>
      <w:r>
        <w:rPr>
          <w:rFonts w:ascii="Times New Roman;sans-serif" w:hAnsi="Times New Roman;sans-serif"/>
          <w:b w:val="false"/>
          <w:i/>
          <w:color w:val="000000"/>
          <w:sz w:val="20"/>
        </w:rPr>
        <w:t>Compensation Committee Interlocks and Insider Participation,</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Compensation Committee Report</w:t>
      </w:r>
      <w:r>
        <w:rPr>
          <w:color w:val="000000"/>
        </w:rPr>
        <w:t xml:space="preserve">” </w:t>
      </w:r>
      <w:r>
        <w:rPr>
          <w:rFonts w:ascii="Times New Roman;sans-serif" w:hAnsi="Times New Roman;sans-serif"/>
          <w:b w:val="false"/>
          <w:color w:val="000000"/>
          <w:sz w:val="20"/>
        </w:rPr>
        <w:t>in our definitive Proxy Statement for the 2024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information required by this item is set forth under the captions “</w:t>
      </w:r>
      <w:r>
        <w:rPr>
          <w:rFonts w:ascii="Times New Roman;sans-serif" w:hAnsi="Times New Roman;sans-serif"/>
          <w:b w:val="false"/>
          <w:i/>
          <w:color w:val="000000"/>
          <w:sz w:val="20"/>
        </w:rPr>
        <w:t>Equity Compensation Plan Information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Security Ownership of Certain</w:t>
      </w:r>
      <w:r>
        <w:rPr>
          <w:color w:val="000000"/>
        </w:rPr>
        <w:t xml:space="preserve"> </w:t>
      </w:r>
      <w:r>
        <w:rPr>
          <w:rFonts w:ascii="Times New Roman;sans-serif" w:hAnsi="Times New Roman;sans-serif"/>
          <w:b w:val="false"/>
          <w:i/>
          <w:color w:val="000000"/>
          <w:sz w:val="20"/>
        </w:rPr>
        <w:t>Beneficial Owners and Management</w:t>
      </w:r>
      <w:r>
        <w:rPr>
          <w:color w:val="000000"/>
        </w:rPr>
        <w:t xml:space="preserve">” </w:t>
      </w:r>
      <w:r>
        <w:rPr>
          <w:rFonts w:ascii="Times New Roman;sans-serif" w:hAnsi="Times New Roman;sans-serif"/>
          <w:b w:val="false"/>
          <w:color w:val="000000"/>
          <w:sz w:val="20"/>
        </w:rPr>
        <w:t>in our definitive Proxy Statement for the 2024 Annual Meeting of Stockholders and incorporated herein by</w:t>
      </w:r>
      <w:r>
        <w:rPr>
          <w:color w:val="000000"/>
        </w:rPr>
        <w:t xml:space="preserve"> </w:t>
      </w:r>
      <w:r>
        <w:rPr>
          <w:rFonts w:ascii="Times New Roman;sans-serif" w:hAnsi="Times New Roman;sans-serif"/>
          <w:b w:val="false"/>
          <w:color w:val="000000"/>
          <w:sz w:val="20"/>
        </w:rPr>
        <w:t>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The information required by this item is set forth under the caption “</w:t>
      </w:r>
      <w:r>
        <w:rPr>
          <w:rFonts w:ascii="Times New Roman;sans-serif" w:hAnsi="Times New Roman;sans-serif"/>
          <w:b w:val="false"/>
          <w:i/>
          <w:color w:val="000000"/>
          <w:sz w:val="20"/>
        </w:rPr>
        <w:t>Corporate</w:t>
      </w:r>
      <w:r>
        <w:rPr>
          <w:color w:val="000000"/>
        </w:rPr>
        <w:t xml:space="preserve"> </w:t>
      </w:r>
      <w:r>
        <w:rPr>
          <w:rFonts w:ascii="Times New Roman;sans-serif" w:hAnsi="Times New Roman;sans-serif"/>
          <w:b w:val="false"/>
          <w:i/>
          <w:color w:val="000000"/>
          <w:sz w:val="20"/>
        </w:rPr>
        <w:t>Governance</w:t>
      </w:r>
      <w:r>
        <w:rPr>
          <w:color w:val="000000"/>
        </w:rPr>
        <w:t xml:space="preserve">” </w:t>
      </w:r>
      <w:r>
        <w:rPr>
          <w:rFonts w:ascii="Times New Roman;sans-serif" w:hAnsi="Times New Roman;sans-serif"/>
          <w:b w:val="false"/>
          <w:color w:val="000000"/>
          <w:sz w:val="20"/>
        </w:rPr>
        <w:t>in our definitive Proxy Statement for the 2024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14.    </w:t>
      </w:r>
      <w:r>
        <w:rPr>
          <w:rFonts w:ascii="Times New Roman;sans-serif" w:hAnsi="Times New Roman;sans-serif"/>
          <w:b/>
          <w:i/>
          <w:color w:val="000000"/>
          <w:sz w:val="20"/>
        </w:rPr>
        <w:t>PRINCIPAL ACCOUNTING FEES AND SERVICES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Ernst &amp; Young LLP, Raleigh, NC, Auditor Firm ID: 42.</w:t>
      </w:r>
    </w:p>
    <w:p>
      <w:pPr>
        <w:pStyle w:val="TextBody"/>
        <w:bidi w:val="0"/>
        <w:spacing w:lineRule="auto" w:line="288" w:before="240" w:after="1600"/>
        <w:ind w:left="0" w:right="0" w:firstLine="540"/>
        <w:jc w:val="left"/>
        <w:rPr/>
      </w:pPr>
      <w:r>
        <w:rPr>
          <w:rFonts w:ascii="Times New Roman;sans-serif" w:hAnsi="Times New Roman;sans-serif"/>
          <w:b w:val="false"/>
          <w:color w:val="000000"/>
          <w:sz w:val="20"/>
        </w:rPr>
        <w:t>The information required by this item is set forth under the caption “</w:t>
      </w:r>
      <w:r>
        <w:rPr>
          <w:rFonts w:ascii="Times New Roman;sans-serif" w:hAnsi="Times New Roman;sans-serif"/>
          <w:b w:val="false"/>
          <w:i/>
          <w:color w:val="000000"/>
          <w:sz w:val="20"/>
        </w:rPr>
        <w:t xml:space="preserve">Items to be Voted upon </w:t>
      </w:r>
      <w:r>
        <w:rPr>
          <w:color w:val="000000"/>
        </w:rPr>
        <w:t xml:space="preserve">— </w:t>
      </w:r>
      <w:r>
        <w:rPr>
          <w:rFonts w:ascii="Times New Roman;sans-serif" w:hAnsi="Times New Roman;sans-serif"/>
          <w:b w:val="false"/>
          <w:i/>
          <w:color w:val="000000"/>
          <w:sz w:val="20"/>
        </w:rPr>
        <w:t>2. Ratification of Appointment of Independent</w:t>
      </w:r>
      <w:r>
        <w:rPr>
          <w:color w:val="000000"/>
        </w:rPr>
        <w:t xml:space="preserve"> </w:t>
      </w:r>
      <w:r>
        <w:rPr>
          <w:rFonts w:ascii="Times New Roman;sans-serif" w:hAnsi="Times New Roman;sans-serif"/>
          <w:b w:val="false"/>
          <w:i/>
          <w:color w:val="000000"/>
          <w:sz w:val="20"/>
        </w:rPr>
        <w:t>Registered Public Accountants</w:t>
      </w:r>
      <w:r>
        <w:rPr>
          <w:color w:val="000000"/>
        </w:rPr>
        <w:t xml:space="preserve">” </w:t>
      </w:r>
      <w:r>
        <w:rPr>
          <w:rFonts w:ascii="Times New Roman;sans-serif" w:hAnsi="Times New Roman;sans-serif"/>
          <w:b w:val="false"/>
          <w:color w:val="000000"/>
          <w:sz w:val="20"/>
        </w:rPr>
        <w:t>in our definitive Proxy Statement for the 2024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    </w:t>
      </w:r>
      <w:r>
        <w:rPr>
          <w:rFonts w:ascii="Times New Roman;sans-serif" w:hAnsi="Times New Roman;sans-serif"/>
          <w:b/>
          <w:i/>
          <w:color w:val="000000"/>
          <w:sz w:val="20"/>
        </w:rPr>
        <w:t>EXHIBITS, FINANCIAL STATEMENT SCHEDULES</w:t>
      </w:r>
      <w:r>
        <w:rPr>
          <w:color w:val="000000"/>
        </w:rPr>
        <w:t xml:space="preserve"> </w:t>
      </w:r>
    </w:p>
    <w:p>
      <w:pPr>
        <w:pStyle w:val="TextBody"/>
        <w:bidi w:val="0"/>
        <w:spacing w:lineRule="auto" w:line="288" w:before="240" w:after="283"/>
        <w:ind w:left="0" w:right="0" w:firstLine="180"/>
        <w:jc w:val="left"/>
        <w:rPr/>
      </w:pPr>
      <w:r>
        <w:rPr>
          <w:rFonts w:ascii="Times New Roman;sans-serif" w:hAnsi="Times New Roman;sans-serif"/>
          <w:b w:val="false"/>
          <w:i/>
          <w:color w:val="000000"/>
          <w:sz w:val="20"/>
        </w:rPr>
        <w:t>(a) Financial Statements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appear in Item 8 of this report:</w:t>
      </w:r>
    </w:p>
    <w:tbl>
      <w:tblPr>
        <w:tblW w:w="9778" w:type="dxa"/>
        <w:jc w:val="left"/>
        <w:tblInd w:w="0" w:type="dxa"/>
        <w:tblLayout w:type="fixed"/>
        <w:tblCellMar>
          <w:top w:w="28" w:type="dxa"/>
          <w:left w:w="28" w:type="dxa"/>
          <w:bottom w:w="28" w:type="dxa"/>
          <w:right w:w="28" w:type="dxa"/>
        </w:tblCellMar>
      </w:tblPr>
      <w:tblGrid>
        <w:gridCol w:w="3143"/>
        <w:gridCol w:w="2764"/>
        <w:gridCol w:w="2777"/>
        <w:gridCol w:w="319"/>
        <w:gridCol w:w="319"/>
        <w:gridCol w:w="456"/>
      </w:tblGrid>
      <w:tr>
        <w:trPr/>
        <w:tc>
          <w:tcPr>
            <w:tcW w:w="3143"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8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 in</w:t>
              <w:br/>
              <w:t>Form 10-K</w:t>
            </w:r>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70">
              <w:r>
                <w:rPr>
                  <w:rStyle w:val="InternetLink"/>
                  <w:rFonts w:ascii="Times New Roman;sans-serif" w:hAnsi="Times New Roman;sans-serif"/>
                  <w:b w:val="false"/>
                  <w:color w:val="0000FF"/>
                  <w:sz w:val="20"/>
                  <w:u w:val="single"/>
                </w:rPr>
                <w:t>Consolidated Balance Sheets at December 31, 2023 and 2022</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70">
              <w:r>
                <w:rPr>
                  <w:rStyle w:val="InternetLink"/>
                  <w:rFonts w:ascii="Times New Roman;sans-serif" w:hAnsi="Times New Roman;sans-serif"/>
                  <w:b w:val="false"/>
                  <w:color w:val="0000FF"/>
                  <w:sz w:val="20"/>
                  <w:u w:val="single"/>
                </w:rPr>
                <w:t>75</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73">
              <w:r>
                <w:rPr>
                  <w:rStyle w:val="InternetLink"/>
                  <w:rFonts w:ascii="Times New Roman;sans-serif" w:hAnsi="Times New Roman;sans-serif"/>
                  <w:b w:val="false"/>
                  <w:color w:val="0000FF"/>
                  <w:sz w:val="20"/>
                  <w:u w:val="single"/>
                </w:rPr>
                <w:t>Consolidated Statements of Comprehensive Loss for the years ended December 31, 2023, 2022, and 2021</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73">
              <w:r>
                <w:rPr>
                  <w:rStyle w:val="InternetLink"/>
                  <w:rFonts w:ascii="Times New Roman;sans-serif" w:hAnsi="Times New Roman;sans-serif"/>
                  <w:b w:val="false"/>
                  <w:color w:val="0000FF"/>
                  <w:sz w:val="20"/>
                  <w:u w:val="single"/>
                </w:rPr>
                <w:t>76</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76">
              <w:r>
                <w:rPr>
                  <w:rStyle w:val="InternetLink"/>
                  <w:rFonts w:ascii="Times New Roman;sans-serif" w:hAnsi="Times New Roman;sans-serif"/>
                  <w:b w:val="false"/>
                  <w:color w:val="0000FF"/>
                  <w:sz w:val="20"/>
                  <w:u w:val="single"/>
                </w:rPr>
                <w:t>Consolidated Statements of Cash Flows for the years ended December 31, 2023, 2022, and 2021</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76">
              <w:r>
                <w:rPr>
                  <w:rStyle w:val="InternetLink"/>
                  <w:rFonts w:ascii="Times New Roman;sans-serif" w:hAnsi="Times New Roman;sans-serif"/>
                  <w:b w:val="false"/>
                  <w:color w:val="0000FF"/>
                  <w:sz w:val="20"/>
                  <w:u w:val="single"/>
                </w:rPr>
                <w:t>77</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79">
              <w:r>
                <w:rPr>
                  <w:rStyle w:val="InternetLink"/>
                  <w:rFonts w:ascii="Times New Roman;sans-serif" w:hAnsi="Times New Roman;sans-serif"/>
                  <w:b w:val="false"/>
                  <w:color w:val="000080"/>
                  <w:sz w:val="20"/>
                  <w:u w:val="single"/>
                </w:rPr>
                <w:t xml:space="preserve">Consolidated Statements of Stockholders’ </w:t>
              </w:r>
            </w:hyperlink>
            <w:hyperlink w:anchor="if2a5e77b966f4b88b1bcfe6af42897ec_79">
              <w:r>
                <w:rPr>
                  <w:rStyle w:val="InternetLink"/>
                  <w:rFonts w:ascii="Times New Roman;sans-serif" w:hAnsi="Times New Roman;sans-serif"/>
                  <w:b w:val="false"/>
                  <w:color w:val="000080"/>
                  <w:sz w:val="20"/>
                  <w:u w:val="single"/>
                </w:rPr>
                <w:t>Deficit</w:t>
              </w:r>
            </w:hyperlink>
            <w:hyperlink w:anchor="if2a5e77b966f4b88b1bcfe6af42897ec_79">
              <w:r>
                <w:rPr>
                  <w:rStyle w:val="InternetLink"/>
                  <w:rFonts w:ascii="Times New Roman;sans-serif" w:hAnsi="Times New Roman;sans-serif"/>
                  <w:b w:val="false"/>
                  <w:color w:val="000080"/>
                  <w:sz w:val="20"/>
                  <w:u w:val="single"/>
                </w:rPr>
                <w:t xml:space="preserve"> </w:t>
              </w:r>
            </w:hyperlink>
            <w:hyperlink w:anchor="if2a5e77b966f4b88b1bcfe6af42897ec_79">
              <w:r>
                <w:rPr>
                  <w:rStyle w:val="InternetLink"/>
                  <w:rFonts w:ascii="Times New Roman;sans-serif" w:hAnsi="Times New Roman;sans-serif"/>
                  <w:b w:val="false"/>
                  <w:color w:val="000080"/>
                  <w:sz w:val="20"/>
                  <w:u w:val="single"/>
                </w:rPr>
                <w:t>for the years ended December 31, 2023, 2022, and 2021</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79">
              <w:r>
                <w:rPr>
                  <w:rStyle w:val="InternetLink"/>
                  <w:rFonts w:ascii="Times New Roman;sans-serif" w:hAnsi="Times New Roman;sans-serif"/>
                  <w:b w:val="false"/>
                  <w:color w:val="0000FF"/>
                  <w:sz w:val="20"/>
                  <w:u w:val="single"/>
                </w:rPr>
                <w:t>78</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82">
              <w:r>
                <w:rPr>
                  <w:rStyle w:val="InternetLink"/>
                  <w:rFonts w:ascii="Times New Roman;sans-serif" w:hAnsi="Times New Roman;sans-serif"/>
                  <w:b w:val="false"/>
                  <w:color w:val="0000FF"/>
                  <w:sz w:val="20"/>
                  <w:u w:val="single"/>
                </w:rPr>
                <w:t>Notes to Consolidated Financial Statements</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82">
              <w:r>
                <w:rPr>
                  <w:rStyle w:val="InternetLink"/>
                  <w:rFonts w:ascii="Times New Roman;sans-serif" w:hAnsi="Times New Roman;sans-serif"/>
                  <w:b w:val="false"/>
                  <w:color w:val="0000FF"/>
                  <w:sz w:val="20"/>
                  <w:u w:val="single"/>
                </w:rPr>
                <w:t>79</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42">
              <w:r>
                <w:rPr>
                  <w:rStyle w:val="InternetLink"/>
                  <w:rFonts w:ascii="Times New Roman;sans-serif" w:hAnsi="Times New Roman;sans-serif"/>
                  <w:b w:val="false"/>
                  <w:color w:val="0000FF"/>
                  <w:sz w:val="20"/>
                  <w:u w:val="single"/>
                </w:rPr>
                <w:t>Report of Independent Registered Public Accounting Firm on Consolidated Financial Statements</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42">
              <w:r>
                <w:rPr>
                  <w:rStyle w:val="InternetLink"/>
                  <w:rFonts w:ascii="Times New Roman;sans-serif" w:hAnsi="Times New Roman;sans-serif"/>
                  <w:b w:val="false"/>
                  <w:color w:val="0000FF"/>
                  <w:sz w:val="20"/>
                  <w:u w:val="single"/>
                </w:rPr>
                <w:t>111</w:t>
              </w:r>
            </w:hyperlink>
          </w:p>
        </w:tc>
      </w:tr>
      <w:tr>
        <w:trPr/>
        <w:tc>
          <w:tcPr>
            <w:tcW w:w="8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5e77b966f4b88b1bcfe6af42897ec_145">
              <w:r>
                <w:rPr>
                  <w:rStyle w:val="InternetLink"/>
                  <w:rFonts w:ascii="Times New Roman;sans-serif" w:hAnsi="Times New Roman;sans-serif"/>
                  <w:b w:val="false"/>
                  <w:color w:val="0000FF"/>
                  <w:sz w:val="20"/>
                  <w:u w:val="single"/>
                </w:rPr>
                <w:t>Report of Independent Registered Public Accounting Firm on Internal Control</w:t>
              </w:r>
            </w:hyperlink>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a5e77b966f4b88b1bcfe6af42897ec_145">
              <w:r>
                <w:rPr>
                  <w:rStyle w:val="InternetLink"/>
                  <w:rFonts w:ascii="Times New Roman;sans-serif" w:hAnsi="Times New Roman;sans-serif"/>
                  <w:b w:val="false"/>
                  <w:color w:val="0000FF"/>
                  <w:sz w:val="20"/>
                  <w:u w:val="single"/>
                </w:rPr>
                <w:t>114</w:t>
              </w:r>
            </w:hyperlink>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financial statement schedules are included because the information is either provided in the consolidated financial statements or is not required under the related instructions or is inapplicable and such schedules therefore have been omitted.</w:t>
      </w:r>
    </w:p>
    <w:p>
      <w:pPr>
        <w:pStyle w:val="TextBody"/>
        <w:bidi w:val="0"/>
        <w:spacing w:lineRule="auto" w:line="288" w:before="24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90"/>
        <w:gridCol w:w="2890"/>
        <w:gridCol w:w="2914"/>
        <w:gridCol w:w="109"/>
        <w:gridCol w:w="109"/>
        <w:gridCol w:w="1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Third Restated Certificate of Incorporation of BioCryst Pharmaceuticals, Inc. Incorporated by reference to Exhibit 3.1 to the Company’s Form 8-K filed December 22, 2006.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Certificate of Amendment to the Third Restated Certificate of Incorporation of BioCryst Pharmaceuticals, Inc. Incorporated by reference to Exhibit 3.1 to the Company’s Form 8-K filed July 24, 2007.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Certificate of Amendment to the Third Restated Certificate of Incorporation of BioCryst Pharmaceuticals, Inc. Incorporated by reference to Exhibit 3.1 to the Company’s Form 8-K filed May 7, 2014.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Certificate of Elimination of the Series B Junior Participating Preferred Stock. Incorporated by reference to Exhibit 3.1 to the Company’s Form 8-K filed May 13,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Certificate of Amendment to the Third Restated Certificate of Incorporation of BioCryst Pharmaceuticals, Inc. Incorporated by reference to Exhibit 3.2 to the Company’s Form 8-K filed May 13,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A</w:t>
              </w:r>
            </w:hyperlink>
            <w:hyperlink r:id="rId9">
              <w:r>
                <w:rPr>
                  <w:rStyle w:val="InternetLink"/>
                  <w:rFonts w:ascii="Times New Roman;sans-serif" w:hAnsi="Times New Roman;sans-serif"/>
                  <w:b w:val="false"/>
                  <w:color w:val="000080"/>
                  <w:sz w:val="20"/>
                  <w:u w:val="single"/>
                </w:rPr>
                <w:t>mended and Restated By-Laws of BioCryst Pharmaceuticals, Inc., effec</w:t>
              </w:r>
            </w:hyperlink>
            <w:hyperlink r:id="rId10">
              <w:r>
                <w:rPr>
                  <w:rStyle w:val="InternetLink"/>
                  <w:rFonts w:ascii="Times New Roman;sans-serif" w:hAnsi="Times New Roman;sans-serif"/>
                  <w:b w:val="false"/>
                  <w:color w:val="000080"/>
                  <w:sz w:val="20"/>
                  <w:u w:val="single"/>
                </w:rPr>
                <w:t>tive</w:t>
              </w:r>
            </w:hyperlink>
            <w:hyperlink r:id="rId11">
              <w:r>
                <w:rPr>
                  <w:rStyle w:val="InternetLink"/>
                  <w:rFonts w:ascii="Times New Roman;sans-serif" w:hAnsi="Times New Roman;sans-serif"/>
                  <w:b w:val="false"/>
                  <w:color w:val="000080"/>
                  <w:sz w:val="20"/>
                  <w:u w:val="single"/>
                </w:rPr>
                <w:t xml:space="preserve"> January 16, 2024. Incorp</w:t>
              </w:r>
            </w:hyperlink>
            <w:hyperlink r:id="rId12">
              <w:r>
                <w:rPr>
                  <w:rStyle w:val="InternetLink"/>
                  <w:rFonts w:ascii="Times New Roman;sans-serif" w:hAnsi="Times New Roman;sans-serif"/>
                  <w:b w:val="false"/>
                  <w:color w:val="000080"/>
                  <w:sz w:val="20"/>
                  <w:u w:val="single"/>
                </w:rPr>
                <w:t>orated by reference to Exhibit 3.1 to the Company</w:t>
              </w:r>
            </w:hyperlink>
            <w:hyperlink r:id="rId13">
              <w:r>
                <w:rPr>
                  <w:rStyle w:val="InternetLink"/>
                  <w:rFonts w:ascii="Times New Roman;sans-serif" w:hAnsi="Times New Roman;sans-serif"/>
                  <w:b w:val="false"/>
                  <w:color w:val="000080"/>
                  <w:sz w:val="20"/>
                  <w:u w:val="single"/>
                </w:rPr>
                <w:t>’</w:t>
              </w:r>
            </w:hyperlink>
            <w:hyperlink r:id="rId14">
              <w:r>
                <w:rPr>
                  <w:rStyle w:val="InternetLink"/>
                  <w:rFonts w:ascii="Times New Roman;sans-serif" w:hAnsi="Times New Roman;sans-serif"/>
                  <w:b w:val="false"/>
                  <w:color w:val="000080"/>
                  <w:sz w:val="20"/>
                  <w:u w:val="single"/>
                </w:rPr>
                <w:t xml:space="preserve">s Form 8-K </w:t>
              </w:r>
            </w:hyperlink>
            <w:hyperlink r:id="rId15">
              <w:r>
                <w:rPr>
                  <w:rStyle w:val="InternetLink"/>
                  <w:rFonts w:ascii="Times New Roman;sans-serif" w:hAnsi="Times New Roman;sans-serif"/>
                  <w:b w:val="false"/>
                  <w:color w:val="000080"/>
                  <w:sz w:val="20"/>
                  <w:u w:val="single"/>
                </w:rPr>
                <w:t>f</w:t>
              </w:r>
            </w:hyperlink>
            <w:hyperlink r:id="rId16">
              <w:r>
                <w:rPr>
                  <w:rStyle w:val="InternetLink"/>
                  <w:rFonts w:ascii="Times New Roman;sans-serif" w:hAnsi="Times New Roman;sans-serif"/>
                  <w:b w:val="false"/>
                  <w:color w:val="000080"/>
                  <w:sz w:val="20"/>
                  <w:u w:val="single"/>
                </w:rPr>
                <w:t>iled January 18,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Description of Securities. Incorporated by reference to Exhibit 4.1 to the Company’s Form 10-K filed March 1, 2021.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Indenture, dated as of March 9, 2011 by and between JPR Royalty Sub LLC and U.S. Bank National Association, as trustee. Incorporated by reference to Exhibit 4.3 to the Company’s Form 10-Q filed May 6,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Fonts w:ascii="Times New Roman;sans-serif" w:hAnsi="Times New Roman;sans-serif"/>
            <w:b w:val="false"/>
            <w:color w:val="000080"/>
            <w:sz w:val="20"/>
            <w:u w:val="single"/>
          </w:rPr>
          <w:t>Table</w:t>
        </w:r>
      </w:hyperlink>
      <w:hyperlink w:anchor="if2a5e77b966f4b88b1bcfe6af42897ec_7">
        <w:r>
          <w:rPr>
            <w:rStyle w:val="InternetLink"/>
            <w:rFonts w:ascii="Times New Roman;sans-serif" w:hAnsi="Times New Roman;sans-serif"/>
            <w:b w:val="false"/>
            <w:color w:val="000080"/>
            <w:sz w:val="20"/>
            <w:u w:val="single"/>
          </w:rPr>
          <w:t xml:space="preserve"> of </w:t>
        </w:r>
      </w:hyperlink>
      <w:hyperlink w:anchor="if2a5e77b966f4b88b1bcfe6af42897e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42"/>
        <w:gridCol w:w="212"/>
        <w:gridCol w:w="186"/>
        <w:gridCol w:w="109"/>
        <w:gridCol w:w="109"/>
        <w:gridCol w:w="109"/>
        <w:gridCol w:w="3022"/>
        <w:gridCol w:w="2918"/>
        <w:gridCol w:w="2924"/>
        <w:gridCol w:w="109"/>
        <w:gridCol w:w="109"/>
        <w:gridCol w:w="156"/>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BioCryst Pharmaceuticals, Inc. Stock Incentive Plan (as amended and restated March 8, 2014). Incorporated by reference to Exhibit 10.1 to the Company’s Form 8-K filed May 5, 2014.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BioCryst Pharmaceuticals, Inc. Stock Incentive Plan (as amended and restated May 23, 2016).  Incorporated by reference to Exhibit 10.1 to the Company’s Registration Statement on Form S-8, filed May 23, 2016.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BioCryst Pharmaceuticals, Inc. Stock Incentive Plan (as amended and restated April 3, 2017). Incorporated by reference to Exhibit 10.1 to the Company’s Form 8-K filed May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BioCryst Pharmaceuticals, Inc. Stock Incentive Plan (as amended and restated September 17, 2018). Incorporated by reference to Exhibit 10.1 to the Company’s Form 8-K filed October 31,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BioCryst Pharmaceuticals, Inc. Stock Incentive Plan (as amended and restated April 12, 2019). Incorporated by reference to Exhibit 10.1 to the Company’s Form 8-K filed June 4, 2019.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BioCryst Pharmaceuticals, Inc. Stock Incentive Plan (as amended and restated March 19, 2020). Incorporated by reference to Exhibit 10.1 to the Company’s Form 8-K filed May 13,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BioCryst Pharmaceuticals, Inc. Stock Incentive Plan (as amended and restated April 1, 2021). Incorporated by reference to Exhibit 10.1 to the Company’s Form 8-K filed May 26,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BioCryst Pharmaceuticals, Inc. Stock Incentive Plan (as amended and restated as of April 18, 2022). Incorporated by reference to Exhibit 10.1 to the Company’s Form 8-K filed June 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BioCryst Pharmaceuticals, Inc. Stock Incentive Plan (as amended and restated as of April 24, 2023). Incorporated by reference to Exhibit 10.1 to the Company’s Form 8-K filed June 14,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Form of Notice of Grant of Non-Employee Director Automatic Stock Option and Stock Option Agreement under the BioCryst Pharmaceuticals, Inc. Stock Incentive Plan. Incorporated by reference to Exhibit 10.4 to the Company’s Form 10-K filed March 4, 2008.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Form of Notice of Grant of Stock Option and Stock Option Agreement under the BioCryst Pharmaceuticals, Inc. Stock Incentive Plan. Incorporated by reference to Exhibit 10.5 to the Company’s Form 10-K filed March 4, 2008.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20"/>
                  <w:u w:val="single"/>
                </w:rPr>
                <w:t>Standard Stock Option Agreement under the BioCryst Pharmaceuticals, Inc. Stock Incentive Plan. Incorporated by reference to Exhibit 10.7 to the Company’s Form 10-K filed March 2,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Form of Notice of Grant of Non-Employee Director Stock Option and Stock Option Agreement under the BioCryst Pharmaceuticals, Inc. Stock Incentive Plan. Incorporated by reference to Exhibit 10.3 to the Company’s 10-Q filed August 5,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E32E1"/>
                  <w:sz w:val="20"/>
                  <w:u w:val="single"/>
                </w:rPr>
                <w:t>Form of Notice of Grant of Restricted Stock Unit Award and Restricted Stock Unit Agreement under the BioCryst Pharmaceuticals, Inc. Stock Incentive Plan.  Incorporated by reference to Exhibit 10.8 of the Company’s Form 10-K filed March 2,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Form of Notice of Grant of Restricted Stock Unit Award and Restricted Stock Unit Agreement under the BioCryst Pharmaceuticals, Inc. Stock Incentive Plan. Incorporated by reference to Exhibit 10.2 to the Company’s Form 10-Q filed May 7,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 xml:space="preserve">Form of Notice of Grant of Restricted Stock Unit Award and Restricted Stock Unit Agreement under the BioCryst Pharmaceuticals, Inc. Stock Incentive Plan. Incorporated by reference to Exhibit 10.14 to the Company’s Form 10-K filed February 28, 2022.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Fonts w:ascii="Times New Roman;sans-serif" w:hAnsi="Times New Roman;sans-serif"/>
            <w:b w:val="false"/>
            <w:color w:val="000080"/>
            <w:sz w:val="20"/>
            <w:u w:val="single"/>
          </w:rPr>
          <w:t>Table</w:t>
        </w:r>
      </w:hyperlink>
      <w:hyperlink w:anchor="if2a5e77b966f4b88b1bcfe6af42897ec_7">
        <w:r>
          <w:rPr>
            <w:rStyle w:val="InternetLink"/>
            <w:rFonts w:ascii="Times New Roman;sans-serif" w:hAnsi="Times New Roman;sans-serif"/>
            <w:b w:val="false"/>
            <w:color w:val="000080"/>
            <w:sz w:val="20"/>
            <w:u w:val="single"/>
          </w:rPr>
          <w:t xml:space="preserve"> of </w:t>
        </w:r>
      </w:hyperlink>
      <w:hyperlink w:anchor="if2a5e77b966f4b88b1bcfe6af42897e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1"/>
        <w:gridCol w:w="202"/>
        <w:gridCol w:w="205"/>
        <w:gridCol w:w="109"/>
        <w:gridCol w:w="109"/>
        <w:gridCol w:w="109"/>
        <w:gridCol w:w="2953"/>
        <w:gridCol w:w="2953"/>
        <w:gridCol w:w="2959"/>
        <w:gridCol w:w="109"/>
        <w:gridCol w:w="109"/>
        <w:gridCol w:w="157"/>
      </w:tblGrid>
      <w:tr>
        <w:trPr/>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Form of Notice of Grant of Non-Employee Director Restricted Stock Unit Award and Restricted Stock Unit Agreement under BioCryst Pharmaceuticals, Inc. Stock Incentive Plan. Incorporated by reference to Exhibit 10.4 to the Company’s Form 10-Q filed August 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80"/>
                  <w:sz w:val="20"/>
                  <w:u w:val="single"/>
                </w:rPr>
                <w:t>BioCryst Pharmaceuticals, Inc. Employee Stock Purchase Plan (as amended and restated as of July 7, 2023).</w:t>
              </w:r>
            </w:hyperlink>
            <w:hyperlink r:id="rId37">
              <w:r>
                <w:rPr>
                  <w:rStyle w:val="InternetLink"/>
                  <w:rFonts w:ascii="Times New Roman;sans-serif" w:hAnsi="Times New Roman;sans-serif"/>
                  <w:b w:val="false"/>
                  <w:color w:val="000080"/>
                  <w:sz w:val="20"/>
                  <w:u w:val="single"/>
                </w:rPr>
                <w:t xml:space="preserve"> Incorporated by reference to Exhibit 10.3 to the Company</w:t>
              </w:r>
            </w:hyperlink>
            <w:hyperlink r:id="rId38">
              <w:r>
                <w:rPr>
                  <w:rStyle w:val="InternetLink"/>
                  <w:rFonts w:ascii="Times New Roman;sans-serif" w:hAnsi="Times New Roman;sans-serif"/>
                  <w:b w:val="false"/>
                  <w:color w:val="000080"/>
                  <w:sz w:val="20"/>
                  <w:u w:val="single"/>
                </w:rPr>
                <w:t>’</w:t>
              </w:r>
            </w:hyperlink>
            <w:hyperlink r:id="rId39">
              <w:r>
                <w:rPr>
                  <w:rStyle w:val="InternetLink"/>
                  <w:rFonts w:ascii="Times New Roman;sans-serif" w:hAnsi="Times New Roman;sans-serif"/>
                  <w:b w:val="false"/>
                  <w:color w:val="000080"/>
                  <w:sz w:val="20"/>
                  <w:u w:val="single"/>
                </w:rPr>
                <w:t>s Form</w:t>
              </w:r>
            </w:hyperlink>
            <w:hyperlink r:id="rId40">
              <w:r>
                <w:rPr>
                  <w:rStyle w:val="InternetLink"/>
                  <w:rFonts w:ascii="Times New Roman;sans-serif" w:hAnsi="Times New Roman;sans-serif"/>
                  <w:b w:val="false"/>
                  <w:color w:val="000080"/>
                  <w:sz w:val="20"/>
                  <w:u w:val="single"/>
                </w:rPr>
                <w:t xml:space="preserve"> 10-Q filed August 7,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BioCryst Pharmaceuticals, Inc. Inducement Equity Incentive Plan (effective as of April 24, 2019). Incorporated by reference to Exhibit 99.1 to the Company’s Form S-8 (File No. 333-231108) filed April 29, 2019.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BioCryst Pharmaceuticals, Inc. Inducement Equity Incentive Plan (as amended and restated February 7, 2020). Incorporated by reference to Exhibit 10.2 of the Company’s Form 10-Q filed May 11,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BioCryst Pharmaceuticals, Inc. Inducement Equity Incentive Plan (as amended and restated July 17, 2020). Incorporated by reference to Exhibit 99.1 to the Company’s Form S-8 (File No. 333-245024) filed August 12,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BioCryst Pharmaceuticals, Inc. Inducement Equity Incentive Plan (as amended and restated July 23, 2021). Incorporated by reference to Exhibit 99.1 to the Company’s Form S-8 (File No. 333-259919) filed September 30,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20"/>
                  <w:u w:val="single"/>
                </w:rPr>
                <w:t>BioCryst Pharmaceuticals, Inc. Inducement Equity Incentive Plan (as amended and restated August 31, 2022). Incorporated by reference to Exhibit 99.1 to the Company’s Form S-8 (File No. 333-267193) filed August 31,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80"/>
                  <w:sz w:val="20"/>
                  <w:u w:val="single"/>
                </w:rPr>
                <w:t>BioCryst Pharmaceuticals, Inc. Inducement Equity Incentive Plan (as amended and restated as of October 26, 2023).</w:t>
              </w:r>
            </w:hyperlink>
            <w:hyperlink r:id="rId47">
              <w:r>
                <w:rPr>
                  <w:rStyle w:val="InternetLink"/>
                  <w:rFonts w:ascii="Times New Roman;sans-serif" w:hAnsi="Times New Roman;sans-serif"/>
                  <w:b w:val="false"/>
                  <w:color w:val="000080"/>
                  <w:sz w:val="20"/>
                  <w:u w:val="single"/>
                </w:rPr>
                <w:t xml:space="preserve"> Incorporated by reference to Exhibit 10.2 to the Company</w:t>
              </w:r>
            </w:hyperlink>
            <w:hyperlink r:id="rId48">
              <w:r>
                <w:rPr>
                  <w:rStyle w:val="InternetLink"/>
                  <w:rFonts w:ascii="Times New Roman;sans-serif" w:hAnsi="Times New Roman;sans-serif"/>
                  <w:b w:val="false"/>
                  <w:color w:val="000080"/>
                  <w:sz w:val="20"/>
                  <w:u w:val="single"/>
                </w:rPr>
                <w:t>’</w:t>
              </w:r>
            </w:hyperlink>
            <w:hyperlink r:id="rId49">
              <w:r>
                <w:rPr>
                  <w:rStyle w:val="InternetLink"/>
                  <w:rFonts w:ascii="Times New Roman;sans-serif" w:hAnsi="Times New Roman;sans-serif"/>
                  <w:b w:val="false"/>
                  <w:color w:val="000080"/>
                  <w:sz w:val="20"/>
                  <w:u w:val="single"/>
                </w:rPr>
                <w:t>s Form 10-Q filed November 8,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Form of Notice of Grant of Stock Option and Standard Stock Option Agreement under the BioCryst Pharmaceuticals, Inc. Inducement Equity Incentive Plan. Incorporated by reference to Exhibit 10.16 to the Company’s Form 10-K filed March 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80"/>
                  <w:sz w:val="20"/>
                  <w:u w:val="single"/>
                </w:rPr>
                <w:t>Form of Notice of Grant of Restricted Stock Unit Award and Restricted Stock Unit Agreement under the BioCryst Pharmaceuticals, Inc. Inducement Equity Incentive Plan.</w:t>
              </w:r>
            </w:hyperlink>
            <w:hyperlink r:id="rId52">
              <w:r>
                <w:rPr>
                  <w:rStyle w:val="InternetLink"/>
                  <w:rFonts w:ascii="Times New Roman;sans-serif" w:hAnsi="Times New Roman;sans-serif"/>
                  <w:b w:val="false"/>
                  <w:color w:val="000080"/>
                  <w:sz w:val="20"/>
                  <w:u w:val="single"/>
                </w:rPr>
                <w:t xml:space="preserve"> Inco</w:t>
              </w:r>
            </w:hyperlink>
            <w:hyperlink r:id="rId53">
              <w:r>
                <w:rPr>
                  <w:rStyle w:val="InternetLink"/>
                  <w:rFonts w:ascii="Times New Roman;sans-serif" w:hAnsi="Times New Roman;sans-serif"/>
                  <w:b w:val="false"/>
                  <w:color w:val="000080"/>
                  <w:sz w:val="20"/>
                  <w:u w:val="single"/>
                </w:rPr>
                <w:t>rporated by reference to Exhibit 10.25 to the Company</w:t>
              </w:r>
            </w:hyperlink>
            <w:hyperlink r:id="rId54">
              <w:r>
                <w:rPr>
                  <w:rStyle w:val="InternetLink"/>
                  <w:rFonts w:ascii="Times New Roman;sans-serif" w:hAnsi="Times New Roman;sans-serif"/>
                  <w:b w:val="false"/>
                  <w:color w:val="000080"/>
                  <w:sz w:val="20"/>
                  <w:u w:val="single"/>
                </w:rPr>
                <w:t>’</w:t>
              </w:r>
            </w:hyperlink>
            <w:hyperlink r:id="rId55">
              <w:r>
                <w:rPr>
                  <w:rStyle w:val="InternetLink"/>
                  <w:rFonts w:ascii="Times New Roman;sans-serif" w:hAnsi="Times New Roman;sans-serif"/>
                  <w:b w:val="false"/>
                  <w:color w:val="000080"/>
                  <w:sz w:val="20"/>
                  <w:u w:val="single"/>
                </w:rPr>
                <w:t>s Form 10-K filed February 27,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20"/>
                  <w:u w:val="single"/>
                </w:rPr>
                <w:t>BioCryst Pharmaceuticals, Inc. Non-Employee Director Compensation Policy, effective April 18, 2022. Incorporated by reference to Exhibit 10.2 to the Company’s Form 10-Q filed May 9,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20"/>
                  <w:u w:val="single"/>
                </w:rPr>
                <w:t>BioCryst Pharmaceuticals, Inc. Annual Incentive Plan (effective as of December 16, 2020). Incorporated by reference to Exhibit 10.1 to the Company’s Form 8-K filed December 17,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FF"/>
                  <w:sz w:val="20"/>
                  <w:u w:val="single"/>
                </w:rPr>
                <w:t>Executive Relocation Policy. Incorporated by reference to Exhibit 10.2 to the Company’s Form 10-K filed March 4, 2008.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Amended and Restated Employment Letter Agreement between BioCryst Pharmaceuticals, Inc. and Jon P. Stonehouse, dated February 14, 2007. Incorporated by reference to Exhibit 10.12 to the Company’s Form 10-K filed March 14, 2007.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20"/>
                  <w:u w:val="single"/>
                </w:rPr>
                <w:t>Amended and Restated Employment Letter Agreement between BioCryst Pharmaceuticals, Inc. and Alane P. Barnes, dated August 4, 2021. Incorporated by reference to Exhibit 10.6 to the Company’s Form 10-Q filed August 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Fonts w:ascii="Times New Roman;sans-serif" w:hAnsi="Times New Roman;sans-serif"/>
            <w:b w:val="false"/>
            <w:color w:val="000080"/>
            <w:sz w:val="20"/>
            <w:u w:val="single"/>
          </w:rPr>
          <w:t>Table</w:t>
        </w:r>
      </w:hyperlink>
      <w:hyperlink w:anchor="if2a5e77b966f4b88b1bcfe6af42897ec_7">
        <w:r>
          <w:rPr>
            <w:rStyle w:val="InternetLink"/>
            <w:rFonts w:ascii="Times New Roman;sans-serif" w:hAnsi="Times New Roman;sans-serif"/>
            <w:b w:val="false"/>
            <w:color w:val="000080"/>
            <w:sz w:val="20"/>
            <w:u w:val="single"/>
          </w:rPr>
          <w:t xml:space="preserve"> of </w:t>
        </w:r>
      </w:hyperlink>
      <w:hyperlink w:anchor="if2a5e77b966f4b88b1bcfe6af42897e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40"/>
        <w:gridCol w:w="210"/>
        <w:gridCol w:w="212"/>
        <w:gridCol w:w="109"/>
        <w:gridCol w:w="109"/>
        <w:gridCol w:w="109"/>
        <w:gridCol w:w="3026"/>
        <w:gridCol w:w="2904"/>
        <w:gridCol w:w="2910"/>
        <w:gridCol w:w="109"/>
        <w:gridCol w:w="109"/>
        <w:gridCol w:w="158"/>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20"/>
                  <w:u w:val="single"/>
                </w:rPr>
                <w:t>Employment Letter Agreement between BioCryst Pharmaceuticals, Inc. and Charles Gayer, dated January 14, 2020. Incorporated by reference to Exhibit 10.26 to the Company’s Form 10-K filed March 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20"/>
                  <w:u w:val="single"/>
                </w:rPr>
                <w:t>Amendment No. 1 to the Employment Letter Agreement between BioCryst Pharmaceuticals, Inc. and Charles Gayer, dated September 24, 2021. Incorporated by reference to Exhibit 10.10 to the Company’s Form 10-Q filed November 4,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FF"/>
                  <w:sz w:val="20"/>
                  <w:u w:val="single"/>
                </w:rPr>
                <w:t>Employment Letter Agreement between BioCryst Pharmaceuticals, Inc. and Anthony Doyle, dated March 29, 2020. Incorporated by reference to Exhibit 10.1 to the Company’s Form 10-Q filed May 11, 2020.</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FF"/>
                  <w:sz w:val="20"/>
                  <w:u w:val="single"/>
                </w:rPr>
                <w:t>Amendment No. 1 to the Employment Letter Agreement between BioCryst Pharmaceuticals, Inc. and Anthony Doyle, dated September 24, 2021. Incorporated by reference to Exhibit 10.8 to the Company’s Form 10-Q filed November 4,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ans-serif" w:hAnsi="Times New Roman;sans-serif"/>
                  <w:b w:val="false"/>
                  <w:color w:val="0000FF"/>
                  <w:sz w:val="20"/>
                  <w:u w:val="single"/>
                </w:rPr>
                <w:t>Employment Letter Agreement between BioCryst Pharmaceuticals, Inc. and Dr. Helen M. Thackray, dated February 18, 2021. Incorporated by reference to Exhibit 10.1 to the Company’s Form 10-Q filed May 7,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FF"/>
                  <w:sz w:val="20"/>
                  <w:u w:val="single"/>
                </w:rPr>
                <w:t>Amendment No. 1 to the Employment Letter Agreement between BioCryst Pharmaceuticals, Inc. and Dr. Helen M. Thackray, dated September 24, 2021. Incorporated by reference to Exhibit 10.9 to the Company’s Form 10-Q filed November 4,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ans-serif" w:hAnsi="Times New Roman;sans-serif"/>
                  <w:b w:val="false"/>
                  <w:color w:val="0000FF"/>
                  <w:sz w:val="20"/>
                  <w:u w:val="single"/>
                </w:rPr>
                <w:t>License, Development and Commercialization Agreement dated as of February 28, 2007, by and between the Company and Shionogi &amp; Co., Ltd. Incorporated by reference to Exhibit 10.28 to the Company’s Form 10-K filed March 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ans-serif" w:hAnsi="Times New Roman;sans-serif"/>
                  <w:b w:val="false"/>
                  <w:color w:val="0000FF"/>
                  <w:sz w:val="20"/>
                  <w:u w:val="single"/>
                </w:rPr>
                <w:t>First Amendment to License, Development and Commercialization Agreement, effective as of September 30, 2008, between the Company and Shionogi &amp; Co., Ltd. Incorporated by reference to Exhibit 10.29 to the Company’s Form 10-K filed March 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ans-serif" w:hAnsi="Times New Roman;sans-serif"/>
                  <w:b w:val="false"/>
                  <w:color w:val="0000FF"/>
                  <w:sz w:val="20"/>
                  <w:u w:val="single"/>
                </w:rPr>
                <w:t>Purchase and Sale Agreement, dated as of March 9, 2011 between BioCryst Pharmaceuticals, Inc. and JPR Royalty Sub LLC. Incorporated by reference to Exhibit 10.1 of the Company’s Form 10-Q filed May 6, 2011.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ans-serif" w:hAnsi="Times New Roman;sans-serif"/>
                  <w:b w:val="false"/>
                  <w:color w:val="0000FF"/>
                  <w:sz w:val="20"/>
                  <w:u w:val="single"/>
                </w:rPr>
                <w:t>Pledge and Security Agreement, dated as of March 9, 2011 between BioCryst Pharmaceuticals, Inc. and U.S. Bank National Association, as trustee. Incorporated by reference to Exhibit 10.2 of the Company’s Form 10-Q filed May 6, 2011.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ans-serif" w:hAnsi="Times New Roman;sans-serif"/>
                  <w:b w:val="false"/>
                  <w:color w:val="0000FF"/>
                  <w:sz w:val="20"/>
                  <w:u w:val="single"/>
                </w:rPr>
                <w:t>Purchase and Sale Agreement, dated as of December 7, 2020, between BioCryst Pharmaceuticals, Inc. and RPI 2019 Intermediate Finance Trust. Incorporated by reference to Exhibit 10.91 to the Company’s Form 10-K filed March 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ans-serif" w:hAnsi="Times New Roman;sans-serif"/>
                  <w:b w:val="false"/>
                  <w:color w:val="0000FF"/>
                  <w:sz w:val="20"/>
                  <w:u w:val="single"/>
                </w:rPr>
                <w:t xml:space="preserve">Purchase and Sale Agreement, dated as of November 19, 2021, between BioCryst Pharmaceuticals, Inc. and RPI 2019 Intermediate Finance Trust. Incorporated by reference to Exhibit 10.102 to the Company’s Form 10-K filed on February 28, 2022.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ans-serif" w:hAnsi="Times New Roman;sans-serif"/>
                  <w:b w:val="false"/>
                  <w:color w:val="0000FF"/>
                  <w:sz w:val="20"/>
                  <w:u w:val="single"/>
                </w:rPr>
                <w:t>Purchase and Sale Agreement, dated as of November 19, 2021, between BioCryst Pharmaceuticals, Inc. and OCM IP Healthcare Holdings Limited. Incorporated by reference to Exhibit 10.103 to the Company’s Form 10-K filed on February 28, 2022.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ans-serif" w:hAnsi="Times New Roman;sans-serif"/>
                  <w:b w:val="false"/>
                  <w:color w:val="0000FF"/>
                  <w:sz w:val="20"/>
                  <w:u w:val="single"/>
                </w:rPr>
                <w:t>Common Stock Purchase Agreement, dated as of November 19, 2021, between BioCryst Pharmaceuticals, Inc. and RPI Intermediate Finance Trust. Incorporated by reference to Exhibit 10.104 to the Company’s Form 10-K filed on February 28, 2022.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Fonts w:ascii="Times New Roman;sans-serif" w:hAnsi="Times New Roman;sans-serif"/>
            <w:b w:val="false"/>
            <w:color w:val="000080"/>
            <w:sz w:val="20"/>
            <w:u w:val="single"/>
          </w:rPr>
          <w:t>Table</w:t>
        </w:r>
      </w:hyperlink>
      <w:hyperlink w:anchor="if2a5e77b966f4b88b1bcfe6af42897ec_7">
        <w:r>
          <w:rPr>
            <w:rStyle w:val="InternetLink"/>
            <w:rFonts w:ascii="Times New Roman;sans-serif" w:hAnsi="Times New Roman;sans-serif"/>
            <w:b w:val="false"/>
            <w:color w:val="000080"/>
            <w:sz w:val="20"/>
            <w:u w:val="single"/>
          </w:rPr>
          <w:t xml:space="preserve"> of </w:t>
        </w:r>
      </w:hyperlink>
      <w:hyperlink w:anchor="if2a5e77b966f4b88b1bcfe6af42897ec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3145"/>
        <w:gridCol w:w="2862"/>
        <w:gridCol w:w="2868"/>
        <w:gridCol w:w="109"/>
        <w:gridCol w:w="109"/>
        <w:gridCol w:w="155"/>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ans-serif" w:hAnsi="Times New Roman;sans-serif"/>
                  <w:b w:val="false"/>
                  <w:color w:val="0000FF"/>
                  <w:sz w:val="20"/>
                  <w:u w:val="single"/>
                </w:rPr>
                <w:t>Loan Agreement, dated as of April 17, 2023, by and among BioCryst Pharmaceuticals, Inc., as borrower, the guarantors signatory thereto or otherwise party thereto from time to time, BioPharma Credit PLC, as collateral agent for the lenders, and BPCR Limited Partnership and BioPharma Credit Investments V (Master) LP, as lenders. Incorporated by reference to Exhibit 10.1 to the Company’s Form 10-Q filed on August 7,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subsidiaries1.htm">
              <w:r>
                <w:rPr>
                  <w:rStyle w:val="InternetLink"/>
                  <w:rFonts w:ascii="Times New Roman;sans-serif" w:hAnsi="Times New Roman;sans-serif"/>
                  <w:b w:val="false"/>
                  <w:color w:val="0000FF"/>
                  <w:sz w:val="20"/>
                  <w:u w:val="single"/>
                </w:rPr>
                <w:t>Subsidiaries of the Registrant.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02310xkxdraftco.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11.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12.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1231xex322.htm">
              <w:r>
                <w:rPr>
                  <w:rStyle w:val="InternetLink"/>
                  <w:rFonts w:ascii="Times New Roman;sans-serif" w:hAnsi="Times New Roman;sans-serif"/>
                  <w:b w:val="false"/>
                  <w:color w:val="0000FF"/>
                  <w:sz w:val="20"/>
                  <w:u w:val="single"/>
                </w:rPr>
                <w:t>Certification of the Chief Financial Officer pursuant to 18.U.S.C. Section 1350, as adopted pursuant to section 906 of the Sarbanes-Oxley Act of 2002.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nasdaqcompliantc.htm">
              <w:r>
                <w:rPr>
                  <w:rStyle w:val="InternetLink"/>
                  <w:rFonts w:ascii="Times New Roman;sans-serif" w:hAnsi="Times New Roman;sans-serif"/>
                  <w:b w:val="false"/>
                  <w:color w:val="000080"/>
                  <w:sz w:val="20"/>
                  <w:u w:val="single"/>
                </w:rPr>
                <w:t>B</w:t>
              </w:r>
            </w:hyperlink>
            <w:hyperlink w:anchor="exhibit97-nasdaqcompliantc.htm">
              <w:r>
                <w:rPr>
                  <w:rStyle w:val="InternetLink"/>
                  <w:rFonts w:ascii="Times New Roman;sans-serif" w:hAnsi="Times New Roman;sans-serif"/>
                  <w:b w:val="false"/>
                  <w:color w:val="000080"/>
                  <w:sz w:val="20"/>
                  <w:u w:val="single"/>
                </w:rPr>
                <w:t>ioCryst Pharmaceuticals, Inc. Rule 10</w:t>
              </w:r>
            </w:hyperlink>
            <w:hyperlink w:anchor="exhibit97-nasdaqcompliantc.htm">
              <w:r>
                <w:rPr>
                  <w:rStyle w:val="InternetLink"/>
                  <w:rFonts w:ascii="Times New Roman;sans-serif" w:hAnsi="Times New Roman;sans-serif"/>
                  <w:b w:val="false"/>
                  <w:color w:val="000080"/>
                  <w:sz w:val="20"/>
                  <w:u w:val="single"/>
                </w:rPr>
                <w:t>D-1 Clawback Policy</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from the Annual Report on Form 10-K of BioCryst Pharmaceuticals, Inc. for the fiscal year ended December 31, 2023, formatted in Inline XBRL: (i) Consolidated Balance Sheets, (ii) Consolidated Statements of Comprehensive Loss, (iii) Consolidated Statements of Cash Flows, (iv) Consolidated Statements of Stockholders’ Equity and (v) Notes to Consolidated Financial Statements.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from this annual report on Form 10-K for the fiscal year ended December 31, 2023 is formatted in Inline XBRL (contained in Exhibit 101).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identified information has been omitted pursuant to Item 601(b)(10) of Regulation S-K because it is both not material and would likely cause competitive harm to the Company if publicly disclosed.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personally identifiable information has been omitted from this exhibit pursuant to Item 601(a)(6) of Regulation S-K.</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pPr>
      <w:r>
        <w:rPr>
          <w:rFonts w:ascii="Times New Roman;sans-serif" w:hAnsi="Times New Roman;sans-serif"/>
          <w:b/>
          <w:color w:val="000000"/>
          <w:sz w:val="20"/>
        </w:rPr>
        <w:t>ITEM 16.    </w:t>
      </w:r>
      <w:r>
        <w:rPr>
          <w:rFonts w:ascii="Times New Roman;sans-serif" w:hAnsi="Times New Roman;sans-serif"/>
          <w:b/>
          <w:i/>
          <w:color w:val="000000"/>
          <w:sz w:val="20"/>
        </w:rPr>
        <w:t>FORM 10-K SUMMARY.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f2a5e77b966f4b88b1bcfe6af42897ec_7">
        <w:r>
          <w:rPr>
            <w:rStyle w:val="InternetLink"/>
          </w:rPr>
          <w:t>Table</w:t>
        </w:r>
      </w:hyperlink>
      <w:hyperlink w:anchor="if2a5e77b966f4b88b1bcfe6af42897ec_7">
        <w:r>
          <w:rPr>
            <w:rStyle w:val="InternetLink"/>
          </w:rPr>
          <w:t xml:space="preserve"> of </w:t>
        </w:r>
      </w:hyperlink>
      <w:hyperlink w:anchor="if2a5e77b966f4b88b1bcfe6af42897ec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February 27, 2024.</w:t>
      </w:r>
    </w:p>
    <w:tbl>
      <w:tblPr>
        <w:tblW w:w="42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28"/>
        <w:gridCol w:w="1028"/>
        <w:gridCol w:w="1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February 27, 2024:</w:t>
      </w:r>
    </w:p>
    <w:tbl>
      <w:tblPr>
        <w:tblW w:w="8365" w:type="dxa"/>
        <w:jc w:val="left"/>
        <w:tblInd w:w="0" w:type="dxa"/>
        <w:tblLayout w:type="fixed"/>
        <w:tblCellMar>
          <w:top w:w="28" w:type="dxa"/>
          <w:left w:w="28" w:type="dxa"/>
          <w:bottom w:w="28" w:type="dxa"/>
          <w:right w:w="28" w:type="dxa"/>
        </w:tblCellMar>
      </w:tblPr>
      <w:tblGrid>
        <w:gridCol w:w="818"/>
        <w:gridCol w:w="720"/>
        <w:gridCol w:w="726"/>
        <w:gridCol w:w="109"/>
        <w:gridCol w:w="109"/>
        <w:gridCol w:w="109"/>
        <w:gridCol w:w="1686"/>
        <w:gridCol w:w="1686"/>
        <w:gridCol w:w="2402"/>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Title(s)</w:t>
            </w:r>
          </w:p>
        </w:tc>
      </w:tr>
      <w:tr>
        <w:trPr/>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J.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J.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Interim Principal Accounting Officer)</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B. Abercrombie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B. Abercrombie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Aselage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Aselage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K. Galson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K. Galson,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Theresa M. Heggie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Theresa M. Heggie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Nancy J. Hutson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J. Hutson,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G.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G.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E. McKee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Amy E. McKee,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Vincent J. Milano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Vincent J. Milano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Machelle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Machelle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before="0" w:after="0"/>
        <w:jc w:val="center"/>
        <w:rPr/>
      </w:pPr>
      <w:r>
        <w:rPr/>
      </w:r>
    </w:p>
    <w:tbl>
      <w:tblPr>
        <w:tblW w:w="6086" w:type="dxa"/>
        <w:jc w:val="left"/>
        <w:tblInd w:w="0" w:type="dxa"/>
        <w:tblLayout w:type="fixed"/>
        <w:tblCellMar>
          <w:top w:w="28" w:type="dxa"/>
          <w:left w:w="28" w:type="dxa"/>
          <w:bottom w:w="28" w:type="dxa"/>
          <w:right w:w="28" w:type="dxa"/>
        </w:tblCellMar>
      </w:tblPr>
      <w:tblGrid>
        <w:gridCol w:w="1135"/>
        <w:gridCol w:w="999"/>
        <w:gridCol w:w="1001"/>
        <w:gridCol w:w="109"/>
        <w:gridCol w:w="109"/>
        <w:gridCol w:w="109"/>
        <w:gridCol w:w="767"/>
        <w:gridCol w:w="767"/>
        <w:gridCol w:w="1090"/>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3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España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Japan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Schweiz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US Sales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JPR Royalty Sub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23</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180"/>
        <w:jc w:val="center"/>
        <w:rPr>
          <w:rFonts w:ascii="Times New Roman;sans-serif" w:hAnsi="Times New Roman;sans-serif"/>
          <w:b/>
          <w:color w:val="333333"/>
          <w:sz w:val="22"/>
          <w:shd w:fill="FFFFFF" w:val="clear"/>
        </w:rPr>
      </w:pPr>
      <w:r>
        <w:rPr>
          <w:rFonts w:ascii="Times New Roman;sans-serif" w:hAnsi="Times New Roman;sans-serif"/>
          <w:b/>
          <w:color w:val="333333"/>
          <w:sz w:val="22"/>
          <w:shd w:fill="FFFFFF" w:val="clear"/>
        </w:rPr>
        <w:t>Consent of Independent Registered Public Accounting Firm</w:t>
      </w:r>
    </w:p>
    <w:p>
      <w:pPr>
        <w:pStyle w:val="TextBody"/>
        <w:bidi w:val="0"/>
        <w:spacing w:lineRule="auto" w:line="240" w:before="0" w:after="180"/>
        <w:jc w:val="left"/>
        <w:rPr>
          <w:rFonts w:ascii="Times New Roman;sans-serif" w:hAnsi="Times New Roman;sans-serif"/>
          <w:b w:val="false"/>
          <w:color w:val="333333"/>
          <w:sz w:val="22"/>
          <w:shd w:fill="FFFFFF" w:val="clear"/>
        </w:rPr>
      </w:pPr>
      <w:r>
        <w:rPr>
          <w:rFonts w:ascii="Times New Roman;sans-serif" w:hAnsi="Times New Roman;sans-serif"/>
          <w:b w:val="false"/>
          <w:color w:val="333333"/>
          <w:sz w:val="22"/>
          <w:shd w:fill="FFFFFF" w:val="clear"/>
        </w:rPr>
        <w:t>We consent to the incorporation by reference in the following Registration Statements:           </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S-8 Nos. 333-231108, 333-239078, 333-245024, 333-259919, 333-267193 and 333-275401) pertaining to the BioCryst Pharmaceuticals, Inc. Inducement Equity Incentive Plan, as amended and restated,</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S-3 Nos. 333-145638, 333-153084, 333-217859 and 333-253719) of BioCryst Pharmaceuticals, Inc.,</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S-8 Nos. 333-120345, 333-39484, 333-30751 and 333-136703) pertaining to the BioCryst Pharmaceuticals, Inc. 1991 Stock Option Plan, as amended and restated,</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S-8 Nos. 333-90582, 333-239077 and 333-256624) pertaining to the BioCryst Pharmaceuticals, Inc. Employee Stock Purchase Plan, as amended and restated,</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 (Form S-8 No. 333-145627) pertaining to the BioCryst Pharmaceuticals, Inc. Stock Incentive Plan, as amended and restated, and the Employment Letter Agreement dated April 2, 2007 between BioCryst Pharmaceuticals, Inc. and David McCullough,</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S-8 Nos. 333-176096, 333-211529, 333-218360, 333-228296, 333-231942, 333-239076, 333-256625, 333-266132 and 333-273042) pertaining to the BioCryst Pharmaceuticals, Inc. Stock Incentive Plan, as amended and restated, and</w:t>
      </w:r>
    </w:p>
    <w:p>
      <w:pPr>
        <w:pStyle w:val="TextBody"/>
        <w:bidi w:val="0"/>
        <w:spacing w:lineRule="auto" w:line="240" w:before="0" w:after="180"/>
        <w:ind w:left="0" w:right="0" w:hanging="360"/>
        <w:jc w:val="left"/>
        <w:rPr/>
      </w:pPr>
      <w:r>
        <w:rPr>
          <w:color w:val="333333"/>
        </w:rPr>
        <w:t>•</w:t>
      </w:r>
      <w:r>
        <w:rPr>
          <w:rFonts w:ascii="Times New Roman;sans-serif" w:hAnsi="Times New Roman;sans-serif"/>
          <w:b w:val="false"/>
          <w:color w:val="333333"/>
          <w:sz w:val="22"/>
          <w:shd w:fill="FFFFFF" w:val="clear"/>
        </w:rPr>
        <w:t>Registration Statements (Form S-8 Nos. 333-152570, 333-167830, 333-187193 and 333-195869) pertaining to the BioCryst Pharmaceuticals, Inc. Stock Incentive Plan and the Employee Stock Purchase Plan, each as amended and restated,</w:t>
      </w:r>
    </w:p>
    <w:p>
      <w:pPr>
        <w:pStyle w:val="TextBody"/>
        <w:bidi w:val="0"/>
        <w:spacing w:lineRule="auto" w:line="240" w:before="0" w:after="180"/>
        <w:jc w:val="left"/>
        <w:rPr>
          <w:rFonts w:ascii="Times New Roman;sans-serif" w:hAnsi="Times New Roman;sans-serif"/>
          <w:b w:val="false"/>
          <w:color w:val="333333"/>
          <w:sz w:val="22"/>
          <w:shd w:fill="FFFFFF" w:val="clear"/>
        </w:rPr>
      </w:pPr>
      <w:r>
        <w:rPr>
          <w:rFonts w:ascii="Times New Roman;sans-serif" w:hAnsi="Times New Roman;sans-serif"/>
          <w:b w:val="false"/>
          <w:color w:val="333333"/>
          <w:sz w:val="22"/>
          <w:shd w:fill="FFFFFF" w:val="clear"/>
        </w:rPr>
        <w:t>of our reports dated February 27, 2024, with respect to the consolidated financial statements of BioCryst Pharmaceuticals, Inc. and the effectiveness of internal control over financial reporting of BioCryst Pharmaceuticals, Inc. included in this Annual Report (Form 10-K) of BioCryst Pharmaceuticals, Inc. for the year ended December 31,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Raleigh, North Carolina</w:t>
      </w:r>
    </w:p>
    <w:p>
      <w:pPr>
        <w:pStyle w:val="TextBody"/>
        <w:bidi w:val="0"/>
        <w:spacing w:lineRule="auto" w:line="24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February 27, 2024</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Jon P. Stonehouse,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BioCryst Pharmaceuticals,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60" w:type="dxa"/>
        <w:jc w:val="left"/>
        <w:tblInd w:w="0" w:type="dxa"/>
        <w:tblLayout w:type="fixed"/>
        <w:tblCellMar>
          <w:top w:w="28" w:type="dxa"/>
          <w:left w:w="28" w:type="dxa"/>
          <w:bottom w:w="28" w:type="dxa"/>
          <w:right w:w="28" w:type="dxa"/>
        </w:tblCellMar>
      </w:tblPr>
      <w:tblGrid>
        <w:gridCol w:w="754"/>
        <w:gridCol w:w="664"/>
        <w:gridCol w:w="667"/>
        <w:gridCol w:w="725"/>
        <w:gridCol w:w="725"/>
        <w:gridCol w:w="102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Anthony J. Doyle,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BioCryst Pharmaceuticals,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99" w:type="dxa"/>
        <w:jc w:val="left"/>
        <w:tblInd w:w="0" w:type="dxa"/>
        <w:tblLayout w:type="fixed"/>
        <w:tblCellMar>
          <w:top w:w="28" w:type="dxa"/>
          <w:left w:w="28" w:type="dxa"/>
          <w:bottom w:w="28" w:type="dxa"/>
          <w:right w:w="28" w:type="dxa"/>
        </w:tblCellMar>
      </w:tblPr>
      <w:tblGrid>
        <w:gridCol w:w="754"/>
        <w:gridCol w:w="664"/>
        <w:gridCol w:w="667"/>
        <w:gridCol w:w="706"/>
        <w:gridCol w:w="706"/>
        <w:gridCol w:w="100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J. Doyle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J. Doyle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BioCryst Pharmaceuticals, Inc. (the “Company”) on Form 10-K for the period ending December 31, 2023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60" w:type="dxa"/>
        <w:jc w:val="left"/>
        <w:tblInd w:w="0" w:type="dxa"/>
        <w:tblLayout w:type="fixed"/>
        <w:tblCellMar>
          <w:top w:w="28" w:type="dxa"/>
          <w:left w:w="28" w:type="dxa"/>
          <w:bottom w:w="28" w:type="dxa"/>
          <w:right w:w="28" w:type="dxa"/>
        </w:tblCellMar>
      </w:tblPr>
      <w:tblGrid>
        <w:gridCol w:w="754"/>
        <w:gridCol w:w="664"/>
        <w:gridCol w:w="667"/>
        <w:gridCol w:w="725"/>
        <w:gridCol w:w="725"/>
        <w:gridCol w:w="102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BioCryst Pharmaceuticals, Inc. (the “Company”) on Form 10-K for the period ending December 31, 2023 as filed with the Securities and Exchange Commission on the date hereof (the “Report”), I, Anthony J. Doyle, Chief Financial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99" w:type="dxa"/>
        <w:jc w:val="left"/>
        <w:tblInd w:w="0" w:type="dxa"/>
        <w:tblLayout w:type="fixed"/>
        <w:tblCellMar>
          <w:top w:w="28" w:type="dxa"/>
          <w:left w:w="28" w:type="dxa"/>
          <w:bottom w:w="28" w:type="dxa"/>
          <w:right w:w="28" w:type="dxa"/>
        </w:tblCellMar>
      </w:tblPr>
      <w:tblGrid>
        <w:gridCol w:w="754"/>
        <w:gridCol w:w="664"/>
        <w:gridCol w:w="667"/>
        <w:gridCol w:w="706"/>
        <w:gridCol w:w="706"/>
        <w:gridCol w:w="100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J. Doyle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J. Doyle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BioCryst Pharmaceuticals, Inc.</w:t>
      </w:r>
    </w:p>
    <w:p>
      <w:pPr>
        <w:pStyle w:val="TextBody"/>
        <w:bidi w:val="0"/>
        <w:spacing w:lineRule="auto" w:line="240" w:before="240" w:after="480"/>
        <w:jc w:val="center"/>
        <w:rPr>
          <w:rFonts w:ascii="Times New Roman;sans-serif" w:hAnsi="Times New Roman;sans-serif"/>
          <w:b/>
          <w:color w:val="000000"/>
          <w:sz w:val="22"/>
        </w:rPr>
      </w:pPr>
      <w:r>
        <w:rPr>
          <w:rFonts w:ascii="Times New Roman;sans-serif" w:hAnsi="Times New Roman;sans-serif"/>
          <w:b/>
          <w:color w:val="000000"/>
          <w:sz w:val="22"/>
        </w:rPr>
        <w:t>RULE 10D-1 CLAWBACK POLICY</w:t>
      </w:r>
    </w:p>
    <w:p>
      <w:pPr>
        <w:pStyle w:val="TextBody"/>
        <w:bidi w:val="0"/>
        <w:spacing w:lineRule="auto" w:line="240" w:before="24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Recoupment of Incentive-Based Compensation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It is the policy of BioCryst Pharmaceuticals, Inc.</w:t>
      </w:r>
      <w:r>
        <w:rPr>
          <w:color w:val="000000"/>
        </w:rPr>
        <w:t xml:space="preserve"> </w:t>
      </w:r>
      <w:r>
        <w:rPr>
          <w:rFonts w:ascii="Times New Roman;sans-serif" w:hAnsi="Times New Roman;sans-serif"/>
          <w:b w:val="false"/>
          <w:color w:val="000000"/>
          <w:sz w:val="22"/>
        </w:rPr>
        <w:t xml:space="preserve">(the “Company”) that, in the event the Company is required to prepare an accounting restatement of the Company’s financial statements (including any such correction that is material to the previously issued financial statements, or that would result in a material misstatement if the error were corrected in the current period or left uncorrected in the current period) due to material non-compliance with any financial reporting requirement under the federal securities laws,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(each capitalized term as defined below). </w:t>
      </w:r>
    </w:p>
    <w:p>
      <w:pPr>
        <w:pStyle w:val="TextBody"/>
        <w:bidi w:val="0"/>
        <w:spacing w:lineRule="auto" w:line="240" w:before="24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Policy Administration and Definitions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Rule 10D-1 Clawback Policy (this “Policy”) is administered by the Compensation Committee (the “Committee”) of the Company’s Board of Directors and is intended to comply with, and, as applicable, to be administered and interpreted consistent with, and subject to the exceptions set forth in, Listing Rule 5608 adopted by the Nasdaq Stock Market to implement Rule 10D-1 under the Securities Exchange Act of 1934, as amended (collectively, “Rule 10D-1”).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Policy: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2"/>
        </w:rPr>
        <w:t xml:space="preserve">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Incentive-Based Compensation is deemed to be “Received” in the fiscal period during which the relevant financial reporting measure is attained, regardless of when the compensation is actually paid or awarded.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2"/>
        </w:rPr>
        <w:t xml:space="preserve">Covered Executive” means any “executive officer” of the Company as defined under Rule 10D-1. </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2"/>
        </w:rPr>
        <w:t xml:space="preserve">Recovery Period” means the three completed fiscal years immediately preceding the date that the Company is required to prepare the accounting restatement described in this Policy, as determined pursuant to Rule 10D-1, and any transition period of less than nine months that is within or immediately following such three fiscal years. </w:t>
      </w:r>
    </w:p>
    <w:p>
      <w:pPr>
        <w:pStyle w:val="TextBody"/>
        <w:bidi w:val="0"/>
        <w:spacing w:lineRule="auto" w:line="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shareholder return. In all cases, the calculation of the excess amount of Incentive-Based Compensation to be recovered will be determined on a pre-tax basis. The Company will maintain and will provide to The Nasdaq Stock Market documentation of all determinations and actions taken in complying with this Policy. Any determinations made by the Committee under this Policy shall be final and binding on all affected individuals.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For the avoidance of doubt, this Policy supersedes all other Company policies relating to the recoupment of incentive compensation, including any prior “clawback” policy previously adopted by the Company. The Company shall not indemnify any Covered Executive against the loss of any Incentive-Based Compensation pursuant to this Policy.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82796/000103570406000836/d42297exv3w1.htm" TargetMode="External"/><Relationship Id="rId4" Type="http://schemas.openxmlformats.org/officeDocument/2006/relationships/hyperlink" Target="http://www.sec.gov/Archives/edgar/data/882796/000136231007001386/c70813exv3w1.htm" TargetMode="External"/><Relationship Id="rId5" Type="http://schemas.openxmlformats.org/officeDocument/2006/relationships/hyperlink" Target="http://www.sec.gov/Archives/edgar/data/882796/000119312514186707/d722313dex31.htm" TargetMode="External"/><Relationship Id="rId6" Type="http://schemas.openxmlformats.org/officeDocument/2006/relationships/hyperlink" Target="http://www.sec.gov/Archives/edgar/data/882796/000117184320003680/exh_31.htm" TargetMode="External"/><Relationship Id="rId7" Type="http://schemas.openxmlformats.org/officeDocument/2006/relationships/hyperlink" Target="http://www.sec.gov/Archives/edgar/data/882796/000117184320003680/exh_32.htm" TargetMode="External"/><Relationship Id="rId8" Type="http://schemas.openxmlformats.org/officeDocument/2006/relationships/hyperlink" Target="https://www.sec.gov/Archives/edgar/data/882796/000117184324000297/exh_31.htm" TargetMode="External"/><Relationship Id="rId9" Type="http://schemas.openxmlformats.org/officeDocument/2006/relationships/hyperlink" Target="https://www.sec.gov/Archives/edgar/data/882796/000117184324000297/exh_31.htm" TargetMode="External"/><Relationship Id="rId10" Type="http://schemas.openxmlformats.org/officeDocument/2006/relationships/hyperlink" Target="https://www.sec.gov/Archives/edgar/data/882796/000117184324000297/exh_31.htm" TargetMode="External"/><Relationship Id="rId11" Type="http://schemas.openxmlformats.org/officeDocument/2006/relationships/hyperlink" Target="https://www.sec.gov/Archives/edgar/data/882796/000117184324000297/exh_31.htm" TargetMode="External"/><Relationship Id="rId12" Type="http://schemas.openxmlformats.org/officeDocument/2006/relationships/hyperlink" Target="https://www.sec.gov/Archives/edgar/data/882796/000117184324000297/exh_31.htm" TargetMode="External"/><Relationship Id="rId13" Type="http://schemas.openxmlformats.org/officeDocument/2006/relationships/hyperlink" Target="https://www.sec.gov/Archives/edgar/data/882796/000117184324000297/exh_31.htm" TargetMode="External"/><Relationship Id="rId14" Type="http://schemas.openxmlformats.org/officeDocument/2006/relationships/hyperlink" Target="https://www.sec.gov/Archives/edgar/data/882796/000117184324000297/exh_31.htm" TargetMode="External"/><Relationship Id="rId15" Type="http://schemas.openxmlformats.org/officeDocument/2006/relationships/hyperlink" Target="https://www.sec.gov/Archives/edgar/data/882796/000117184324000297/exh_31.htm" TargetMode="External"/><Relationship Id="rId16" Type="http://schemas.openxmlformats.org/officeDocument/2006/relationships/hyperlink" Target="https://www.sec.gov/Archives/edgar/data/882796/000117184324000297/exh_31.htm" TargetMode="External"/><Relationship Id="rId17" Type="http://schemas.openxmlformats.org/officeDocument/2006/relationships/hyperlink" Target="http://www.sec.gov/Archives/edgar/data/882796/000117184321001411/ex_230468.htm" TargetMode="External"/><Relationship Id="rId18" Type="http://schemas.openxmlformats.org/officeDocument/2006/relationships/hyperlink" Target="http://www.sec.gov/Archives/edgar/data/882796/000095012311046591/g27110exv4w3.htm" TargetMode="External"/><Relationship Id="rId19" Type="http://schemas.openxmlformats.org/officeDocument/2006/relationships/hyperlink" Target="http://www.sec.gov/Archives/edgar/data/882796/000119312514181823/d721175dex101.htm" TargetMode="External"/><Relationship Id="rId20" Type="http://schemas.openxmlformats.org/officeDocument/2006/relationships/hyperlink" Target="http://www.sec.gov/Archives/edgar/data/882796/000117184316010246/exh_101.htm" TargetMode="External"/><Relationship Id="rId21" Type="http://schemas.openxmlformats.org/officeDocument/2006/relationships/hyperlink" Target="http://www.sec.gov/Archives/edgar/data/882796/000117184317003361/exh_101.htm" TargetMode="External"/><Relationship Id="rId22" Type="http://schemas.openxmlformats.org/officeDocument/2006/relationships/hyperlink" Target="http://www.sec.gov/Archives/edgar/data/882796/000117184318007398/exh_101.htm" TargetMode="External"/><Relationship Id="rId23" Type="http://schemas.openxmlformats.org/officeDocument/2006/relationships/hyperlink" Target="http://www.sec.gov/Archives/edgar/data/882796/000117184319003812/exh_101.htm" TargetMode="External"/><Relationship Id="rId24" Type="http://schemas.openxmlformats.org/officeDocument/2006/relationships/hyperlink" Target="http://www.sec.gov/Archives/edgar/data/882796/000117184320003680/exh_101.htm" TargetMode="External"/><Relationship Id="rId25" Type="http://schemas.openxmlformats.org/officeDocument/2006/relationships/hyperlink" Target="http://www.sec.gov/Archives/edgar/data/882796/000117184321003792/exh_101.htm" TargetMode="External"/><Relationship Id="rId26" Type="http://schemas.openxmlformats.org/officeDocument/2006/relationships/hyperlink" Target="https://www.sec.gov/Archives/edgar/data/882796/000117184322004206/exh_101.htm" TargetMode="External"/><Relationship Id="rId27" Type="http://schemas.openxmlformats.org/officeDocument/2006/relationships/hyperlink" Target="https://www.sec.gov/Archives/edgar/data/882796/000117184323003914/exh_101.htm" TargetMode="External"/><Relationship Id="rId28" Type="http://schemas.openxmlformats.org/officeDocument/2006/relationships/hyperlink" Target="http://www.sec.gov/Archives/edgar/data/882796/000095014408001624/g12086exv10w4.htm" TargetMode="External"/><Relationship Id="rId29" Type="http://schemas.openxmlformats.org/officeDocument/2006/relationships/hyperlink" Target="http://www.sec.gov/Archives/edgar/data/882796/000095014408001624/g12086exv10w5.htm" TargetMode="External"/><Relationship Id="rId30" Type="http://schemas.openxmlformats.org/officeDocument/2006/relationships/hyperlink" Target="http://www.sec.gov/Archives/edgar/data/882796/000117184315001186/exh_107.htm" TargetMode="External"/><Relationship Id="rId31" Type="http://schemas.openxmlformats.org/officeDocument/2006/relationships/hyperlink" Target="https://www.sec.gov/Archives/edgar/data/882796/000162828022021373/exhibit103.htm" TargetMode="External"/><Relationship Id="rId32" Type="http://schemas.openxmlformats.org/officeDocument/2006/relationships/hyperlink" Target="https://www.sec.gov/Archives/edgar/data/882796/000117184315001186/exh_108.htm" TargetMode="External"/><Relationship Id="rId33" Type="http://schemas.openxmlformats.org/officeDocument/2006/relationships/hyperlink" Target="http://www.sec.gov/Archives/edgar/data/882796/000117184321003310/ex_247204.htm" TargetMode="External"/><Relationship Id="rId34" Type="http://schemas.openxmlformats.org/officeDocument/2006/relationships/hyperlink" Target="https://www.sec.gov/Archives/edgar/data/882796/000117184322001460/ex_340701.htm" TargetMode="External"/><Relationship Id="rId35" Type="http://schemas.openxmlformats.org/officeDocument/2006/relationships/hyperlink" Target="https://www.sec.gov/Archives/edgar/data/882796/000162828022021373/exhibit104.htm" TargetMode="External"/><Relationship Id="rId36" Type="http://schemas.openxmlformats.org/officeDocument/2006/relationships/hyperlink" Target="https://www.sec.gov/Archives/edgar/data/882796/000162828023027820/exhibit103-esppar20230707.htm" TargetMode="External"/><Relationship Id="rId37" Type="http://schemas.openxmlformats.org/officeDocument/2006/relationships/hyperlink" Target="https://www.sec.gov/Archives/edgar/data/882796/000162828023027820/exhibit103-esppar20230707.htm" TargetMode="External"/><Relationship Id="rId38" Type="http://schemas.openxmlformats.org/officeDocument/2006/relationships/hyperlink" Target="https://www.sec.gov/Archives/edgar/data/882796/000162828023027820/exhibit103-esppar20230707.htm" TargetMode="External"/><Relationship Id="rId39" Type="http://schemas.openxmlformats.org/officeDocument/2006/relationships/hyperlink" Target="https://www.sec.gov/Archives/edgar/data/882796/000162828023027820/exhibit103-esppar20230707.htm" TargetMode="External"/><Relationship Id="rId40" Type="http://schemas.openxmlformats.org/officeDocument/2006/relationships/hyperlink" Target="https://www.sec.gov/Archives/edgar/data/882796/000162828023027820/exhibit103-esppar20230707.htm" TargetMode="External"/><Relationship Id="rId41" Type="http://schemas.openxmlformats.org/officeDocument/2006/relationships/hyperlink" Target="http://www.sec.gov/Archives/edgar/data/882796/000117184319002720/exh_991.htm" TargetMode="External"/><Relationship Id="rId42" Type="http://schemas.openxmlformats.org/officeDocument/2006/relationships/hyperlink" Target="http://www.sec.gov/Archives/edgar/data/882796/000117184320003557/exh_102.htm" TargetMode="External"/><Relationship Id="rId43" Type="http://schemas.openxmlformats.org/officeDocument/2006/relationships/hyperlink" Target="http://www.sec.gov/Archives/edgar/data/882796/000117184320005862/exh_991.htm" TargetMode="External"/><Relationship Id="rId44" Type="http://schemas.openxmlformats.org/officeDocument/2006/relationships/hyperlink" Target="http://www.sec.gov/Archives/edgar/data/882796/000117184321006732/exh_991.htm" TargetMode="External"/><Relationship Id="rId45" Type="http://schemas.openxmlformats.org/officeDocument/2006/relationships/hyperlink" Target="https://www.sec.gov/Archives/edgar/data/882796/000117184322005878/exh_991.htm" TargetMode="External"/><Relationship Id="rId46" Type="http://schemas.openxmlformats.org/officeDocument/2006/relationships/hyperlink" Target="https://www.sec.gov/Archives/edgar/data/882796/000162828023037847/exhibit102-inducementequit.htm" TargetMode="External"/><Relationship Id="rId47" Type="http://schemas.openxmlformats.org/officeDocument/2006/relationships/hyperlink" Target="https://www.sec.gov/Archives/edgar/data/882796/000162828023037847/exhibit102-inducementequit.htm" TargetMode="External"/><Relationship Id="rId48" Type="http://schemas.openxmlformats.org/officeDocument/2006/relationships/hyperlink" Target="https://www.sec.gov/Archives/edgar/data/882796/000162828023037847/exhibit102-inducementequit.htm" TargetMode="External"/><Relationship Id="rId49" Type="http://schemas.openxmlformats.org/officeDocument/2006/relationships/hyperlink" Target="https://www.sec.gov/Archives/edgar/data/882796/000162828023037847/exhibit102-inducementequit.htm" TargetMode="External"/><Relationship Id="rId50" Type="http://schemas.openxmlformats.org/officeDocument/2006/relationships/hyperlink" Target="http://www.sec.gov/Archives/edgar/data/882796/000117184321001411/ex_230469.htm" TargetMode="External"/><Relationship Id="rId51" Type="http://schemas.openxmlformats.org/officeDocument/2006/relationships/hyperlink" Target="https://www.sec.gov/Archives/edgar/data/882796/000162828023005259/formofnoticeofgrantofrsuan.htm" TargetMode="External"/><Relationship Id="rId52" Type="http://schemas.openxmlformats.org/officeDocument/2006/relationships/hyperlink" Target="https://www.sec.gov/Archives/edgar/data/882796/000162828023005259/formofnoticeofgrantofrsuan.htm" TargetMode="External"/><Relationship Id="rId53" Type="http://schemas.openxmlformats.org/officeDocument/2006/relationships/hyperlink" Target="https://www.sec.gov/Archives/edgar/data/882796/000162828023005259/formofnoticeofgrantofrsuan.htm" TargetMode="External"/><Relationship Id="rId54" Type="http://schemas.openxmlformats.org/officeDocument/2006/relationships/hyperlink" Target="https://www.sec.gov/Archives/edgar/data/882796/000162828023005259/formofnoticeofgrantofrsuan.htm" TargetMode="External"/><Relationship Id="rId55" Type="http://schemas.openxmlformats.org/officeDocument/2006/relationships/hyperlink" Target="https://www.sec.gov/Archives/edgar/data/882796/000162828023005259/formofnoticeofgrantofrsuan.htm" TargetMode="External"/><Relationship Id="rId56" Type="http://schemas.openxmlformats.org/officeDocument/2006/relationships/hyperlink" Target="https://www.sec.gov/Archives/edgar/data/882796/000117184322003423/ex_371289.htm" TargetMode="External"/><Relationship Id="rId57" Type="http://schemas.openxmlformats.org/officeDocument/2006/relationships/hyperlink" Target="http://www.sec.gov/Archives/edgar/data/882796/000117184320008616/exh_101.htm" TargetMode="External"/><Relationship Id="rId58" Type="http://schemas.openxmlformats.org/officeDocument/2006/relationships/hyperlink" Target="http://www.sec.gov/Archives/edgar/data/882796/000095014408001624/g12086exv10w2.htm" TargetMode="External"/><Relationship Id="rId59" Type="http://schemas.openxmlformats.org/officeDocument/2006/relationships/hyperlink" Target="http://www.sec.gov/Archives/edgar/data/882796/000095014407002193/g06036exv10w12.htm" TargetMode="External"/><Relationship Id="rId60" Type="http://schemas.openxmlformats.org/officeDocument/2006/relationships/hyperlink" Target="http://www.sec.gov/Archives/edgar/data/882796/000117184321005674/ex_272111.htm" TargetMode="External"/><Relationship Id="rId61" Type="http://schemas.openxmlformats.org/officeDocument/2006/relationships/hyperlink" Target="http://www.sec.gov/Archives/edgar/data/882796/000117184321001411/ex_230470.htm" TargetMode="External"/><Relationship Id="rId62" Type="http://schemas.openxmlformats.org/officeDocument/2006/relationships/hyperlink" Target="http://www.sec.gov/Archives/edgar/data/882796/000117184321007570/ex_299598.htm" TargetMode="External"/><Relationship Id="rId63" Type="http://schemas.openxmlformats.org/officeDocument/2006/relationships/hyperlink" Target="http://www.sec.gov/Archives/edgar/data/882796/000117184320003557/exh_101.htm" TargetMode="External"/><Relationship Id="rId64" Type="http://schemas.openxmlformats.org/officeDocument/2006/relationships/hyperlink" Target="http://www.sec.gov/Archives/edgar/data/882796/000117184321007570/ex_299566.htm" TargetMode="External"/><Relationship Id="rId65" Type="http://schemas.openxmlformats.org/officeDocument/2006/relationships/hyperlink" Target="http://www.sec.gov/Archives/edgar/data/882796/000117184321003310/ex_247203.htm" TargetMode="External"/><Relationship Id="rId66" Type="http://schemas.openxmlformats.org/officeDocument/2006/relationships/hyperlink" Target="http://www.sec.gov/Archives/edgar/data/882796/000117184321007570/ex_299567.htm" TargetMode="External"/><Relationship Id="rId67" Type="http://schemas.openxmlformats.org/officeDocument/2006/relationships/hyperlink" Target="http://www.sec.gov/Archives/edgar/data/882796/000117184321001411/ex_230471.htm" TargetMode="External"/><Relationship Id="rId68" Type="http://schemas.openxmlformats.org/officeDocument/2006/relationships/hyperlink" Target="http://www.sec.gov/Archives/edgar/data/882796/000117184321001411/ex_230463.htm" TargetMode="External"/><Relationship Id="rId69" Type="http://schemas.openxmlformats.org/officeDocument/2006/relationships/hyperlink" Target="http://www.sec.gov/Archives/edgar/data/882796/000095012311046591/g27110exv10w1.htm" TargetMode="External"/><Relationship Id="rId70" Type="http://schemas.openxmlformats.org/officeDocument/2006/relationships/hyperlink" Target="http://www.sec.gov/Archives/edgar/data/882796/000095012311046591/g27110exv10w2.htm" TargetMode="External"/><Relationship Id="rId71" Type="http://schemas.openxmlformats.org/officeDocument/2006/relationships/hyperlink" Target="http://www.sec.gov/Archives/edgar/data/882796/000117184321001411/ex_230714.htm" TargetMode="External"/><Relationship Id="rId72" Type="http://schemas.openxmlformats.org/officeDocument/2006/relationships/hyperlink" Target="https://www.sec.gov/Archives/edgar/data/882796/000117184322001460/ex_340700.htm" TargetMode="External"/><Relationship Id="rId73" Type="http://schemas.openxmlformats.org/officeDocument/2006/relationships/hyperlink" Target="https://www.sec.gov/Archives/edgar/data/882796/000117184322001460/ex_340699.htm" TargetMode="External"/><Relationship Id="rId74" Type="http://schemas.openxmlformats.org/officeDocument/2006/relationships/hyperlink" Target="https://www.sec.gov/Archives/edgar/data/882796/000117184322001460/ex_340698.htm" TargetMode="External"/><Relationship Id="rId75" Type="http://schemas.openxmlformats.org/officeDocument/2006/relationships/hyperlink" Target="https://www.sec.gov/Archives/edgar/data/882796/000162828023027820/exhibit101-pharmakonloanag.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81783</Words>
  <Characters>465196</Characters>
  <CharactersWithSpaces>544370</CharactersWithSpaces>
  <Paragraphs>3836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