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221" w:lineRule="exact"/>
        <w:rPr>
          <w:sz w:val="24"/>
          <w:szCs w:val="24"/>
          <w:color w:val="auto"/>
        </w:rPr>
      </w:pPr>
    </w:p>
    <w:p>
      <w:pPr>
        <w:ind w:left="360" w:hanging="352"/>
        <w:spacing w:after="0"/>
        <w:tabs>
          <w:tab w:leader="none" w:pos="36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 to _____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229" w:right="359" w:bottom="0" w:gutter="0" w:footer="0" w:header="0"/>
        </w:sectPr>
      </w:pPr>
    </w:p>
    <w:p>
      <w:pPr>
        <w:spacing w:after="0" w:line="25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62-1413174</w:t>
      </w:r>
    </w:p>
    <w:p>
      <w:pPr>
        <w:spacing w:after="0" w:line="79" w:lineRule="exact"/>
        <w:rPr>
          <w:sz w:val="24"/>
          <w:szCs w:val="24"/>
          <w:color w:val="auto"/>
        </w:rPr>
      </w:pPr>
    </w:p>
    <w:p>
      <w:pPr>
        <w:sectPr>
          <w:pgSz w:w="11900" w:h="16838" w:orient="portrait"/>
          <w:cols w:equalWidth="0" w:num="2">
            <w:col w:w="7280" w:space="720"/>
            <w:col w:w="3220"/>
          </w:cols>
          <w:pgMar w:left="320" w:top="229" w:right="359" w:bottom="0" w:gutter="0" w:footer="0" w:header="0"/>
          <w:type w:val="continuous"/>
        </w:sectPr>
      </w:pPr>
    </w:p>
    <w:p>
      <w:pPr>
        <w:jc w:val="center"/>
        <w:ind w:right="14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60"/>
          </w:cols>
          <w:pgMar w:left="320" w:top="229" w:right="359" w:bottom="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4505 Emperor Blvd., Suite 200, Durham, North Carolina 27703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859-1302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9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0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BCRX</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4" w:lineRule="exact"/>
        <w:rPr>
          <w:sz w:val="24"/>
          <w:szCs w:val="24"/>
          <w:color w:val="auto"/>
        </w:rPr>
      </w:pPr>
    </w:p>
    <w:tbl>
      <w:tblPr>
        <w:tblLayout w:type="fixed"/>
        <w:tblInd w:w="1040" w:type="dxa"/>
        <w:tblCellMar>
          <w:top w:w="0" w:type="dxa"/>
          <w:left w:w="0" w:type="dxa"/>
          <w:bottom w:w="0" w:type="dxa"/>
          <w:right w:w="0" w:type="dxa"/>
        </w:tblCellMar>
      </w:tblP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620"/>
              <w:spacing w:after="0"/>
              <w:rPr>
                <w:sz w:val="20"/>
                <w:szCs w:val="20"/>
                <w:color w:val="auto"/>
              </w:rPr>
            </w:pPr>
            <w:r>
              <w:rPr>
                <w:rFonts w:ascii="Wingdings" w:cs="Wingdings" w:eastAsia="Wingdings" w:hAnsi="Wingdings"/>
                <w:sz w:val="18"/>
                <w:szCs w:val="18"/>
                <w:b w:val="1"/>
                <w:bCs w:val="1"/>
                <w:color w:val="auto"/>
              </w:rPr>
              <w:t>x</w:t>
            </w:r>
          </w:p>
        </w:tc>
        <w:tc>
          <w:tcPr>
            <w:tcW w:w="3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620"/>
              <w:spacing w:after="0"/>
              <w:rPr>
                <w:sz w:val="20"/>
                <w:szCs w:val="20"/>
                <w:color w:val="auto"/>
              </w:rPr>
            </w:pPr>
            <w:r>
              <w:rPr>
                <w:rFonts w:ascii="Wingdings" w:cs="Wingdings" w:eastAsia="Wingdings" w:hAnsi="Wingdings"/>
                <w:sz w:val="18"/>
                <w:szCs w:val="18"/>
                <w:b w:val="1"/>
                <w:bCs w:val="1"/>
                <w:color w:val="auto"/>
              </w:rPr>
              <w:t>o</w:t>
            </w:r>
          </w:p>
        </w:tc>
        <w:tc>
          <w:tcPr>
            <w:tcW w:w="3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r>
        <w:trPr>
          <w:trHeight w:val="378"/>
        </w:trPr>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2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76"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229" w:right="359" w:bottom="0" w:gutter="0" w:footer="0" w:header="0"/>
          <w:type w:val="continuous"/>
        </w:sectPr>
      </w:pPr>
    </w:p>
    <w:bookmarkStart w:id="1" w:name="page2"/>
    <w:bookmarkEnd w:id="1"/>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estimates that the aggregate market value of the Common Stock on June 30, 2024 (based upon the closing price shown on the Nasdaq Global Select Market on June 30, 2024) held by non-affiliates was $1,264,650,517.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$0.01, of the registrant outstanding as of February 20, 2025 was 208,960,020 shares.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in connection with the solicitation of proxies for its 2025 annual meeting of stockholders are incorporated by reference into Items 10, 11, 12, 13, and 14 under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40" w:type="dxa"/>
            <w:vAlign w:val="bottom"/>
            <w:gridSpan w:val="14"/>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4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04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EF"/>
            </w:tcBorders>
          </w:tcPr>
          <w:p>
            <w:pPr>
              <w:jc w:val="center"/>
              <w:spacing w:after="0"/>
              <w:rPr>
                <w:sz w:val="20"/>
                <w:szCs w:val="20"/>
                <w:color w:val="auto"/>
              </w:rPr>
            </w:pPr>
            <w:r>
              <w:rPr>
                <w:rFonts w:ascii="Times New Roman" w:cs="Times New Roman" w:eastAsia="Times New Roman" w:hAnsi="Times New Roman"/>
                <w:sz w:val="18"/>
                <w:szCs w:val="18"/>
                <w:color w:val="0000EF"/>
              </w:rPr>
              <w:t>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5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EF"/>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80" w:type="dxa"/>
            <w:vAlign w:val="bottom"/>
            <w:tcBorders>
              <w:top w:val="single" w:sz="8" w:color="0000FF"/>
            </w:tcBorders>
            <w:gridSpan w:val="7"/>
          </w:tcPr>
          <w:p>
            <w:pPr>
              <w:spacing w:after="0"/>
              <w:rPr>
                <w:sz w:val="22"/>
                <w:szCs w:val="22"/>
                <w:color w:val="auto"/>
              </w:rPr>
            </w:pPr>
          </w:p>
        </w:tc>
        <w:tc>
          <w:tcPr>
            <w:tcW w:w="8620" w:type="dxa"/>
            <w:vAlign w:val="bottom"/>
            <w:gridSpan w:val="24"/>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5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EF"/>
              </w:rPr>
              <w:t>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ITEM 1B. UNRESOLVED STAFF COMMENTS</w:t>
            </w:r>
          </w:p>
        </w:tc>
        <w:tc>
          <w:tcPr>
            <w:tcW w:w="112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1C. CYBERSECURITY</w:t>
            </w:r>
          </w:p>
        </w:tc>
        <w:tc>
          <w:tcPr>
            <w:tcW w:w="7920" w:type="dxa"/>
            <w:vAlign w:val="bottom"/>
            <w:gridSpan w:val="21"/>
          </w:tcPr>
          <w:p>
            <w:pPr>
              <w:spacing w:after="0"/>
              <w:rPr>
                <w:sz w:val="17"/>
                <w:szCs w:val="17"/>
                <w:color w:val="auto"/>
              </w:rPr>
            </w:pPr>
          </w:p>
        </w:tc>
        <w:tc>
          <w:tcPr>
            <w:tcW w:w="560" w:type="dxa"/>
            <w:vAlign w:val="bottom"/>
            <w:gridSpan w:val="2"/>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9"/>
              </w:rPr>
              <w:t>58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ITEM 2. PROPERTIES</w:t>
            </w:r>
          </w:p>
        </w:tc>
        <w:tc>
          <w:tcPr>
            <w:tcW w:w="560" w:type="dxa"/>
            <w:vAlign w:val="bottom"/>
            <w:gridSpan w:val="2"/>
          </w:tcPr>
          <w:p>
            <w:pPr>
              <w:spacing w:after="0"/>
              <w:rPr>
                <w:sz w:val="18"/>
                <w:szCs w:val="18"/>
                <w:color w:val="auto"/>
              </w:rPr>
            </w:pPr>
          </w:p>
        </w:tc>
        <w:tc>
          <w:tcPr>
            <w:tcW w:w="7920" w:type="dxa"/>
            <w:vAlign w:val="bottom"/>
            <w:gridSpan w:val="21"/>
          </w:tcPr>
          <w:p>
            <w:pPr>
              <w:spacing w:after="0"/>
              <w:rPr>
                <w:sz w:val="18"/>
                <w:szCs w:val="18"/>
                <w:color w:val="auto"/>
              </w:rPr>
            </w:pP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100" w:type="dxa"/>
            <w:vAlign w:val="bottom"/>
            <w:gridSpan w:val="18"/>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0000FF"/>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OF EQUITY SECURITIES</w:t>
            </w:r>
          </w:p>
        </w:tc>
        <w:tc>
          <w:tcPr>
            <w:tcW w:w="620" w:type="dxa"/>
            <w:vAlign w:val="bottom"/>
            <w:tcBorders>
              <w:top w:val="single" w:sz="8" w:color="0000FF"/>
            </w:tcBorders>
            <w:gridSpan w:val="3"/>
          </w:tcPr>
          <w:p>
            <w:pPr>
              <w:spacing w:after="0"/>
              <w:rPr>
                <w:sz w:val="17"/>
                <w:szCs w:val="17"/>
                <w:color w:val="auto"/>
              </w:rPr>
            </w:pPr>
          </w:p>
        </w:tc>
        <w:tc>
          <w:tcPr>
            <w:tcW w:w="540" w:type="dxa"/>
            <w:vAlign w:val="bottom"/>
            <w:tcBorders>
              <w:top w:val="single" w:sz="8" w:color="0000FF"/>
            </w:tcBorders>
            <w:gridSpan w:val="2"/>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gridSpan w:val="4"/>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gridSpan w:val="2"/>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9"/>
              </w:rPr>
              <w:t>61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ITEM 6. RESERVED</w:t>
            </w:r>
          </w:p>
        </w:tc>
        <w:tc>
          <w:tcPr>
            <w:tcW w:w="560" w:type="dxa"/>
            <w:vAlign w:val="bottom"/>
            <w:gridSpan w:val="2"/>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9"/>
              </w:rPr>
              <w:t>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5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1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8"/>
              </w:rPr>
              <w:t>ITEM 7A. QUANTITATIVE AND QUALITATIVE DISCLOSURES ABOUT MARKET RISK</w:t>
            </w:r>
          </w:p>
        </w:tc>
        <w:tc>
          <w:tcPr>
            <w:tcW w:w="3260" w:type="dxa"/>
            <w:vAlign w:val="bottom"/>
            <w:gridSpan w:val="7"/>
          </w:tcPr>
          <w:p>
            <w:pPr>
              <w:spacing w:after="0"/>
              <w:rPr>
                <w:sz w:val="17"/>
                <w:szCs w:val="17"/>
                <w:color w:val="auto"/>
              </w:rPr>
            </w:pPr>
          </w:p>
        </w:tc>
        <w:tc>
          <w:tcPr>
            <w:tcW w:w="560" w:type="dxa"/>
            <w:vAlign w:val="bottom"/>
            <w:gridSpan w:val="2"/>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9"/>
              </w:rPr>
              <w:t>75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260" w:type="dxa"/>
            <w:vAlign w:val="bottom"/>
            <w:gridSpan w:val="7"/>
          </w:tcPr>
          <w:p>
            <w:pPr>
              <w:spacing w:after="0"/>
              <w:rPr>
                <w:sz w:val="18"/>
                <w:szCs w:val="18"/>
                <w:color w:val="auto"/>
              </w:rPr>
            </w:pPr>
          </w:p>
        </w:tc>
        <w:tc>
          <w:tcPr>
            <w:tcW w:w="5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EF"/>
                <w:w w:val="99"/>
              </w:rPr>
              <w:t>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E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6800" w:type="dxa"/>
            <w:vAlign w:val="bottom"/>
            <w:gridSpan w:val="16"/>
          </w:tcPr>
          <w:p>
            <w:pPr>
              <w:spacing w:after="0"/>
              <w:rPr>
                <w:sz w:val="17"/>
                <w:szCs w:val="17"/>
                <w:color w:val="auto"/>
              </w:rPr>
            </w:pPr>
          </w:p>
        </w:tc>
        <w:tc>
          <w:tcPr>
            <w:tcW w:w="640" w:type="dxa"/>
            <w:vAlign w:val="bottom"/>
            <w:gridSpan w:val="3"/>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6"/>
              </w:rPr>
              <w:t>116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ITEM 9B. OTHER INFORMATION</w:t>
            </w:r>
          </w:p>
        </w:tc>
        <w:tc>
          <w:tcPr>
            <w:tcW w:w="740" w:type="dxa"/>
            <w:vAlign w:val="bottom"/>
            <w:gridSpan w:val="3"/>
          </w:tcPr>
          <w:p>
            <w:pPr>
              <w:spacing w:after="0"/>
              <w:rPr>
                <w:sz w:val="18"/>
                <w:szCs w:val="18"/>
                <w:color w:val="auto"/>
              </w:rPr>
            </w:pPr>
          </w:p>
        </w:tc>
        <w:tc>
          <w:tcPr>
            <w:tcW w:w="6800" w:type="dxa"/>
            <w:vAlign w:val="bottom"/>
            <w:gridSpan w:val="16"/>
          </w:tcPr>
          <w:p>
            <w:pPr>
              <w:spacing w:after="0"/>
              <w:rPr>
                <w:sz w:val="18"/>
                <w:szCs w:val="18"/>
                <w:color w:val="auto"/>
              </w:rPr>
            </w:pP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0" w:type="dxa"/>
            <w:vAlign w:val="bottom"/>
            <w:tcBorders>
              <w:top w:val="single" w:sz="8" w:color="0000FF"/>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000" w:type="dxa"/>
            <w:vAlign w:val="bottom"/>
            <w:tcBorders>
              <w:top w:val="single" w:sz="8" w:color="0000FF"/>
            </w:tcBorders>
            <w:gridSpan w:val="22"/>
          </w:tcPr>
          <w:p>
            <w:pPr>
              <w:spacing w:after="0"/>
              <w:rPr>
                <w:sz w:val="22"/>
                <w:szCs w:val="22"/>
                <w:color w:val="auto"/>
              </w:rPr>
            </w:pPr>
          </w:p>
        </w:tc>
        <w:tc>
          <w:tcPr>
            <w:tcW w:w="2460" w:type="dxa"/>
            <w:vAlign w:val="bottom"/>
            <w:gridSpan w:val="6"/>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11. EXECUTIVE COMPENSATION</w:t>
            </w:r>
          </w:p>
        </w:tc>
        <w:tc>
          <w:tcPr>
            <w:tcW w:w="1520" w:type="dxa"/>
            <w:vAlign w:val="bottom"/>
            <w:gridSpan w:val="5"/>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spacing w:after="0"/>
              <w:rPr>
                <w:sz w:val="19"/>
                <w:szCs w:val="19"/>
                <w:color w:val="auto"/>
              </w:rPr>
            </w:pPr>
          </w:p>
        </w:tc>
        <w:tc>
          <w:tcPr>
            <w:tcW w:w="1860" w:type="dxa"/>
            <w:vAlign w:val="bottom"/>
            <w:gridSpan w:val="3"/>
          </w:tcPr>
          <w:p>
            <w:pPr>
              <w:spacing w:after="0"/>
              <w:rPr>
                <w:sz w:val="19"/>
                <w:szCs w:val="19"/>
                <w:color w:val="auto"/>
              </w:rPr>
            </w:pPr>
          </w:p>
        </w:tc>
        <w:tc>
          <w:tcPr>
            <w:tcW w:w="166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w:t>
            </w:r>
          </w:p>
        </w:tc>
        <w:tc>
          <w:tcPr>
            <w:tcW w:w="460" w:type="dxa"/>
            <w:vAlign w:val="bottom"/>
          </w:tcPr>
          <w:p>
            <w:pPr>
              <w:spacing w:after="0" w:line="20" w:lineRule="exact"/>
              <w:rPr>
                <w:sz w:val="1"/>
                <w:szCs w:val="1"/>
                <w:color w:val="auto"/>
              </w:rPr>
            </w:pPr>
          </w:p>
        </w:tc>
        <w:tc>
          <w:tcPr>
            <w:tcW w:w="100" w:type="dxa"/>
            <w:vAlign w:val="bottom"/>
            <w:tcBorders>
              <w:bottom w:val="single" w:sz="8" w:color="0000EF"/>
            </w:tcBorders>
          </w:tcPr>
          <w:p>
            <w:pPr>
              <w:spacing w:after="0" w:line="20" w:lineRule="exact"/>
              <w:rPr>
                <w:sz w:val="1"/>
                <w:szCs w:val="1"/>
                <w:color w:val="auto"/>
              </w:rPr>
            </w:pPr>
          </w:p>
        </w:tc>
        <w:tc>
          <w:tcPr>
            <w:tcW w:w="80" w:type="dxa"/>
            <w:vAlign w:val="bottom"/>
            <w:tcBorders>
              <w:bottom w:val="single" w:sz="8" w:color="0000E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5"/>
              </w:rPr>
              <w:t>MATTERS</w:t>
            </w:r>
          </w:p>
        </w:tc>
        <w:tc>
          <w:tcPr>
            <w:tcW w:w="280" w:type="dxa"/>
            <w:vAlign w:val="bottom"/>
            <w:tcBorders>
              <w:top w:val="single" w:sz="8" w:color="0000FF"/>
              <w:bottom w:val="single" w:sz="8" w:color="0000FF"/>
            </w:tcBorders>
          </w:tcPr>
          <w:p>
            <w:pPr>
              <w:spacing w:after="0"/>
              <w:rPr>
                <w:sz w:val="17"/>
                <w:szCs w:val="17"/>
                <w:color w:val="auto"/>
              </w:rPr>
            </w:pPr>
          </w:p>
        </w:tc>
        <w:tc>
          <w:tcPr>
            <w:tcW w:w="1560" w:type="dxa"/>
            <w:vAlign w:val="bottom"/>
            <w:tcBorders>
              <w:top w:val="single" w:sz="8" w:color="0000FF"/>
              <w:bottom w:val="single" w:sz="8" w:color="0000FF"/>
            </w:tcBorders>
            <w:gridSpan w:val="7"/>
          </w:tcPr>
          <w:p>
            <w:pPr>
              <w:spacing w:after="0"/>
              <w:rPr>
                <w:sz w:val="17"/>
                <w:szCs w:val="17"/>
                <w:color w:val="auto"/>
              </w:rPr>
            </w:pPr>
          </w:p>
        </w:tc>
        <w:tc>
          <w:tcPr>
            <w:tcW w:w="2060" w:type="dxa"/>
            <w:vAlign w:val="bottom"/>
            <w:tcBorders>
              <w:top w:val="single" w:sz="8" w:color="0000FF"/>
              <w:bottom w:val="single" w:sz="8" w:color="0000FF"/>
            </w:tcBorders>
            <w:gridSpan w:val="7"/>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3360" w:type="dxa"/>
            <w:vAlign w:val="bottom"/>
            <w:tcBorders>
              <w:top w:val="single" w:sz="8" w:color="0000FF"/>
              <w:bottom w:val="single" w:sz="8" w:color="0000FF"/>
            </w:tcBorders>
            <w:gridSpan w:val="6"/>
          </w:tcPr>
          <w:p>
            <w:pPr>
              <w:spacing w:after="0"/>
              <w:rPr>
                <w:sz w:val="17"/>
                <w:szCs w:val="17"/>
                <w:color w:val="auto"/>
              </w:rPr>
            </w:pPr>
          </w:p>
        </w:tc>
        <w:tc>
          <w:tcPr>
            <w:tcW w:w="1660" w:type="dxa"/>
            <w:vAlign w:val="bottom"/>
            <w:tcBorders>
              <w:top w:val="single" w:sz="8" w:color="0000FF"/>
              <w:bottom w:val="single" w:sz="8" w:color="0000FF"/>
            </w:tcBorders>
            <w:gridSpan w:val="4"/>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6"/>
              </w:rPr>
              <w:t>118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7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E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60" w:type="dxa"/>
            <w:vAlign w:val="bottom"/>
            <w:tcBorders>
              <w:bottom w:val="single" w:sz="8" w:color="0000FF"/>
            </w:tcBorders>
            <w:gridSpan w:val="27"/>
            <w:vMerge w:val="continue"/>
          </w:tcPr>
          <w:p>
            <w:pPr>
              <w:spacing w:after="0"/>
              <w:rPr>
                <w:sz w:val="18"/>
                <w:szCs w:val="18"/>
                <w:color w:val="auto"/>
              </w:rPr>
            </w:pPr>
          </w:p>
        </w:tc>
        <w:tc>
          <w:tcPr>
            <w:tcW w:w="1740" w:type="dxa"/>
            <w:vAlign w:val="bottom"/>
            <w:gridSpan w:val="5"/>
          </w:tcPr>
          <w:p>
            <w:pPr>
              <w:spacing w:after="0"/>
              <w:rPr>
                <w:sz w:val="18"/>
                <w:szCs w:val="18"/>
                <w:color w:val="auto"/>
              </w:rPr>
            </w:pP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E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640" w:type="dxa"/>
            <w:vAlign w:val="bottom"/>
            <w:gridSpan w:val="3"/>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F"/>
                <w:w w:val="96"/>
              </w:rPr>
              <w:t>118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480" w:type="dxa"/>
            <w:vAlign w:val="bottom"/>
            <w:gridSpan w:val="12"/>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ITEM 15. EXHIBIT AND FINANCIAL STATEMENT SCHEDULES</w:t>
            </w:r>
          </w:p>
        </w:tc>
        <w:tc>
          <w:tcPr>
            <w:tcW w:w="5100" w:type="dxa"/>
            <w:vAlign w:val="bottom"/>
            <w:gridSpan w:val="11"/>
          </w:tcPr>
          <w:p>
            <w:pPr>
              <w:spacing w:after="0"/>
              <w:rPr>
                <w:sz w:val="22"/>
                <w:szCs w:val="22"/>
                <w:color w:val="auto"/>
              </w:rPr>
            </w:pPr>
          </w:p>
        </w:tc>
        <w:tc>
          <w:tcPr>
            <w:tcW w:w="6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EF"/>
                <w:w w:val="96"/>
              </w:rPr>
              <w:t>119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gridSpan w:val="6"/>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40" w:type="dxa"/>
            <w:vAlign w:val="bottom"/>
            <w:tcBorders>
              <w:left w:val="single" w:sz="8" w:color="0000FF"/>
            </w:tcBorders>
            <w:gridSpan w:val="8"/>
            <w:shd w:val="clear" w:color="auto" w:fill="0000FF"/>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ITEM 16. FORM 10-K SUMMARY</w:t>
            </w:r>
          </w:p>
        </w:tc>
        <w:tc>
          <w:tcPr>
            <w:tcW w:w="2440" w:type="dxa"/>
            <w:vAlign w:val="bottom"/>
            <w:gridSpan w:val="8"/>
          </w:tcPr>
          <w:p>
            <w:pPr>
              <w:spacing w:after="0"/>
              <w:rPr>
                <w:sz w:val="18"/>
                <w:szCs w:val="18"/>
                <w:color w:val="auto"/>
              </w:rPr>
            </w:pPr>
          </w:p>
        </w:tc>
        <w:tc>
          <w:tcPr>
            <w:tcW w:w="5100" w:type="dxa"/>
            <w:vAlign w:val="bottom"/>
            <w:gridSpan w:val="11"/>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F"/>
                <w:w w:val="96"/>
              </w:rPr>
              <w:t>124</w:t>
            </w:r>
          </w:p>
        </w:tc>
        <w:tc>
          <w:tcPr>
            <w:tcW w:w="0" w:type="dxa"/>
            <w:vAlign w:val="bottom"/>
          </w:tcPr>
          <w:p>
            <w:pPr>
              <w:spacing w:after="0"/>
              <w:rPr>
                <w:sz w:val="1"/>
                <w:szCs w:val="1"/>
                <w:color w:val="auto"/>
              </w:rPr>
            </w:pPr>
          </w:p>
        </w:tc>
      </w:tr>
      <w:tr>
        <w:trPr>
          <w:trHeight w:val="20"/>
        </w:trPr>
        <w:tc>
          <w:tcPr>
            <w:tcW w:w="1100" w:type="dxa"/>
            <w:vAlign w:val="bottom"/>
            <w:gridSpan w:val="6"/>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7540" w:type="dxa"/>
            <w:vAlign w:val="bottom"/>
            <w:gridSpan w:val="19"/>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540" w:type="dxa"/>
            <w:vAlign w:val="bottom"/>
            <w:gridSpan w:val="19"/>
          </w:tcPr>
          <w:p>
            <w:pPr>
              <w:spacing w:after="0"/>
              <w:rPr>
                <w:sz w:val="22"/>
                <w:szCs w:val="22"/>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F"/>
                <w:w w:val="96"/>
              </w:rPr>
              <w:t>125</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F"/>
            </w:tcBorders>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Borders>
              <w:left w:val="single" w:sz="8" w:color="0000EF"/>
            </w:tcBorders>
            <w:shd w:val="clear" w:color="auto" w:fill="0000E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sections of this report, as well as any amendments we make to those sections in filings with the Securities and Exchange Commission (“SEC”). These forward-looking statements include, but are not limited to, statements about:</w:t>
      </w:r>
    </w:p>
    <w:p>
      <w:pPr>
        <w:spacing w:after="0" w:line="194" w:lineRule="exact"/>
        <w:rPr>
          <w:sz w:val="20"/>
          <w:szCs w:val="20"/>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development, clinical development, commercialization, or post-marketing studies of our products and product candidates, including ORLADEYO® (berotralstat), BCX17725, avoralstat, and early-stage discovery programs (including our complement inhibitors), and our plans and anticipated timing regarding the same;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commercialization of best-in-class and first-in-class medicines;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government stockpiling orders of our products and product candidates, including the timing or likelihood of entering into any U.S. Government stockpile order, the likelihood of the U.S. Government exercising any options under our current procurement contract, and our ability to execute any such order;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the Pharmakon Loan Agreement (as defined below) and to comply with the covenants as set forth in the agreements governing our debt obligations;</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revenues, expenses, capital requirements, annual cash utilization, and our needs for additional capital or financing;</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(including with respect to the ORLADEYO pediatric program) or regulatory agreements, deferrals, approvals, and other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to fund our operations or repay our recourse debt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 projections regarding financial goals, including timing for achieving profitability or positive cash flow;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22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1A, some of which are summarized in the “</w:t>
      </w:r>
      <w:r>
        <w:rPr>
          <w:rFonts w:ascii="Times New Roman" w:cs="Times New Roman" w:eastAsia="Times New Roman" w:hAnsi="Times New Roman"/>
          <w:sz w:val="18"/>
          <w:szCs w:val="18"/>
          <w:i w:val="1"/>
          <w:iCs w:val="1"/>
          <w:color w:val="auto"/>
        </w:rPr>
        <w:t>Risk Factor Summary</w:t>
      </w:r>
      <w:r>
        <w:rPr>
          <w:rFonts w:ascii="Times New Roman" w:cs="Times New Roman" w:eastAsia="Times New Roman" w:hAnsi="Times New Roman"/>
          <w:sz w:val="18"/>
          <w:szCs w:val="18"/>
          <w:color w:val="auto"/>
        </w:rPr>
        <w:t>”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 Item 1A of this report, which may adversely affect our business, financial condition, or results of operations, along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included in our other filings with the SEC, before making an investment decision in the Company. A summary of the principal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make an investment in the Company speculative or risky is set forth below.</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and may never achieve sustained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If we are unable to raise capital if and when needed, we may need to adjust our operations.</w:t>
      </w:r>
    </w:p>
    <w:p>
      <w:pPr>
        <w:spacing w:after="0" w:line="225"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83"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 Food and Drug Administration or comparable foreign regulatory authorities approve generic versions of any of our products that receive marketing approval, the sales of our products could be adversely affected.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spacing w:after="0" w:line="17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6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spacing w:after="0" w:line="179"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Pharmakon Loan Agreement (as defined below)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but not limited to, a material adverse change with respect to us, which could have a material adverse effect on our business.</w:t>
      </w:r>
    </w:p>
    <w:p>
      <w:pPr>
        <w:spacing w:after="0" w:line="17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8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or the facilities of our third-party vendors, incur damage or power is lost for a significant length of time, our operations will be disrupted, which will adversely affect our business.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Cyber incidents and related disruptions in our or our third-party vendors’ information technology systems, as well as challenges with properly managing artificial intelligence, could adversely affect our business.</w:t>
      </w:r>
    </w:p>
    <w:p>
      <w:pPr>
        <w:spacing w:after="0" w:line="161" w:lineRule="exact"/>
        <w:rPr>
          <w:rFonts w:ascii="Times New Roman" w:cs="Times New Roman" w:eastAsia="Times New Roman" w:hAnsi="Times New Roman"/>
          <w:sz w:val="18"/>
          <w:szCs w:val="18"/>
          <w:b w:val="1"/>
          <w:bCs w:val="1"/>
          <w:i w:val="1"/>
          <w:iCs w:val="1"/>
          <w:color w:val="auto"/>
        </w:rPr>
      </w:pPr>
    </w:p>
    <w:p>
      <w:pPr>
        <w:ind w:left="660" w:right="4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alliances, or divestitures could fail to meet our expectations and/or adversely affect our operating results and financial condition.</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may negatively impact the trading price of our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a global biotechnology company with a deep commitment to improving the lives of people living with hereditary angioedema (“HAE”) and other rare diseases. We leverage our expertise in structure-guided drug design with the goal of developing first-in-class or best-in-class oral small-molecule and injectable protein therapeutics to target difficult-to-treat rare diseases. Structure-guided drug design is a drug discovery approach by which we design synthetic compounds from detailed structural knowledge of the active sites of targets associated with particular diseases. We use X-ray crystallography, computer modeling of molecular structures and advanced chemistry techniques to focus on the three-dimensional molecular structure and active site characteristics of the protein targets that control cellular biology. Our goal generally is to design a compound that will fit in the active site of a protein target and thereby prevent its activity. Once a product candidate has been identified and selected through these discovery efforts, our experienced team aims to advance such product candidate through the clinical development process to secure the regulatory approvals necessary for commercial sale.</w:t>
      </w:r>
    </w:p>
    <w:p>
      <w:pPr>
        <w:spacing w:after="0" w:line="19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these discovery and development efforts, our business strategy includes the successful commercialization of these drugs, as well as self-funding all of these efforts by achieving and increasing profitability. By focusing primarily on rare disease markets, we believe that we can more effectively control the costs of, and our strategic allocation of financial resources toward, post-approval commercialization. Molecules from our discovery efforts that are commercially available or that are in active development are summarized in the table below and are discussed in further detail under “</w:t>
      </w:r>
      <w:r>
        <w:rPr>
          <w:rFonts w:ascii="Times New Roman" w:cs="Times New Roman" w:eastAsia="Times New Roman" w:hAnsi="Times New Roman"/>
          <w:sz w:val="18"/>
          <w:szCs w:val="18"/>
          <w:i w:val="1"/>
          <w:iCs w:val="1"/>
          <w:color w:val="auto"/>
        </w:rPr>
        <w:t>Products and Product Candidates</w:t>
      </w:r>
      <w:r>
        <w:rPr>
          <w:rFonts w:ascii="Times New Roman" w:cs="Times New Roman" w:eastAsia="Times New Roman" w:hAnsi="Times New Roman"/>
          <w:sz w:val="18"/>
          <w:szCs w:val="18"/>
          <w:color w:val="auto"/>
        </w:rPr>
        <w:t>” in this “</w:t>
      </w:r>
      <w:r>
        <w:rPr>
          <w:rFonts w:ascii="Times New Roman" w:cs="Times New Roman" w:eastAsia="Times New Roman" w:hAnsi="Times New Roman"/>
          <w:sz w:val="18"/>
          <w:szCs w:val="18"/>
          <w:i w:val="1"/>
          <w:iCs w:val="1"/>
          <w:color w:val="auto"/>
        </w:rPr>
        <w:t>Part I—Item 1—Business</w:t>
      </w:r>
      <w:r>
        <w:rPr>
          <w:rFonts w:ascii="Times New Roman" w:cs="Times New Roman" w:eastAsia="Times New Roman" w:hAnsi="Times New Roman"/>
          <w:sz w:val="18"/>
          <w:szCs w:val="18"/>
          <w:color w:val="auto"/>
        </w:rPr>
        <w:t>” section of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Drug/Drug</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45"/>
        </w:trPr>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80" w:type="dxa"/>
            <w:vAlign w:val="bottom"/>
          </w:tcPr>
          <w:p>
            <w:pPr>
              <w:spacing w:after="0"/>
              <w:rPr>
                <w:sz w:val="21"/>
                <w:szCs w:val="21"/>
                <w:color w:val="auto"/>
              </w:rPr>
            </w:pPr>
          </w:p>
        </w:tc>
        <w:tc>
          <w:tcPr>
            <w:tcW w:w="2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Drug Class</w:t>
            </w:r>
          </w:p>
        </w:tc>
        <w:tc>
          <w:tcPr>
            <w:tcW w:w="100" w:type="dxa"/>
            <w:vAlign w:val="bottom"/>
          </w:tcPr>
          <w:p>
            <w:pPr>
              <w:spacing w:after="0"/>
              <w:rPr>
                <w:sz w:val="21"/>
                <w:szCs w:val="21"/>
                <w:color w:val="auto"/>
              </w:rPr>
            </w:pPr>
          </w:p>
        </w:tc>
        <w:tc>
          <w:tcPr>
            <w:tcW w:w="2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Therapeutic Area(s)</w:t>
            </w:r>
          </w:p>
        </w:tc>
        <w:tc>
          <w:tcPr>
            <w:tcW w:w="80" w:type="dxa"/>
            <w:vAlign w:val="bottom"/>
          </w:tcPr>
          <w:p>
            <w:pPr>
              <w:spacing w:after="0"/>
              <w:rPr>
                <w:sz w:val="21"/>
                <w:szCs w:val="21"/>
                <w:color w:val="auto"/>
              </w:rPr>
            </w:pPr>
          </w:p>
        </w:tc>
        <w:tc>
          <w:tcPr>
            <w:tcW w:w="2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Phase</w:t>
            </w:r>
          </w:p>
        </w:tc>
        <w:tc>
          <w:tcPr>
            <w:tcW w:w="100" w:type="dxa"/>
            <w:vAlign w:val="bottom"/>
          </w:tcPr>
          <w:p>
            <w:pPr>
              <w:spacing w:after="0"/>
              <w:rPr>
                <w:sz w:val="21"/>
                <w:szCs w:val="21"/>
                <w:color w:val="auto"/>
              </w:rPr>
            </w:pPr>
          </w:p>
        </w:tc>
        <w:tc>
          <w:tcPr>
            <w:tcW w:w="2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Rights*</w:t>
            </w:r>
          </w:p>
        </w:tc>
      </w:tr>
      <w:tr>
        <w:trPr>
          <w:trHeight w:val="41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ORLADEYO®</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Oral Serine Protease Inhibitor</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Hereditary Angioedema</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(worldwide)</w:t>
            </w:r>
          </w:p>
        </w:tc>
      </w:tr>
      <w:tr>
        <w:trPr>
          <w:trHeight w:val="203"/>
        </w:trPr>
        <w:tc>
          <w:tcPr>
            <w:tcW w:w="16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(berotralstat)</w:t>
            </w:r>
          </w:p>
        </w:tc>
        <w:tc>
          <w:tcPr>
            <w:tcW w:w="23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Targeting Kallikrein (once-</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(United States and multiple</w:t>
            </w:r>
          </w:p>
        </w:tc>
        <w:tc>
          <w:tcPr>
            <w:tcW w:w="2140" w:type="dxa"/>
            <w:vAlign w:val="bottom"/>
          </w:tcPr>
          <w:p>
            <w:pPr>
              <w:spacing w:after="0"/>
              <w:rPr>
                <w:sz w:val="17"/>
                <w:szCs w:val="17"/>
                <w:color w:val="auto"/>
              </w:rPr>
            </w:pPr>
          </w:p>
        </w:tc>
      </w:tr>
      <w:tr>
        <w:trPr>
          <w:trHeight w:val="248"/>
        </w:trPr>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daily oral capsule treatment)</w:t>
            </w: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markets)</w:t>
            </w:r>
          </w:p>
        </w:tc>
        <w:tc>
          <w:tcPr>
            <w:tcW w:w="2140" w:type="dxa"/>
            <w:vAlign w:val="bottom"/>
          </w:tcPr>
          <w:p>
            <w:pPr>
              <w:spacing w:after="0"/>
              <w:rPr>
                <w:sz w:val="21"/>
                <w:szCs w:val="21"/>
                <w:color w:val="auto"/>
              </w:rPr>
            </w:pPr>
          </w:p>
        </w:tc>
      </w:tr>
      <w:tr>
        <w:trPr>
          <w:trHeight w:val="441"/>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Oral Serine Protease Inhibitor</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Hereditary Angioedema</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 3</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(worldwide)</w:t>
            </w: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Targeting Kallikrein (once-</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daily oral granules treatment</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for patients who are 2 to 11</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4"/>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of age)</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05"/>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BCX17725</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Protein Therapeutic</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Netherton Syndrome</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 1</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(worldwide)</w:t>
            </w:r>
          </w:p>
        </w:tc>
      </w:tr>
      <w:tr>
        <w:trPr>
          <w:trHeight w:val="37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Avoralstat</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Ocular Plasma Kallikrein</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Diabetic Macular Edema</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Preclinical</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(worldwide)</w:t>
            </w:r>
          </w:p>
        </w:tc>
      </w:tr>
      <w:tr>
        <w:trPr>
          <w:trHeight w:val="234"/>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Inhibitor</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7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RAPIVAB®</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Intravenous Neuraminidase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Acute Uncomplicated Influenza</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(worldwide, except</w:t>
            </w:r>
          </w:p>
        </w:tc>
      </w:tr>
      <w:tr>
        <w:trPr>
          <w:trHeight w:val="203"/>
        </w:trPr>
        <w:tc>
          <w:tcPr>
            <w:tcW w:w="16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(peramivir injection)</w:t>
            </w:r>
          </w:p>
        </w:tc>
        <w:tc>
          <w:tcPr>
            <w:tcW w:w="23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Inhibitor</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(United States, Australia &amp;</w:t>
            </w:r>
          </w:p>
        </w:tc>
        <w:tc>
          <w:tcPr>
            <w:tcW w:w="2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Japan, Taiwan, Korea and</w:t>
            </w:r>
          </w:p>
        </w:tc>
      </w:tr>
      <w:tr>
        <w:trPr>
          <w:trHeight w:val="248"/>
        </w:trPr>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37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RAPIACTA®</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Intravenous Neuraminidase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Uncomplicated Seasonal Influenza</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Shionogi &amp; Co., Ltd.</w:t>
            </w:r>
          </w:p>
        </w:tc>
      </w:tr>
      <w:tr>
        <w:trPr>
          <w:trHeight w:val="23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(peramivir injection)</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Inhibitor</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 &amp; Taiwan)</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 &amp; Taiwan)</w:t>
            </w:r>
          </w:p>
        </w:tc>
      </w:tr>
      <w:tr>
        <w:trPr>
          <w:trHeight w:val="3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PERAMIFLU®</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Intravenous Neuraminidase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Uncomplicated Seasonal Influenza</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 Cross Corporation</w:t>
            </w:r>
          </w:p>
        </w:tc>
      </w:tr>
      <w:tr>
        <w:trPr>
          <w:trHeight w:val="23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(peramivir injection)</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Inhibitor</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r>
    </w:tbl>
    <w:p>
      <w:pPr>
        <w:spacing w:after="0" w:line="155" w:lineRule="exact"/>
        <w:rPr>
          <w:sz w:val="20"/>
          <w:szCs w:val="20"/>
          <w:color w:val="auto"/>
        </w:rPr>
      </w:pPr>
    </w:p>
    <w:p>
      <w:pPr>
        <w:ind w:left="1140" w:right="60" w:hanging="484"/>
        <w:spacing w:after="0" w:line="284" w:lineRule="auto"/>
        <w:tabs>
          <w:tab w:leader="none" w:pos="969"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Collaborations and In-License Relationships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a description of our relationships with third parties regarding our products and product candidates.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In addition to the molecules referenced in the table above, we are pursuing medicines directed at other targets across the classical, lectin and alternative pathways of the complement system. See “</w:t>
      </w:r>
      <w:r>
        <w:rPr>
          <w:rFonts w:ascii="Times New Roman" w:cs="Times New Roman" w:eastAsia="Times New Roman" w:hAnsi="Times New Roman"/>
          <w:sz w:val="18"/>
          <w:szCs w:val="18"/>
          <w:i w:val="1"/>
          <w:iCs w:val="1"/>
          <w:color w:val="auto"/>
        </w:rPr>
        <w:t>Business—Products and Product Candidates</w:t>
      </w:r>
      <w:r>
        <w:rPr>
          <w:rFonts w:ascii="Times New Roman" w:cs="Times New Roman" w:eastAsia="Times New Roman" w:hAnsi="Times New Roman"/>
          <w:sz w:val="18"/>
          <w:szCs w:val="18"/>
          <w:color w:val="auto"/>
        </w:rPr>
        <w:t>” below for additional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480" w:firstLine="486"/>
        <w:spacing w:after="0" w:line="258" w:lineRule="auto"/>
        <w:rPr>
          <w:sz w:val="20"/>
          <w:szCs w:val="20"/>
          <w:color w:val="auto"/>
        </w:rPr>
      </w:pPr>
      <w:r>
        <w:rPr>
          <w:rFonts w:ascii="Times New Roman" w:cs="Times New Roman" w:eastAsia="Times New Roman" w:hAnsi="Times New Roman"/>
          <w:sz w:val="18"/>
          <w:szCs w:val="18"/>
          <w:color w:val="auto"/>
        </w:rPr>
        <w:t>Our business strategy is threefold: to serve patients and to create stockholder value by (i) focusing our discovery and development efforts on potential first-in-class or best-in-class oral small-molecule and injectable protein therapeutics to target difficult-to-treat rare diseases, (ii) successfully commercializing these drugs, and (iii) self-funding all of these efforts by achieving and increasing profitability. By focusing primarily on rare disease markets, we believe that we can more effectively control the costs of, and our strategic allocation of financial resources toward, post-approval commercialization.</w:t>
      </w:r>
    </w:p>
    <w:p>
      <w:pPr>
        <w:spacing w:after="0" w:line="183"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We select disease targets and product candidates in which an orally-administered small-molecule or an injectable protein therapeutic has the potential to be best-in-class or would be the first to market. We strive to advance our product candidate portfolio from discovery to commercial markets efficiently by utilizing a small group of talented and highly-skilled employees working in conjunction with strategic outsource partners. We are unique in our approach to treat difficult-to-treat rare diseases with orally-administered small molecules and with injectable protein therapeutics, each identified by utilizing crystallography and structure-guided drug design. The principal elements of our strategy are:</w:t>
      </w:r>
    </w:p>
    <w:p>
      <w:pPr>
        <w:spacing w:after="0" w:line="181" w:lineRule="exact"/>
        <w:rPr>
          <w:sz w:val="20"/>
          <w:szCs w:val="20"/>
          <w:color w:val="auto"/>
        </w:rPr>
      </w:pPr>
    </w:p>
    <w:p>
      <w:pPr>
        <w:ind w:left="980" w:right="160" w:hanging="324"/>
        <w:spacing w:after="0" w:line="25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Focusing on High Value-Added Structure-Guided Drug Design Technologies. </w:t>
      </w:r>
      <w:r>
        <w:rPr>
          <w:rFonts w:ascii="Times New Roman" w:cs="Times New Roman" w:eastAsia="Times New Roman" w:hAnsi="Times New Roman"/>
          <w:sz w:val="18"/>
          <w:szCs w:val="18"/>
          <w:color w:val="auto"/>
        </w:rPr>
        <w:t>We utilize structure-guided drug design in order to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efficiently develop new therapeutic candidates. Structure-guided drug design is a process by which we design a product candidate through detailed structural analysis of the protein target, which the product candidate must inhibit in order to stop the progression of the disease or disorder. We believe that structure-guided drug design is a powerful tool for the efficient development of small-molecule and protein therapeutic product candidates that have the potential to be safe and effective. Our structure-guided drug design technologies typically allow us to design and synthesize multiple product candidates that inhibit the same protein target, with the goal of establishing broad intellectual property protection and formulating compounds with competitive advantages.</w:t>
      </w:r>
    </w:p>
    <w:p>
      <w:pPr>
        <w:spacing w:after="0" w:line="182"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Selecting Inhibitors that are Promising Product Candidates. </w:t>
      </w:r>
      <w:r>
        <w:rPr>
          <w:rFonts w:ascii="Times New Roman" w:cs="Times New Roman" w:eastAsia="Times New Roman" w:hAnsi="Times New Roman"/>
          <w:sz w:val="18"/>
          <w:szCs w:val="18"/>
          <w:color w:val="auto"/>
        </w:rPr>
        <w:t>We start by selecting disease targets with well-understood biology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that fit with our ability to utilize structure-guided drug design capabilities to build potent and specific inhibitors. Next, we narrow our selection of these product candidates based on product characteristics, such as initial indications of safety and biologic activity on the target.</w:t>
      </w:r>
    </w:p>
    <w:p>
      <w:pPr>
        <w:spacing w:after="0" w:line="179"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Developing our Product Candidates Efficiently. </w:t>
      </w:r>
      <w:r>
        <w:rPr>
          <w:rFonts w:ascii="Times New Roman" w:cs="Times New Roman" w:eastAsia="Times New Roman" w:hAnsi="Times New Roman"/>
          <w:sz w:val="18"/>
          <w:szCs w:val="18"/>
          <w:color w:val="auto"/>
        </w:rPr>
        <w:t>An important element of our business strategy is to progress our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efficiently through the development process. In order to accomplish this, we typically strive for disease targets with a defined clinical and regulatory pathway for approval or diseases where high unmet needs allow for frequent interactions with regulators. In addition, as we determine such relationships to be appropriate or desirable, we control certain fixed costs and overhead by outsourcing with strategic partners and contractors or entering into license agreements with third parties. By outsourcing certain aspects of our operations, we are able to control overhead costs and focus financial resources directly where they provide the most benefit and reduce our business risk.</w:t>
      </w:r>
    </w:p>
    <w:p>
      <w:pPr>
        <w:spacing w:after="0" w:line="182" w:lineRule="exact"/>
        <w:rPr>
          <w:rFonts w:ascii="Times New Roman" w:cs="Times New Roman" w:eastAsia="Times New Roman" w:hAnsi="Times New Roman"/>
          <w:sz w:val="18"/>
          <w:szCs w:val="18"/>
          <w:color w:val="auto"/>
        </w:rPr>
      </w:pPr>
    </w:p>
    <w:p>
      <w:pPr>
        <w:ind w:left="980" w:hanging="324"/>
        <w:spacing w:after="0" w:line="25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Commercializing our Product Candidates Globally. </w:t>
      </w:r>
      <w:r>
        <w:rPr>
          <w:rFonts w:ascii="Times New Roman" w:cs="Times New Roman" w:eastAsia="Times New Roman" w:hAnsi="Times New Roman"/>
          <w:sz w:val="18"/>
          <w:szCs w:val="18"/>
          <w:color w:val="auto"/>
        </w:rPr>
        <w:t>A core part of our strategy is to commercialize our rare disease products globally.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established commercial teams in the United States and other global markets for the commercialization of ORLADEYO, and we are continuing to build the structure and expertise to commercialize our products in additional markets where we believe we can do this efficiently and effectively. We have also established relationships with licensing, distribution and other partners in certain markets, including Japan, the pan-Latin America region, and parts of Europe and Asia, and will continue to seek such relationships where we determine this to be an effective approach.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 (berotralstat)</w:t>
      </w:r>
    </w:p>
    <w:p>
      <w:pPr>
        <w:spacing w:after="0" w:line="256"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ORLADEYO is an oral capsule, once-daily therapy discovered and developed by us for the prevention of HAE attacks. HAE is a rare, severely debilitating and potentially fatal genetic condition with an estimated prevalence of between 1 in 33,000 to 1 in 67,000 people. HAE symptoms include recurrent episodes of edema in various locations, including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hands, feet, face, genitalia and airway. Airway swelling is particularly dangerous and can lead to death by asphyxiation. In addition, patients often have bouts of severe abdominal pain, nausea and vomiting caused by swelling in the intestinal wall. By inhibiting plasma kallikrein, ORLADEYO suppresses bradykinin production. Bradykinin is the mediator of acute swelling attacks in HAE patients.</w:t>
      </w:r>
    </w:p>
    <w:p>
      <w:pPr>
        <w:spacing w:after="0" w:line="20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ORLADEYO was approved by the U.S. Food and Drug Administration (“FDA”) in December 2020 for prophylaxis to prevent attacks of HAE in adults and pediatric patients 12 years and older, and we subsequently received regulatory approvals for ORLADEYO in other global markets. In addition, the ongoing APeX-P clinical trial, which is complete through the primary endpoint, is continuing to assess an oral granule formulation of ORLADEYO in pediatric patients who are 2 to 11 years of age. Our specialty pharmacy provider for ORLADEYO in the United States began shipping ORLADEYO to patients with a prescription in the United States in December 2020. Through EMPOWER Patient Services, administered by our specialty pharmacy provider, we aim to streamline access to therapy by providing each HAE patient and their healthcare provider with a single point of contact for access to ORLADEYO. A dedicated care coordinator supports access for each patient with comprehensive financial support tools and reimbursement support.</w:t>
      </w:r>
    </w:p>
    <w:p>
      <w:pPr>
        <w:spacing w:after="0" w:line="18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have entered into a number of collaborations with commercial partners to help support the global commercialization of ORLADEYO. See “</w:t>
      </w:r>
      <w:r>
        <w:rPr>
          <w:rFonts w:ascii="Times New Roman" w:cs="Times New Roman" w:eastAsia="Times New Roman" w:hAnsi="Times New Roman"/>
          <w:sz w:val="18"/>
          <w:szCs w:val="18"/>
          <w:i w:val="1"/>
          <w:iCs w:val="1"/>
          <w:color w:val="auto"/>
        </w:rPr>
        <w:t>Collaborations and In-License Relationships</w:t>
      </w:r>
      <w:r>
        <w:rPr>
          <w:rFonts w:ascii="Times New Roman" w:cs="Times New Roman" w:eastAsia="Times New Roman" w:hAnsi="Times New Roman"/>
          <w:sz w:val="18"/>
          <w:szCs w:val="18"/>
          <w:color w:val="auto"/>
        </w:rPr>
        <w:t>” below for a description of our relationships with these partners.</w:t>
      </w:r>
    </w:p>
    <w:p>
      <w:pPr>
        <w:spacing w:after="0" w:line="18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On February 19, 2024, we announced that the Italian Medicines Agency finalized reimbursement and recommended ORLADEYO for the routine prevention of recurrent attacks of HAE in eligible patients 12 years and older.</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February 23, 2024, we announced new analyses of real-world use of ORLADEYO that showed patients who initiated ORLADEYO experienced rapid, substantial and sustained reductions in attack rates through 18 months of treatment regardless of the severity of their disease, their history of prior prophylaxis or their C1-inhibitor level and function.</w:t>
      </w:r>
    </w:p>
    <w:p>
      <w:pPr>
        <w:spacing w:after="0" w:line="20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On April 17, 2024, we announced that the Brazilian Health Regulatory Agency granted approval for ORLADEYO for the prophylaxis of HAE attacks in adults and pediatric patients 12 years of age or older.</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On May 6, 2024, we announced that enrollment is complete in the APeX-P trial evaluating ORLADEYO in pediatric HAE patients who are 2 to 11 years of age. We believe data from the trial will support a regulatory filing in 2025 to expand the ORLADEYO label to enable children as young as two years of age to receive ORLADEYO.</w:t>
      </w:r>
    </w:p>
    <w:p>
      <w:pPr>
        <w:spacing w:after="0" w:line="203"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On May 9, 2024, we announced new real-world evidence on the use of ORLADEYO demonstrating that patients with HAE in the United States experience significant reductions in healthcare resource utilization after beginning treatment with ORLADEYO.</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May 13, 2024, we announced that the Federal Commission for Protection against Health Risks in Mexico granted approval for ORLADEYO for the prophylaxis of HAE attacks in adults and pediatric patients 12 years of age or older.</w:t>
      </w:r>
    </w:p>
    <w:p>
      <w:pPr>
        <w:spacing w:after="0" w:line="18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On June 2, 2024, we announced new real-world evidence showing that patients with HAE who have normal C1-inhibitor level and function had a reduction in monthly attack rates after starting ORLADEYO.</w:t>
      </w:r>
    </w:p>
    <w:p>
      <w:pPr>
        <w:spacing w:after="0" w:line="18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July 9, 2024, we announced that the General Directorate of Medicines, Supplies and Drugs in Peru granted approval for ORLADEYO for the prophylaxis of HAE attacks in adults and pediatric patients 12 years of age or older.</w:t>
      </w:r>
    </w:p>
    <w:p>
      <w:pPr>
        <w:spacing w:after="0" w:line="18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On August 5, 2024, we announced that a recent market research study showed that 52 percent of allergist/immunologists are extremely likely to prescribe ORLADEYO to more patients, up from 29 percent in early 2023.</w:t>
      </w:r>
    </w:p>
    <w:p>
      <w:pPr>
        <w:spacing w:after="0" w:line="18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On August 5, 2024, we also announced that we remain on track to submit a regulatory filing in 2025 to expand the ORLADEYO label to enable children as young as two years of age to receive an oral granule formulation of ORLADEYO.</w:t>
      </w:r>
    </w:p>
    <w:p>
      <w:pPr>
        <w:spacing w:after="0" w:line="18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September 6, 2024, we announced the presentation of six posters, including the first interim data from APeX-N, a European multi-center observational study assessing the safety (primary objective), effectiveness and quality of life (secondary objectives) of berotralstat 150 mg in routine clinical use. We also presented new data highlighting the value of shared decision making between healthcare providers and their HAE patients to provide optimal patient outcomes.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October 14, 2024, we announced new real-world evidence on the use of ORLADEYO demonstrating that patients with HAE in the United States experience significant reductions in healthcare resource utilization, including significant reductions in hospitalizations, emergency room visits and use of on-demand therapies, after beginning treatment with ORLADEYO.</w:t>
      </w:r>
    </w:p>
    <w:p>
      <w:pPr>
        <w:spacing w:after="0" w:line="20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October 24, 2024, we announced new real-world comparative research on the use of ORLADEYO that found high rates of adherence and persistence for ORLADEYO, similar to the rates observed with two other long-term prophylactic (“LTP”) therapies for HAE. We also announced new real-world evidence showing statistically significant and sustained HAE attack rate reductions after initiating ORLADEYO in patients with HAE, regardless of their C1-inhibitor deficiency status, and new findings from an HAE patient survey confirming patient preference for an oral LTP therapy.</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November 4, 2024, we announced that since launch, approximately half of patients who have started ORLADEYO have switched from another prophylactic therapy. We have begun the observational Phase 4 APeX-T study, designed to generate real-world data to inform physicians on the best individual approaches to support transition to ORLADEYO.</w:t>
      </w:r>
    </w:p>
    <w:p>
      <w:pPr>
        <w:spacing w:after="0" w:line="203"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On November 18, 2024, we announced that the Health Services Executive in Ireland recommended ORLADEYO for the routine prevention of recurrent attacks of HAE in eligible patients 12 years and older.</w:t>
      </w:r>
    </w:p>
    <w:p>
      <w:pPr>
        <w:spacing w:after="0" w:line="16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February 12, 2025, we announced that Infarmed in Portugal has recommended ORLADEYO for the routine prevention of recurrent attacks of HAE in eligible patients 12 years and older. With this recommendation, ORLADEYO is now reimbursed in all major countries in Western Europe, except the Netherlands, which is expected in the first half of 2025.</w:t>
      </w:r>
    </w:p>
    <w:p>
      <w:pPr>
        <w:spacing w:after="0" w:line="176"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On February 24, 2025, we announced that a new market tracking survey of 60 HAE treaters showed that 97 percent are considering prescribing ORLADEYO and 59 percent (up from 26 percent 18 months prior) of current prescribers indicate they are extremely likely to prescribe for more of their patients. In addition, we announced that additional real-world studies with ORLADEYO show statistically significant HAE attack rate reductions experienced by patients with C1-inhibitor deficiency and normal C1-inhibitor levels and function. Patient-reported outcomes also showed willingness to change long-term prophylaxis and improved treatment satisfaction across varying levels of attack frequency and severity after ORLADEYO initiation.</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On February 24, 2025, we also announced that we are on track to submit a new drug application in 2025 to the U.S. Food and Drug Administration to expand the ORLADEYO label to children with HAE aged 2 to 11 using an oral granule formulation. Additional regulatory filings are planned in global territories, including Europe, Japan and Canada. ORLADEYO would be the first targeted oral prophylactic therapy for children with HAE. In addition, we announced positive results from an interim analysis of the ongoing APeX-P clinical trial evaluating an oral granule formulation of ORLADEYO in pediatric patients with HAE aged 2 to 11.</w:t>
      </w:r>
    </w:p>
    <w:p>
      <w:pPr>
        <w:spacing w:after="0" w:line="1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each of December 7, 2020 and November 19, 2021, we entered into a Purchase and Sale Agreement with RPI 2019 Intermediate Finance Trust (“RPI”), pursuant to which we sold to RPI the right to receive certain royalty payments from us (the “RPI Royalty Purchase Agreements”). On November 19, 2021, we also entered into a Purchase and Sale Agreement (the “OMERS Royalty Purchase Agreement” and, collectively with the RPI Royalty Purchase Agreements, the “Royalty Purchase Agreements”) with OCM IP Healthcare Holdings Limited, an affiliate of OMERS Capital Markets (“OMERS”), pursuant to which we sold to OMERS the right to receive certain royalty payments from us. The transactions contemplated under the Royalty Purchase Agreements are referred to herein as the “</w:t>
      </w:r>
      <w:r>
        <w:rPr>
          <w:rFonts w:ascii="Times New Roman" w:cs="Times New Roman" w:eastAsia="Times New Roman" w:hAnsi="Times New Roman"/>
          <w:sz w:val="18"/>
          <w:szCs w:val="18"/>
          <w:i w:val="1"/>
          <w:iCs w:val="1"/>
          <w:color w:val="auto"/>
        </w:rPr>
        <w:t>Royalty Sales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Note 8—Royalty Financing Obligations—ORLADEYO and Factor D Inhibitor</w:t>
      </w:r>
      <w:r>
        <w:rPr>
          <w:rFonts w:ascii="Times New Roman" w:cs="Times New Roman" w:eastAsia="Times New Roman" w:hAnsi="Times New Roman"/>
          <w:sz w:val="18"/>
          <w:szCs w:val="18"/>
          <w:color w:val="auto"/>
        </w:rPr>
        <w:t>s” in the Notes to Consolidated Financial Statements in Part II, Item 8 of this report for additional information about our obligations under the Royalty Purchase Agreements.</w:t>
      </w:r>
    </w:p>
    <w:p>
      <w:pPr>
        <w:spacing w:after="0" w:line="19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four full years of commercialization experience with ORLADEYO in the United States from 2021 through 2024, we anticipate that the global commercial market for ORLADEYO has the potential to reach a global peak of $1 billion in annual net ORLADEYO revenues. We expect approximately 80 percent of our revenue at peak to come from the United States. Based on four full years of commercialization experience with ORLADEYO, we believe there is a seasonal impact to our business in the first quarter of each year due to typical first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quarter requirements from payors for prescription reauthorization of specialty products, like ORLADEYO, that can temporarily move patients from paid drug to free product.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 w:cs="Times New Roman" w:eastAsia="Times New Roman" w:hAnsi="Times New Roman"/>
          <w:sz w:val="18"/>
          <w:szCs w:val="18"/>
          <w:i w:val="1"/>
          <w:iCs w:val="1"/>
          <w:color w:val="auto"/>
        </w:rPr>
        <w:t>Risk Factors—Risks Relating to Our Business—Risks Relating to Drug Development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Commercialization—There can be no assurance that our or our partners’ commercialization efforts, methods, and strategies for our products or technologies will succeed, and our future revenue generation is uncertain</w:t>
      </w:r>
      <w:r>
        <w:rPr>
          <w:rFonts w:ascii="Times New Roman" w:cs="Times New Roman" w:eastAsia="Times New Roman" w:hAnsi="Times New Roman"/>
          <w:sz w:val="18"/>
          <w:szCs w:val="18"/>
          <w:color w:val="auto"/>
        </w:rPr>
        <w:t>” in Part I, Item 1A of this report for further discussion of these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BCX17725 (Netherton syndrome)</w:t>
      </w:r>
    </w:p>
    <w:p>
      <w:pPr>
        <w:spacing w:after="0" w:line="256"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BCX17725 is a potent and selective investigational protein therapeutic KLK5 inhibitor designed to provide best-in-class, potentially disease-modifying, treatment for people with Netherton syndrome. Netherton syndrome is a serious, rare, lifelong genetic disorder affecting the skin, hair, and immune system, caused by lack of normal function of a natural inhibitor of KLK5. People with Netherton syndrome often have red, scaly, inflamed skin, fragile hair, and are more likely to develop skin infections, severe food allergies, asthma and eczema. Netherton syndrome can be life-threatening, especially during infancy when patients are vulnerable to dehydration and recurrent infections. Currently, there are no approved treatments for Netherton syndrome.</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6, 2024, we announced that we expected to advance BCX17725 into the clinic by the end of 2024, and we reaffirmed this plan on August 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On October 2, 2024, we announced the enrollment of the first participant in a Phase 1 trial evaluating BCX17725 for people with Netherton syndrome.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On November 4, 2024, we announced that we expect initial data from the BCX17725 program in 2025, and we reaffirmed this on February 24, 2025.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Avoralstat</w:t>
      </w:r>
    </w:p>
    <w:p>
      <w:pPr>
        <w:spacing w:after="0" w:line="25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 to deliver avoralstat to the back of the eye through the suprachoroidal space to treat patients with diabetic macular edema (“DME”).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high dose levels to the retinal vessels with long-lasting exposure, which could result in less frequent injections and a reduced burden on patients and the healthcare system. See “</w:t>
      </w:r>
      <w:r>
        <w:rPr>
          <w:rFonts w:ascii="Times New Roman" w:cs="Times New Roman" w:eastAsia="Times New Roman" w:hAnsi="Times New Roman"/>
          <w:sz w:val="18"/>
          <w:szCs w:val="18"/>
          <w:i w:val="1"/>
          <w:iCs w:val="1"/>
          <w:color w:val="auto"/>
        </w:rPr>
        <w:t>Note 15—Collaborative and Other Relationships</w:t>
      </w:r>
      <w:r>
        <w:rPr>
          <w:rFonts w:ascii="Times New Roman" w:cs="Times New Roman" w:eastAsia="Times New Roman" w:hAnsi="Times New Roman"/>
          <w:sz w:val="18"/>
          <w:szCs w:val="18"/>
          <w:color w:val="auto"/>
        </w:rPr>
        <w:t>” in the Notes to Consolidated Financial Statements in Part II, Item 8 of this report for additional information about our license agreement with Clearside Biomedical, Inc.</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6, 2024, we announced our plans to advance avoralstat into a clinical trial of patients with DME in 2025.</w:t>
      </w:r>
    </w:p>
    <w:p>
      <w:pPr>
        <w:spacing w:after="0" w:line="25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On August 5, 2024 and November 4, 2024, we again noted our expected plan to advance avoralstat into a clinical trial of patients with DME in 2025, and we reaffirmed this on February 24, 2025.</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24, 2025, we announced that initial clinical data from the avoralstat program is targeted by the end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Complement-Mediated Diseases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goal of our overall complement program is to advance first-in-class and/or best-in-class compounds across multiple pathways in the complement system to treat complement-mediated diseases. The complement system is part of the body’s natural immune system and is responsible for helping the body eliminate microbes (including viral and bacterial infections) and damaged cells. It is comprised of proteins that are primarily produced in the liver and circulate in the blood. Once activated, the complement system stimulates inflammation, phagocytosis and cell lysis. Excessive or uncontrolled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activation of the complement system can cause severe, and potentially fatal, immune and inflammatory disorders. The complement system comprises biological cascades of amplifying enzyme cleavages involving more than 30 proteins and protein fragments, and may be activated through three pathways: the classical pathway (initiated by antibody-antigen complexes), the lectin pathway (initiated by lectin binding) and the alternative pathway (initiated by microbial surfaces). The alternative pathway also provides a critical amplification loop for all three pathways, regardless of the initiating mechanism. Several rare diseases are known to be mediated by dysregulation of the complement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Oral C5 Inhibitor</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are developing an oral C5 inhibitor that could be the first targeted oral therapy with competitive efficacy to currently-approved injected and infused anti-C5 therapies, such as eculizumab and ravulizumab. A drug with this profile could enable patients to switch from infused therapy and address their disease earlier in the treatment paradigm.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Oral C2 Inhibitor</w:t>
      </w:r>
    </w:p>
    <w:p>
      <w:pPr>
        <w:spacing w:after="0" w:line="254"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We are developing a classical and lectin pathway complement inhibitor. An oral C2 inhibitor developed by us could be first-in-class and allow patients to switch from infused therapy and address their disease earlier in the treatment paradigm.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Bifunctional Complement Inhibitor</w:t>
      </w:r>
    </w:p>
    <w:p>
      <w:pPr>
        <w:spacing w:after="0" w:line="254" w:lineRule="exact"/>
        <w:rPr>
          <w:sz w:val="20"/>
          <w:szCs w:val="20"/>
          <w:color w:val="auto"/>
        </w:rPr>
      </w:pPr>
    </w:p>
    <w:p>
      <w:pPr>
        <w:jc w:val="both"/>
        <w:ind w:right="580" w:firstLine="486"/>
        <w:spacing w:after="0" w:line="266" w:lineRule="auto"/>
        <w:rPr>
          <w:sz w:val="20"/>
          <w:szCs w:val="20"/>
          <w:color w:val="auto"/>
        </w:rPr>
      </w:pPr>
      <w:r>
        <w:rPr>
          <w:rFonts w:ascii="Times New Roman" w:cs="Times New Roman" w:eastAsia="Times New Roman" w:hAnsi="Times New Roman"/>
          <w:sz w:val="18"/>
          <w:szCs w:val="18"/>
          <w:color w:val="auto"/>
        </w:rPr>
        <w:t>We are developing a bifunctional complement inhibitor anti-C2 monoclonal antibody that could be a first-in-class combined inhibitor of the classical, lectin and alternative pathways of the complement system to treat complex complement-mediated diseases that are influenced by multiple complement pathways.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BCX10013</w:t>
      </w:r>
    </w:p>
    <w:p>
      <w:pPr>
        <w:spacing w:after="0" w:line="254"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BCX10013 is an oral Factor D inhibitor that targets the alternative pathway of complement. On January 5, 2024, we announced that, if our ongoing proof-of-concept trial produced best-in-class data, we planned to out-license late-stage development and commercialization of BCX10013 to a partner that can drive the speed and breadth of investment required to accelerate BCX10013 for patients across multiple complement-mediated diseases and maximize the commercial potential of the program.</w:t>
      </w:r>
    </w:p>
    <w:p>
      <w:pPr>
        <w:spacing w:after="0" w:line="207"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On August 5, 2024, we announced that we completed our clinical evaluation of BCX10013. The drug was safe and well tolerated at all doses studied; however, the level of clinical activity observed was less than other therapies on the market, and potential partners have declined to make the additional investment required to evaluate higher doses. Consistent with our previously announced plans, we have discontinued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RAPIVAB (peramivir injection) was developed under a $234.8 million contract from the Biomedical Advanced Research and Development Authority within the U.S. Department of Health and Human Services (“BARDA/HHS”). In January 2010, our partner, Shionogi, received the first approval for peramivir injection and launched it in Japan under the commercial name RAPIACTA. It is approved in Japan for the treatment of adults, children, and infants with uncomplicated seasonal influenza and those patients at high-risk for complications associated with influenza. In August 2010, our partner, Green Cross, received marketing and manufacturing approval from the Korean Food &amp; Drug Administration under the commercial name PERAMIFLU to treat patients with influenza A &amp; B viruses, including pandemic H1N1 and avian influenza. See “</w:t>
      </w:r>
      <w:r>
        <w:rPr>
          <w:rFonts w:ascii="Times New Roman" w:cs="Times New Roman" w:eastAsia="Times New Roman" w:hAnsi="Times New Roman"/>
          <w:sz w:val="18"/>
          <w:szCs w:val="18"/>
          <w:i w:val="1"/>
          <w:iCs w:val="1"/>
          <w:color w:val="auto"/>
        </w:rPr>
        <w:t>Collaborations and In-License Relationships</w:t>
      </w:r>
      <w:r>
        <w:rPr>
          <w:rFonts w:ascii="Times New Roman" w:cs="Times New Roman" w:eastAsia="Times New Roman" w:hAnsi="Times New Roman"/>
          <w:sz w:val="18"/>
          <w:szCs w:val="18"/>
          <w:color w:val="auto"/>
        </w:rPr>
        <w:t>” below for a discussion of these licensing arrangements.</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Peramivir was also approved in the United States in 2014, Taiwan in 2016, Canada in 2017, and Australia in 2018. A Supplemental New Drug Application was approved in the United States in February 2021, extending RAPIVAB’s availability for the treatment of acute uncomplicated influenza to pediatric patients six months and older. Prior to this approval, peramivir had been indicated in the United States for pediatric patients two years and older. In the United States, peramivir is indicated for the treatment of acute uncomplicated influenza in patients who have been symptomatic for no more than two days. Since the 2009 H1N1 pandemic, RAPIVAB has been an important component of the U.S. Government’s influenza preparedness efforts.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September 30, 2024, we announced that the U.S. Department of Health and Human Services (“HHS”) awarded us up to a $69 million contract for the procurement of up to 95,625 doses over a five-year period of RAPIVAB for the treatment of influenza (the “HHS Contract”). The HHS Contract, awarded by the HHS Office of the Administration for Strategic Preparedness and Response (“ASPR”), will supply the Center for the Strategic National Stockpile, the nation’s largest supply of life-saving pharmaceuticals and medical supplies for use in a public health emergency. The HHS Contract is structured with a 12-month base ordering period and four optional 12-month ordering periods, which the U.S. Government can exercise on an annual basis. ASPR executed the first ordering period for $13.9 million, and we plan to supply 19,125 doses to fulfill this option by September 29, 2025. We delivered 2,304 doses of RAPIVAB under the HHS Contract in the fourth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In-License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Torii Pharmaceutical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Torii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November 5, 2019, we entered into a Commercialization and License Agreement with Torii (the “Original Torii Agreement”), granting Torii the exclusive right to commercialize ORLADEYO for the prevention of HAE attacks in Japan. Under the Original Torii Agreement, we received an upfront, non-refundable payment of $22.0 million. We received an additional milestone payment of $15.0 million in the second quarter of 2021 upon receipt from the Japanese National Health Insurance System (“NHI”) of a reimbursement price approval for ORLADEYO.</w:t>
      </w:r>
    </w:p>
    <w:p>
      <w:pPr>
        <w:spacing w:after="0" w:line="18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November 30, 2023, we entered into an Amended and Restated Commercialization and License Agreement with Torii (as amended, the “Torii Agreement”).</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Under the Torii Agreement, we are entitled to receive tiered royalty payments, ranging from 20% to 80% of annual net sales of ORLADEYO in Japan during each calendar year. We are now responsible for all commercial promotion activities to support ORLADEYO sales in Japan, and Torii will be responsible for HAE disease awareness activities in Japan. We will receive a 20% royalty on annual Japanese sales below a prespecified threshold and an 80% royalty on annual Japanese sales above the prespecified threshold.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Torii’s updated royalty payment obligations commenced on November 30, 2023 and will expire upon the later of (i) the tenth anniversary of the date of first commercial sale of ORLADEYO in Japan, (ii) the expiration of our patents covering ORLADEYO, and (iii) the expiration of regulatory exclusivity for ORLADEYO in Japan.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Collaborations for ORLADEYO</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have entered into a number of collaborations with commercial partners to help support the global commercialization of ORLADEYO. In 2021, we entered into supply and distribution agreements with Neopharm Ltd. (“Neopharm”) and NewBridge Pharmaceuticals (“NewBridge”) to support commercialization efforts in Israel and the United Arab Emirates (“UAE”), respectively. Under the terms of these agreements, Neopharm has the exclusive rights to commercialize ORLADEYO in Israel and the Palestinian Authority, and NewBridge will support commercialization efforts in the UAE, as well as the Gulf Cooperation Council and Iraq. On June 9, 2022, we announced that we entered into an exclusive collaboration with Pint Pharma to register and promote ORLADEYO in the pan-Latin America region. Under the terms of the agreement, Pint Pharma is responsible for obtaining and maintaining all marketing authorizations and for commercializing ORLADEYO in the region. On January 23, 2023, we announced that we have entered into a collaboration with Swixx BioPharma AG (“Swixx”) to commercialize ORLADEYO in Central and Eastern Europe (“CEE”). Under the terms of the agreement, Swixx is responsible for commercializing ORLADEYO in 15 markets within CEE. On July 19, 2023, we announced that we entered into a collaboration with Er-Kim Pharmaceuticals to commercialize ORLADEYO in Turkey.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Shionogi &amp;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Shionogi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In February 2007, we entered into a License, Development and Commercialization Agreement (as amended, supplemented or otherwise modified, the “Shionogi Agreement”), an exclusive license agreement with Shionogi to develop and commercialize peramivir in Japan for the treatment of seasonal and potentially life-threatening human influenza. In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October 2008, we and Shionogi amended the Shionogi Agreement to expand the territory covered by the agreement to include Taiwan. The Shionogi Agreement provided for an upfront payment in exchange for the rights to injectable formulations of peramivir in Japan, development milestone payments (which have all been paid), commercial milestone payments, and royalty payments on product sales of peramivir, in accordance with the terms of the Shionogi Agreement.</w:t>
      </w:r>
    </w:p>
    <w:p>
      <w:pPr>
        <w:spacing w:after="0" w:line="1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Generally, all payments under the Shionogi Agreement are non-refundable and non-creditable, but they are subject to audit. Shionogi is responsible for all development, regulatory, and marketing costs in Japan. The term of the Shionogi Agreement is from February 28, 2007 until terminated. Either party may terminate the Shionogi Agreement in the event of an uncured breach. Shionogi has the right of termination without cause. In the event of termination, all license and rights granted to Shionogi shall terminate and shall revert back to us. We developed peramivir under a license from the University of Alabama Birmingham (“UAB”) and have paid sublicense payments to UAB on the upfront payments and will owe sublicense payments on any future event payments and/or royalties received by us from Shionogi.</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Shionogi Royalty Financing and Non-Recourse Notes Payable</w:t>
      </w:r>
    </w:p>
    <w:p>
      <w:pPr>
        <w:spacing w:after="0" w:line="22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March 9, 2011, we completed a $30.0 million financing transaction to monetize certain future royalty and milestone payments under the Shionogi Agreement. Pursuant to the transaction, JPR Royalty Sub LLC, a wholly-owned subsidiary of the Company (“Royalty Sub”), issued $30.0 million in aggregate principal amount of its PhaRMA Senior Secured 14.0% Notes due 2020 (the “PhaRMA Notes”) in a private placement to institutional investors. The PhaRMA Notes were issued under an indenture, dated as of March 9, 2011 (the “Indenture”), by and between Royalty Sub and U.S. Bank National Association, as Trustee. We received net proceeds of $22.7 million from this transaction.</w:t>
      </w:r>
    </w:p>
    <w:p>
      <w:pPr>
        <w:spacing w:after="0" w:line="183"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Principal and interest on the PhaRMA Notes are payable from, and are secured by the rights to royalty and milestone payments under the Shionogi Agreement, which were transferred by us to Royalty Sub in 2011. Royalty Sub’s obligations to pay principal and interest on the PhaRMA Notes are obligations solely of Royalty Sub and are without recourse to any other person, including the Company, except to the extent of our pledge of our equity interests in Royalty Sub in support of the PhaRMA Notes.</w:t>
      </w:r>
    </w:p>
    <w:p>
      <w:pPr>
        <w:spacing w:after="0" w:line="18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September 2014, Royalty Sub was unable to pay the full amount of interest payable in September 2013 by the next succeeding payment date for the PhaRMA Notes, which was September 1, 2014. This inability constituted an event of default under the terms of the Indenture. As of December 31, 2024, the PhaRMA Notes remained in default. While Royalty Sub continues to pay the holders of the PhaRMA Notes any royalty payments received from Shionogi, which are immaterial, we wrote off the balance due under the PhaRMA Notes to other income as a debt extinguishment as of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Green Cross Corporation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Green Cross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June 2006, we entered into an agreement with Green Cross to develop and commercialize peramivir in Korea. Under the terms of the agreement, Green Cross is responsible for all development, regulatory, and commercialization costs in Korea and we are entitled to share in profits resulting from the sale of peramivir in Korea, including the sale of peramivir to the Korean government for stockpiling purposes. Furthermore, Green Cross will pay us a premium over its cost to supply peramivir for development and any future marketing of peramivir products in Korea. Both parties have the right to terminate the agreement in the event of an uncured material breach. In the event of termination, all rights, data, materials, products, and other information would be transferred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Collaborations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September 2024, the HHS awarded us up to a $69 million contract for the procurement of up to 95,625 doses over a five-year period of RAPIVAB for the treatment of influenza under the HHS Contract, as more fully discussed in “</w:t>
      </w:r>
      <w:r>
        <w:rPr>
          <w:rFonts w:ascii="Times New Roman" w:cs="Times New Roman" w:eastAsia="Times New Roman" w:hAnsi="Times New Roman"/>
          <w:sz w:val="18"/>
          <w:szCs w:val="18"/>
          <w:i w:val="1"/>
          <w:iCs w:val="1"/>
          <w:color w:val="auto"/>
        </w:rPr>
        <w:t>Note 15—Collaborative and Other Relationships</w:t>
      </w:r>
      <w:r>
        <w:rPr>
          <w:rFonts w:ascii="Times New Roman" w:cs="Times New Roman" w:eastAsia="Times New Roman" w:hAnsi="Times New Roman"/>
          <w:sz w:val="18"/>
          <w:szCs w:val="18"/>
          <w:color w:val="auto"/>
        </w:rPr>
        <w:t>” in the Notes to Consolidated Financial Statements in Part II, Item 8 of this report. We delivered 2,304 doses of RAPIVAB under the HHS Contract in the fourth quarter of 2024.</w:t>
      </w:r>
    </w:p>
    <w:p>
      <w:pPr>
        <w:spacing w:after="0" w:line="180"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also have non-material license agreements with certain third parties, such as Albert Einstein College of Medicine of Yeshiva University (“AECOM”), Industrial Research, Ltd. (“IRL”), and the University of Alabama at Birmingham (“UAB”), which require that we make certain payments related to development of the product candidates covered by these agreements, net sales on any resulting product made by us, and annual license fees. We licensed a series of potent inhibitors of purine nucleoside phosphorylase (“PNP”) from AECOM and IRL, as well as an exclusive worldwide license of galidesivir for any antiviral use, and we have agreements with UAB for influenza neuraminidase and complement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inhibitors. There is currently no material activity between us and UAB on these agreements, but when we license this technology, such as in the case of the Shionogi and Green Cross agreements, or commercialize products related to these programs, we owe sublicense fees or royalties on amounts received.</w:t>
      </w:r>
    </w:p>
    <w:p>
      <w:pPr>
        <w:spacing w:after="0" w:line="187" w:lineRule="exact"/>
        <w:rPr>
          <w:sz w:val="20"/>
          <w:szCs w:val="20"/>
          <w:color w:val="auto"/>
        </w:rPr>
      </w:pPr>
    </w:p>
    <w:p>
      <w:pPr>
        <w:jc w:val="both"/>
        <w:ind w:right="440" w:firstLine="486"/>
        <w:spacing w:after="0" w:line="267"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i w:val="1"/>
          <w:iCs w:val="1"/>
          <w:color w:val="auto"/>
        </w:rPr>
        <w:t>Note 15—Collaborative and Other Relationships</w:t>
      </w:r>
      <w:r>
        <w:rPr>
          <w:rFonts w:ascii="Times New Roman" w:cs="Times New Roman" w:eastAsia="Times New Roman" w:hAnsi="Times New Roman"/>
          <w:sz w:val="18"/>
          <w:szCs w:val="18"/>
          <w:color w:val="auto"/>
        </w:rPr>
        <w:t>” in the Notes to Consolidated Financial Statements in Part II, Item 8 of this report, we entered into a license agreement with Clearside Biomedical, Inc. to develop our investigational plasma kallikrein inhibitor, avoralstat, with Clearside’s SCS Microinjector® to deliver avoralstat to the back of the eye through the suprachoroidal space to treat patients with DME.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enforce patent protection for our products, methods, processes, and other proprietary technologies, preserve our trade secrets, and operate without infringing on the proprietary rights of other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 and product candidates.</w:t>
      </w:r>
    </w:p>
    <w:p>
      <w:pPr>
        <w:spacing w:after="0" w:line="18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Our ability to maintain and solidify our proprietary position for our technology will depend on our success in obtaining effective patent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rendered unenforceable or circumvented, which could limit our ability to stop competitors from marketing related products or the length of term of patent protection that we may have for our products. In addition, the rights granted under any issued patents may not provide us with competitive advantages against competitors with similar compounds or technology. Furthermore, our competitors may independently develop similar technologies or duplicate any technology developed by us in a manner that does not infringe our patents or other intellectual property. Because of the extensive time required for development, testing and regulatory review of a potential product, it is possible that, before any of our product candidates or those developed by our partners can be commercialized, any related patent may expire or remain in force for only a short period following commercialization, thereby reducing any advantage of the patent.</w:t>
      </w:r>
    </w:p>
    <w:p>
      <w:pPr>
        <w:spacing w:after="0" w:line="19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of December 31, 2024, we have been issued approximately 44 U.S. patents that expire between 2027 and 2039 and that relate to our kallikrein inhibitor compounds, neuraminidase inhibitor compounds, broad-spectrum antiviral (“BSAV”) compounds, PNP inhibitor compounds, and complement-mediated disease program compounds. We have licensed a number of compounds protected by certain composition of matter patents from AECOM and IRL, totaling one additional U.S. patent that expires in 2029. Additionally, we have approximately 21 Patent Cooperation Treaty or U.S. patent applications pending related to kallikrein inhibitor compounds, neuraminidase inhibitor compounds, BSAV compounds, PNP inhibitor compounds, KLK5 program compounds, and complement-mediated disease program compounds. Our pending applications may not result in issued patents, our patents may not cover the products of interest or may not be enforceable in all, or any, jurisdictions and our patents may not provide us with sufficient protection against competitive products or otherwise be commercially viable. After expiration of composition of matter patents for our products and product candidates, we may rely on data exclusivity, or in some cases, secondary pharmaceutical patents (such as patents covering solid pharmaceutical forms, salt forms, dosing regimens, and methods of use). The enforceability of these secondary patents varies from jurisdiction to jurisdiction and may not be allowed or enforceable in some jurisdictions where we may seek approval. We may not have the funds to continue patent prosecution or to defend all of our existing patents in our current patent estate and may selectively abandon patents or patent families worldwide or in certain territories.</w:t>
      </w:r>
    </w:p>
    <w:p>
      <w:pPr>
        <w:spacing w:after="0" w:line="19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of our scientific and technical personnel, none of which is patentable. To help protect our rights, we require all employees, consultants, advisors and partners to enter into confidentiality agreements, which prohibit the disclosure of confidential information to anyone outside of BioCryst and, where possible,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Many companies, including biotechnology, chemical and pharmaceutical companies, are actively engaged in activities similar to ours, including research, development, and commercialization of drugs for the treatment of rare medical conditions. Many of these companies have substantially greater financial and other resources, larger research and development staffs, and more extensive commercial and manufacturing organizations than we do. In addition, many have considerable experience in preclinical testing, clinical trials, and other regulatory approval procedures. In addition, there are also academic institutions, governmental agencies and other research organizations who conduct research in areas in which we are working.</w:t>
      </w:r>
    </w:p>
    <w:p>
      <w:pPr>
        <w:spacing w:after="0" w:line="18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expect to encounter significant competition for any of the pharmaceutical products we plan to develop. Companies that successfully complete clinical trials, obtain required regulatory approvals, and commence commercial marketing and sales of their products may achieve a significant competitive advantage. Our commercial potential could also be reduced or eliminated if our competitors develop and commercialize products that are safer, more effective, have fewer or less severe side effects, are more convenient or are less expensive than products that we may develop. Any of these competitive factors may impact our decisions with respect to our products, product candidates and early-stage discovery programs. See “</w:t>
      </w:r>
      <w:r>
        <w:rPr>
          <w:rFonts w:ascii="Times New Roman" w:cs="Times New Roman" w:eastAsia="Times New Roman" w:hAnsi="Times New Roman"/>
          <w:sz w:val="18"/>
          <w:szCs w:val="18"/>
          <w:i w:val="1"/>
          <w:iCs w:val="1"/>
          <w:color w:val="auto"/>
        </w:rPr>
        <w:t>Risk Factors—Risks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Our Business—Risks Relating to Competing in our Industry</w:t>
      </w:r>
      <w:r>
        <w:rPr>
          <w:rFonts w:ascii="Times New Roman" w:cs="Times New Roman" w:eastAsia="Times New Roman" w:hAnsi="Times New Roman"/>
          <w:sz w:val="18"/>
          <w:szCs w:val="18"/>
          <w:color w:val="auto"/>
        </w:rPr>
        <w:t>” in Part I, Item 1A of this report for further discussion of these risks.</w:t>
      </w:r>
    </w:p>
    <w:p>
      <w:pPr>
        <w:spacing w:after="0" w:line="18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order to compete successfully, we must develop proprietary positions in patented drugs for therapeutic markets that have not been satisfactorily addressed by conventional research strategies and, in the process, expand our expertise in structure-based drug design. Our product candidates, even if successfully tested and developed, may not be adopted by physicians over other products and may not offer economically feasible alternatives to other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HAE</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HAE is an autosomal dominant disease characterized by painful, unpredictable, recurrent attacks of inflammation affecting the hands, feet, face, abdomen, urogenital tract, and the larynx. The inflammation can be disfiguring, debilitating, or in the case of laryngeal attacks, life-threatening. Prevalence for HAE is uncertain but is estimated to be approximately 1 case per 33,000 to 67,000 persons without known differences among ethnic groups and is caused by deficient (Type I) or dysfunctional (Type II) levels of C1-inhibitor (“C1-INH”), a naturally occurring molecule that is known to inhibit kallikrein, bradykinin, and other serine proteases in the blood. If left untreated, HAE can result in a mortality rate as high as 50% primarily due to upper airway obstruction. There are several licensed therapies for HAE, including the following:</w:t>
      </w:r>
    </w:p>
    <w:p>
      <w:pPr>
        <w:spacing w:after="0" w:line="187" w:lineRule="exact"/>
        <w:rPr>
          <w:sz w:val="20"/>
          <w:szCs w:val="20"/>
          <w:color w:val="auto"/>
        </w:rPr>
      </w:pPr>
    </w:p>
    <w:p>
      <w:pPr>
        <w:ind w:left="980" w:right="2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C1-INH replacement therapy is available as an acute therapy (Berinert®) and as a prophylactic therapy (Haegarda® and Cinryze®). These therapies are dosed subcutaneously and intravenously. Recombinant C1-INH (Ruconest®) is also available as an acute therapy.</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Kallikrein Inhibitors — Kalbitor® (ecallantide) is a specific recombinant plasma kallikrein inhibitor that is dosed subcutaneously by healthcare providers to treat acute HAE attacks. Takhzyro® (lanadelumab-flyo) is a monoclonal antibody approved for prophylaxis of HAE attacks and can be self-administered as a subcutaneous injection.</w:t>
      </w:r>
    </w:p>
    <w:p>
      <w:pPr>
        <w:spacing w:after="0" w:line="175" w:lineRule="exact"/>
        <w:rPr>
          <w:rFonts w:ascii="Times New Roman" w:cs="Times New Roman" w:eastAsia="Times New Roman" w:hAnsi="Times New Roman"/>
          <w:sz w:val="18"/>
          <w:szCs w:val="18"/>
          <w:i w:val="1"/>
          <w:iCs w:val="1"/>
          <w:color w:val="auto"/>
        </w:rPr>
      </w:pPr>
    </w:p>
    <w:p>
      <w:pPr>
        <w:ind w:left="980" w:right="840" w:hanging="324"/>
        <w:spacing w:after="0" w:line="282" w:lineRule="auto"/>
        <w:tabs>
          <w:tab w:leader="none" w:pos="97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Bradykinin receptor antagonist — Firazyr® (icatibant) and generic icatibant are indicated for the treatment of acute attacks and are administered by subcutaneous injection.</w:t>
      </w:r>
    </w:p>
    <w:p>
      <w:pPr>
        <w:spacing w:after="0" w:line="161" w:lineRule="exact"/>
        <w:rPr>
          <w:rFonts w:ascii="Times New Roman" w:cs="Times New Roman" w:eastAsia="Times New Roman" w:hAnsi="Times New Roman"/>
          <w:sz w:val="18"/>
          <w:szCs w:val="18"/>
          <w:i w:val="1"/>
          <w:iCs w:val="1"/>
          <w:color w:val="auto"/>
        </w:rPr>
      </w:pPr>
    </w:p>
    <w:p>
      <w:pPr>
        <w:ind w:left="980" w:right="120" w:hanging="324"/>
        <w:spacing w:after="0" w:line="261" w:lineRule="auto"/>
        <w:tabs>
          <w:tab w:leader="none" w:pos="97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medications — Prophylactic administration of synthetic attenuated androgens (generically available as danazol or stanozolol) has been 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aware of a number of HAE therapies in (or have recently completed) clinical development that, if approved, may compete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ORLADEYO. These include: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Route of</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8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Mechanism of Action</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Administration</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Trial Phase</w:t>
            </w:r>
          </w:p>
        </w:tc>
        <w:tc>
          <w:tcPr>
            <w:tcW w:w="10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Role in Therapy</w:t>
            </w:r>
          </w:p>
        </w:tc>
        <w:tc>
          <w:tcPr>
            <w:tcW w:w="0" w:type="dxa"/>
            <w:vAlign w:val="bottom"/>
          </w:tcPr>
          <w:p>
            <w:pPr>
              <w:spacing w:after="0"/>
              <w:rPr>
                <w:sz w:val="1"/>
                <w:szCs w:val="1"/>
                <w:color w:val="auto"/>
              </w:rPr>
            </w:pPr>
          </w:p>
        </w:tc>
      </w:tr>
      <w:tr>
        <w:trPr>
          <w:trHeight w:val="256"/>
        </w:trPr>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KalVista</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Sebetralstat</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Kallikrein inhibitor</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Oral</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Filed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Acute</w:t>
            </w:r>
          </w:p>
        </w:tc>
        <w:tc>
          <w:tcPr>
            <w:tcW w:w="0" w:type="dxa"/>
            <w:vAlign w:val="bottom"/>
          </w:tcPr>
          <w:p>
            <w:pPr>
              <w:spacing w:after="0"/>
              <w:rPr>
                <w:sz w:val="1"/>
                <w:szCs w:val="1"/>
                <w:color w:val="auto"/>
              </w:rPr>
            </w:pPr>
          </w:p>
        </w:tc>
      </w:tr>
      <w:tr>
        <w:trPr>
          <w:trHeight w:val="211"/>
        </w:trPr>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Pharvaris</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Deucrictibant</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B2 receptor antagonist</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Oral</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Acute and Prophylaxis</w:t>
            </w:r>
          </w:p>
        </w:tc>
        <w:tc>
          <w:tcPr>
            <w:tcW w:w="0" w:type="dxa"/>
            <w:vAlign w:val="bottom"/>
          </w:tcPr>
          <w:p>
            <w:pPr>
              <w:spacing w:after="0"/>
              <w:rPr>
                <w:sz w:val="1"/>
                <w:szCs w:val="1"/>
                <w:color w:val="auto"/>
              </w:rPr>
            </w:pPr>
          </w:p>
        </w:tc>
      </w:tr>
      <w:tr>
        <w:trPr>
          <w:trHeight w:val="126"/>
        </w:trPr>
        <w:tc>
          <w:tcPr>
            <w:tcW w:w="1660" w:type="dxa"/>
            <w:vAlign w:val="bottom"/>
            <w:gridSpan w:val="2"/>
            <w:vMerge w:val="continue"/>
          </w:tcPr>
          <w:p>
            <w:pPr>
              <w:spacing w:after="0"/>
              <w:rPr>
                <w:sz w:val="10"/>
                <w:szCs w:val="10"/>
                <w:color w:val="auto"/>
              </w:rPr>
            </w:pPr>
          </w:p>
        </w:tc>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(PHVS416/PHVS719)</w:t>
            </w:r>
          </w:p>
        </w:tc>
        <w:tc>
          <w:tcPr>
            <w:tcW w:w="1980" w:type="dxa"/>
            <w:vAlign w:val="bottom"/>
            <w:gridSpan w:val="2"/>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CSL</w:t>
            </w:r>
          </w:p>
        </w:tc>
        <w:tc>
          <w:tcPr>
            <w:tcW w:w="2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Andembry® (garadacimab)</w:t>
            </w:r>
          </w:p>
        </w:tc>
        <w:tc>
          <w:tcPr>
            <w:tcW w:w="1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Anti-factor XII mAb</w:t>
            </w:r>
          </w:p>
        </w:tc>
        <w:tc>
          <w:tcPr>
            <w:tcW w:w="1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Subcutaneous</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Filed (Approved</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Prophylaxis</w:t>
            </w:r>
          </w:p>
        </w:tc>
        <w:tc>
          <w:tcPr>
            <w:tcW w:w="0" w:type="dxa"/>
            <w:vAlign w:val="bottom"/>
          </w:tcPr>
          <w:p>
            <w:pPr>
              <w:spacing w:after="0"/>
              <w:rPr>
                <w:sz w:val="1"/>
                <w:szCs w:val="1"/>
                <w:color w:val="auto"/>
              </w:rPr>
            </w:pPr>
          </w:p>
        </w:tc>
      </w:tr>
      <w:tr>
        <w:trPr>
          <w:trHeight w:val="126"/>
        </w:trPr>
        <w:tc>
          <w:tcPr>
            <w:tcW w:w="1660" w:type="dxa"/>
            <w:vAlign w:val="bottom"/>
            <w:gridSpan w:val="2"/>
            <w:vMerge w:val="continue"/>
            <w:shd w:val="clear" w:color="auto" w:fill="CCEEFF"/>
          </w:tcPr>
          <w:p>
            <w:pPr>
              <w:spacing w:after="0"/>
              <w:rPr>
                <w:sz w:val="10"/>
                <w:szCs w:val="10"/>
                <w:color w:val="auto"/>
              </w:rPr>
            </w:pPr>
          </w:p>
        </w:tc>
        <w:tc>
          <w:tcPr>
            <w:tcW w:w="2420" w:type="dxa"/>
            <w:vAlign w:val="bottom"/>
            <w:gridSpan w:val="2"/>
            <w:vMerge w:val="continue"/>
            <w:shd w:val="clear" w:color="auto" w:fill="CCEEFF"/>
          </w:tcPr>
          <w:p>
            <w:pPr>
              <w:spacing w:after="0"/>
              <w:rPr>
                <w:sz w:val="10"/>
                <w:szCs w:val="10"/>
                <w:color w:val="auto"/>
              </w:rPr>
            </w:pPr>
          </w:p>
        </w:tc>
        <w:tc>
          <w:tcPr>
            <w:tcW w:w="1980" w:type="dxa"/>
            <w:vAlign w:val="bottom"/>
            <w:gridSpan w:val="2"/>
            <w:vMerge w:val="continue"/>
            <w:shd w:val="clear" w:color="auto" w:fill="CCEEFF"/>
          </w:tcPr>
          <w:p>
            <w:pPr>
              <w:spacing w:after="0"/>
              <w:rPr>
                <w:sz w:val="10"/>
                <w:szCs w:val="10"/>
                <w:color w:val="auto"/>
              </w:rPr>
            </w:pPr>
          </w:p>
        </w:tc>
        <w:tc>
          <w:tcPr>
            <w:tcW w:w="1780" w:type="dxa"/>
            <w:vAlign w:val="bottom"/>
            <w:gridSpan w:val="2"/>
            <w:vMerge w:val="continue"/>
            <w:shd w:val="clear" w:color="auto" w:fill="CCEEFF"/>
          </w:tcPr>
          <w:p>
            <w:pPr>
              <w:spacing w:after="0"/>
              <w:rPr>
                <w:sz w:val="10"/>
                <w:szCs w:val="10"/>
                <w:color w:val="auto"/>
              </w:rPr>
            </w:pP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outside U.S.)</w:t>
            </w:r>
          </w:p>
        </w:tc>
        <w:tc>
          <w:tcPr>
            <w:tcW w:w="18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Ionis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Donidalorsen</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Prekallikrein Antisense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Subcutaneous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Filed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Prophylaxis</w:t>
            </w:r>
          </w:p>
        </w:tc>
        <w:tc>
          <w:tcPr>
            <w:tcW w:w="0" w:type="dxa"/>
            <w:vAlign w:val="bottom"/>
          </w:tcPr>
          <w:p>
            <w:pPr>
              <w:spacing w:after="0"/>
              <w:rPr>
                <w:sz w:val="1"/>
                <w:szCs w:val="1"/>
                <w:color w:val="auto"/>
              </w:rPr>
            </w:pPr>
          </w:p>
        </w:tc>
      </w:tr>
      <w:tr>
        <w:trPr>
          <w:trHeight w:val="263"/>
        </w:trPr>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Astria</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Navenibart</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Kallikrein inhibitor</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Subcutaneous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II/III</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Prophylaxis</w:t>
            </w:r>
          </w:p>
        </w:tc>
        <w:tc>
          <w:tcPr>
            <w:tcW w:w="0" w:type="dxa"/>
            <w:vAlign w:val="bottom"/>
          </w:tcPr>
          <w:p>
            <w:pPr>
              <w:spacing w:after="0"/>
              <w:rPr>
                <w:sz w:val="1"/>
                <w:szCs w:val="1"/>
                <w:color w:val="auto"/>
              </w:rPr>
            </w:pPr>
          </w:p>
        </w:tc>
      </w:tr>
      <w:tr>
        <w:trPr>
          <w:trHeight w:val="250"/>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ADARx</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ADX-324</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siRNA</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Subcutaneous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Prophylaxis</w:t>
            </w:r>
          </w:p>
        </w:tc>
        <w:tc>
          <w:tcPr>
            <w:tcW w:w="0" w:type="dxa"/>
            <w:vAlign w:val="bottom"/>
          </w:tcPr>
          <w:p>
            <w:pPr>
              <w:spacing w:after="0"/>
              <w:rPr>
                <w:sz w:val="1"/>
                <w:szCs w:val="1"/>
                <w:color w:val="auto"/>
              </w:rPr>
            </w:pPr>
          </w:p>
        </w:tc>
      </w:tr>
      <w:tr>
        <w:trPr>
          <w:trHeight w:val="263"/>
        </w:trPr>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Intellia</w:t>
            </w:r>
          </w:p>
        </w:tc>
        <w:tc>
          <w:tcPr>
            <w:tcW w:w="2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NTLA-2002</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Gene Editing</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Intravenous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One-time Prophylaxis</w:t>
            </w:r>
          </w:p>
        </w:tc>
        <w:tc>
          <w:tcPr>
            <w:tcW w:w="0" w:type="dxa"/>
            <w:vAlign w:val="bottom"/>
          </w:tcPr>
          <w:p>
            <w:pPr>
              <w:spacing w:after="0"/>
              <w:rPr>
                <w:sz w:val="1"/>
                <w:szCs w:val="1"/>
                <w:color w:val="auto"/>
              </w:rPr>
            </w:pPr>
          </w:p>
        </w:tc>
      </w:tr>
      <w:tr>
        <w:trPr>
          <w:trHeight w:val="211"/>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Poseida</w:t>
            </w:r>
          </w:p>
        </w:tc>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P-KLKB1-101</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Gene Editing</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Intravenous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Preclinical</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One-time Prophylaxis</w:t>
            </w:r>
          </w:p>
        </w:tc>
        <w:tc>
          <w:tcPr>
            <w:tcW w:w="0" w:type="dxa"/>
            <w:vAlign w:val="bottom"/>
          </w:tcPr>
          <w:p>
            <w:pPr>
              <w:spacing w:after="0"/>
              <w:rPr>
                <w:sz w:val="1"/>
                <w:szCs w:val="1"/>
                <w:color w:val="auto"/>
              </w:rPr>
            </w:pPr>
          </w:p>
        </w:tc>
      </w:tr>
      <w:tr>
        <w:trPr>
          <w:trHeight w:val="126"/>
        </w:trPr>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Therapeutics</w:t>
            </w:r>
          </w:p>
        </w:tc>
        <w:tc>
          <w:tcPr>
            <w:tcW w:w="2420" w:type="dxa"/>
            <w:vAlign w:val="bottom"/>
            <w:gridSpan w:val="2"/>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Netherton Syndrome</w:t>
      </w:r>
    </w:p>
    <w:p>
      <w:pPr>
        <w:spacing w:after="0" w:line="25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Netherton syndrome is a serious, rare, lifelong genetic disorder affecting the skin, hair, and immune system, caused by lack of normal function of a natural inhibitor of KLK5. While there are currently no approved treatments for Netherton syndrome, we are aware of a number of therapies in development for treatment that, if approved, may compete with BCX17725. For example, Quoin Pharmaceuticals Ltd.’s QRX-003 in Phase III, Boehringer Ingelheim’s Spevigo® in Phase II/III, and Daiichi Sankyo Co., Ltd.’s (“Daiichi”) DS-2325a in Phase I/II are in clinical trials for the treatment of Netherton syndrome.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Diabetic Macular Edema</w:t>
      </w:r>
    </w:p>
    <w:p>
      <w:pPr>
        <w:spacing w:after="0" w:line="243"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 to deliver avoralstat to the back of the eye through the suprachoroidal space to treat patients with DME. There are several approved anti-VEGF therapies available for the treatment of DME, including F. Hoffmann-La Roche Ltd.’s (“Roche”) VABYSMO® (faricimab-svoa) and Regeneron Pharmaceuticals, Inc.’s EYLEA® (aflibercept). In addition, we are aware of a number of products in development that would offer alternatives to anti-VEGF therapies, which could affect the competitive environment for our products, including Rezolute Inc.’s RZ402, Merck &amp; Co. Inc.’s Restoret™ (MK-3000, formerly EYE103), and EyePoint Pharmaceutical Inc.’s DURAVYU™ (formerly EYP-1901).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Complement-Mediated Diseases</w:t>
      </w:r>
    </w:p>
    <w:p>
      <w:pPr>
        <w:spacing w:after="0" w:line="256" w:lineRule="exact"/>
        <w:rPr>
          <w:sz w:val="20"/>
          <w:szCs w:val="20"/>
          <w:color w:val="auto"/>
        </w:rPr>
      </w:pPr>
    </w:p>
    <w:p>
      <w:pPr>
        <w:ind w:right="100" w:firstLine="486"/>
        <w:spacing w:after="0" w:line="277" w:lineRule="auto"/>
        <w:rPr>
          <w:sz w:val="20"/>
          <w:szCs w:val="20"/>
          <w:color w:val="auto"/>
        </w:rPr>
      </w:pPr>
      <w:r>
        <w:rPr>
          <w:rFonts w:ascii="Times New Roman" w:cs="Times New Roman" w:eastAsia="Times New Roman" w:hAnsi="Times New Roman"/>
          <w:sz w:val="17"/>
          <w:szCs w:val="17"/>
          <w:color w:val="auto"/>
        </w:rPr>
        <w:t>We are developing several complement inhibitors including a C5 inhibitor, a C2 inhibitor, and a bifunctional complement inhibitor for the treatment of complement mediated diseases. There are several C5 inhibitors approved for the treatment of complement mediated diseases, including, but not limited to, Alexion’s (part of AstraZeneca Rare Disease) Soliris® (eculizumab) and Ultomiris® (ravulizumab), UCB’s Zilbrysq® (zilucoplan), and Regeneron’s Vepoz® (pozelimab-bbfg). Additionally, we are aware of complement inhibitors in development, including, but not limited to, Argenx’s C2 inhibitor, empasiprubart, which is in clinical trials for various complement mediated diseases. These therapies, if approved, may compete with our products.</w:t>
      </w:r>
    </w:p>
    <w:p>
      <w:pPr>
        <w:spacing w:after="0" w:line="19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Certain diseases that are mediated by defects of the complement system may also have pathology that is mediated by other mechanisms. Products that are not inhibitors of the complement system may change the treatment landscape and future competitive environment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Antivirals</w:t>
      </w:r>
    </w:p>
    <w:p>
      <w:pPr>
        <w:spacing w:after="0" w:line="25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pharmaceutical market for products that prevent or treat influenza is very competitive. Key competitive factors for RAPIVAB (peramivir injection) include, among others, efficacy, ease of use, safety, price and cost-effectiveness, storage and handling requirements, and reimbursement. A number of products are currently available in the United States and/or other countries, including Japan, for the prevention or treatment of influenza, including seasonal flu vaccines, Roche’s TAMIFLU® (oseltamivir), generic oseltamivir, GlaxoSmithKline plc’s RELENZA®, Genentech and Shionogi’s XOFLUZA® and Daiichi’s INAVIR®. In addition, FUJIFILM Corporation’s favipiravir, a polymerase inhibitor, is approved in Japan.</w:t>
      </w:r>
    </w:p>
    <w:p>
      <w:pPr>
        <w:spacing w:after="0" w:line="21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Various government entities throughout the world are offering incentives, grants, and contracts to encourage additional investment into preventative and therapeutic agents against influenza, which may have the effect of further increasing the number of our competitors and/or providing advantages to certain competitors.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initiated our research and development activities in 1986. We have assembled a scientific research staff with expertise in a broad base of advanced research technologies, including protein biochemistry, X-ray crystallography, chemistry, and pharmacology. Our research facilities, located in Birmingham, Alabama, include protein biochemistry and organic synthesis laboratories, testing facilities, X-ray crystallography, computer and graphics equipment and facilities to make product candidates on a small scale for early-stage clinical trials.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regulation by the FDA and foreign governments. These regulations include, among other things, regulations for the development, testing, manufacture, safety, efficacy, record-keeping, labeling, storage, approval, advertising, promotion, sale and distribution of pharmaceutical products. The regulatory review and approval process is lengthy, expensive, and uncertain. Before obtaining regulatory approvals for the commercial sale of any products, we or our partners must demonstrate that our product candidates are safe and effective for use in humans. The approval process takes many years, substantial expenses may be incurred, and significant time may be devoted to clinical development. Further, the duration of the approval process may be exacerbated by global health concerns or other considerations that could prevent regulatory authorities from conducting their inspections, reviews, or other regulatory activities that could significantly impact the ability of such authorities to timely review and process our regulatory submissions.</w:t>
      </w:r>
    </w:p>
    <w:p>
      <w:pPr>
        <w:spacing w:after="0" w:line="2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the product candidate, impose other restrictions on the product candidate, and/or may require post-approval studies that could impair the commercial viability of the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20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drug experience reporting regulations;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promotion;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 including good manufacturing practice requirements;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 or modifications.</w:t>
      </w:r>
    </w:p>
    <w:p>
      <w:pPr>
        <w:spacing w:after="0" w:line="20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These government regulations are a significant factor in the production and marketing of any pharmaceutical products that we develop. Failure to comply with applicable FDA and other regulatory requirements at any stage during the regulatory process may subject us to sanctions, including: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seizures;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w:t>
      </w:r>
    </w:p>
    <w:p>
      <w:pPr>
        <w:spacing w:after="0" w:line="9" w:lineRule="exact"/>
        <w:rPr>
          <w:rFonts w:ascii="Times New Roman" w:cs="Times New Roman" w:eastAsia="Times New Roman" w:hAnsi="Times New Roman"/>
          <w:sz w:val="18"/>
          <w:szCs w:val="18"/>
          <w:color w:val="auto"/>
        </w:rPr>
      </w:pPr>
    </w:p>
    <w:p>
      <w:pPr>
        <w:ind w:left="980" w:right="820" w:hanging="324"/>
        <w:spacing w:after="0" w:line="26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any foreign regulatory authority to review pending market approval applications or supplements to approval applications;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penalties;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previously approved marketing applications;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prosecutions.</w:t>
      </w:r>
    </w:p>
    <w:p>
      <w:pPr>
        <w:spacing w:after="0" w:line="20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policies of the FDA and foreign regulatory authorities may change, and additional government regulations may be enacted that could prevent or delay regulatory approval of our product candidates or approval of new indications for our existing products. We cannot predict the likelihood, nature, or extent of adverse governmental regulation that might arise from future legislative or administrative action, either in the United States or abroad.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Before testing potential product candidates in humans, we carry out laboratory and animal studies to determine safety and biological activity. After completing preclinical trials, we must file an investigational new drug application (“IND”), including a proposal to begin clinical trials, with the FDA. Thirty days after filing an IND, a phase 1 human clinical trial can start, unless the FDA places a hold on the trial.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 trials to support a new drug application (“NDA”) are typically conducted in three sequential phases, but the phases may overlap.</w:t>
      </w:r>
    </w:p>
    <w:p>
      <w:pPr>
        <w:spacing w:after="0" w:line="22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Phase 1 — During phase 1, which involves the initial introduction of the drug into healthy volunteers, the drug is tested to assess metabolism, pharmacokinetic, and pharmacological actions and safety, including side effects associated with increasing doses.</w:t>
      </w:r>
    </w:p>
    <w:p>
      <w:pPr>
        <w:spacing w:after="0" w:line="16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Phase 2 — Phase 2 usually involves trials in a limited patient population to: (1) assess the efficacy of the drug in specific, targeted indications; (2) assess dosage tolerance and optimal dosage; and (3) identify possible adverse effects and safety risks.</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Phase 3 — If a compound is found to be potentially effective and to have an acceptable safety profile in phase 2 evaluations, phase 3 clinical trials, also sometimes called pivotal studies, major studies, or advanced clinical trials, are typically undertaken to further demonstrate clinical efficacy and to further test for safety within an expanded patient population at geographically dispersed clinical trial sites.</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Initiation and completion of the clinical trial phases are dependent upon many factors, including things that are beyond our control. For example, the clinical trials cannot begin at a particular site until that site receives approval from its Institutional Review Board (“IRB”), which reviews the protocol and related documents. This approval process can take several weeks to several months to complete. In addition, clinical trials are dependent on patient enrollment, but the rate at which patients enroll in a study depends on:</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investigators to participate in a study;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clinical sites to obtain approval from their IRB;</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or other experimental drugs for the disease we intend to treat;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participate;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patients meeting the eligibility criteria.</w:t>
      </w:r>
    </w:p>
    <w:p>
      <w:pPr>
        <w:spacing w:after="0" w:line="20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Delays in planned patient enrollment may result in increased expense and longer development timelines. 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Good clinical practice standards are required for clinical studies regardless of the location of the study.</w:t>
      </w:r>
    </w:p>
    <w:p>
      <w:pPr>
        <w:spacing w:after="0" w:line="18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general, the FDA requires that at least two adequate and well-controlled clinical trials be conducted. After successful completion of the required clinical testing, generally an NDA is submitted. Upon receipt of the NDA, the FDA will review the application for completeness. Within 60 days, the FDA will determine if the application is sufficiently complete to warrant full review and will consider the application “filed” at that time. Also upon receipt of the application, the FDA will assign a review priority to the application. Priority review applications are usually reviewed within 6 months; standard review applications are usually reviewed within 10 months. The FDA may refer NDAs for new molecular entities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appropriate advisory committee for review and evaluation in regard to providing a recommendation as to whether the application should be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is not bound to follow the recommendation of an advisory committee.</w:t>
      </w:r>
    </w:p>
    <w:p>
      <w:pPr>
        <w:spacing w:after="0" w:line="207"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Following the review of the application, which may include requests for additional information from the sponsor and results from inspections of manufacturing and clinical sites, the FDA will issue an “action letter” on the application. The action letter will either be an “approval letter,” in which case the product may be lawfully marketed in the United States, or a “complete response letter.” A complete response letter will state that the FDA cannot approve the NDA in its present form and, usually, will describe all of the specific deficiencies that the FDA has identified in the application. The complete response letter, when possible, will include the FDA’s recommended actions to place the application in a condition for approval. Deficiencies can be minor (e.g., labeling changes) or major (e.g., requiring additional clinical trials). A complete response letter may also be issued before the FDA conducts the required facility inspection and/or reviews labeling, leaving the possibility that additional deficiencies in the original NDA could be subsequently cited. An applicant receiving a complete response letter is permitted to resubmit the NDA addressing the identified deficiencies (in which case a new two- or six-month review cycle will begin), or withdraw the NDA. The FDA may consider a failure to take action within one year of a complete response letter to be a request to withdraw, unless the applicant has requested an extension of time in which to resubmit the NDA. If the FDA approves an NDA, the marketing of the product will be limited to the particular disease states and conditions of use that are described in the product label. The FDA strictly regulates marketing, labeling, advertising, and promotion of products that are placed on the market. The FDA and other agencies actively enforce the laws and regulations prohibiting the promotion of off-label uses, and a company that is found to have improperly promoted off-label uses may be subject to significant liability, including liability under applicable state and federal 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w:t>
      </w:r>
    </w:p>
    <w:p>
      <w:pPr>
        <w:spacing w:after="0" w:line="22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Approved drugs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For example, 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also may engage in appropriate truthful, non-misleading, and non-promotional scientific exchange concerning our products.</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and some manufacturing and supplier changes, are subject to prior FDA review and approval. The FDA may impose a number of post-approval requirements as a condition of approval of an NDA. For example, the FDA may require post-marketing testing, including phase 4 clinical trials, and surveillance programs to further assess and monitor the product’s safety and effectiveness after commercialization.</w:t>
      </w:r>
    </w:p>
    <w:p>
      <w:pPr>
        <w:spacing w:after="0" w:line="1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and all of our contract manufacturers are also required to comply with the applicable FDA current Good Manufacturing Practice (“cGMP”) regulations during clinical development and to ensure that the product can be consistently manufactured to meet the specifications submitted in an NDA. The cGMP regulations include requirements relating to product quality, investigation and remediation of issues through corrective and preventative actions, as well as the corresponding maintenance of records and documentation. Manufacturing facilities must be approved by the FDA before they can be used to manufacture our products. Based on an inspection, the FDA determines whether manufacturing facilities are in compliance with applicable regulations. Manufacturing facilities in non-United States countries that are utilized to manufacture drugs for distribution into the United States are also subject to inspection by the FDA. Additionally, failure to comply with local regulatory requirements could affect production and availability of product in relevant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Drugs</w:t>
      </w:r>
    </w:p>
    <w:p>
      <w:pPr>
        <w:spacing w:after="0" w:line="22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Orphan drug designation, if sought,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with FDA orphan drug designation for a particular active ingredient to receive FDA approval of the designated drug for the disease indication for which it has such designation is entitled to a seven-year exclusive marketing period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(“orphan drug exclusivity”) in the United States for that product, for that indication. During the seven-year period, the FDA may not finally approve any other applications to market the same drug for the same disease, except in limited circumstances, such as a showing of clinical superiority to the product with orphan drug exclusivity or if the license holder cannot supply sufficient quantities of the product. Orphan drug exclusivity does not prevent the FDA from approving a different drug for the same disease or condition, or the same drug for a different disease or condition, provided that the sponsor has conducted appropriate clinical trials required for approval. Among the other benefits of orphan drug designation are tax credits for certain research and a waiver of the NDA application user fee for the orphan indication.</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FDA’s interpretation of the scope of orphan drug exclusivity may change. In light of recent litigation and FDA announcements, the scope of orphan drug exclusivity and other issues relating to the FDA’s implementation of the Orphan Drug Act with respect to both previously approved and future products continues to evolve and may be the subject of further litigation or legislative 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Fast Track program, the sponsor of an IND may request the FDA to designate the drug candidate as a Fast Track drug if it is intended to treat a serious or life-threatening condition and data demonstrate its potential to fulfill an unmet medical need. The FDA must determine if the drug candidate qualifies for Fast Track designation within 60 days of receipt of the sponsor’s request. Once the FDA designates a drug as a Fast Track candidate, it is required to facilitate the development and expedite the review of that drug by providing more frequent communication with, and guidance to, the sponsor. The key benefits of Fast Track Designation are the eligibility for priority review, rolling review (submission of portions of an application before the complete marketing application is submitted), and accelerated approval, if relevant criteria are met.</w:t>
      </w:r>
    </w:p>
    <w:p>
      <w:pPr>
        <w:spacing w:after="0" w:line="21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to other benefits, such as greater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However, the FDA’s review period as specified under the Prescription Drug User Fee Act for filing and reviewing an application does not begin until the last section of the NDA has been submitted. Additionally, the Fast Track designation may be withdrawn by the FDA if the FDA believes that the designation is no longer supported by data emerging in the clinical trial process.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25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the FDA will provide more intensive guidance on the drug development program and expedite its review.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25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1984, with passage of the Drug Price Competition and Patent Term Restoration Act of 1984 (commonly referred to as the “Hatch-Waxman Amendments”) amending the Federal Food, Drug, and Cosmetic Act (“FDCA”), Congress authorized the FDA to approve generic drugs that are the same as drugs previously approved by the FDA under the NDA provisions of the statute. To obtain approval of a generic drug, an applicant must submit an abbreviated new drug application (“ANDA”) to the agency. Upon approval of an ANDA, the FDA indicates that the generic product is “therapeutically equivalent” to the drug product previously approved under an NDA, known as the reference listed drug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data exclusivity for NDAs containing a new chemical entity. In cases where such exclusivity has been granted, an ANDA may not be filed with the FDA until the expiration of five years unless the submission is accompanied by a Paragraph IV certification (discussed further below), in which case the applicant may submit its application four years following the original product approval (referred to as the “NCE-1 date”).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 Month Stay</w:t>
      </w:r>
    </w:p>
    <w:p>
      <w:pPr>
        <w:spacing w:after="0" w:line="2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 method of using the product.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20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505(b)(2) New Drug Applications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spacing w:after="0" w:line="19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22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6"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foreign regulatory requirements governing human clinical trials and marketing approval, commercial sales, and distribution of drugs. Foreign regulatory approval processes include all of the risks associated with FDA approval set forth above, as well as additional country-specific regulations.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Some countries, such as certain countries in Latin America and in the Middle East, have review processes and data requirements similar to those of the European Union, and, in some cases, can rely on prior marketing approval from U.S. or EU regulatory authorities. The regulatory process in these countries may include manufacturing/testing facility inspections, testing of drug product upon importation and other domestic requirements. Certain Asian countries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European Union.</w:t>
      </w:r>
    </w:p>
    <w:p>
      <w:pPr>
        <w:spacing w:after="0" w:line="19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 licensing, pricing, and reimbursement vary greatly from country to country, some of which are discussed below, and may also include post-approval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22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various phases of preclinical and clinical research in the European Union are subject to significant regulatory controls. Pursuant to the Clinical Trials Directive 2001/20/EC, as amended (the “Clinical Trials Directive”), a system for the approval of clinical trials in the European Union has been implemented through national legislation of the member states. Under this system, approval must be obtained from the national competent authority of each EU member state in which a clinical trial is planned to be conducted. A clinical trial application (“CTA”) is submitted, which must be supported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an investigational medicinal product dossier and further supporting information prescribed by the Clinical Trials Directive and other applicable guidance documents, including, but not limited to, the clinical trial protocol. Further, a clinical trial may only be started after an independent ethics committee has issued a favorable opinion on the CTA in that country.</w:t>
      </w:r>
    </w:p>
    <w:p>
      <w:pPr>
        <w:spacing w:after="0" w:line="17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(the “Regulation”), which replaced the Clinical Trials Directive. The Regulation came into effect on January 31, 2022 with a three-year transition period in which clinical trial sponsors were able to choose among different submission pathways. The Regulation, which is directly applicable in all EU member states, aims to simplify and streamline the approval of clinical trials in the European Union. For instance, the Regulation provides for a streamlined application procedure via a single entry point and strictly defined deadlines for the assessment of clinical trial applications.</w:t>
      </w:r>
    </w:p>
    <w:p>
      <w:pPr>
        <w:spacing w:after="0" w:line="183"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Manufacturing and import into the European Union of investigational medicinal products for use in clinical trials is subject to the holding of appropriate authorizations and must be carried out in accordance with cGMP.</w:t>
      </w:r>
    </w:p>
    <w:p>
      <w:pPr>
        <w:spacing w:after="0" w:line="18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Under EU regulatory systems, we may submit marketing authorizations either under a centralized or decentralized procedure. The centralized procedure provides for the grant of a single marketing authorization that is valid for all EU member states. It is compulsory for specific pharmaceutical products, including for medicines developed by means of certain biotechnological processes, products designated as orphan pharmaceutical products, advanced therapy pharmaceutical products and pharmaceutical products with a new active substance indicated for the treatment of certain diseases. Under the centralized procedure, a single marketing authorization application is submitted to the Committee for Medicinal Products for Human Use of the European Medicines Agency (“EMA”), which then makes a recommendation to the European Commission (“EC”). The EC makes the final determination on whether to approve the application. The decentralized procedure provides for mutual recognition of national approval decisions, and the holder of a national marketing authorization may submit an application to the remaining member states. The decentralized procedure is only available for pharmaceutical products not falling within the mandatory scope of the centralized procedure.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United Kingdom formally left the European Union on January 31, 2020 (“Brexit”), and EU laws now only apply to the United Kingdom in respect of Northern Ireland as laid out in the Protocol on Ireland and Northern Ireland. The European Union and the United Kingdom have agreed on a trade and cooperation agreement (“TCA”) which includes provisions affecting the life sciences sector (including on customs and tariffs). There are some specific provisions concerning pharmaceuticals, including the mutual recognition of GMP and issued GMP documents. The TCA does not, however, contain wholesale mutual recognition of U.K. and EU pharmaceutical regulations and product standards.</w:t>
      </w:r>
    </w:p>
    <w:p>
      <w:pPr>
        <w:spacing w:after="0" w:line="183"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government of the United Kingdom has enacted the Medicines and Medical Devices Act 2021. The purpose of the act is to enable the existing regulatory frameworks in relation to human medicines and clinical trials of human medicines, among others, to be updated. The powers under the act may only be exercised in relation to specified matters and must safeguard public health. The Medicines and Medical Devices Act 2021 supplements the United Kingdom Medical Devices Regulations 2002, which are based on the EU Medical Devices Directive as amended to reflect the United Kingdom’s post-Brexit regulatory regime. Core aspects of the new regime are planned to come into force on July 1, 2025, with strengthened post-market surveillance proposals to be introduced in advance of such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Under the Japanese regulatory system administered by the Japanese Pharmaceuticals and Medical Devices Agency (“PMDA”), pre-marketing approval and clinical studies are required for all pharmaceutical products. To obtain manufacturing/marketing approval, we must submit an application for approval to the Ministry of Health, Labor and Welfare (“MHLW”) with results of nonclinical and clinical studies to show the quality, efficacy, and safety of a new drug. A data compliance review, good Clinical Practices on-site inspection, cGMP audit, and detailed data review are undertaken by the PMDA. The application is then discussed by the committees of the Pharmaceutical Affairs and Food Sanitation Council (“PAFSC”). Based on the results of these reviews, the final decision on approval is made by the MHLW. In Japan, the National Health Insurance system maintains a Drug Price List specifying which pharmaceutical products are eligible for reimbursement, and the MHLW sets the prices of the products on this list. The price will be determined within 60 to 90 days following approval unless the applicant disagrees, which may result in extended pricing negotiations. The government generally introduces price cut rounds every other year and also mandates price decreases for specific products. New products judged innovative or useful, that are indicated for pediatric use, or that target orphan or small population diseases,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may be eligible for a pricing premium. The Japanese government has also promoted the use of generics, where available.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and Related Regulatory Laws</w:t>
      </w:r>
    </w:p>
    <w:p>
      <w:pPr>
        <w:spacing w:after="0" w:line="22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w:t>
      </w:r>
    </w:p>
    <w:p>
      <w:pPr>
        <w:spacing w:after="0" w:line="21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federal Physician Sunshine Act and certain similar physician payment and drug pricing transparency legislation in various states. The transparency-focused provisions apply to manufacturers with products reimbursed under certain government programs and require those manufacturers to disclose annually to the federal government certain payments made to covered recipients (defined to include doctors, dentists, optometrists, podiatrists, and chiropractors, as well as other healthcare personnel including physician assistants and nurse practitioners) and teaching hospitals, as well as ownership and investment interests held by physicians (as defined above) and their immediate family members. State laws also may require disclosure of pharmaceutical pricing information and marketing expenditures.</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Violations of the federal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Healthcare Reform</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both the United States and other countries, sales and reimbursement of any approved products will depend, in part, on the extent to which the costs of such products will be covered by third-party payors, such as government health programs, commercial insurance and managed healthcare organizations. These third-party payors are increasingly challenging the prices charged for medical products and services and imposing controls to manage costs. The containment of healthcare costs has become a priority of federal and state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net revenue and results. In addition, there is significant uncertainty regarding the reimbursement status of newly approved healthcare products.</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countries is critical to the commercial success of approved products. Recently in the United States, there has been heightened governmental scrutiny over the manner in which manufacturers set prices for their marketed products, which has resulted in several Congressional inquiries and proposed bills designed, among other things, to reform government program reimbursement methodologies. In addition,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that establish pricing and reimbursement levels. Exclusion of a product from a formulary can lead to its sharply reduced usage in the third-party payor’s patient population. The process for obtaining coverage can be lengthy and costly, and it could take several months before a particular payor initially reviews a product and makes a decision with respect to</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For example, third-party payors may require cost-benefit analysis data in order to demonstrate the cost-effectiveness of a particular product.</w:t>
      </w:r>
    </w:p>
    <w:p>
      <w:pPr>
        <w:spacing w:after="0" w:line="22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drug products can have challenges. Pricing of prescription pharmaceuticals is subject to governmental control in many countries. Pricing negotiations with governmental authorities can extend well beyond the receipt of regulatory marketing approval for a product and may require us to conduct an active comparator clinical trial to demonstrate the relative effectiveness of our therapeutic candidates or products to other available therapies to support our pricing, which could be expensive and result in delays in our commercialization efforts. Third-party payors are challenging the prices charged for medical products and services, and many third-party payors limit reimbursement for newly-approved healthcare products. Recent budgetary pressures in many EU countries are also causing governments to consider or implement various cost-containment measures, including reference price grouping,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spacing w:after="0" w:line="18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August 2022, the Inflation Reduction Act (“IRA”) was enacted and includes provisions requiring that (1)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(2) starting in 2024, Medicare Part D be redesigned to cap beneficiary out-of-pocket costs and, beginning January 1, 2025, federal reinsurance be reduced in the catastrophic phase (resulting in a shift and increase of such costs to Part D plans and manufacturers, including by requiring manufacturer discounts on certain drugs); and (3) beginning October 1, 2022, manufacturers owe rebates on drugs reimbursed under Medicare Part D if price increases outpace inflation, and beginning January 1, 2023, manufacturers owe rebates on drugs reimbursed under Medicare Part B if price increases outpace inflation. Although the IRA has passed, and the Centers for Medicare &amp; Medicaid Services has finalized policies implementing many aspects of the IRA, the environment remains dynamic, and the presidential administration and Congress are continuing to consider drug pricing reforms. Other potential policies cover a wide range of areas, including allowing the importation of drugs from other countries; increasing transparency in drug pricing; and using third-party value assessments to determine drug prices.</w:t>
      </w:r>
    </w:p>
    <w:p>
      <w:pPr>
        <w:spacing w:after="0" w:line="192"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could result in decreased net revenues from our pharmaceutical products and decreased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federal and state laws is difficult and time consuming, and companies that do not comply with these laws can face severe civil penalties.</w:t>
      </w:r>
    </w:p>
    <w:p>
      <w:pPr>
        <w:spacing w:after="0" w:line="18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Pharmaceutical companies may be subject to U.S. federal and state health information privacy, security, data breach notification, and consumer protection laws (e.g., Section 5 of the Federal Trade Commission Act) which may govern the collection, use, disclosure, and protection of health-related and other personal data. State laws may be more stringent, broader in scope, or offer greater individual rights with respect to protected health information (“PHI”), than the federal Health Insurance Portability and Accountability Act of 1996, as amended, and its implementing regulations, which are collectively referred to as HIPAA, and state laws may differ from each other, which may complicate compliance efforts. Entities that are found to be in violation of HIPAA or that enter into a resolution agreement with the HHS to settle actual or potential allegations of HIPAA noncompliance may be subject to significant civil, criminal, and administrative fines and penalties and/or additional reporting and oversight obligations.</w:t>
      </w:r>
    </w:p>
    <w:p>
      <w:pPr>
        <w:spacing w:after="0" w:line="18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Many state laws govern the privacy of personal data in specified circumstances. For example, in California the California Consumer Privacy Act of 2018, as amended by the California Privacy Rights Act of 2020 (together, “CCPA”) establishes a privacy framework for covered businesses by creating an expanded definition of personal data, establishing data privacy rights for consumers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While clinical trial data and information governed by HIPAA are currently exempt from the CCPA, other personal data may be covered. Several other states, such as Virginia, Colorado and Utah, have also enacted comprehensive privacy laws, and it is possible that additional states will follow suit.</w:t>
      </w:r>
    </w:p>
    <w:p>
      <w:pPr>
        <w:spacing w:after="0" w:line="21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may govern data privacy and security. For example, EU member states, the United Kingdom, Switzerland, and other jurisdictions have adopted data protection laws and regulations, which impose significant compliance obligations. In the European Economic Area (“EEA”), the collection and use of personal data, including clinical trial data, is governed by the provisions of the General Data Protection Regulation (“GDPR”). The GDPR, together with national legislation, regulations, and guidelines of the states in the EEA, the United Kingdom, and Switzerland governing the processing of personal data, impose strict obligations and restrictions on the ability to collect, analyze, and transfer personal data, including health data from clinical trials and adverse event reporting. The GDPR also imposes additional special protections for “special category data,” which includes health, biometric and genetic information of data subjects located in the EEA.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data, allow them to request deletion of personal data in certain circumstances, and provide the individual with an express right to seek legal remedies in the event the individual believes his or her rights have been violated.</w:t>
      </w:r>
    </w:p>
    <w:p>
      <w:pPr>
        <w:spacing w:after="0" w:line="21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Further, the GDPR and similar legislation, such as the United Kingdom GDPR and Switzerland’s Federal Data Protection Act, impose strict rules on the transfer of personal data out of the EEA, the United Kingdom, Switzerland, and other countries to the United States or other regions that have not been deemed to offer “adequate” privacy protections. These obligations and regulations also concern security breach notifications, security and confidentiality of the personal data, and imposition of substantial potential fines for breaches of the data protection obligations. Local data protection authorities may interpret the GDPR and national laws differently and impose additional requirements, which add to the complexity of processing personal data in or from the EEA, the United Kingdom, or Switzerland. Guidance on implementation and compliance practices are often updated or otherwise revised.</w:t>
      </w:r>
    </w:p>
    <w:p>
      <w:pPr>
        <w:spacing w:after="0" w:line="25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Similarly, the increasing use of artificial intelligence (“AI”) and machine learning technology in the biopharmaceutical industry presents new risks and challenges, as the disclosure and use of personal data in AI technologies is subject to various privacy laws and other privacy obligations. Governments have passed and are likely to pass additional laws regulating AI, including the EU Artificial Intelligence Act.</w:t>
      </w:r>
    </w:p>
    <w:p>
      <w:pPr>
        <w:spacing w:after="0" w:line="20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EU Clinical Trials Regulation also imposes new obligations to make publicly available certain information generated from clinical trials. Only very limited information is exempted from disclosure, i.e. commercially confidential information (which is construed increasingly narrowly) and protected personal data. It may be possible for others to use this data (for example, competitors who may use this data in their own research and development programs) once this data is in the public domain.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are also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also subject to evolving European privacy laws on electronic marketing and cookies. For example,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Anti-Corruption Laws</w:t>
      </w:r>
    </w:p>
    <w:p>
      <w:pPr>
        <w:spacing w:after="0" w:line="229" w:lineRule="exact"/>
        <w:rPr>
          <w:sz w:val="20"/>
          <w:szCs w:val="20"/>
          <w:color w:val="auto"/>
        </w:rPr>
      </w:pPr>
    </w:p>
    <w:p>
      <w:pPr>
        <w:ind w:right="240" w:firstLine="486"/>
        <w:spacing w:after="0" w:line="255" w:lineRule="auto"/>
        <w:rPr>
          <w:sz w:val="20"/>
          <w:szCs w:val="20"/>
          <w:color w:val="auto"/>
        </w:rPr>
      </w:pPr>
      <w:r>
        <w:rPr>
          <w:rFonts w:ascii="Times New Roman" w:cs="Times New Roman" w:eastAsia="Times New Roman" w:hAnsi="Times New Roman"/>
          <w:sz w:val="18"/>
          <w:szCs w:val="18"/>
          <w:color w:val="auto"/>
        </w:rPr>
        <w:t>We are also subject to the U.S. Foreign Corrupt Practices Act (“FCPA”), which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laws exist in other countries, such as the United Kingdom or in EU member states, that restrict improper payments to public and private parties. Many countries have laws prohibiting these types of payments within the respective country. In addition to these anti-corruption laws, we are subject to import and export control laws, tariffs, trade barriers, economic sanctions, and regulatory limitations on our ability to operate in certain foreign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Compliance</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order to ensure compliance with applicable laws and regulations, our Chief Financial Officer, Chief Legal Officer, and Chief People Officer oversee compliance training, education, auditing, and monitoring; enforce disciplinary guidelines for any infractions of our corporate polices; implement new policies and procedures; respond to any detected issues; and undertake corrective action procedures. Our controls address compliance with laws and regulations that govern public pharmaceutical companies, including, but not limited to, the following: federal and state law, such as the Sarbanes-Oxley Act of 2002 and the FCPA; Nasdaq listing requirements; the regulations of the Financial Industry Regulatory Authority, the SEC, the FDA, and HHS; and applicable laws and regulations administered by foreign regulatory authorities, including those of the European Union, the United Kingdom, and Japan. Our standard operating procedures are designed to provide a framework for corporate governance in accordance with ethical standards and best legal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we had approximately 580 employees, of whom approximately 191 employees were engaged in the research and development function of our operations, which we define to include any employee included in research and development expenses for financial reporting purposes. Our research and development staff, many of whom hold Ph.D. or M.D. degrees, have diversified experience in biochemistry, pharmacology, X-ray crystallography, synthetic organic chemistry, computational chemistry, medicinal chemistry, clinical development, quality assurance, and regulatory affairs.</w:t>
      </w:r>
    </w:p>
    <w:p>
      <w:pPr>
        <w:spacing w:after="0" w:line="18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ability to successfully execute on our strategic initiatives is highly dependent upon our ability to recruit, retain, and reward our employees. We engage in targeted recruitment strategies to fill highly skilled positions. Our employees enjoy competitive salaries and benefits, as well as equity participation. Our compensation philosophy is designed to provide an appealing, competitive, and rewarding compensation program that encourages retention, high personal and company performance, strong cultural and ethical behavior, and incentives aligned with stockholder interests.</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are committed to providing a workplace that protects the health and well-being of our employees. All employees are required to abide by our Code of Conduct and Ethics (“Code of Conduct”) and health and safety parameters and to contribute to a positive, inclusive, and friendly company culture. Where we believe such arrangements can be effective, we have implemented flexible working arrangements, including work from home arrangements, for our employees. We consider our relations with our employees to be satisfactory.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are a Delaware corporation originally founded in 1986. Our corporate headquarters is located at 4505 Emperor Blvd., Suite 200, Durham, North Carolina 27703, and our corporate telephone number is (919) 859-1302. For more information about us, please visit our website at </w:t>
      </w:r>
      <w:r>
        <w:rPr>
          <w:rFonts w:ascii="Times New Roman" w:cs="Times New Roman" w:eastAsia="Times New Roman" w:hAnsi="Times New Roman"/>
          <w:sz w:val="18"/>
          <w:szCs w:val="18"/>
          <w:i w:val="1"/>
          <w:iCs w:val="1"/>
          <w:color w:val="auto"/>
        </w:rPr>
        <w:t>www.biocryst.com</w:t>
      </w:r>
      <w:r>
        <w:rPr>
          <w:rFonts w:ascii="Times New Roman" w:cs="Times New Roman" w:eastAsia="Times New Roman" w:hAnsi="Times New Roman"/>
          <w:sz w:val="18"/>
          <w:szCs w:val="18"/>
          <w:color w:val="auto"/>
        </w:rPr>
        <w:t>. The information on our website is not incorporated into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For information related to our revenues, profits, net loss and total assets, in addition to other financial information, please refer to the Consolidated Financial Statements and Notes to Consolidated Financial Statements contained in Part II, Item 8 of this report. Financial information about revenues derived from countries outside the United States is included in Note 2 to the Consolidated Financial Statements contained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www.biocryst.com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also make available at our website copies of our audit committee charter, compensation committee charter, corporate governance and nominating committee charter and our Code of Conduct, which applies to all our employees as well as the members of our Board of Directors. Any amendment to, or waiver from, our Code of Conduct will be posted on our website.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and may never achieve sustained profitability.</w:t>
      </w:r>
    </w:p>
    <w:p>
      <w:pPr>
        <w:spacing w:after="0" w:line="229" w:lineRule="exact"/>
        <w:rPr>
          <w:sz w:val="20"/>
          <w:szCs w:val="20"/>
          <w:color w:val="auto"/>
        </w:rPr>
      </w:pPr>
    </w:p>
    <w:p>
      <w:pPr>
        <w:ind w:right="220" w:firstLine="486"/>
        <w:spacing w:after="0" w:line="253"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Our expectations as to when we may achieve sustained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and maintain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 w:cs="Times New Roman" w:eastAsia="Times New Roman" w:hAnsi="Times New Roman"/>
          <w:sz w:val="18"/>
          <w:szCs w:val="18"/>
          <w:i w:val="1"/>
          <w:iCs w:val="1"/>
          <w:color w:val="auto"/>
        </w:rPr>
        <w:t>Note 8—Royalty Financing Obligations—ORLADEYO and Factor D Inhibitor</w:t>
      </w:r>
      <w:r>
        <w:rPr>
          <w:rFonts w:ascii="Times New Roman" w:cs="Times New Roman" w:eastAsia="Times New Roman" w:hAnsi="Times New Roman"/>
          <w:sz w:val="18"/>
          <w:szCs w:val="18"/>
          <w:color w:val="auto"/>
        </w:rPr>
        <w:t>s” in the Notes to Consolidated Financial Statements in Part II, Item 8 of this report), may reduce the profitability of such products.</w:t>
      </w:r>
    </w:p>
    <w:p>
      <w:pPr>
        <w:spacing w:after="0" w:line="1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on our anticipated timeline, or at all, the market value of our common stock will likely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if and when needed, we may need to adjust our operations.</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and expect to continue to incur operating losses and negative cash flows unless and until revenues reach a level sufficient to support ongoing operations.</w:t>
      </w:r>
    </w:p>
    <w:p>
      <w:pPr>
        <w:spacing w:after="0" w:line="16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Even if we are able to achieve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w:t>
      </w:r>
      <w:r>
        <w:rPr>
          <w:rFonts w:ascii="Times New Roman" w:cs="Times New Roman" w:eastAsia="Times New Roman" w:hAnsi="Times New Roman"/>
          <w:sz w:val="18"/>
          <w:szCs w:val="18"/>
          <w:i w:val="1"/>
          <w:iCs w:val="1"/>
          <w:color w:val="auto"/>
        </w:rPr>
        <w:t>Risks Relating to Our Business—Risks Relating to Drug Development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Commercialization—If we fail to obtain additional financing or acceptable partnership arrangements if and when needed, we may be unable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 complete the development and commercialization of our products and product candidates or continue operations</w:t>
      </w:r>
      <w:r>
        <w:rPr>
          <w:rFonts w:ascii="Times New Roman" w:cs="Times New Roman" w:eastAsia="Times New Roman" w:hAnsi="Times New Roman"/>
          <w:sz w:val="18"/>
          <w:szCs w:val="18"/>
          <w:color w:val="auto"/>
        </w:rPr>
        <w:t>” in this section for further discussion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capital requirements for our development and commercialization efforts.</w:t>
      </w:r>
    </w:p>
    <w:p>
      <w:pPr>
        <w:spacing w:after="0" w:line="160"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color w:val="auto"/>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w:t>
      </w:r>
      <w:r>
        <w:rPr>
          <w:rFonts w:ascii="Times New Roman" w:cs="Times New Roman" w:eastAsia="Times New Roman" w:hAnsi="Times New Roman"/>
          <w:sz w:val="17"/>
          <w:szCs w:val="17"/>
          <w:i w:val="1"/>
          <w:iCs w:val="1"/>
          <w:color w:val="auto"/>
        </w:rPr>
        <w:t>Management’s Discussion and Analysis of Financial Condition and Results of Operations—Liquidity and Capital Resources</w:t>
      </w:r>
      <w:r>
        <w:rPr>
          <w:rFonts w:ascii="Times New Roman" w:cs="Times New Roman" w:eastAsia="Times New Roman" w:hAnsi="Times New Roman"/>
          <w:sz w:val="17"/>
          <w:szCs w:val="17"/>
          <w:color w:val="auto"/>
        </w:rPr>
        <w:t>” in Part II, Item 7 of this report for additional information about our liquidity needs, capital requirements, potential funding alternatives, and adequacy of available funds.</w:t>
      </w:r>
    </w:p>
    <w:p>
      <w:pPr>
        <w:spacing w:after="0" w:line="1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15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spacing w:after="0" w:line="187"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trial do not necessarily predict final results. For example, any successful results of our preclinical and early clinical work for avoralstat, BCX17725 and our early-stage discovery programs do not guarantee the success of later clinical trials.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87"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the therapies in our pipeline described in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Overview—Products and Product Candidates</w:t>
      </w:r>
      <w:r>
        <w:rPr>
          <w:rFonts w:ascii="Times New Roman" w:cs="Times New Roman" w:eastAsia="Times New Roman" w:hAnsi="Times New Roman"/>
          <w:sz w:val="17"/>
          <w:szCs w:val="17"/>
          <w:color w:val="auto"/>
        </w:rPr>
        <w:t>” in Part II, Item 7 of this report) could result in delays in, modifications to, or discontinuations of our trials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 the performance of additional unplanned trials. For example, dose-related observations in a BCX10013 nonclinical study reported in 2023 delayed the clinical program. If any of our product candidates is associated with adverse events or undesirable side effects or has properties that are unexpected, we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 For example, following the completion of our clinical evaluation of BCX10013, we announced on August 5, 2024 that we planned to discontinue development.</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EMA, the MHLW,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complete the clinical development process successfully is dependent upon many factors, including, but not limited to:</w:t>
      </w:r>
    </w:p>
    <w:p>
      <w:pPr>
        <w:spacing w:after="0" w:line="225" w:lineRule="exact"/>
        <w:rPr>
          <w:sz w:val="20"/>
          <w:szCs w:val="20"/>
          <w:color w:val="auto"/>
        </w:rPr>
      </w:pPr>
    </w:p>
    <w:p>
      <w:pPr>
        <w:ind w:left="980" w:right="26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980" w:right="68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protocols or maintain contact with investigators to provide complete data during and after treatment;</w:t>
      </w:r>
    </w:p>
    <w:p>
      <w:pPr>
        <w:ind w:left="980" w:right="52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for our targeted indications, or at all, or may produce unfavorable or inconclusive results;</w:t>
      </w:r>
    </w:p>
    <w:p>
      <w:pPr>
        <w:ind w:left="980" w:right="26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spacing w:after="0" w:line="1"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980" w:right="104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980" w:right="300" w:hanging="324"/>
        <w:spacing w:after="0" w:line="265" w:lineRule="auto"/>
        <w:tabs>
          <w:tab w:leader="none" w:pos="97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980" w:right="50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9" w:lineRule="exact"/>
        <w:rPr>
          <w:rFonts w:ascii="Times New Roman" w:cs="Times New Roman" w:eastAsia="Times New Roman" w:hAnsi="Times New Roman"/>
          <w:sz w:val="18"/>
          <w:szCs w:val="18"/>
          <w:color w:val="auto"/>
        </w:rPr>
      </w:pPr>
    </w:p>
    <w:p>
      <w:pPr>
        <w:ind w:left="980" w:right="140" w:hanging="324"/>
        <w:spacing w:after="0" w:line="26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comply with regulatory requirements and industry standards or meet contractual obligations in a timely manner or at all; and</w:t>
      </w:r>
    </w:p>
    <w:p>
      <w:pPr>
        <w:spacing w:after="0" w:line="2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pandemic, such as COVID-19, on one or more of the foregoing factors.</w:t>
      </w:r>
    </w:p>
    <w:p>
      <w:pPr>
        <w:spacing w:after="0" w:line="20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980" w:right="500" w:hanging="324"/>
        <w:spacing w:after="0" w:line="250"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20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89" w:lineRule="exact"/>
        <w:rPr>
          <w:sz w:val="20"/>
          <w:szCs w:val="20"/>
          <w:color w:val="auto"/>
        </w:rPr>
      </w:pPr>
    </w:p>
    <w:p>
      <w:pPr>
        <w:ind w:right="60" w:firstLine="486"/>
        <w:spacing w:after="0" w:line="273" w:lineRule="auto"/>
        <w:rPr>
          <w:sz w:val="20"/>
          <w:szCs w:val="20"/>
          <w:color w:val="auto"/>
        </w:rPr>
      </w:pPr>
      <w:r>
        <w:rPr>
          <w:rFonts w:ascii="Times New Roman" w:cs="Times New Roman" w:eastAsia="Times New Roman" w:hAnsi="Times New Roman"/>
          <w:sz w:val="17"/>
          <w:szCs w:val="17"/>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6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5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ability to obtain regulatory approvals for our product candidates; our ability to maintain regulatory approvals for, successfully commercialize, and achieve sustained market acceptance of our products, including ORLADEYO; our ability to raise additional capital if needed;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order to continue future operations, progress our drug discovery and development programs, and commercialize our current products and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we may be required to raise additional capital. Our ability to raise additional capital if and when needed may be limited and may greatly depend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our sustained success in commercializing and achieving market acceptance of ORLADEYO and the success of our current drug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including the progress, timeline and ultimate outcome of the development programs (including, but not limited to, formulation progress,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human safety studies, clinical trial investigations, and carcinogenicity, drug-drug interaction, toxicity, or other required studies)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Operations—Overview—Products and Product Candidates</w:t>
      </w:r>
      <w:r>
        <w:rPr>
          <w:rFonts w:ascii="Times New Roman" w:cs="Times New Roman" w:eastAsia="Times New Roman" w:hAnsi="Times New Roman"/>
          <w:sz w:val="18"/>
          <w:szCs w:val="18"/>
          <w:color w:val="auto"/>
        </w:rPr>
        <w:t>” in Part II,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of this report, as well as any post-approval studies for our products. In addition, constriction and volatility in the equity and debt markets, including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impacts of inflation, increased interest rates, disruption or instability in the banking industry, geopolitical instability, or public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emergencies such as the COVID-19 pandemic, may restrict our future flexibility to raise capital if and when such needs arise. See “</w:t>
      </w:r>
      <w:r>
        <w:rPr>
          <w:rFonts w:ascii="Times New Roman" w:cs="Times New Roman" w:eastAsia="Times New Roman" w:hAnsi="Times New Roman"/>
          <w:sz w:val="18"/>
          <w:szCs w:val="18"/>
          <w:i w:val="1"/>
          <w:iCs w:val="1"/>
          <w:color w:val="auto"/>
        </w:rPr>
        <w:t>Risks Relating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Business—Financial and Liquidity Risks—We may need to raise additional capital in the future. If we are unable to raise capital if and when needed,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need to adjust our operations</w:t>
      </w:r>
      <w:r>
        <w:rPr>
          <w:rFonts w:ascii="Times New Roman" w:cs="Times New Roman" w:eastAsia="Times New Roman" w:hAnsi="Times New Roman"/>
          <w:sz w:val="18"/>
          <w:szCs w:val="18"/>
          <w:color w:val="auto"/>
        </w:rPr>
        <w:t>” in this section and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of this report for additional information about our liquidity risks and capital requirements.</w:t>
      </w:r>
    </w:p>
    <w:p>
      <w:pPr>
        <w:spacing w:after="0" w:line="207" w:lineRule="exact"/>
        <w:rPr>
          <w:sz w:val="20"/>
          <w:szCs w:val="20"/>
          <w:color w:val="auto"/>
        </w:rPr>
      </w:pPr>
    </w:p>
    <w:p>
      <w:pPr>
        <w:ind w:right="100" w:firstLine="486"/>
        <w:spacing w:after="0" w:line="270" w:lineRule="auto"/>
        <w:rPr>
          <w:sz w:val="20"/>
          <w:szCs w:val="20"/>
          <w:color w:val="auto"/>
        </w:rPr>
      </w:pPr>
      <w:r>
        <w:rPr>
          <w:rFonts w:ascii="Times New Roman" w:cs="Times New Roman" w:eastAsia="Times New Roman" w:hAnsi="Times New Roman"/>
          <w:sz w:val="17"/>
          <w:szCs w:val="17"/>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potential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7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80"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 w:cs="Times New Roman" w:eastAsia="Times New Roman" w:hAnsi="Times New Roman"/>
          <w:sz w:val="18"/>
          <w:szCs w:val="18"/>
          <w:i w:val="1"/>
          <w:iCs w:val="1"/>
          <w:color w:val="auto"/>
        </w:rPr>
        <w:t>Risk Factors—Risks Relating to Our Business—Risks Relating to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 w:cs="Times New Roman" w:eastAsia="Times New Roman" w:hAnsi="Times New Roman"/>
          <w:sz w:val="18"/>
          <w:szCs w:val="18"/>
          <w:color w:val="auto"/>
        </w:rPr>
        <w:t>,” we and our partners have experienced, and may again in the future experience, any number of unfavorable outcomes during 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preclinical studies and clinical trials that could delay or prevent regulatory approval of our product candidates, or negatively impact our management’s credibility, our value and our operating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 w:cs="Times New Roman" w:eastAsia="Times New Roman" w:hAnsi="Times New Roman"/>
          <w:sz w:val="18"/>
          <w:szCs w:val="18"/>
          <w:i w:val="1"/>
          <w:iCs w:val="1"/>
          <w:color w:val="auto"/>
        </w:rPr>
        <w:t>Risk Factors—Risks Relating to Our Business—Legal and Regulatory Risks—We are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various laws and regulations related to our products and product candidates, and if we or our partners do not comply with these laws and regulations, we could face substantial penalties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focus primarily on rare diseases, which may create additional risks and challenges, including that the target patient populations of our products and product candidates may be small.</w:t>
      </w:r>
    </w:p>
    <w:p>
      <w:pPr>
        <w:spacing w:after="0" w:line="132" w:lineRule="exact"/>
        <w:rPr>
          <w:sz w:val="20"/>
          <w:szCs w:val="20"/>
          <w:color w:val="auto"/>
        </w:rPr>
      </w:pPr>
    </w:p>
    <w:p>
      <w:pPr>
        <w:ind w:right="60" w:firstLine="486"/>
        <w:spacing w:after="0" w:line="273" w:lineRule="auto"/>
        <w:rPr>
          <w:sz w:val="20"/>
          <w:szCs w:val="20"/>
          <w:color w:val="auto"/>
        </w:rPr>
      </w:pPr>
      <w:r>
        <w:rPr>
          <w:rFonts w:ascii="Times New Roman" w:cs="Times New Roman" w:eastAsia="Times New Roman" w:hAnsi="Times New Roman"/>
          <w:sz w:val="17"/>
          <w:szCs w:val="17"/>
          <w:color w:val="auto"/>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w:t>
      </w:r>
      <w:r>
        <w:rPr>
          <w:rFonts w:ascii="Times New Roman" w:cs="Times New Roman" w:eastAsia="Times New Roman" w:hAnsi="Times New Roman"/>
          <w:sz w:val="17"/>
          <w:szCs w:val="17"/>
          <w:i w:val="1"/>
          <w:iCs w:val="1"/>
          <w:color w:val="auto"/>
        </w:rPr>
        <w:t>Business—Government Regulation—FDA Regulation—Orphan Drugs</w:t>
      </w:r>
      <w:r>
        <w:rPr>
          <w:rFonts w:ascii="Times New Roman" w:cs="Times New Roman" w:eastAsia="Times New Roman" w:hAnsi="Times New Roman"/>
          <w:sz w:val="17"/>
          <w:szCs w:val="17"/>
          <w:color w:val="auto"/>
        </w:rPr>
        <w:t>” in Part I, Item 1 of this report.</w:t>
      </w:r>
    </w:p>
    <w:p>
      <w:pPr>
        <w:spacing w:after="0" w:line="17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it is important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spacing w:after="0" w:line="1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spacing w:after="0" w:line="148"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 w:cs="Times New Roman" w:eastAsia="Times New Roman" w:hAnsi="Times New Roman"/>
          <w:sz w:val="18"/>
          <w:szCs w:val="18"/>
          <w:i w:val="1"/>
          <w:iCs w:val="1"/>
          <w:color w:val="auto"/>
        </w:rPr>
        <w:t>Business—Government Regulation—FDA Regulation—Abbreviated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Drug Applications for Generic Drugs</w:t>
      </w:r>
      <w:r>
        <w:rPr>
          <w:rFonts w:ascii="Times New Roman" w:cs="Times New Roman" w:eastAsia="Times New Roman" w:hAnsi="Times New Roman"/>
          <w:sz w:val="18"/>
          <w:szCs w:val="18"/>
          <w:color w:val="auto"/>
        </w:rPr>
        <w:t>” in Part I, Item 1 of this report. Generic drugs may be significantly less costly to bring to market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reference-listed drug and companies that produce generic drugs are generally able to offer them at lower prices. Thus,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following the introduction of a generic drug, a significant percentage of the sales of any branded product or reference-listed drug is typically lost to the generic drug.</w:t>
      </w:r>
    </w:p>
    <w:p>
      <w:pPr>
        <w:spacing w:after="0" w:line="13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as described in “</w:t>
      </w:r>
      <w:r>
        <w:rPr>
          <w:rFonts w:ascii="Times New Roman" w:cs="Times New Roman" w:eastAsia="Times New Roman" w:hAnsi="Times New Roman"/>
          <w:sz w:val="18"/>
          <w:szCs w:val="18"/>
          <w:i w:val="1"/>
          <w:iCs w:val="1"/>
          <w:color w:val="auto"/>
        </w:rPr>
        <w:t>Business—Government Regulation—FDA Regulation—Abbreviated New Drug Applications for Generic Drugs</w:t>
      </w:r>
      <w:r>
        <w:rPr>
          <w:rFonts w:ascii="Times New Roman" w:cs="Times New Roman" w:eastAsia="Times New Roman" w:hAnsi="Times New Roman"/>
          <w:sz w:val="18"/>
          <w:szCs w:val="18"/>
          <w:color w:val="auto"/>
        </w:rPr>
        <w:t>” in Part I, Item 1 of this report,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spacing w:after="0" w:line="19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spacing w:after="0" w:line="15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spacing w:after="0" w:line="162" w:lineRule="exact"/>
        <w:rPr>
          <w:sz w:val="20"/>
          <w:szCs w:val="20"/>
          <w:color w:val="auto"/>
        </w:rPr>
      </w:pPr>
    </w:p>
    <w:p>
      <w:pPr>
        <w:ind w:left="980" w:right="80" w:hanging="324"/>
        <w:spacing w:after="0" w:line="26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980" w:right="180" w:hanging="324"/>
        <w:spacing w:after="0" w:line="250"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07"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80" w:lineRule="exact"/>
        <w:rPr>
          <w:sz w:val="20"/>
          <w:szCs w:val="20"/>
          <w:color w:val="auto"/>
        </w:rPr>
      </w:pPr>
    </w:p>
    <w:p>
      <w:pPr>
        <w:ind w:left="980" w:right="44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27"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9"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98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20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22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We have a partnership agreement with Torii for ORLADEYO in Japan. Under the Torii Agreement,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5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76" w:lineRule="exact"/>
        <w:rPr>
          <w:sz w:val="20"/>
          <w:szCs w:val="20"/>
          <w:color w:val="auto"/>
        </w:rPr>
      </w:pPr>
    </w:p>
    <w:p>
      <w:pPr>
        <w:ind w:left="980" w:right="180" w:hanging="324"/>
        <w:spacing w:after="0" w:line="261"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complete clinical trials successfully, or satisfy post-marketing commitments, sufficient to obtain and maintain regulatory agency marketing approval;</w:t>
      </w:r>
    </w:p>
    <w:p>
      <w:pPr>
        <w:ind w:left="980" w:right="6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980" w:right="12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980" w:right="80" w:hanging="324"/>
        <w:spacing w:after="0" w:line="26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500" w:hanging="324"/>
        <w:spacing w:after="0" w:line="261"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depends on our ability to obtain and maintain favorable pricing;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9" w:lineRule="exact"/>
        <w:rPr>
          <w:rFonts w:ascii="Times New Roman" w:cs="Times New Roman" w:eastAsia="Times New Roman" w:hAnsi="Times New Roman"/>
          <w:sz w:val="18"/>
          <w:szCs w:val="18"/>
          <w:color w:val="auto"/>
        </w:rPr>
      </w:pPr>
    </w:p>
    <w:p>
      <w:pPr>
        <w:ind w:left="980" w:right="5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will depend on our ability to successfully complete clinical studies, obtain regulatory approvals, and manufacture, market, distribute and commercialize our approved drugs; and</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emergencies or the outbreak of disease, such as the COVID-19 pandemic, on us or our partners.</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spacing w:after="0" w:line="18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9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89"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9" w:lineRule="exact"/>
        <w:rPr>
          <w:rFonts w:ascii="Times New Roman" w:cs="Times New Roman" w:eastAsia="Times New Roman" w:hAnsi="Times New Roman"/>
          <w:sz w:val="18"/>
          <w:szCs w:val="18"/>
          <w:color w:val="auto"/>
        </w:rPr>
      </w:pPr>
    </w:p>
    <w:p>
      <w:pPr>
        <w:ind w:left="980" w:right="136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9"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inventory, the number of patients who are using our products, or serious adverse events and/or product complaints regarding our products;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material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980" w:right="80" w:hanging="324"/>
        <w:spacing w:after="0" w:line="26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w:t>
      </w:r>
    </w:p>
    <w:p>
      <w:pPr>
        <w:spacing w:after="0" w:line="18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21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2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3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76" w:lineRule="exact"/>
        <w:rPr>
          <w:sz w:val="20"/>
          <w:szCs w:val="20"/>
          <w:color w:val="auto"/>
        </w:rPr>
      </w:pPr>
    </w:p>
    <w:p>
      <w:pPr>
        <w:ind w:left="980" w:right="520" w:hanging="324"/>
        <w:spacing w:after="0" w:line="261"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ind w:left="980" w:right="66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980" w:right="36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980" w:right="72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reimbursement strategy may not be effective;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legislative or regulatory proposals may influence our pricing and reimbursement strategy, which could impact product revenues;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90"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received FDA approval of ORLADEYO, an oral, once-daily therapy for the prevention of HAE attacks in adults and pediatric patients aged 12 years and older, in December 2020, and subsequently received regulatory approvals for ORLADEYO in other global markets. In addition, the ongoing APeX-P clinical trial, which is complete through the primary endpoint, is continuing to assess an oral granule formulation of ORLADEYO in pediatric patients who are 2 to 11 years of age. We are also performing research on or developing products for the treatment of several other rare or difficult-to-treat diseases, including Netherton syndrome, DME, and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in Part I, Item 1 of this report for further discussion of our competitors, competitive products or programs, and the competitive conditions in these and other therapeutic areas.</w:t>
      </w:r>
    </w:p>
    <w:p>
      <w:pPr>
        <w:spacing w:after="0" w:line="1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207"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5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7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8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8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spacing w:after="0" w:line="19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spacing w:after="0" w:line="18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8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in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in Part I, Item 1 of this report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21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likelihood, nature or extent of government regulation or other measures that may arise from future legislation or administrative or executive action, either in the United States or abroad.</w:t>
      </w:r>
    </w:p>
    <w:p>
      <w:pPr>
        <w:spacing w:after="0" w:line="18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policies of the FDA and other regulatory authorities may change, including as a result of changes in presidential administration of the United States, and additional government regulations or executive orders may be enacted that could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prevent, limit or delay regulatory approval of our product candidates, change our continuing compliance obligations, or otherwise adversely affect our business.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In addition, significant tariffs or other restrictions imposed and related countermeasures taken by impacted foreign countries could adversely affect our operations and financial results. We cannot predict the likelihood, nature or extent of government regulation or other measures that may arise from future legislation or administrative or executive action, either in the United States or abroad.</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may be subject to new legislation, regulatory proposals and healthcare payor initiatives that may increase our costs of compliance and adversely affect our or our partners’ ability to market our products or develop our product candidates.</w:t>
      </w:r>
    </w:p>
    <w:p>
      <w:pPr>
        <w:spacing w:after="0" w:line="15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new legislation, regulatory, and healthcare payor initiatives, including the PPACA, which made extensive changes to the delivery of healthcare in the United States, as discussed in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in Part I, Item 1 of this report.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9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IRA implements a number of drug pricing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reduced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w:t>
      </w:r>
    </w:p>
    <w:p>
      <w:pPr>
        <w:spacing w:after="0" w:line="18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data privacy and security risks, and our actual or perceived failure to comply with regulations and other legal obligations related to privacy and data protection could harm our business.</w:t>
      </w:r>
    </w:p>
    <w:p>
      <w:pPr>
        <w:spacing w:after="0" w:line="15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may be subject to legal obligations at the federal, state, and local level related to privacy and data protection, as described in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Regulation—Data Privacy and Security Laws</w:t>
      </w:r>
      <w:r>
        <w:rPr>
          <w:rFonts w:ascii="Times New Roman" w:cs="Times New Roman" w:eastAsia="Times New Roman" w:hAnsi="Times New Roman"/>
          <w:sz w:val="18"/>
          <w:szCs w:val="18"/>
          <w:color w:val="auto"/>
        </w:rPr>
        <w:t>” in Part I, Item 1 of this report. Compliance with stringent and evolving U.S.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regulations could require us to take on more onerous obligations in our contracts, restrict our ability to collect, use, and disclose data, or in some cases, impact our ability to operate in certain jurisdictions. For example, we may be subject to the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spacing w:after="0" w:line="185" w:lineRule="exact"/>
        <w:rPr>
          <w:sz w:val="20"/>
          <w:szCs w:val="20"/>
          <w:color w:val="auto"/>
        </w:rPr>
      </w:pPr>
    </w:p>
    <w:p>
      <w:pPr>
        <w:ind w:right="200" w:firstLine="486"/>
        <w:spacing w:after="0" w:line="277" w:lineRule="auto"/>
        <w:rPr>
          <w:sz w:val="20"/>
          <w:szCs w:val="20"/>
          <w:color w:val="auto"/>
        </w:rPr>
      </w:pPr>
      <w:r>
        <w:rPr>
          <w:rFonts w:ascii="Times New Roman" w:cs="Times New Roman" w:eastAsia="Times New Roman" w:hAnsi="Times New Roman"/>
          <w:sz w:val="17"/>
          <w:szCs w:val="17"/>
          <w:color w:val="auto"/>
        </w:rPr>
        <w:t>We also may be subject to the GDPR in the EEA and similar legislation in the United Kingdom and Switzerland. See “</w:t>
      </w:r>
      <w:r>
        <w:rPr>
          <w:rFonts w:ascii="Times New Roman" w:cs="Times New Roman" w:eastAsia="Times New Roman" w:hAnsi="Times New Roman"/>
          <w:sz w:val="17"/>
          <w:szCs w:val="17"/>
          <w:i w:val="1"/>
          <w:iCs w:val="1"/>
          <w:color w:val="auto"/>
        </w:rPr>
        <w:t>Business—Government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Regulation—Data Privacy and Security Laws</w:t>
      </w:r>
      <w:r>
        <w:rPr>
          <w:rFonts w:ascii="Times New Roman" w:cs="Times New Roman" w:eastAsia="Times New Roman" w:hAnsi="Times New Roman"/>
          <w:sz w:val="17"/>
          <w:szCs w:val="17"/>
          <w:color w:val="auto"/>
        </w:rPr>
        <w:t>” in Part I, Item 1 of this report and “</w:t>
      </w:r>
      <w:r>
        <w:rPr>
          <w:rFonts w:ascii="Times New Roman" w:cs="Times New Roman" w:eastAsia="Times New Roman" w:hAnsi="Times New Roman"/>
          <w:sz w:val="17"/>
          <w:szCs w:val="17"/>
          <w:i w:val="1"/>
          <w:iCs w:val="1"/>
          <w:color w:val="auto"/>
        </w:rPr>
        <w:t>Risks Relating to Our Business—Risks Relating to International Operations—Our actual or perceived failure to comply with European governmental laws and regulations and other legal obligations related to privacy, data protection and information security could harm our business</w:t>
      </w:r>
      <w:r>
        <w:rPr>
          <w:rFonts w:ascii="Times New Roman" w:cs="Times New Roman" w:eastAsia="Times New Roman" w:hAnsi="Times New Roman"/>
          <w:sz w:val="17"/>
          <w:szCs w:val="17"/>
          <w:color w:val="auto"/>
        </w:rPr>
        <w:t>” in this section for additional discussion of privacy laws and regulations. Failure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comply with these laws and regulations could result in government enforcement actions, private litigation, or harm to our reputation and our business.</w:t>
      </w:r>
    </w:p>
    <w:p>
      <w:pPr>
        <w:spacing w:after="0" w:line="17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5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9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8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21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addition, as described above in “</w:t>
      </w:r>
      <w:r>
        <w:rPr>
          <w:rFonts w:ascii="Times New Roman" w:cs="Times New Roman" w:eastAsia="Times New Roman" w:hAnsi="Times New Roman"/>
          <w:sz w:val="18"/>
          <w:szCs w:val="18"/>
          <w:i w:val="1"/>
          <w:iCs w:val="1"/>
          <w:color w:val="auto"/>
        </w:rPr>
        <w:t>Business—Government Regulation—FDA Regulation—Abbreviated New Drug Applications for Generic Drugs</w:t>
      </w:r>
      <w:r>
        <w:rPr>
          <w:rFonts w:ascii="Times New Roman" w:cs="Times New Roman" w:eastAsia="Times New Roman" w:hAnsi="Times New Roman"/>
          <w:sz w:val="18"/>
          <w:szCs w:val="18"/>
          <w:color w:val="auto"/>
        </w:rPr>
        <w:t>” in Part I, Item 1 of this report,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As the NCE-1 date for ORLADEYO was in December 2024, we anticipate that third parties will challenge our applicable patents, which may result in our initiation of patent infringement litigation in response to such challenge. For example, in January 2025, we received a Paragraph IV notice of certification from Annora Pharma Private Limited (“Annora”) advising that Annora has submitted an ANDA to the FDA seeking approval to manufacture, use or sell a generic version of ORLADEYO in the United States prior to the expiration of three patents listed in the FDA’s Orange Book, which expire in 2039. We intend to vigorously defend our intellectual property rights protecting ORLADEYO. See Part I, Item 3 of this report for additional information.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spacing w:after="0" w:line="19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88"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20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diversified our pipeline to include the development of protein therapeutics, which may create additional risks and challenges.</w:t>
      </w:r>
    </w:p>
    <w:p>
      <w:pPr>
        <w:spacing w:after="0" w:line="20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have diversified our pipeline beyond small-molecule medicines to develop protein therapeutics. The development of protein therapeutics may create additional risks and challenges, including, among others:</w:t>
      </w:r>
    </w:p>
    <w:p>
      <w:pPr>
        <w:spacing w:after="0" w:line="121" w:lineRule="exact"/>
        <w:rPr>
          <w:sz w:val="20"/>
          <w:szCs w:val="20"/>
          <w:color w:val="auto"/>
        </w:rPr>
      </w:pPr>
    </w:p>
    <w:p>
      <w:pPr>
        <w:ind w:left="980" w:right="140" w:hanging="324"/>
        <w:spacing w:after="0" w:line="257"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spacing w:after="0" w:line="1"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issues with our protein therapeutic candidates may require redevelopment of the formulation, which may be time-consuming or unsuccessful;</w:t>
      </w:r>
    </w:p>
    <w:p>
      <w:pPr>
        <w:ind w:left="980" w:right="16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protein therapeutic candidates in the United States or in other countries;</w:t>
      </w: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more easily develop and seek patent protection on similar protein therapeutic candidates; and</w:t>
      </w:r>
    </w:p>
    <w:p>
      <w:pPr>
        <w:spacing w:after="0" w:line="9" w:lineRule="exact"/>
        <w:rPr>
          <w:rFonts w:ascii="Times New Roman" w:cs="Times New Roman" w:eastAsia="Times New Roman" w:hAnsi="Times New Roman"/>
          <w:sz w:val="18"/>
          <w:szCs w:val="18"/>
          <w:color w:val="auto"/>
        </w:rPr>
      </w:pPr>
    </w:p>
    <w:p>
      <w:pPr>
        <w:jc w:val="both"/>
        <w:ind w:left="980" w:right="180" w:hanging="324"/>
        <w:spacing w:after="0" w:line="255"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5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87"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our product liability insurance rates or the inability to maintain insurance coverage in the future on acceptable terms, or at all;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U.S. Government contracts, which may create a disadvantage and additional risks to us.</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September 2024, we entered into a contract with ASPR for the procurement of up to 95,625 doses over a five-year period of RAPIVAB for the treatment of influenza. The contract is structured with a 12-month base ordering period and four optional 12-month ordering periods, which the U.S. Government can exercise on an annual basis. While ASPR executed the first ordering period, there is no guarantee that the U.S. Government will exercise any additional ordering periods. In addition, changes in U.S. Government budgets and agendas may result in the reduction, delay or elimination of funding or in a decreased emphasis on the procurement of RAPIVAB. Even if any optional ordering period is exercised, there can be no assurance that we or our manufacturers will be able to fully meet the demand for RAPIVAB with respect to this or any future arrangement.</w:t>
      </w:r>
    </w:p>
    <w:p>
      <w:pPr>
        <w:spacing w:after="0" w:line="21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our U.S. Government contracts pending final close out of these contracts.</w:t>
      </w:r>
    </w:p>
    <w:p>
      <w:pPr>
        <w:spacing w:after="0" w:line="21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have U.S. Government contracts. As a U.S. Government contractor, we are subject to an increased risk of investigations, criminal prosecution, civil fraud, whistleblower lawsuits and other legal actions and liabilities as compared</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 private sector commercial companies, and we could suffer serious harm to our reputation if allegations of impropriety were made against us. We could be subject to severe penalties, including legal actions and liabilities, in the event that we are unable to comply with delivery requirements or any other provision of a U.S. Government contract.</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5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9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 While Royalty Sub continues to pay the holders of the PhaRMA Notes any royalty payments received from Shionogi, which are immaterial, we wrote off the balance due under the PhaRMA Notes to other income as a debt extinguishment as of December 31, 2021.</w:t>
      </w:r>
    </w:p>
    <w:p>
      <w:pPr>
        <w:spacing w:after="0" w:line="1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80"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December 31, 2024, we had an outstanding principal balance under the Pharmakon Loan Agreement of $323.7 million, inclusive of the Pharmakon PIK Interest Payments (as defined in “</w:t>
      </w:r>
      <w:r>
        <w:rPr>
          <w:rFonts w:ascii="Times New Roman" w:cs="Times New Roman" w:eastAsia="Times New Roman" w:hAnsi="Times New Roman"/>
          <w:sz w:val="18"/>
          <w:szCs w:val="18"/>
          <w:i w:val="1"/>
          <w:iCs w:val="1"/>
          <w:color w:val="auto"/>
        </w:rPr>
        <w:t>Note 9—Debt—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Pharmakon Loan Agreement</w:t>
      </w:r>
      <w:r>
        <w:rPr>
          <w:rFonts w:ascii="Times New Roman" w:cs="Times New Roman" w:eastAsia="Times New Roman" w:hAnsi="Times New Roman"/>
          <w:sz w:val="18"/>
          <w:szCs w:val="18"/>
          <w:color w:val="auto"/>
        </w:rPr>
        <w:t>” in the Notes to the Consolidated Financial Statements included in Part II, Item 8 of this report). Under the Pharmakon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20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spacing w:after="0" w:line="1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spacing w:after="0" w:line="16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and economic risks.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hiring, employees outside of the United States. Doing business internationally involves a number of risks, including, but not limited to:</w:t>
      </w:r>
    </w:p>
    <w:p>
      <w:pPr>
        <w:spacing w:after="0" w:line="225" w:lineRule="exact"/>
        <w:rPr>
          <w:sz w:val="20"/>
          <w:szCs w:val="20"/>
          <w:color w:val="auto"/>
        </w:rPr>
      </w:pPr>
    </w:p>
    <w:p>
      <w:pPr>
        <w:ind w:left="980" w:right="140" w:hanging="324"/>
        <w:spacing w:after="0" w:line="261"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9" w:lineRule="exact"/>
        <w:rPr>
          <w:rFonts w:ascii="Times New Roman" w:cs="Times New Roman" w:eastAsia="Times New Roman" w:hAnsi="Times New Roman"/>
          <w:sz w:val="18"/>
          <w:szCs w:val="18"/>
          <w:color w:val="auto"/>
        </w:rPr>
      </w:pPr>
    </w:p>
    <w:p>
      <w:pPr>
        <w:ind w:left="980" w:right="140" w:hanging="324"/>
        <w:spacing w:after="0" w:line="250"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1" w:lineRule="exact"/>
        <w:rPr>
          <w:rFonts w:ascii="Times New Roman" w:cs="Times New Roman" w:eastAsia="Times New Roman" w:hAnsi="Times New Roman"/>
          <w:sz w:val="18"/>
          <w:szCs w:val="18"/>
          <w:color w:val="auto"/>
        </w:rPr>
      </w:pPr>
    </w:p>
    <w:p>
      <w:pPr>
        <w:jc w:val="both"/>
        <w:ind w:left="980" w:right="20" w:hanging="324"/>
        <w:spacing w:after="0" w:line="250"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Times New Roman" w:cs="Times New Roman" w:eastAsia="Times New Roman" w:hAnsi="Times New Roman"/>
          <w:sz w:val="18"/>
          <w:szCs w:val="18"/>
          <w:color w:val="auto"/>
        </w:rPr>
      </w:pPr>
    </w:p>
    <w:p>
      <w:pPr>
        <w:ind w:left="980" w:right="200" w:hanging="324"/>
        <w:spacing w:after="0" w:line="260"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factors could significantly harm our international expansion of operations and adversely affect our business and results of operations.</w:t>
      </w:r>
    </w:p>
    <w:p>
      <w:pPr>
        <w:spacing w:after="0" w:line="22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an adverse impact on our results of operations, financial position, and cash flows.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w:t>
      </w:r>
      <w:r>
        <w:rPr>
          <w:rFonts w:ascii="Times New Roman" w:cs="Times New Roman" w:eastAsia="Times New Roman" w:hAnsi="Times New Roman"/>
          <w:sz w:val="18"/>
          <w:szCs w:val="18"/>
          <w:i w:val="1"/>
          <w:iCs w:val="1"/>
          <w:color w:val="auto"/>
        </w:rPr>
        <w:t>Quantitative and Qualitative Disclosures about</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Risk—Foreign Currency Risk</w:t>
      </w:r>
      <w:r>
        <w:rPr>
          <w:rFonts w:ascii="Times New Roman" w:cs="Times New Roman" w:eastAsia="Times New Roman" w:hAnsi="Times New Roman"/>
          <w:sz w:val="18"/>
          <w:szCs w:val="18"/>
          <w:color w:val="auto"/>
        </w:rPr>
        <w:t>” in Part II, Item 7A of this report for additional information about our foreign currency risk.</w:t>
      </w:r>
    </w:p>
    <w:p>
      <w:pPr>
        <w:spacing w:after="0" w:line="22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w:t>
      </w:r>
      <w:r>
        <w:rPr>
          <w:rFonts w:ascii="Times New Roman" w:cs="Times New Roman" w:eastAsia="Times New Roman" w:hAnsi="Times New Roman"/>
          <w:sz w:val="18"/>
          <w:szCs w:val="18"/>
          <w:i w:val="1"/>
          <w:iCs w:val="1"/>
          <w:color w:val="auto"/>
        </w:rPr>
        <w:t>Business—Government Regulation—Data 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Laws</w:t>
      </w:r>
      <w:r>
        <w:rPr>
          <w:rFonts w:ascii="Times New Roman" w:cs="Times New Roman" w:eastAsia="Times New Roman" w:hAnsi="Times New Roman"/>
          <w:sz w:val="18"/>
          <w:szCs w:val="18"/>
          <w:color w:val="auto"/>
        </w:rPr>
        <w:t>” in Part I, Item 1 of this report. Failure to comply with the requirements of these laws may result in significant fines. For example, the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related national data protection laws, which may deviate from the GDPR, may result in significant fines of up to 4% of global revenues, or €20.0 million, whichever is greater.</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9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85"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United Kingdom’s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36" w:lineRule="exact"/>
        <w:rPr>
          <w:sz w:val="20"/>
          <w:szCs w:val="20"/>
          <w:color w:val="auto"/>
        </w:rPr>
      </w:pPr>
    </w:p>
    <w:p>
      <w:pPr>
        <w:ind w:right="60" w:firstLine="486"/>
        <w:spacing w:after="0" w:line="281" w:lineRule="auto"/>
        <w:rPr>
          <w:sz w:val="20"/>
          <w:szCs w:val="20"/>
          <w:color w:val="auto"/>
        </w:rPr>
      </w:pPr>
      <w:r>
        <w:rPr>
          <w:rFonts w:ascii="Times New Roman" w:cs="Times New Roman" w:eastAsia="Times New Roman" w:hAnsi="Times New Roman"/>
          <w:sz w:val="17"/>
          <w:szCs w:val="17"/>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7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8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and related disruptions in our or our third-party vendors’ information technology systems could adversely affect our business.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in February 2024). Such cybersecurity events which materially disrupt the healthcare system upon which our business relies could adversely affect our business if such disruption is widespread and continues for an extended period of time.</w:t>
      </w:r>
    </w:p>
    <w:p>
      <w:pPr>
        <w:spacing w:after="0" w:line="18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w:t>
      </w:r>
    </w:p>
    <w:p>
      <w:pPr>
        <w:spacing w:after="0" w:line="17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spacing w:after="0" w:line="180"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cybersecurity threats and incidents, which to date have not had a material impact on our reputation, business, financial condition, or operations; however; there is no assurance that such impacts will not be material in the future.</w:t>
      </w:r>
    </w:p>
    <w:p>
      <w:pPr>
        <w:spacing w:after="0" w:line="16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use artificial intelligence in our business, and challenges with properly managing its use could adversely affect our business.</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increasing use of AI and machine learning technology in the biopharmaceutical industry, combined with an uncertain regulatory environment, presents new risks and challenges. From time to time, we adopt and integrate AI solutions into our systems for specific use cases reviewed by legal and information security, and applications of AI may become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Operational Risks</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spacing w:after="0" w:line="175"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A health epidemic or pandemic, such as the COVID-19 pandemic, and related government orders or evolving business policies and procedures, could cause disruptions to our business, operations, and clinical development or commercialization plans and timelines, as well as the business and operations of third parties with whom we conduct business.</w:t>
      </w:r>
    </w:p>
    <w:p>
      <w:pPr>
        <w:spacing w:after="0" w:line="176"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spacing w:after="0" w:line="180" w:lineRule="exact"/>
        <w:rPr>
          <w:sz w:val="20"/>
          <w:szCs w:val="20"/>
          <w:color w:val="auto"/>
        </w:rPr>
      </w:pPr>
    </w:p>
    <w:p>
      <w:pPr>
        <w:ind w:right="480" w:firstLine="486"/>
        <w:spacing w:after="0" w:line="261" w:lineRule="auto"/>
        <w:rPr>
          <w:sz w:val="20"/>
          <w:szCs w:val="20"/>
          <w:color w:val="auto"/>
        </w:rPr>
      </w:pPr>
      <w:r>
        <w:rPr>
          <w:rFonts w:ascii="Times New Roman" w:cs="Times New Roman" w:eastAsia="Times New Roman" w:hAnsi="Times New Roman"/>
          <w:sz w:val="18"/>
          <w:szCs w:val="18"/>
          <w:color w:val="auto"/>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 including as we continue to expand internationally and bring ORLADEYO to additional global markets.</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59"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potential U.S. Government shutdowns, instability in connection with changes in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17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spacing w:after="0" w:line="176"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8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7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number of skilled and experienced management, commercial, operational and scientific personnel would harm our business because we rely upon these personnel for many important functions of our business.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risk management committee and other compliance methods are not effective, our business, financial condition and operating results may be adversely affected.</w:t>
      </w:r>
    </w:p>
    <w:p>
      <w:pPr>
        <w:spacing w:after="0" w:line="15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spacing w:after="0" w:line="188"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spacing w:after="0" w:line="20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spacing w:after="0" w:line="2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spacing w:after="0" w:line="21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stockholder activism or hostile bids, which could cause us to incur significant expense, hinder execution of our business strategy and impact our stock price.</w:t>
      </w:r>
    </w:p>
    <w:p>
      <w:pPr>
        <w:spacing w:after="0" w:line="18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related to activist stockholder matters. Our stock price could be subject to significant fluctuation or otherwise be adversely affected by the events, risks and uncertainties of any stockholder activism.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stockholders own greater than 5% of our outstanding common stock. Our top ten stockholders own approximately 45%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5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December 31, 2024, the 52-week range of the market price of our stock was from $4.03 to $8.88 per share. The following factors, in addition to other risk factors described in this section, may have, and in some cases have had, a significant impact on the market price of our common stock:</w:t>
      </w:r>
    </w:p>
    <w:p>
      <w:pPr>
        <w:spacing w:after="0" w:line="180"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 the comparison of such estimates to our actual results;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automated financial platforms’ treatment or classification of our financial information;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public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980" w:right="540" w:hanging="324"/>
        <w:spacing w:after="0" w:line="250"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other monetization transactions;</w:t>
      </w: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0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may negatively impact the trading price of our common stock.</w:t>
      </w:r>
    </w:p>
    <w:p>
      <w:pPr>
        <w:spacing w:after="0" w:line="20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maintain effective internal control over financial reporting (as described in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in Part II, Item 9A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Securities Exchange Act of 1934, as amended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spacing w:after="0" w:line="212" w:lineRule="exact"/>
        <w:rPr>
          <w:sz w:val="20"/>
          <w:szCs w:val="20"/>
          <w:color w:val="auto"/>
        </w:rPr>
      </w:pPr>
    </w:p>
    <w:p>
      <w:pPr>
        <w:ind w:right="480" w:firstLine="486"/>
        <w:spacing w:after="0" w:line="258" w:lineRule="auto"/>
        <w:rPr>
          <w:sz w:val="20"/>
          <w:szCs w:val="20"/>
          <w:color w:val="auto"/>
        </w:rPr>
      </w:pPr>
      <w:r>
        <w:rPr>
          <w:rFonts w:ascii="Times New Roman" w:cs="Times New Roman" w:eastAsia="Times New Roman" w:hAnsi="Times New Roman"/>
          <w:sz w:val="18"/>
          <w:szCs w:val="18"/>
          <w:color w:val="auto"/>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22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December 31, 2024, there were 208,543,452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2024, there were 48,371,006 stock options and restricted stock units outstanding and 1,065,017 shares available for issuance under our Amended and Restated Stock Incentive Plan, 5,980,503 stock options and restricted stock units outstanding and 1,698,932 shares available for issuance under our Amended and Restated Inducement Equity Incentive Plan, and 5,042,369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spacing w:after="0" w:line="18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229"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provisions. These provisions and other provisions of our Amended and Restated By-Laws and of Delaware law applicable to us could delay or make more difficult a merger, tender offer or proxy contest involving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20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stockholder’s ability to obtain a favorable judicial forum for such disputes with us or our directors, officers or employees.</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(the “Securities Act”) or the Exchange Act, or any other claim for which the federal courts have exclusive jurisdiction.</w:t>
      </w:r>
    </w:p>
    <w:p>
      <w:pPr>
        <w:spacing w:after="0" w:line="19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 w:cs="Times New Roman" w:eastAsia="Times New Roman" w:hAnsi="Times New Roman"/>
          <w:sz w:val="18"/>
          <w:szCs w:val="18"/>
          <w:i w:val="1"/>
          <w:iCs w:val="1"/>
          <w:color w:val="auto"/>
        </w:rPr>
        <w:t>Risk Factors—Risks Relating to Our Business—Other Operational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Risks—Our business, operations, clinical development or commercialization plans and timelines, and access to capital could be adversely affected by unpredictable and unstable market and economic conditions</w:t>
      </w:r>
      <w:r>
        <w:rPr>
          <w:rFonts w:ascii="Times New Roman" w:cs="Times New Roman" w:eastAsia="Times New Roman" w:hAnsi="Times New Roman"/>
          <w:sz w:val="18"/>
          <w:szCs w:val="18"/>
          <w:color w:val="auto"/>
        </w:rPr>
        <w:t>.” In addition, other events, such as the Ukraine-Russia and Middle East conflicts, or 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maintain a cybersecurity program that is reasonably designed to assess, identify, and manage risks from cybersecurity threats that may result in material adverse effects on the confidentiality, integrity, and availability of our information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Board of Directors, directly and through its committees, oversees the Company’s risk management function. The Board of Directors has delegated the primary responsibility to oversee cybersecurity matters to the Audit Committee. The Audit Committee reviews the measures implemented by the Company to identify and mitigate data protection and cybersecurity risks. As part of such reviews, the Audit Committee regularly receives reports and presentations from members of our Cybersecurity Steering Committee as appropriate, with a minimum frequency of once per year. These reports and presentations address a wide range of topics including recent developments, status of ongoing and planned cybersecurity initiatives and strategies, evolving standards, vulnerability assessments, third-party and independent reviews, the threat environment, security spend, technological trends and information security considerations arising with respect to the Company’s peers and third parties. The Audit Committee reports to the Board of Directors on data protection and cybersecurity matters. We have protocols by which certain cybersecurity incidents are escalated within the Company and, where appropriate, reported to the Audit Committee, as well as ongoing updates regarding any such incident until it has been addressed.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At the management level, the Chief Financial Officer and Chief Legal Officer attend meetings of the Company’s Cybersecurity Steering Committee (discussed further below) to receive reports on ongoing cybersecurity matters. This ensures that management is involved in an ongoing dialogue regarding the Company’s material risks from cybersecurity threats. In addition, members of the Cybersecurity Steering Committee provide updates on the Company’s cybersecurity control and risk posture and the status of ongoing and planned cybersecurity initiatives and strategies to the Company’s senior management team on an annual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Steering Committee</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has implemented a broad spectrum cross-functional approach to assessing, identifying, and managing risks from cybersecurity threats. Our Cybersecurity Steering Committee has broad oversight of the Company’s cybersecurity risk management processes. The Cybersecurity Steering Committee is composed of the Company’s Chief Financial Officer, Chief Legal Officer, Senior Vice President, Information Technology, senior cybersecurity professionals, members of the finance and legal departments, and other individuals invited as appropriate on an ad hoc basis. On at least a quarterly basis, the Cybersecurity Steering Committee meets to discuss recent cybersecurity events or threats, status of ongoing and planned cybersecurity initiatives and strategies, external cybersecurity trends, and risk management measures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implemented by the Company to identify and mitigate data protection and cybersecurity risks, among other topics. In addition to the scheduled meetings, the Cybersecurity Steering Committee is informed of potentially material cybersecurity events as they arise.</w:t>
      </w:r>
    </w:p>
    <w:p>
      <w:pPr>
        <w:spacing w:after="0" w:line="16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Within the Cybersecurity Steering Committee, our virtual Chief Information Security Officer (vCISO) and our Senior Manager, Security Engineering are primarily responsible for assessing, monitoring, and managing our cybersecurity risks. Our vCISO is a seasoned cyber consultant providing CISO-level advisory services to the Company and reports to the Senior Vice President, Information Technology, who is directly managed by the Chief Financial Officer. He has held CISO positions in several Fortune-500 companies across multiple industry sectors, has worked in information security for over 23 years, is a Certified Information Systems Security Professional (CISSP), and has extensive experience with multiple commercial and government security frameworks. He leads the Company’s information security program and sets the strategic direction for, and establishes and governs the structure of, the program.</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Senior Manager, Security Engineering is managed by the Company’s Vice President, IT Infrastructure, Service &amp; Operations, who directly reports to the Senior Vice President, Information Technology. He is the former Cloud Security Officer for IBM and has over 40 years of experience in information security and data privacy and has CISSP and Cisco Certified Network Associate (CCNA) certifications. He implements and oversees processes for the regular monitoring of our information systems and detection of cybersecurity vulnerabilities.</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Cybersecurity Steering Committee also works closely with members of the legal department to oversee compliance with legal and regulatory security requirements. In addition, the Cybersecurity Steering Committee has implemented controls and procedures that provide for the prompt escalation of certain cybersecurity incidents so that decisions regarding the public disclosure and reporting of such incidents can be made by management in a timely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Program</w:t>
      </w:r>
    </w:p>
    <w:p>
      <w:pPr>
        <w:spacing w:after="0" w:line="22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Company’s cybersecurity program leverages the National Institute of Standards and Technology (NIST) Cybersecurity Framework (CSF) for governance and program management and refers to the Center for Internet Security (CIS) guidelines when reviewing the Company’s security controls posture. The Company uses certain advanced security measures, regular system audits, third party monitoring tools, and ongoing intelligence gathering on the latest developments in cybersecurity to identify, assess, and manage potential vulnerabilities and risks. In addition, the Company engages third parties to assist with assessing, identifying and managing material risks from cybersecurity threats. Once the relevant material risks have been identified, the Company implements controls and processes to help manage these risks, including conducting tabletop exercises to simulate response to a cybersecurity incident, regular testing (e.g., penetration tests, vulnerability scanning) and control gap analyses and assessments designed to confirm appropriate security controls are in place and are maintaining functionality in accordance with the established policies.</w:t>
      </w:r>
    </w:p>
    <w:p>
      <w:pPr>
        <w:spacing w:after="0" w:line="19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also employ systems and processes designed to oversee, identify, and reduce the potential impact of cybersecurity threats associated with any third-party vendor, service provider or customer or otherwise implicating the third-party technology and systems we use.</w:t>
      </w:r>
    </w:p>
    <w:p>
      <w:pPr>
        <w:spacing w:after="0" w:line="16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Our cybersecurity program is integrated into the Company’s overall risk management framework to help identify, assess, educate, and manage the Company’s cybersecurity risk. Our Board of Directors and the Audit Committee, in its role assisting the Board of Directors in its oversight of the Company’s risk management function, consider cybersecurity threat risks alongside other Company risks as part of our overall risk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has adopted a technology incident response plan (IRP) applicable to all Company employees and contractors, which sets forth the process for responding to and documenting data and information technology-related incidents such as security breaches, system failures, data loss, and service interruption</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The IRP provides a standardized framework for investigating, containing, documenting and mitigating cybersecurity incidents, including reporting findings and keeping senior management and other key stakeholders informed and involved as appropriate. The Company’s employees are required to review the IRP and undergo additional cybersecurity training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Cybersecurity Risk, Threats &amp; Incidents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detailed elsewhere in this report, we rely on information technology systems and third-party providers to operate our business. Despite ongoing efforts to continually improve our and our third-party providers’ ability to protect against cyber incidents, our networks and infrastructure may be vulnerable to cyberattacks or intrusions, which could result in a violation of applicable privacy and other laws, significant legal and financial exposure, damage to our reputation, loss or misuse of the information or a loss of confidence in our data security measures, among other consequences. While we have not experienced any material cybersecurity threats or incidents, there can be no guarantee that we will not be the subject of future successful attacks, threats, or incidents. See “</w:t>
      </w:r>
      <w:r>
        <w:rPr>
          <w:rFonts w:ascii="Times New Roman" w:cs="Times New Roman" w:eastAsia="Times New Roman" w:hAnsi="Times New Roman"/>
          <w:sz w:val="18"/>
          <w:szCs w:val="18"/>
          <w:i w:val="1"/>
          <w:iCs w:val="1"/>
          <w:color w:val="auto"/>
        </w:rPr>
        <w:t>Risk Factors—Risks Relating to Our Business—Risks Relating to Technology—Cyber incidents and related disruptions in our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third-party vendors’ information technology systems could adversely affect our business</w:t>
      </w:r>
      <w:r>
        <w:rPr>
          <w:rFonts w:ascii="Times New Roman" w:cs="Times New Roman" w:eastAsia="Times New Roman" w:hAnsi="Times New Roman"/>
          <w:sz w:val="18"/>
          <w:szCs w:val="18"/>
          <w:color w:val="auto"/>
        </w:rPr>
        <w:t>” in Part I, Item IA of this report for additional information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risks we face, which should be read together with the foregoing information.</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lease property in both Durham, North Carolina and Birmingham, Alabama. Our headquarters, including our clinical and regulatory operations, are based in Durham, while our principal research facility is located in Birmingham. We currently lease approximately 23,100 square feet in Durham through leases expiring August 31, 2025 and June 30, 2026, and we lease approximately 49,000 square feet in Birmingham through July 31, 2030, with options for additional extensions. We also contract for smaller offices in a number of other countries. We believe that our facilities are adequate for our current and planned future operations.</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January 2025, the Company received a Paragraph IV notice of certification (the “Notice Letter”) from Annora Pharma Private Limited (“Annora”) advising that Annora has submitted an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 The Company intends to vigorously defend its intellectual property rights protecting ORLADEYO.</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COMMON EQUITY, RELATED STOCKHOLDER MATTERS AND ISSUER PURCHASES OF</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BCRX.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February 20, 2025, there were approximately 147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and do not anticipate paying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on the graph is not necessarily indicative of future price performance.</w:t>
      </w:r>
    </w:p>
    <w:p>
      <w:pPr>
        <w:spacing w:after="0" w:line="17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PERFORMANCE GRAPH FOR BIOCRYST</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Indexed Comparison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156845</wp:posOffset>
            </wp:positionV>
            <wp:extent cx="6000750" cy="257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007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Investment at</w:t>
            </w:r>
          </w:p>
        </w:tc>
        <w:tc>
          <w:tcPr>
            <w:tcW w:w="14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Investment at</w:t>
            </w:r>
          </w:p>
        </w:tc>
        <w:tc>
          <w:tcPr>
            <w:tcW w:w="160" w:type="dxa"/>
            <w:vAlign w:val="bottom"/>
          </w:tcPr>
          <w:p>
            <w:pPr>
              <w:spacing w:after="0"/>
              <w:rPr>
                <w:sz w:val="17"/>
                <w:szCs w:val="17"/>
                <w:color w:val="auto"/>
              </w:rPr>
            </w:pPr>
          </w:p>
        </w:tc>
        <w:tc>
          <w:tcPr>
            <w:tcW w:w="14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Investment at</w:t>
            </w:r>
          </w:p>
        </w:tc>
        <w:tc>
          <w:tcPr>
            <w:tcW w:w="160" w:type="dxa"/>
            <w:vAlign w:val="bottom"/>
          </w:tcPr>
          <w:p>
            <w:pPr>
              <w:spacing w:after="0"/>
              <w:rPr>
                <w:sz w:val="17"/>
                <w:szCs w:val="17"/>
                <w:color w:val="auto"/>
              </w:rPr>
            </w:pPr>
          </w:p>
        </w:tc>
        <w:tc>
          <w:tcPr>
            <w:tcW w:w="14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Investment at</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Investment at</w:t>
            </w:r>
          </w:p>
        </w:tc>
        <w:tc>
          <w:tcPr>
            <w:tcW w:w="160" w:type="dxa"/>
            <w:vAlign w:val="bottom"/>
          </w:tcPr>
          <w:p>
            <w:pPr>
              <w:spacing w:after="0"/>
              <w:rPr>
                <w:sz w:val="17"/>
                <w:szCs w:val="17"/>
                <w:color w:val="auto"/>
              </w:rPr>
            </w:pPr>
          </w:p>
        </w:tc>
        <w:tc>
          <w:tcPr>
            <w:tcW w:w="132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Investment at</w:t>
            </w:r>
          </w:p>
        </w:tc>
      </w:tr>
      <w:tr>
        <w:trPr>
          <w:trHeight w:val="259"/>
        </w:trPr>
        <w:tc>
          <w:tcPr>
            <w:tcW w:w="19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12/31/19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12/31/20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198"/>
        </w:trPr>
        <w:tc>
          <w:tcPr>
            <w:tcW w:w="1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BioCryst Pharmaceuticals,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217.97</w:t>
            </w:r>
          </w:p>
        </w:tc>
      </w:tr>
      <w:tr>
        <w:trPr>
          <w:trHeight w:val="211"/>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Stock Market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1"/>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192.86</w:t>
            </w:r>
          </w:p>
        </w:tc>
      </w:tr>
      <w:tr>
        <w:trPr>
          <w:trHeight w:val="21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Pharmaceutical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r>
    </w:tbl>
    <w:p>
      <w:pPr>
        <w:spacing w:after="0" w:line="29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above graph measures the change in a $100 investment in our common stock based on its closing price of $3.45 on December 31, 2019 and its year-end closing price thereafter. Our relative performance is then compared with the CRSP Total Return Indexes for the Nasdaq Stock Market (United States) and Nasdaq Pharmaceutical Stocks.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fourth quarter of 2024.</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DISCUSSION AND ANALYSIS OF FINANCIAL CONDITION AND RESULTS OF OPERATIONS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This MD&amp;A is provided as a supplement to, and should be read in conjunction with, our audited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 Item 1A of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a global biotechnology company with a deep commitment to improving the lives of people living with hereditary angioedema (“HAE”) and other rare diseases. We leverage our expertise in structure-guided drug design with the goal of developing first-in-class or best-in-class oral small-molecule and injectable protein therapeutics to target difficult-to-treat rare diseases. In addition to these discovery and development efforts, our business strategy includes the successful commercialization of these drugs, as well as self-funding all of these efforts by achieving and increasing profitability. By focusing primarily on rare disease markets, we believe that we can more effectively control the costs of, and our strategic allocation of financial resources toward, post-approval commercialization.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 (berotralstat)</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ORLADEYO is an oral capsule, once-daily therapy discovered and developed by us for the prevention of HAE attacks. ORLADEYO is approved in the United States and other global markets for the prevention of HAE attacks in adults and pediatric patients 12 years and older. In addition, the ongoing APeX-P clinical trial, which is complete through the primary endpoint, is continuing to assess an oral granule formulation of ORLADEYO in pediatric patients who are 2 to 11 years of age.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built out our U.S. commercial infrastructure to support the launch and continued commercialization of ORLADEYO 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continuing to build our commercial infrastructure to support launches in other markets. Based on proprietary analyses of HAE prevalence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research studies with HAE patients, physicians, and payors in the United States and Europe, and four full years of commercialization 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ORLADEYO, we anticipate that the global commercial market for ORLADEYO has the potential to reach a global peak of $1 billion in annual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ORLADEYO revenues. We expect approximately 80 percent of our revenue at peak to come from the United States. These expectations are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numerous risks and uncertainties that may cause our actual results, performance, or achievements to be materially different. There can be no assurance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commercialization methods and strategies will succeed, or that the market for ORLADEYO will develop in line with our current expectations.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Factors—Risks Relating to Our Business—Risks Relating to Drug Development and Commercialization—There can be no assurance that our 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 commercialization efforts, methods, and strategies for our products or technologies will succeed, and our future revenue generation is uncertain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 I, Item 1A of this report for further discussion of these risks.</w:t>
      </w:r>
    </w:p>
    <w:p>
      <w:pPr>
        <w:spacing w:after="0" w:line="232" w:lineRule="exact"/>
        <w:rPr>
          <w:sz w:val="20"/>
          <w:szCs w:val="20"/>
          <w:color w:val="auto"/>
        </w:rPr>
      </w:pPr>
    </w:p>
    <w:p>
      <w:pPr>
        <w:ind w:firstLine="486"/>
        <w:spacing w:after="0" w:line="275" w:lineRule="auto"/>
        <w:rPr>
          <w:sz w:val="20"/>
          <w:szCs w:val="20"/>
          <w:color w:val="auto"/>
        </w:rPr>
      </w:pPr>
      <w:r>
        <w:rPr>
          <w:rFonts w:ascii="Times New Roman" w:cs="Times New Roman" w:eastAsia="Times New Roman" w:hAnsi="Times New Roman"/>
          <w:sz w:val="17"/>
          <w:szCs w:val="17"/>
          <w:color w:val="auto"/>
        </w:rPr>
        <w:t>Revenue from sales of ORLADEYO in 2024, which was our fourth full year of ORLADEYO sales, is discussed under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monitor and analyze this data on an ongoing basis as we continue to commercialize ORLADEYO.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BCX17725 (Netherton syndrome)</w:t>
      </w:r>
    </w:p>
    <w:p>
      <w:pPr>
        <w:spacing w:after="0" w:line="254"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BCX17725 is a potent and selective investigational protein therapeutic KLK5 inhibitor designed to provide best-in-class, potentially disease-modifying, treatment for people with Netherton syndrome. Netherton syndrome is a serious, rare, lifelong genetic disorder affecting the skin, hair, and immune system, caused by lack of normal function of a natural inhibitor of KLK5. People with Netherton syndrome often have red, scaly, inflamed skin, fragile hair, and are more likely to develop skin infections, severe food allergies, asthma and eczema. Netherton syndrome can be life-threatening, especially during infancy when patients are vulnerable to dehydration and recurrent infections. Currently, there are no approved treatments for Netherton syndrome.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251"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deliver avoralstat to the back of the eye through the suprachoroidal space to treat patients with diabetic macular edema (“DME”).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high dose levels to the retinal vessels with long-lasting exposure, which could result in less frequent injections and a reduced burden on patients and the healthcare system.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 Program</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goal of our overall complement program is to advance first-in-class and/or best-in-class compounds across multiple pathways in the complement system to treat complement-mediated diseases. We are pursuing oral medicines and protein therapeutics directed at targets across the classical, lectin, terminal, and alternative pathways of the complement system, including the therapies listed below.</w:t>
      </w:r>
    </w:p>
    <w:p>
      <w:pPr>
        <w:spacing w:after="0" w:line="174"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Oral C5 Inhibitor. </w:t>
      </w:r>
      <w:r>
        <w:rPr>
          <w:rFonts w:ascii="Times New Roman" w:cs="Times New Roman" w:eastAsia="Times New Roman" w:hAnsi="Times New Roman"/>
          <w:sz w:val="18"/>
          <w:szCs w:val="18"/>
          <w:color w:val="auto"/>
        </w:rPr>
        <w:t>We are developing an oral C5 inhibitor that could be the first targeted oral therapy with competitive efficacy to currently-approved injected and infused anti-C5 therapies, such as eculizumab and ravulizumab. A drug with this profile could enable patients to switch from infused therapy and address their disease earlier in the treatment paradigm.</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Oral C2 Inhibitor. </w:t>
      </w:r>
      <w:r>
        <w:rPr>
          <w:rFonts w:ascii="Times New Roman" w:cs="Times New Roman" w:eastAsia="Times New Roman" w:hAnsi="Times New Roman"/>
          <w:sz w:val="18"/>
          <w:szCs w:val="18"/>
          <w:color w:val="auto"/>
        </w:rPr>
        <w:t>We are developing a classical and lectin pathway complement inhibitor. An oral C2 inhibitor developed by us could be first-in-class and allow patients to switch from infused therapy and address their disease earlier in the treatment paradigm.</w:t>
      </w:r>
    </w:p>
    <w:p>
      <w:pPr>
        <w:spacing w:after="0" w:line="158"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Bifunctional Complement Inhibitor. </w:t>
      </w:r>
      <w:r>
        <w:rPr>
          <w:rFonts w:ascii="Times New Roman" w:cs="Times New Roman" w:eastAsia="Times New Roman" w:hAnsi="Times New Roman"/>
          <w:sz w:val="18"/>
          <w:szCs w:val="18"/>
          <w:color w:val="auto"/>
        </w:rPr>
        <w:t>We are developing a bifunctional complement inhibitor anti-C2 monoclonal antibody that could be a first-in-class combined inhibitor of the classical, lectin and alternative pathways of the complement system to treat complex complement-mediated diseases that are influenced by multiple complement pathways.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RAPIVAB®/RAPIACTA®/PERAMIFLU® (peramivir injection)</w:t>
      </w:r>
    </w:p>
    <w:p>
      <w:pPr>
        <w:spacing w:after="0" w:line="254" w:lineRule="exact"/>
        <w:rPr>
          <w:sz w:val="20"/>
          <w:szCs w:val="20"/>
          <w:color w:val="auto"/>
        </w:rPr>
      </w:pPr>
    </w:p>
    <w:p>
      <w:pPr>
        <w:ind w:right="260" w:firstLine="486"/>
        <w:spacing w:after="0" w:line="289" w:lineRule="auto"/>
        <w:rPr>
          <w:sz w:val="20"/>
          <w:szCs w:val="20"/>
          <w:color w:val="auto"/>
        </w:rPr>
      </w:pPr>
      <w:r>
        <w:rPr>
          <w:rFonts w:ascii="Times New Roman" w:cs="Times New Roman" w:eastAsia="Times New Roman" w:hAnsi="Times New Roman"/>
          <w:sz w:val="17"/>
          <w:szCs w:val="17"/>
          <w:color w:val="auto"/>
        </w:rPr>
        <w:t>RAPIVAB (peramivir injection) is approved in the United States for the treatment of acute uncomplicated influenza for patients six months and older. Since the 2009 H1N1 pandemic, RAPIVAB has been an important component of the U.S. Government’s influenza preparedness efforts. Peramivir injection is also approved in Canada (RAPIVAB), Australia (RAPIVAB), Japan (RAPIACTA), Taiwan (RAPIACTA), and Korea (PERAMIFLU).</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22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84"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8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 (berotralstat)</w:t>
      </w: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October 14, 2024, we announced new real-world evidence on the use of ORLADEYO demonstrating that patients with HAE in the United States experience significant reductions in healthcare resource utilization, including significant reductions in hospitalizations, emergency room visits and use of on-demand therapies, after beginning treatment with ORLADEYO.</w:t>
      </w:r>
    </w:p>
    <w:p>
      <w:pPr>
        <w:spacing w:after="0" w:line="20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October 24, 2024, we announced new real-world comparative research on the use of ORLADEYO that found high rates of adherence and persistence for ORLADEYO, similar to the rates observed with two other long-term prophylactic (“LTP”) therapies for HAE. We also announced new real-world evidence showing statistically significant and sustained HAE attack rate reductions after initiating ORLADEYO in patients with HAE, regardless of their C1-inhibitor deficiency status, and new findings from an HAE patient survey confirming patient preference for an oral LTP therapy.</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November 4, 2024, we announced that since launch, approximately half of patients who have started ORLADEYO have switched from another prophylactic therapy. We have begun the observational Phase 4 APeX-T study, designed to generate real-world data to inform physicians on the best individual approaches to support transition to ORLADEYO.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On November 18, 2024, we announced that the Health Services Executive in Ireland recommended ORLADEYO for the routine prevention of recurrent attacks of HAE in eligible patients 12 years and older.</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On February 12, 2025, we announced that Infarmed in Portugal has recommended ORLADEYO for the routine prevention of recurrent attacks of HAE in eligible patients 12 years and older. With this recommendation, ORLADEYO is now reimbursed in all major countries in Western Europe, except the Netherlands, which is expected in the first half of 2025.</w:t>
      </w:r>
    </w:p>
    <w:p>
      <w:pPr>
        <w:spacing w:after="0" w:line="176"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On February 24, 2025, we announced that a new market tracking survey of 60 HAE treaters showed that 97 percent are considering prescribing ORLADEYO and 59 percent (up from 26 percent 18 months prior) of current prescribers indicate they are extremely likely to prescribe for more of their patients. In addition, we announced that additional real-world studies with ORLADEYO show statistically significant HAE attack rate reductions experienced by patients with C1-inhibitor deficiency and normal C1-inhibitor levels and function. Patient-reported outcomes also showed willingness to change long-term prophylaxis and improved treatment satisfaction across varying levels of attack frequency and severity after ORLADEYO initiation.</w:t>
      </w:r>
    </w:p>
    <w:p>
      <w:pPr>
        <w:spacing w:after="0" w:line="18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February 24, 2025, we also announced that we are on track to submit a new drug application in 2025 to the U.S. Food and Drug Administration to expand the ORLADEYO label to children with HAE aged 2 to 11 using an oral granule formulation. Additional regulatory filings are planned in global territories, including Europe, Japan and Canada. ORLADEYO would be the first targeted oral prophylactic therapy for children with HAE. In addition, we announced positive results from an interim analysis of the ongoing APeX-P clinical trial evaluating an oral granule formulation of ORLADEYO in pediatric patients with HAE aged 2 to 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BCX17725 (Netherton syndrome)</w:t>
      </w:r>
    </w:p>
    <w:p>
      <w:pPr>
        <w:spacing w:after="0" w:line="25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On November 4, 2024, we announced that we advanced BCX17725 into clinical trials and that we expect initial data from the program in 2025, and we reaffirmed this on February 24,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2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November 4, 2024, we announced our expectation to advance avoralstat into a clinical trial of patients with DME in 2025, and we reaffirmed this on February 24, 2025.</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24, 2025, we announced that initial clinical data from the avoralstat program is targeted by the end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20" w:firstLine="486"/>
        <w:spacing w:after="0" w:line="290" w:lineRule="auto"/>
        <w:rPr>
          <w:sz w:val="20"/>
          <w:szCs w:val="20"/>
          <w:color w:val="auto"/>
        </w:rPr>
      </w:pPr>
      <w:r>
        <w:rPr>
          <w:rFonts w:ascii="Times New Roman" w:cs="Times New Roman" w:eastAsia="Times New Roman" w:hAnsi="Times New Roman"/>
          <w:sz w:val="17"/>
          <w:szCs w:val="17"/>
          <w:color w:val="auto"/>
        </w:rPr>
        <w:t>The discussion below presents a summary of our results of operations for fiscal years 2024 and 2023. See Part II, Item 7, “</w:t>
      </w:r>
      <w:r>
        <w:rPr>
          <w:rFonts w:ascii="Times New Roman" w:cs="Times New Roman" w:eastAsia="Times New Roman" w:hAnsi="Times New Roman"/>
          <w:sz w:val="17"/>
          <w:szCs w:val="17"/>
          <w:i w:val="1"/>
          <w:iCs w:val="1"/>
          <w:color w:val="auto"/>
        </w:rPr>
        <w:t>Management’s Discussion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Analysis of Financial Condition and Results of Operations—Results of Operations</w:t>
      </w:r>
      <w:r>
        <w:rPr>
          <w:rFonts w:ascii="Times New Roman" w:cs="Times New Roman" w:eastAsia="Times New Roman" w:hAnsi="Times New Roman"/>
          <w:sz w:val="17"/>
          <w:szCs w:val="17"/>
          <w:color w:val="auto"/>
        </w:rPr>
        <w:t>” of our Annual Report on Form 10-K for the fiscal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filed with the SEC on February 27, 2024, for a summary of our results of operations for the fiscal year ended December 31,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2023</w:t>
      </w:r>
    </w:p>
    <w:p>
      <w:pPr>
        <w:spacing w:after="0" w:line="229"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total revenues were $450.7 million compared to $331.4 million for the year ended December 31, 2023. The increase in total revenues was due to a $111.7 million increase in ORLADEYO net revenue, including royalties, primarily due to an increase in direct sales of ORLADEYO due to both an increase in volume, driven by strong patient demand, and an increase in price. The increase in total revenues was also due to an increase in other revenues of $7.6 million, primarily due to an increase in direct sales of RAPIVAB.</w:t>
      </w:r>
    </w:p>
    <w:p>
      <w:pPr>
        <w:spacing w:after="0" w:line="180"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Cost of product sales for the years ended December 31, 2024 and 2023 was $12.3 million and $4.5 million, respectively. The increase in cost of product sales was primarily due to increases in ORLADEYO and RAPIVAB direct sales and an increase in the inventory reserve in the current year period.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periods indicated (in thousands). Certain prior period amounts have been reclassified for consistency with the current year presentation. These reclassifications had no effect on the total research and development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Berotralstat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42,835</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Factor D Program</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94,517</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BCX17725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174,638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216,566</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to $174.6 million for the year ended December 31, 2024 from $216.6 million for the year ended December 31, 2023, primarily due to decreased expenses driven by the discontinuation and close-out of the Factor D programs, BCX10013 and BCX9930. Investment in BCX17725 and other research, preclinical and development costs, comprised of avoralstat and other early-phase pipeline programs, increased primarily due to investigational new drug application-enabling activities and the initiation of the Phase 1 trial evaluating BCX17725. Further, there was an increase in stock-based compensation expense as a result of the Retirement Policy (as defined in “</w:t>
      </w:r>
      <w:r>
        <w:rPr>
          <w:rFonts w:ascii="Times New Roman" w:cs="Times New Roman" w:eastAsia="Times New Roman" w:hAnsi="Times New Roman"/>
          <w:sz w:val="18"/>
          <w:szCs w:val="18"/>
          <w:i w:val="1"/>
          <w:iCs w:val="1"/>
          <w:color w:val="auto"/>
        </w:rPr>
        <w:t>Note 12—Stock-Based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Policy</w:t>
      </w:r>
      <w:r>
        <w:rPr>
          <w:rFonts w:ascii="Times New Roman" w:cs="Times New Roman" w:eastAsia="Times New Roman" w:hAnsi="Times New Roman"/>
          <w:sz w:val="18"/>
          <w:szCs w:val="18"/>
          <w:color w:val="auto"/>
        </w:rPr>
        <w:t>” in the Notes to Consolidated Financial Statements in Part II, Item 8 of this report) adopted in July 2024, and a decrease in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resulting from a decrease in general and administrative expense allocations.</w:t>
      </w:r>
    </w:p>
    <w:p>
      <w:pPr>
        <w:spacing w:after="0" w:line="18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spacing w:after="0" w:line="188" w:lineRule="exact"/>
        <w:rPr>
          <w:sz w:val="20"/>
          <w:szCs w:val="20"/>
          <w:color w:val="auto"/>
        </w:rPr>
      </w:pPr>
    </w:p>
    <w:p>
      <w:pPr>
        <w:ind w:right="280" w:firstLine="52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2024 were $266.1 million compared to $213.9 million for the year ended December 31, 2023. The increased investment was primarily driven by commercial expenses to support our growing ORLADEYO revenue, our newly launched regions and expanded international operations, and global commercial support activities across finance, human resources, information technology, and supply chain. Further, there was an increase in stock-based compensation expense as a result of the Retirement Policy adopted in July 2024, and an increase in general and administrative expenses resulting from an increase in general and administrative expense allocations.</w:t>
      </w:r>
    </w:p>
    <w:p>
      <w:pPr>
        <w:spacing w:after="0" w:line="1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year ended December 31, 2024 was $98.5 million compared to $108.2 million for the year ended December 31, 2023. The decrease in interest expense was primarily due to a decrease in the effective interest rate related to the 2021 RPI Royalty Purchase Agreement (as defined in “</w:t>
      </w:r>
      <w:r>
        <w:rPr>
          <w:rFonts w:ascii="Times New Roman" w:cs="Times New Roman" w:eastAsia="Times New Roman" w:hAnsi="Times New Roman"/>
          <w:sz w:val="18"/>
          <w:szCs w:val="18"/>
          <w:i w:val="1"/>
          <w:iCs w:val="1"/>
          <w:color w:val="auto"/>
        </w:rPr>
        <w:t>Note 8—Royalty Financing Obligations—ORLADEYO and Factor D Inhibitors</w:t>
      </w:r>
      <w:r>
        <w:rPr>
          <w:rFonts w:ascii="Times New Roman" w:cs="Times New Roman" w:eastAsia="Times New Roman" w:hAnsi="Times New Roman"/>
          <w:sz w:val="18"/>
          <w:szCs w:val="18"/>
          <w:color w:val="auto"/>
        </w:rPr>
        <w:t>” in the Notes to Consolidated Financial Statements in Part II, Item 8 of this report) and a decrease in interest expense associated with the borrowings under the Athyrium Credit Agreement (as defined below), which was repaid on April 17, 2023, partially offset by an increase in interest expense associated with the interest accrued on the Tranche A Loan of $300.0 million under the Pharmakon Loan Agreement (as defined below), which was funded on April 17, 2023.</w:t>
      </w:r>
    </w:p>
    <w:p>
      <w:pPr>
        <w:spacing w:after="0" w:line="187"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Interest expense for the year ended December 31, 2024 was primarily comprised of $56.0 million of non-cash interest expense due to the amortization of interest associated with the royalty financing obligations and $41.5 million of interest expense, including the amortization of the deferred financing costs, associated with the borrowings under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Pharmakon Loan Agreement. Interest expense for the year ended December 31, 2023 was primarily comprised of $70.4 million of non-cash interest expense due to the amortization of interest associated with the royalty financing obligations, $28.0 million of interest expense, including the amortization of the deferred financing costs, associated with the borrowings under the Pharmakon Loan Agreement, and $9.5 million of interest expense, including the amortization of the deferred financing, associated with the borrowings under the Athyrium Credit Agreement.</w:t>
      </w:r>
    </w:p>
    <w:p>
      <w:pPr>
        <w:spacing w:after="0" w:line="180" w:lineRule="exact"/>
        <w:rPr>
          <w:sz w:val="20"/>
          <w:szCs w:val="20"/>
          <w:color w:val="auto"/>
        </w:rPr>
      </w:pPr>
    </w:p>
    <w:p>
      <w:pPr>
        <w:ind w:right="80" w:firstLine="52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interest income was $14.7 million compared to $15.8 million for the year ended December 31, 2023. Net foreign currency losses were $0.6 million for the year ended December 31, 2024 compared to $1.0 million for the year ended December 31, 2023. For the year ended December 31, 2023, loss on extinguishment of debt associated with the repayment of the term loans under the Athyrium Credit Agreement was $29.0 million.</w:t>
      </w:r>
    </w:p>
    <w:p>
      <w:pPr>
        <w:spacing w:after="0" w:line="180" w:lineRule="exact"/>
        <w:rPr>
          <w:sz w:val="20"/>
          <w:szCs w:val="20"/>
          <w:color w:val="auto"/>
        </w:rPr>
      </w:pPr>
    </w:p>
    <w:p>
      <w:pPr>
        <w:ind w:right="100" w:firstLine="52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income tax expense was $1.9 million compared to $0.3 million for the year ended December 31, 2023. The increase in income tax expense was primarily due to a return to provision adjustment included in income tax expense for the year ended December 31, 2023, which reduced overall income tax expense for that period, and an increased presence in certain foreign countries that increased our overall foreign income tax expense for the year ended December 31, 2024 compared to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 funding from other sources, including other collaborative and other research and development agreements, government grants, equipment lease financing, facility leases, research grants, and interest income on our investments.</w:t>
      </w:r>
    </w:p>
    <w:p>
      <w:pPr>
        <w:spacing w:after="0" w:line="180"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provided for three additional term loan tranches in principal amounts of $50.0 million each, which we could have requested, at our option, on or prior to September 30, 2024. We chose not to request any of the additional term loan tranches and the options have now expired. The maturity date of the Pharmakon Loan Agreement is April 17, 2028.</w:t>
      </w:r>
    </w:p>
    <w:p>
      <w:pPr>
        <w:spacing w:after="0" w:line="1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Pharmakon Loan Agreement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December 31, 2024, we were in compliance with the negative covenants under the Pharmakon Loan Agreement. See “</w:t>
      </w:r>
      <w:r>
        <w:rPr>
          <w:rFonts w:ascii="Times New Roman" w:cs="Times New Roman" w:eastAsia="Times New Roman" w:hAnsi="Times New Roman"/>
          <w:sz w:val="18"/>
          <w:szCs w:val="18"/>
          <w:i w:val="1"/>
          <w:iCs w:val="1"/>
          <w:color w:val="auto"/>
        </w:rPr>
        <w:t>Note 9—Debt—Pharmakon Loan Agreement</w:t>
      </w:r>
      <w:r>
        <w:rPr>
          <w:rFonts w:ascii="Times New Roman" w:cs="Times New Roman" w:eastAsia="Times New Roman" w:hAnsi="Times New Roman"/>
          <w:sz w:val="18"/>
          <w:szCs w:val="18"/>
          <w:color w:val="auto"/>
        </w:rPr>
        <w:t>” in the Notes to Consolidated Financial Statements in Part II, Item 8 of this report for additional information about our obligations under the Pharmakon Loan Agreement.</w:t>
      </w:r>
    </w:p>
    <w:p>
      <w:pPr>
        <w:spacing w:after="0" w:line="19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2020 and 2021, we entered into the Royalty Purchase Agreements (as defined in “</w:t>
      </w:r>
      <w:r>
        <w:rPr>
          <w:rFonts w:ascii="Times New Roman" w:cs="Times New Roman" w:eastAsia="Times New Roman" w:hAnsi="Times New Roman"/>
          <w:sz w:val="18"/>
          <w:szCs w:val="18"/>
          <w:i w:val="1"/>
          <w:iCs w:val="1"/>
          <w:color w:val="auto"/>
        </w:rPr>
        <w:t>Note 8—Royalty Financing Obligations—ORLADEYO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 D Inhibitors</w:t>
      </w:r>
      <w:r>
        <w:rPr>
          <w:rFonts w:ascii="Times New Roman" w:cs="Times New Roman" w:eastAsia="Times New Roman" w:hAnsi="Times New Roman"/>
          <w:sz w:val="18"/>
          <w:szCs w:val="18"/>
          <w:color w:val="auto"/>
        </w:rPr>
        <w:t>” in the Notes to Consolidated Financial Statements in Part II, Item 8 of this report) with RPI 2019 Intermediate Finance Trust (“RPI”)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OCM IP Healthcare Holdings Limited, an affiliate of OMERS Capital Markets (“OMERS”). Under the Royalty Purchase Agreements, RPI and OMERS are entitled to receive tiered, sales-based royalties on net product sales of ORLADEYO in the United States and certain key European markets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w:t>
      </w:r>
      <w:r>
        <w:rPr>
          <w:rFonts w:ascii="Times New Roman" w:cs="Times New Roman" w:eastAsia="Times New Roman" w:hAnsi="Times New Roman"/>
          <w:sz w:val="18"/>
          <w:szCs w:val="18"/>
          <w:i w:val="1"/>
          <w:iCs w:val="1"/>
          <w:color w:val="auto"/>
        </w:rPr>
        <w:t>Note 8—Royalty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Obligations—ORLADEYO and Factor D Inhibitors</w:t>
      </w:r>
      <w:r>
        <w:rPr>
          <w:rFonts w:ascii="Times New Roman" w:cs="Times New Roman" w:eastAsia="Times New Roman" w:hAnsi="Times New Roman"/>
          <w:sz w:val="18"/>
          <w:szCs w:val="18"/>
          <w:color w:val="auto"/>
        </w:rPr>
        <w:t>” in the Notes to Consolidated Financial Statements in Part II, Item 8 of this report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these financing transactions.</w:t>
      </w:r>
    </w:p>
    <w:p>
      <w:pPr>
        <w:spacing w:after="0" w:line="183"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at December 31, 2024 were approximately $104.7 million in cash and cash equivalents and approximately $236.5 million in available-for-sale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period presented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(193,792)</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of $52.0 million consisted primarily of a net loss of $88.9 million and $87.3 million of changes in operating assets and liabilities, primarily due to payments under our Royalty Purchase Agreements, a decrease in accounts payable, and increases in receivables and inventory, partially offset by $124.1 million of non-cash items. Non-cash items primarily consisted of</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$67.6 million of non-cash interest expense and $65.4 million of stock-based compensation expense, partially offset by $11.5 million of amortization of premiums and discounts on investments.</w:t>
      </w:r>
    </w:p>
    <w:p>
      <w:pPr>
        <w:spacing w:after="0" w:line="18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of $95.1 million consisted primarily of a net loss of $226.5 million and $32.4 million of changes in operating assets and liabilities, primarily due to payments under our Royalty Purchase Agreements and increases in prepaid expenses and other assets and receivables, partially offset by $163.8 million of non-cash items. Non-cash items primarily consisted of $85.8 million of non-cash interest expense, $55.6 million of stock-based compensation expense, and the loss on extinguishment of debt associated with the repayment of the term loans under the Athyrium Credit Agreement of $29.0 million, partially offset by $10.3 million of amortization of premiums and discounts on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of $52.6 million primarily related to maturities of investment securities, partially offset by purchases of investment securities.</w:t>
      </w:r>
    </w:p>
    <w:p>
      <w:pPr>
        <w:spacing w:after="0" w:line="162"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of $131.5 million primarily related to purchases of investment securities, partially offset by maturities of investment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of $5.8 million primarily consisted of withholding taxes paid on stock-based awards and principal payments on finance lease liabilities, partially offset by net proceeds from common stock issued under stock-based compensation plans.</w:t>
      </w:r>
    </w:p>
    <w:p>
      <w:pPr>
        <w:spacing w:after="0" w:line="17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of $32.5 million primarily consisted of net proceeds from the Pharmakon Loan Agreement and net proceeds from common stock issued under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based compensation plans, partially offset by the repayment of the secured term loans under the Athyrium Credit Agreement, withholding taxes paid on stock-based awards, and principal payments on finance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22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and contracting with other parties to conduct certain research and development projects. In addition, we reduced the size of our research and development organization and postponed previously planned capital expenditures at our Discovery Center in Alabama in January 2024, which we believe helped accelerate our path to profitability.</w:t>
      </w:r>
    </w:p>
    <w:p>
      <w:pPr>
        <w:spacing w:after="0" w:line="18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may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future, we may finance our needs principally from the following:</w:t>
      </w:r>
    </w:p>
    <w:p>
      <w:pPr>
        <w:spacing w:after="0" w:line="225"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equity and/or debt financing.</w:t>
      </w:r>
    </w:p>
    <w:p>
      <w:pPr>
        <w:spacing w:after="0" w:line="20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amount and timing of funding we receive, if any, from U.S. Government contracts,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Based on our expectations for revenue and operating expenses, we believe our financial resources will be sufficient to fund our operations for at least the next 12 months. We have no immediate intentions to access the capital markets, and we did not draw down the additional debt available to us under the Pharmakon Loan Agreement. However, we have sustained operating losses for the majority of our corporate history and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will depend upon many factors, including:</w:t>
      </w:r>
    </w:p>
    <w:p>
      <w:pPr>
        <w:spacing w:after="0" w:line="22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under any government contracts and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w:t>
      </w:r>
    </w:p>
    <w:p>
      <w:pPr>
        <w:spacing w:after="0" w:line="9"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980" w:right="32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will share in the costs associated with the development of our programs or run the development programs themselves;</w:t>
      </w: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new drug application (“NDA”) filings;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peramivir,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980" w:right="100" w:hanging="324"/>
        <w:spacing w:after="0" w:line="26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Relating to Our Business—Financial and Liquidity Risks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rFonts w:ascii="Times New Roman" w:cs="Times New Roman" w:eastAsia="Times New Roman" w:hAnsi="Times New Roman"/>
          <w:sz w:val="18"/>
          <w:szCs w:val="18"/>
          <w:color w:val="auto"/>
        </w:rPr>
        <w:t>” in Part I, Item 1A of this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discussion of the risks related to obtaining additional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or are reasonably likely to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w:t>
      </w:r>
      <w:r>
        <w:rPr>
          <w:rFonts w:ascii="Times New Roman" w:cs="Times New Roman" w:eastAsia="Times New Roman" w:hAnsi="Times New Roman"/>
          <w:sz w:val="18"/>
          <w:szCs w:val="18"/>
          <w:i w:val="1"/>
          <w:iCs w:val="1"/>
          <w:color w:val="auto"/>
        </w:rPr>
        <w:t>Note 1—Significant Accounting Policies and Concentrations of Risk</w:t>
      </w:r>
      <w:r>
        <w:rPr>
          <w:rFonts w:ascii="Times New Roman" w:cs="Times New Roman" w:eastAsia="Times New Roman" w:hAnsi="Times New Roman"/>
          <w:sz w:val="18"/>
          <w:szCs w:val="18"/>
          <w:color w:val="auto"/>
        </w:rPr>
        <w:t>” in the Notes to Consolidated Financial Statements in Part II, Item 8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and sales of peramivir to our licensing partners and the HHS. In the United States, we generally ship ORLADEYO directly to patients through a single specialty pharmacy, which is considered our customer. Outside the United States, we sell ORLADEYO to specialty distributors and to hospitals and pharmacies, which collectively are considered our customers.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 revenue for sales when the customer obtains control of the product, which generally occurs upon delivery.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reserves for variable consideration such as</w:t>
      </w:r>
    </w:p>
    <w:p>
      <w:pPr>
        <w:spacing w:after="0" w:line="27"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government rebates, such as Medicaid and Medicare Part D reimbursements, and estimated managed care rebates, (ii) estimated chargebacks,</w:t>
      </w:r>
    </w:p>
    <w:p>
      <w:pPr>
        <w:spacing w:after="0" w:line="9" w:lineRule="exact"/>
        <w:rPr>
          <w:rFonts w:ascii="Times New Roman" w:cs="Times New Roman" w:eastAsia="Times New Roman" w:hAnsi="Times New Roman"/>
          <w:sz w:val="18"/>
          <w:szCs w:val="18"/>
          <w:color w:val="auto"/>
        </w:rPr>
      </w:pPr>
    </w:p>
    <w:p>
      <w:pPr>
        <w:ind w:right="180" w:firstLine="8"/>
        <w:spacing w:after="0" w:line="253"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spacing w:after="0" w:line="185"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We contract with government agencies and managed care organizations or, collectively,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and (iii) product distribution information obtained from our specialty pharmacy regarding payor mix.</w:t>
      </w:r>
    </w:p>
    <w:p>
      <w:pPr>
        <w:spacing w:after="0" w:line="18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 under contracts negotiated between them and our specialty pharmacy. The specialty pharmacy, in turn, charges back to us the difference between the price that the specialty pharmacy paid and the negotiated price paid by the contracted customers, which may be higher or lower than the specialty pharmacy’s purchase price with us. We estimate chargebacks and adjust gross product revenues and establish a current liability at the time revenues are recognized.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estimate the co-payment assistance amounts, which are recorded in the same period in which the related revenue is recognized, resulting in a reduction of product revenue and establishment of a current liability.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8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22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Our primary sources of revenue from these collaborative and other research and development arrangements are license, service and royalty revenues.</w:t>
      </w:r>
    </w:p>
    <w:p>
      <w:pPr>
        <w:spacing w:after="0" w:line="162"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7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9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inventory primarily relates to ORLADEYO. Additionally, our inventory includes peramivir.</w:t>
      </w:r>
    </w:p>
    <w:p>
      <w:pPr>
        <w:spacing w:after="0" w:line="22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inventory at the lower of cost or estimated net realizable value. We determine the cost of our inventory on a first-in, first-out (FIFO) basis. Raw materials and work-in-process include all inventory costs prior to packaging and labeling, including raw material, active product ingredient, and the drug product. Finished goods include packaged and labeled products. We classify inventory as long-term when consumption or sale of the inventory is not expected to occur within 12 months from the balance sheet date.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firstLine="486"/>
        <w:spacing w:after="0" w:line="272" w:lineRule="auto"/>
        <w:rPr>
          <w:sz w:val="20"/>
          <w:szCs w:val="20"/>
          <w:color w:val="auto"/>
        </w:rPr>
      </w:pPr>
      <w:r>
        <w:rPr>
          <w:rFonts w:ascii="Times New Roman" w:cs="Times New Roman" w:eastAsia="Times New Roman" w:hAnsi="Times New Roman"/>
          <w:sz w:val="17"/>
          <w:szCs w:val="17"/>
          <w:color w:val="auto"/>
        </w:rPr>
        <w:t>Our inventory is subject to expiration dating. At each reporting date, we evaluate the carrying value of our inventory and provide valuation reserves for any estimated excess, obsolete, short-dated or unmarketable inventory. In addition, we may experience spoilage of our raw materials and supplies. Our determination that a valuation reserve might be required, in addition to the quantification of such reserve, requires us to utilize significant judgment.</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our inventory is subject to strict quality control and monitoring that is performed throughout the manufacturing process, including release of work-in-process to finished goods. In the event that certain batches or units of product do not meet quality specifications, we will record a write-down of any potential unmarketable inventory to its estimated net realizable value and record the expense as cost of product in the Consolidated Statements of Comprehensive Loss.</w:t>
      </w:r>
    </w:p>
    <w:p>
      <w:pPr>
        <w:spacing w:after="0" w:line="18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we expense costs relating to production of pre-launch inventory as research and development expense in our Consolidated Statements of Comprehensive Loss in the period incurred. After regulatory approval has been received, we capitalize inventory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Accruals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w:t>
      </w:r>
    </w:p>
    <w:p>
      <w:pPr>
        <w:spacing w:after="0" w:line="1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Industrial Research, Ltd., and the University of Alabama at Birmingham (“UAB”), which require fees related to sublicense agreements. We accrue sublicense expenses as incurred.</w:t>
      </w:r>
    </w:p>
    <w:p>
      <w:pPr>
        <w:spacing w:after="0" w:line="176"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We group our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our discovery research efforts.</w:t>
      </w:r>
    </w:p>
    <w:p>
      <w:pPr>
        <w:spacing w:after="0" w:line="18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and third-party vendors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8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We utilize the Black-Scholes option-pricing model to value our stock option awards and recognize compensation expense on a straight-line basis over the requisite service period.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restricted stock unit awards for which no compensation expense is recognized until it is probable that the performance condition will be achieved. Actual results, and future changes in estimates, may differ substantially from our current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spacing w:after="0" w:line="183"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We recognize interest and penalties related to income tax matters in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380" w:firstLine="48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1—Significant Accounting Policies and Concentrations of Risk</w:t>
      </w:r>
      <w:r>
        <w:rPr>
          <w:rFonts w:ascii="Times New Roman" w:cs="Times New Roman" w:eastAsia="Times New Roman" w:hAnsi="Times New Roman"/>
          <w:sz w:val="18"/>
          <w:szCs w:val="18"/>
          <w:color w:val="auto"/>
        </w:rPr>
        <w:t>” in the Notes to the Consolidated Financial Statements included in Part II, Item 8 of this report discusses accounting pronouncements recently issued or proposed but not yet required to be adopted.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(as defined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Debt—Pharmakon Loan Agreement</w:t>
      </w:r>
      <w:r>
        <w:rPr>
          <w:rFonts w:ascii="Times New Roman" w:cs="Times New Roman" w:eastAsia="Times New Roman" w:hAnsi="Times New Roman"/>
          <w:sz w:val="18"/>
          <w:szCs w:val="18"/>
          <w:color w:val="auto"/>
        </w:rPr>
        <w:t>” in the Notes to the Consolidated Financial Statements included in Part II, Item 8 of this report) was made, SOFR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7.25%. Accordingly, increases in interest rates will increase the associated interest payments that we are required to make on the Tranche A Loan. For the year ended December 31, 2024, interest was accrued at an effective rate of 13.14% on the $300.0 million borrowing under the Pharmakon Loan Agreement.</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8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90" w:lineRule="exact"/>
        <w:rPr>
          <w:sz w:val="20"/>
          <w:szCs w:val="20"/>
          <w:color w:val="auto"/>
        </w:rPr>
      </w:pPr>
    </w:p>
    <w:p>
      <w:pPr>
        <w:ind w:right="220" w:firstLine="486"/>
        <w:spacing w:after="0" w:line="312" w:lineRule="auto"/>
        <w:rPr>
          <w:sz w:val="20"/>
          <w:szCs w:val="20"/>
          <w:color w:val="auto"/>
        </w:rPr>
      </w:pPr>
      <w:r>
        <w:rPr>
          <w:rFonts w:ascii="Times New Roman" w:cs="Times New Roman" w:eastAsia="Times New Roman" w:hAnsi="Times New Roman"/>
          <w:sz w:val="17"/>
          <w:szCs w:val="17"/>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year ended December 31, 2024,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spacing w:after="0" w:line="183"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2024; however,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firstLine="486"/>
        <w:spacing w:after="0" w:line="289" w:lineRule="auto"/>
        <w:rPr>
          <w:sz w:val="20"/>
          <w:szCs w:val="20"/>
          <w:color w:val="auto"/>
        </w:rPr>
      </w:pPr>
      <w:r>
        <w:rPr>
          <w:rFonts w:ascii="Times New Roman" w:cs="Times New Roman" w:eastAsia="Times New Roman" w:hAnsi="Times New Roman"/>
          <w:sz w:val="17"/>
          <w:szCs w:val="17"/>
          <w:color w:val="auto"/>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consolidated financial statements are presented in this report. Significant adverse changes in inflation could negatively impact our future results of operations.</w:t>
      </w: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69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receivables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56,950</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421,968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495,966</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102,882</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149,988</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481,053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508,034</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Secured term loan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314,869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303,231</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966,354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972,488</w:t>
            </w:r>
          </w:p>
        </w:tc>
        <w:tc>
          <w:tcPr>
            <w:tcW w:w="0" w:type="dxa"/>
            <w:vAlign w:val="bottom"/>
          </w:tcPr>
          <w:p>
            <w:pPr>
              <w:spacing w:after="0"/>
              <w:rPr>
                <w:sz w:val="1"/>
                <w:szCs w:val="1"/>
                <w:color w:val="auto"/>
              </w:rPr>
            </w:pPr>
          </w:p>
        </w:tc>
      </w:tr>
      <w:tr>
        <w:trPr>
          <w:trHeight w:val="20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shares authorized - 5,000; no shares issued and outstanding at December 31,</w:t>
            </w:r>
          </w:p>
        </w:tc>
        <w:tc>
          <w:tcPr>
            <w:tcW w:w="3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2023</w:t>
            </w:r>
          </w:p>
        </w:tc>
        <w:tc>
          <w:tcPr>
            <w:tcW w:w="34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- 450,000; shares issued and outstanding – 208,543 and</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3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205,771 at December 31, 2024 and 2023, respectively</w:t>
            </w: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1,222,236</w:t>
            </w:r>
          </w:p>
        </w:tc>
        <w:tc>
          <w:tcPr>
            <w:tcW w:w="0" w:type="dxa"/>
            <w:vAlign w:val="bottom"/>
          </w:tcPr>
          <w:p>
            <w:pPr>
              <w:spacing w:after="0"/>
              <w:rPr>
                <w:sz w:val="1"/>
                <w:szCs w:val="1"/>
                <w:color w:val="auto"/>
              </w:rPr>
            </w:pPr>
          </w:p>
        </w:tc>
      </w:tr>
      <w:tr>
        <w:trPr>
          <w:trHeight w:val="25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(1,770,040)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(1,681,159)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(475,934)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(455,528)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37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40" w:type="dxa"/>
            <w:vAlign w:val="bottom"/>
            <w:gridSpan w:val="6"/>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7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270,827</w:t>
            </w: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30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r>
      <w:tr>
        <w:trPr>
          <w:trHeight w:val="25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253,297</w:t>
            </w:r>
          </w:p>
        </w:tc>
      </w:tr>
      <w:tr>
        <w:trPr>
          <w:trHeight w:val="257"/>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213,894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159,371</w:t>
            </w:r>
          </w:p>
        </w:tc>
      </w:tr>
      <w:tr>
        <w:trPr>
          <w:trHeight w:val="25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Royalty</w:t>
            </w:r>
          </w:p>
        </w:tc>
        <w:tc>
          <w:tcPr>
            <w:tcW w:w="3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453,255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419,262</w:t>
            </w:r>
          </w:p>
        </w:tc>
      </w:tr>
      <w:tr>
        <w:trPr>
          <w:trHeight w:val="250"/>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(148,435)</w:t>
            </w:r>
          </w:p>
        </w:tc>
      </w:tr>
      <w:tr>
        <w:trPr>
          <w:trHeight w:val="250"/>
        </w:trPr>
        <w:tc>
          <w:tcPr>
            <w:tcW w:w="128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7"/>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5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(99,092)</w:t>
            </w:r>
          </w:p>
        </w:tc>
      </w:tr>
      <w:tr>
        <w:trPr>
          <w:trHeight w:val="25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losses, net</w:t>
            </w:r>
          </w:p>
        </w:tc>
        <w:tc>
          <w:tcPr>
            <w:tcW w:w="3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5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(95,948)</w:t>
            </w:r>
          </w:p>
        </w:tc>
      </w:tr>
      <w:tr>
        <w:trPr>
          <w:trHeight w:val="250"/>
        </w:trPr>
        <w:tc>
          <w:tcPr>
            <w:tcW w:w="1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(244,383)</w:t>
            </w:r>
          </w:p>
        </w:tc>
      </w:tr>
      <w:tr>
        <w:trPr>
          <w:trHeight w:val="256"/>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7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7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(247,116)</w:t>
            </w:r>
          </w:p>
        </w:tc>
      </w:tr>
      <w:tr>
        <w:trPr>
          <w:trHeight w:val="20"/>
        </w:trPr>
        <w:tc>
          <w:tcPr>
            <w:tcW w:w="3600" w:type="dxa"/>
            <w:vAlign w:val="bottom"/>
            <w:tcBorders>
              <w:top w:val="single" w:sz="8" w:color="CCEEFF"/>
            </w:tcBorders>
            <w:gridSpan w:val="2"/>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6"/>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57"/>
        </w:trPr>
        <w:tc>
          <w:tcPr>
            <w:tcW w:w="73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 for sale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50"/>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0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37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(247,267)</w:t>
            </w:r>
          </w:p>
        </w:tc>
      </w:tr>
      <w:tr>
        <w:trPr>
          <w:trHeight w:val="20"/>
        </w:trPr>
        <w:tc>
          <w:tcPr>
            <w:tcW w:w="3600" w:type="dxa"/>
            <w:vAlign w:val="bottom"/>
            <w:tcBorders>
              <w:top w:val="single" w:sz="8" w:color="CCEEFF"/>
            </w:tcBorders>
            <w:gridSpan w:val="2"/>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7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3600" w:type="dxa"/>
            <w:vAlign w:val="bottom"/>
            <w:tcBorders>
              <w:top w:val="single" w:sz="8" w:color="CCEEFF"/>
            </w:tcBorders>
            <w:gridSpan w:val="2"/>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206,696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185,908</w:t>
            </w:r>
          </w:p>
        </w:tc>
      </w:tr>
      <w:tr>
        <w:trPr>
          <w:trHeight w:val="20"/>
        </w:trPr>
        <w:tc>
          <w:tcPr>
            <w:tcW w:w="1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6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7"/>
        </w:trPr>
        <w:tc>
          <w:tcPr>
            <w:tcW w:w="69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69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(88,881)</w:t>
            </w:r>
          </w:p>
        </w:tc>
        <w:tc>
          <w:tcPr>
            <w:tcW w:w="10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(226,539)</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(247,116)</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42"/>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8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1,437</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5"/>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Inventory obsolescence</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422</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932</w:t>
            </w: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55,615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44,701</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6"/>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Non-cash interest expense on royalty financing obligations and secured term loan and amortization of debt issuance costs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67,607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85,803</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98,918</w:t>
            </w: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Amortization of premium (discount) on investments, net</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6"/>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8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29,019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Loss on impairment</w:t>
            </w:r>
          </w:p>
        </w:tc>
        <w:tc>
          <w:tcPr>
            <w:tcW w:w="8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42"/>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Receivables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(22,698)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(21,470)</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6"/>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Inventory</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(12,423)</w:t>
            </w: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(2,583)</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5"/>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(62,379)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(16,806)</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(22,360)</w:t>
            </w:r>
          </w:p>
        </w:tc>
      </w:tr>
      <w:tr>
        <w:trPr>
          <w:trHeight w:val="153"/>
        </w:trPr>
        <w:tc>
          <w:tcPr>
            <w:tcW w:w="69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Deferred revenue</w:t>
            </w:r>
          </w:p>
        </w:tc>
        <w:tc>
          <w:tcPr>
            <w:tcW w:w="8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(52,020)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(95,141)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(161,850)</w:t>
            </w:r>
          </w:p>
        </w:tc>
      </w:tr>
      <w:tr>
        <w:trPr>
          <w:trHeight w:val="182"/>
        </w:trPr>
        <w:tc>
          <w:tcPr>
            <w:tcW w:w="69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6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Acquisitions of property and equipment</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6"/>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Purchases of investments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(266,763)</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(514,407)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(244,283)</w:t>
            </w: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Maturities of investments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320,480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385,077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117,396</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(used in) investing activities</w:t>
            </w: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52,593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(131,498)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(128,238)</w:t>
            </w:r>
          </w:p>
        </w:tc>
      </w:tr>
      <w:tr>
        <w:trPr>
          <w:trHeight w:val="183"/>
        </w:trPr>
        <w:tc>
          <w:tcPr>
            <w:tcW w:w="69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6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 proceeds from common stock issued under stock-based compensation plans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8,340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14,765</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5"/>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Common stock issued to directors in lieu of cash retainer</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342</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Withholding taxes paid on stock-based awards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5"/>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Net proceeds from secured term loans</w:t>
            </w:r>
          </w:p>
        </w:tc>
        <w:tc>
          <w:tcPr>
            <w:tcW w:w="8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300,000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73,072</w:t>
            </w:r>
          </w:p>
        </w:tc>
      </w:tr>
      <w:tr>
        <w:trPr>
          <w:trHeight w:val="166"/>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Repayment of Athyrium secured term loans principal</w:t>
            </w:r>
          </w:p>
        </w:tc>
        <w:tc>
          <w:tcPr>
            <w:tcW w:w="8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(240,452)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5"/>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Prepayment and repayment fees on Athyrium secured term loans</w:t>
            </w:r>
          </w:p>
        </w:tc>
        <w:tc>
          <w:tcPr>
            <w:tcW w:w="8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Payment of debt issuance costs on Pharmakon Tranche A term loan</w:t>
            </w:r>
          </w:p>
        </w:tc>
        <w:tc>
          <w:tcPr>
            <w:tcW w:w="8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Principal payments on finance lease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provided by financing activities</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(5,761)</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32,485</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88,027</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Effect of exchange rates on cash, cash equivalents and restricted cash</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566</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Decrease in cash, cash equivalents and restricted cash</w:t>
            </w: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(193,792)</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(201,495)</w:t>
            </w:r>
          </w:p>
        </w:tc>
      </w:tr>
      <w:tr>
        <w:trPr>
          <w:trHeight w:val="183"/>
        </w:trPr>
        <w:tc>
          <w:tcPr>
            <w:tcW w:w="69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6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Beginning of year</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306,239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507,734</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End of year</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106,323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112,447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306,239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6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4"/>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104,713</w:t>
            </w:r>
          </w:p>
        </w:tc>
        <w:tc>
          <w:tcPr>
            <w:tcW w:w="10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110,643</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304,767</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5"/>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Restricted cash</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1,472</w:t>
            </w:r>
          </w:p>
        </w:tc>
      </w:tr>
      <w:tr>
        <w:trPr>
          <w:trHeight w:val="154"/>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Restricted cash in other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cash equivalents and restricted cash</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106,323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112,447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306,239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 disclosure:</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Cash paid for interest</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30,383</w:t>
            </w:r>
          </w:p>
        </w:tc>
        <w:tc>
          <w:tcPr>
            <w:tcW w:w="10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22,139</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5"/>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Cash paid for taxes</w:t>
            </w:r>
          </w:p>
        </w:tc>
        <w:tc>
          <w:tcPr>
            <w:tcW w:w="860" w:type="dxa"/>
            <w:vAlign w:val="bottom"/>
            <w:tcBorders>
              <w:bottom w:val="single" w:sz="8" w:color="CCEEFF"/>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1,603</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1,434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3,542</w:t>
            </w:r>
          </w:p>
        </w:tc>
      </w:tr>
      <w:tr>
        <w:trPr>
          <w:trHeight w:val="154"/>
        </w:trPr>
        <w:tc>
          <w:tcPr>
            <w:tcW w:w="6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 withheld on stock-based awards included in accrued expenses</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10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4,199</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1,990</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460" w:type="dxa"/>
            <w:vAlign w:val="bottom"/>
            <w:gridSpan w:val="4"/>
            <w:vMerge w:val="restart"/>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3"/>
                <w:szCs w:val="13"/>
                <w:color w:val="auto"/>
              </w:rPr>
            </w:pPr>
          </w:p>
        </w:tc>
        <w:tc>
          <w:tcPr>
            <w:tcW w:w="246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184,350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1,098,498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(1,207,504)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(106,986)</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(247,116)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(247,116)</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to directors in lieu of cash retainer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44,701</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187,906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1,158,118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(1,454,620)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(294,597)</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(226,539)</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 net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for vesting of restricted stock units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to directors in lieu of cash retainer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55,615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205,771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1,222,236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(1,681,159)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(455,528)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(88,881)</w:t>
            </w:r>
          </w:p>
        </w:tc>
        <w:tc>
          <w:tcPr>
            <w:tcW w:w="0" w:type="dxa"/>
            <w:vAlign w:val="bottom"/>
          </w:tcPr>
          <w:p>
            <w:pPr>
              <w:spacing w:after="0"/>
              <w:rPr>
                <w:sz w:val="1"/>
                <w:szCs w:val="1"/>
                <w:color w:val="auto"/>
              </w:rPr>
            </w:pP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for vesting of restricted stock units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to directors in lieu of cash retainer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65,413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65,413</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208,543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1,291,100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(1,770,040)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(475,934)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BioCryst Pharmaceuticals, Inc. (the “Company”) is a global biotechnology company with a deep commitment to improving the lives of people living with hereditary angioedema (“HAE”) and other rare diseases. The Company leverages its expertise in structure-guided drug design with the goal of developing first-in-class or best-in-class oral small-molecule and injectable protein therapeutics to target difficult-to-treat rare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w:t>
      </w:r>
    </w:p>
    <w:p>
      <w:pPr>
        <w:spacing w:after="0" w:line="18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distributors, except in Japan where Torii Pharmaceutical Co., Ltd. (“Torii”), the Company’s collaborative partner, conducts certain commercialization activities with respect to ORLADEYO for the prevention of HAE attacks in exchange for certain royalty payments to the Company. In addition to its approval in the United States, peramivir injection has received regulatory approvals in Canada, Australia, Japan, Taiwan and Korea.</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Based on the Company’s expectations for revenue and operating expenses, the Company believes its financial resources available at December 31, 2024 will be sufficient to fund its operations for at least the next 12 months. The Company has sustained operating losses for the majority of its corporate history and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 The Company operates and manages its business as one reportable and operating segment (see “</w:t>
      </w:r>
      <w:r>
        <w:rPr>
          <w:rFonts w:ascii="Times New Roman" w:cs="Times New Roman" w:eastAsia="Times New Roman" w:hAnsi="Times New Roman"/>
          <w:sz w:val="18"/>
          <w:szCs w:val="18"/>
          <w:i w:val="1"/>
          <w:iCs w:val="1"/>
          <w:color w:val="auto"/>
        </w:rPr>
        <w:t>Note 17—Segment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(“U.S. GAAP”). Such consolidated financial statements reflect all adjustments that are, in management’s opinion, necessary to present fairly, in all material respects, the Company’s consolidated financial position, results of operations, and cash flows. There were no adjustments other than normal recurring adjustments. Certain prior year amounts have been reclassified to conform to the current year presentation.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years ended December 31, 2024,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267,710</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Collaborative and other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270,827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and sales of peramivir (RAPIVAB/RAPIACTA/PERAMIFLU) to the Company’s licensing partners and to the U.S. Department of Health and Human Services (“HHS”). In the United States, the Company generally ships ORLADEYO directly to patients through a single specialty pharmacy, which is considered its customer. Outside the United States, the Company sells ORLADEYO to specialty distributors and to hospitals and pharmacies, which collectively are considered its customers.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recognizes revenue for sales when the customer obtains control of the product, which generally occurs upon delivery.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reserves for variable consideration such as</w:t>
      </w:r>
    </w:p>
    <w:p>
      <w:pPr>
        <w:spacing w:after="0" w:line="27" w:lineRule="exact"/>
        <w:rPr>
          <w:sz w:val="20"/>
          <w:szCs w:val="20"/>
          <w:color w:val="auto"/>
        </w:rPr>
      </w:pPr>
    </w:p>
    <w:p>
      <w:pPr>
        <w:ind w:left="220" w:hanging="212"/>
        <w:spacing w:after="0"/>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government rebates, such as Medicaid and Medicare Part D reimbursements, and estimated managed care rebates, (ii) estimated chargebacks,</w:t>
      </w:r>
    </w:p>
    <w:p>
      <w:pPr>
        <w:spacing w:after="0" w:line="9" w:lineRule="exact"/>
        <w:rPr>
          <w:rFonts w:ascii="Times New Roman" w:cs="Times New Roman" w:eastAsia="Times New Roman" w:hAnsi="Times New Roman"/>
          <w:sz w:val="18"/>
          <w:szCs w:val="18"/>
          <w:color w:val="auto"/>
        </w:rPr>
      </w:pPr>
    </w:p>
    <w:p>
      <w:pPr>
        <w:ind w:right="20" w:firstLine="8"/>
        <w:spacing w:after="0" w:line="253"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costs of co-payment 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accounts receivable if no payments are required of the Company or a current liability if a payment is required of the Company. Actual amounts of consideration may differ from the Company's estimates. If actual results vary from estimates, these estimates are adjusted, which would affect net product revenue and earnings in the period such variances become known.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and (iii) product distribution information obtained from the Company's specialty pharmacy regarding payor mix.</w:t>
      </w:r>
    </w:p>
    <w:p>
      <w:pPr>
        <w:spacing w:after="0" w:line="182"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spacing w:after="0" w:line="182"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82"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227"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The Company’s primary sources of revenue from these collaborative and other research and development arrangements are license, service and royalty revenues.</w:t>
      </w:r>
    </w:p>
    <w:p>
      <w:pPr>
        <w:spacing w:after="0" w:line="162"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7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Total restricted cash was $1,610 and $1,804 as of December 31, 2024 and 2023, respectively, and primarily consisted of $1,400 and $1,493 as of December 31, 2024 and 2023, respectively, for a letter of credit the Company is required to maintain associated with its Birmingham lease. The letter of credit associated with the Birmingham lease of $1,400 is reflected within other assets on the Consolidated Balance Sheets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Treasury obligations, U.S government agency securities, money market funds, certificates of deposits, corporate notes and bonds, and commercial paper.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Assets measured at fair value on a recurring basis include investments (See “</w:t>
      </w:r>
      <w:r>
        <w:rPr>
          <w:rFonts w:ascii="Times New Roman" w:cs="Times New Roman" w:eastAsia="Times New Roman" w:hAnsi="Times New Roman"/>
          <w:sz w:val="18"/>
          <w:szCs w:val="18"/>
          <w:i w:val="1"/>
          <w:iCs w:val="1"/>
          <w:color w:val="auto"/>
        </w:rPr>
        <w:t>Note 3—Investments</w:t>
      </w:r>
      <w:r>
        <w:rPr>
          <w:rFonts w:ascii="Times New Roman" w:cs="Times New Roman" w:eastAsia="Times New Roman" w:hAnsi="Times New Roman"/>
          <w:sz w:val="18"/>
          <w:szCs w:val="18"/>
          <w:color w:val="auto"/>
        </w:rPr>
        <w:t>”). There were no liabilities measured at fair value on a recurring basis as of December 31, 2024 and 2023. The carrying amounts reflected in the Consolidated Balance Sheets for cash and cash equivalents, trade receivables, prepaid expenses and other current assets, accounts payable and accrued expenses approximate their fair values due to the short-term nature of these assets and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royalty receivables from the Company’s partners, including Shionogi &amp; Co., Ltd., Green Cross, and Torii (See “</w:t>
      </w:r>
      <w:r>
        <w:rPr>
          <w:rFonts w:ascii="Times New Roman" w:cs="Times New Roman" w:eastAsia="Times New Roman" w:hAnsi="Times New Roman"/>
          <w:sz w:val="18"/>
          <w:szCs w:val="18"/>
          <w:i w:val="1"/>
          <w:iCs w:val="1"/>
          <w:color w:val="auto"/>
        </w:rPr>
        <w:t>Note 15—Collaborative and Other Relationships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primarily relates to ORLADEYO. Additionally, the Company’s inventory includes peramivir.</w:t>
      </w:r>
    </w:p>
    <w:p>
      <w:pPr>
        <w:spacing w:after="0" w:line="22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inventory at the lower of cost or estimated net realizable value. The Company determines the cost of its inventory on a first-in, first-out (FIFO) basis. Raw materials and work-in-process include all inventory costs prior to packaging and labeling, including raw material, active product ingredient, and the drug product. Finished goods include packaged and labeled products. The Company classifies inventory as long-term when consumption or sale of the inventory is not expected to occur within 12 months from the balance sheet date.</w:t>
      </w:r>
    </w:p>
    <w:p>
      <w:pPr>
        <w:spacing w:after="0" w:line="18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Company’s inventory is subject to expiration dating. At each reporting date, the Company evaluates the carrying value of its inventory and provides valuation reserves for any estimated excess,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 Additionally, the Company’s inventory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product in the Consolidated Statements of Comprehensive Loss.</w:t>
      </w:r>
    </w:p>
    <w:p>
      <w:pPr>
        <w:spacing w:after="0" w:line="18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pre-launch inventory as research and development expense in its Consolidated Statements of Comprehensive Loss in the period incurred. After regulatory approval has been received, the Company capitalizes inventory costs.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9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underestimates or overestimates the level of these costs, actual expenses could differ from such estimates. As of December 31, 2024 and 2023, the carrying value of accrued expenses approximates their fair value due to their short-term settlement.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ind w:right="240" w:firstLine="522"/>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of producing and distributing inventory that is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Most of the Company’s manufacturing and clinical and preclinical studies are performed by third-party CROs. Costs for studies performed by CROs are accrued by the Company over the service periods specified in the contracts, and estimates are adjusted based upon the Company’s ongoing review of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level of services actually performed. Advance payments for goods or services that will be used or rendered for future research and development activities are deferred and capitalized. Such amounts are recognized as expense when the related goods are delivered or the related services are performed.</w:t>
      </w:r>
    </w:p>
    <w:p>
      <w:pPr>
        <w:spacing w:after="0" w:line="14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w:t>
      </w:r>
    </w:p>
    <w:p>
      <w:pPr>
        <w:spacing w:after="0" w:line="18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Indirect costs of the Company’s clinical programs include lab supplies and services, facility expenses, depreciation of development equipment and an allocation of its general and administrative overhead costs that support the Company’s research and development efforts.</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Industrial Research, Ltd., and the University of Alabama at Birmingham (“UAB”), which require fees related to sublicense agreements. The Company accrues sublicense expenses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Advertising costs related to ORLADEYO of $13,566, $14,404 and $14,891 were expensed as incurred for the years ended December 31, 2024, 2023 and 2022, respectively.</w:t>
      </w:r>
    </w:p>
    <w:p>
      <w:pPr>
        <w:spacing w:after="0" w:line="16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All patent related costs are expensed to selling, general and administrative expenses when incurred as recoverability of such expenditures is uncertain.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and finance leases, which consist of real estate leases, laboratory equipment leases and office equipment leases as of December 31, 2024. The Company determines whether a contract is, or contains, a lease at inception.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leases. The Company elected the practical expedient that exempts leases with an initial lease term of twelve months or less, as well as the practical expedient that allows companies to select, by class of underlying asset, not to separate lease and non-lease components.</w:t>
      </w:r>
    </w:p>
    <w:p>
      <w:pPr>
        <w:spacing w:after="0" w:line="1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Consolidated Balance Sheets represent payments over the lease term, which include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87"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w:t>
      </w:r>
    </w:p>
    <w:p>
      <w:pPr>
        <w:spacing w:after="0" w:line="140"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leases; therefore, the Company has no corresponding liability recorded on its Consolidated Balance Sheets.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to value its stock option awards and recognize compensation expense on a straight-line basis over the requisite service period.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restricted stock unit awards for which no compensation expense is recognized until it is probable that the performance condition will be achieved. Actual results, and future changes in estimates, may differ substantially from the Company’s current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Deferred Financing Costs and Royalty Financing Obligations</w:t>
      </w:r>
    </w:p>
    <w:p>
      <w:pPr>
        <w:spacing w:after="0" w:line="227" w:lineRule="exact"/>
        <w:rPr>
          <w:sz w:val="20"/>
          <w:szCs w:val="20"/>
          <w:color w:val="auto"/>
        </w:rPr>
      </w:pPr>
    </w:p>
    <w:p>
      <w:pPr>
        <w:jc w:val="both"/>
        <w:ind w:right="120" w:firstLine="486"/>
        <w:spacing w:after="0" w:line="267" w:lineRule="auto"/>
        <w:rPr>
          <w:sz w:val="20"/>
          <w:szCs w:val="20"/>
          <w:color w:val="auto"/>
        </w:rPr>
      </w:pPr>
      <w:r>
        <w:rPr>
          <w:rFonts w:ascii="Times New Roman" w:cs="Times New Roman" w:eastAsia="Times New Roman" w:hAnsi="Times New Roman"/>
          <w:sz w:val="18"/>
          <w:szCs w:val="18"/>
          <w:color w:val="auto"/>
        </w:rPr>
        <w:t>Interest expense primarily relates to the royalty financing obligations (see “</w:t>
      </w:r>
      <w:r>
        <w:rPr>
          <w:rFonts w:ascii="Times New Roman" w:cs="Times New Roman" w:eastAsia="Times New Roman" w:hAnsi="Times New Roman"/>
          <w:sz w:val="18"/>
          <w:szCs w:val="18"/>
          <w:i w:val="1"/>
          <w:iCs w:val="1"/>
          <w:color w:val="auto"/>
        </w:rPr>
        <w:t>Note 8—Royalty Financing Obligations</w:t>
      </w:r>
      <w:r>
        <w:rPr>
          <w:rFonts w:ascii="Times New Roman" w:cs="Times New Roman" w:eastAsia="Times New Roman" w:hAnsi="Times New Roman"/>
          <w:sz w:val="18"/>
          <w:szCs w:val="18"/>
          <w:color w:val="auto"/>
        </w:rPr>
        <w:t>”) and the term loan borrowings under the Pharmakon Loan Agreement (see “</w:t>
      </w:r>
      <w:r>
        <w:rPr>
          <w:rFonts w:ascii="Times New Roman" w:cs="Times New Roman" w:eastAsia="Times New Roman" w:hAnsi="Times New Roman"/>
          <w:sz w:val="18"/>
          <w:szCs w:val="18"/>
          <w:i w:val="1"/>
          <w:iCs w:val="1"/>
          <w:color w:val="auto"/>
        </w:rPr>
        <w:t>Note 9—Debt</w:t>
      </w:r>
      <w:r>
        <w:rPr>
          <w:rFonts w:ascii="Times New Roman" w:cs="Times New Roman" w:eastAsia="Times New Roman" w:hAnsi="Times New Roman"/>
          <w:sz w:val="18"/>
          <w:szCs w:val="18"/>
          <w:color w:val="auto"/>
        </w:rPr>
        <w:t xml:space="preserve">”) during the year ended December 31, 2024 and to the secured term loan borrowings under the Athyrium Credit Agreement (see </w:t>
      </w:r>
      <w:r>
        <w:rPr>
          <w:rFonts w:ascii="Times New Roman" w:cs="Times New Roman" w:eastAsia="Times New Roman" w:hAnsi="Times New Roman"/>
          <w:sz w:val="18"/>
          <w:szCs w:val="18"/>
          <w:i w:val="1"/>
          <w:iCs w:val="1"/>
          <w:color w:val="auto"/>
        </w:rPr>
        <w:t>Note 9—Deb</w:t>
      </w:r>
      <w:r>
        <w:rPr>
          <w:rFonts w:ascii="Times New Roman" w:cs="Times New Roman" w:eastAsia="Times New Roman" w:hAnsi="Times New Roman"/>
          <w:sz w:val="18"/>
          <w:szCs w:val="18"/>
          <w:color w:val="auto"/>
        </w:rPr>
        <w:t>t”) during the years ended December 31, 2023 and 2022.</w:t>
      </w:r>
    </w:p>
    <w:p>
      <w:pPr>
        <w:spacing w:after="0" w:line="17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spacing w:after="0" w:line="1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3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future earnings in each of the jurisdictions in which the Company operates and the period over which its deferred tax assets will be recoverable.</w:t>
      </w:r>
    </w:p>
    <w:p>
      <w:pPr>
        <w:spacing w:after="0" w:line="183"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U.S. GAAP. Uncertain tax positions are recorded based upon certain recognition and measurement criteria. The Company re-evaluates uncertain tax positions and considers various factors, including, but not limited to, changes in tax law and the measurement of tax positions taken or expected to be taken in tax returns. The Company adjusts the amount of the liability to reflect any subsequent changes in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relevant facts and circumstances surrounding the uncertain tax positions. The Company recognizes interest and penalties related to income tax matters in income tax expense.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in fiscal year 2021, the Company began accruing for U.S. state taxes and foreign income taxes as a result of increased nexus in both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foreign jurisdictions where historically the Company had no presence and where no net operating losses had historically been established.</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five-year period for activities performed within the U.S. or a 15-year period for activities performed outside the U.S. The new amortization period begins with the midpoint of any taxable year that IRC Section 174 costs are first incurred, regardless of whether the expenditures were made prior to or after July 1, and runs until the midpoint of year six for activities conducted in the U.S. or year sixteen in the case of development conducted on foreign soil.</w:t>
      </w:r>
    </w:p>
    <w:p>
      <w:pPr>
        <w:spacing w:after="0" w:line="18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Certain countries in which the Company has operations have adopted legislation influenced by the Organization for Economic Cooperation and Development (“OECD”) Pillar Two rules, including a minimum tax rate of 15%. It is uncertain whether the U.S. will enact legislation to adopt the Pillar Two framework. While the Company is currently not within the scope of the rules, it is continuing to review and evaluate additional guidance released by the OECD, along with the pending legislative adoption by additional individual countries where the Company operates.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Consolidated Statement of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Basic net loss per share is based upon the weighted average number of common shares outstanding during the period. Diluted net loss per share is computed by dividing net loss by the weighted average number of common shares outstanding during the period, after giving consideration to the dilutive effect of potentially dilutive common shares. The Company has generated a net loss in all periods presented, so the diluted net loss per share is equivalent to basic net loss per share for all periods presented herein because common equivalent shares from unexercised stock options and common shares expected to be issued under the Company’s equity compensation plans would be anti-dilutive. The Company excluded the following potential common shares, presented based on amounts outstanding as of December 31, 2024 and 2023, from the computation of diluted net loss per share attributable to common stockholders for the years ended December 31, 2024 and 2023 because including them would have had an anti-dilutive effect: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1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Consolidated Statements of Comprehensive Loss. There were no realized gains or losses reclassified out of accumulated other comprehensive income for the years ended December 31, 2024, 2023 and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primary sources of revenue and cash flow are the sales of ORLADEYO in the United States.</w:t>
      </w:r>
    </w:p>
    <w:p>
      <w:pPr>
        <w:spacing w:after="0" w:line="225" w:lineRule="exact"/>
        <w:rPr>
          <w:sz w:val="20"/>
          <w:szCs w:val="20"/>
          <w:color w:val="auto"/>
        </w:rPr>
      </w:pPr>
    </w:p>
    <w:p>
      <w:pPr>
        <w:ind w:right="620" w:firstLine="486"/>
        <w:spacing w:after="0" w:line="261" w:lineRule="auto"/>
        <w:rPr>
          <w:sz w:val="20"/>
          <w:szCs w:val="20"/>
          <w:color w:val="auto"/>
        </w:rPr>
      </w:pPr>
      <w:r>
        <w:rPr>
          <w:rFonts w:ascii="Times New Roman" w:cs="Times New Roman" w:eastAsia="Times New Roman" w:hAnsi="Times New Roman"/>
          <w:sz w:val="18"/>
          <w:szCs w:val="18"/>
          <w:color w:val="auto"/>
        </w:rPr>
        <w:t>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78" w:lineRule="exact"/>
        <w:rPr>
          <w:sz w:val="20"/>
          <w:szCs w:val="20"/>
          <w:color w:val="auto"/>
        </w:rPr>
      </w:pPr>
    </w:p>
    <w:p>
      <w:pPr>
        <w:ind w:right="380" w:firstLine="486"/>
        <w:spacing w:after="0" w:line="284" w:lineRule="auto"/>
        <w:rPr>
          <w:sz w:val="20"/>
          <w:szCs w:val="20"/>
          <w:color w:val="auto"/>
        </w:rPr>
      </w:pPr>
      <w:r>
        <w:rPr>
          <w:rFonts w:ascii="Times New Roman" w:cs="Times New Roman" w:eastAsia="Times New Roman" w:hAnsi="Times New Roman"/>
          <w:sz w:val="18"/>
          <w:szCs w:val="18"/>
          <w:color w:val="auto"/>
        </w:rPr>
        <w:t>The Company is distributing ORLADEYO in other global markets directly or through distributors, except in Japan where Torii (See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Collaborative and Other Relationships</w:t>
      </w:r>
      <w:r>
        <w:rPr>
          <w:rFonts w:ascii="Times New Roman" w:cs="Times New Roman" w:eastAsia="Times New Roman" w:hAnsi="Times New Roman"/>
          <w:sz w:val="18"/>
          <w:szCs w:val="18"/>
          <w:color w:val="auto"/>
        </w:rPr>
        <w:t>”), the Company’s collaborative partner, has the exclusive right to commercialize ORLADEYO.</w:t>
      </w:r>
    </w:p>
    <w:p>
      <w:pPr>
        <w:spacing w:after="0" w:line="158" w:lineRule="exact"/>
        <w:rPr>
          <w:sz w:val="20"/>
          <w:szCs w:val="20"/>
          <w:color w:val="auto"/>
        </w:rPr>
      </w:pPr>
    </w:p>
    <w:p>
      <w:pPr>
        <w:jc w:val="both"/>
        <w:ind w:right="60" w:firstLine="486"/>
        <w:spacing w:after="0" w:line="267" w:lineRule="auto"/>
        <w:rPr>
          <w:sz w:val="20"/>
          <w:szCs w:val="20"/>
          <w:color w:val="auto"/>
        </w:rPr>
      </w:pPr>
      <w:r>
        <w:rPr>
          <w:rFonts w:ascii="Times New Roman" w:cs="Times New Roman" w:eastAsia="Times New Roman" w:hAnsi="Times New Roman"/>
          <w:sz w:val="18"/>
          <w:szCs w:val="18"/>
          <w:color w:val="auto"/>
        </w:rPr>
        <w:t>Additionally, HHS is the primary customer for peramivir. The Company was awarded a procurement contract in 2024 (See “</w:t>
      </w:r>
      <w:r>
        <w:rPr>
          <w:rFonts w:ascii="Times New Roman" w:cs="Times New Roman" w:eastAsia="Times New Roman" w:hAnsi="Times New Roman"/>
          <w:sz w:val="18"/>
          <w:szCs w:val="18"/>
          <w:i w:val="1"/>
          <w:iCs w:val="1"/>
          <w:color w:val="auto"/>
        </w:rPr>
        <w:t>Note 15—Collaborative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Relationships</w:t>
      </w:r>
      <w:r>
        <w:rPr>
          <w:rFonts w:ascii="Times New Roman" w:cs="Times New Roman" w:eastAsia="Times New Roman" w:hAnsi="Times New Roman"/>
          <w:sz w:val="18"/>
          <w:szCs w:val="18"/>
          <w:color w:val="auto"/>
        </w:rPr>
        <w:t>”). HHS exercised the remaining options for the purchase of peramivir under the historical procurement contract during 2022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15—Collaborative and Other Relationships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22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8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 Sales of ORLADEYO from the Company to the specialty pharmacy usually only occur once an order of product has been received by the specialty pharmacy from one of its customers, which include pharmacy benefit managers, insurance companies, government programs and group purchasing organizations.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Improvements to Reportable Segment Disclosures, which expands reportable segment disclosure requirements on an annual and interim basis, primarily through enhanced disclosures about significant segment expenses. ASU 2023-07 requires disclosure of the title and position of the chief operating decision maker and requires that public entities with a single reportable segment provide all disclosures required by this update and existing disclosures in Topic 280. ASU 2023-07 is effective for fiscal years beginning after December 15, 2023, and interim periods within fiscal years beginning after December 15, 2024, with early adoption permitted. Retrospective application is required to all prior periods presented in the financial statements. The Company adopted ASU 2024-07 as of January 1, 2024. The adoption of this standard resulted in additional disclosures but did not have a material effect on the Company’s consolidated balance sheet, statement of comprehensive loss, or statement of cash flows (see “</w:t>
      </w:r>
      <w:r>
        <w:rPr>
          <w:rFonts w:ascii="Times New Roman" w:cs="Times New Roman" w:eastAsia="Times New Roman" w:hAnsi="Times New Roman"/>
          <w:sz w:val="18"/>
          <w:szCs w:val="18"/>
          <w:i w:val="1"/>
          <w:iCs w:val="1"/>
          <w:color w:val="auto"/>
        </w:rPr>
        <w:t>Note 17—Segment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expects adoption of this ASU will result in additional disclosures but does not expect it will have a material effect on the Company’s consolidated balance sheet, statement of comprehensive loss, or statement of cash flows.</w:t>
      </w:r>
    </w:p>
    <w:p>
      <w:pPr>
        <w:spacing w:after="0" w:line="18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ASU 2024-03, Income Statement - Reporting Comprehensive Income - Expense Disaggregation Disclosures (Subtopic 220-40): Disaggregation of Income Statement Expenses,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evaluating the impact of adopting ASU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years ended December 31, 2024,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ORLADEYO:</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385,961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288,361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226,358</w:t>
            </w:r>
          </w:p>
        </w:tc>
      </w:tr>
      <w:tr>
        <w:trPr>
          <w:trHeight w:val="23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of U.S.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ORLADEYO</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251,633</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450,712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270,827</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ORLADEYO revenues represent total revenues from product sales, collaborative revenues, and royalties. Other revenues primarily relate to the Company’s product sales and royalties for peramivir.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1"/>
        </w:trPr>
        <w:tc>
          <w:tcPr>
            <w:tcW w:w="128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3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and its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3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and its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four securities with a total estimated fair market value of $44,100 in an unrealized loss position. The Company believes the individual unrealized losses represent temporary declines primarily resulting from interest rate changes. The Company does not have an intent to sell these investments, and it is more likely than not that the investments will be held until recovery of their amortized cost basis. As such, no allowance was recognized.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Accrued Interest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5"/>
        </w:trPr>
        <w:tc>
          <w:tcPr>
            <w:tcW w:w="35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234,902</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234,902</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Accrued Interest</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75"/>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December 31, 2024 and 2023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22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RAPIVAB. At December 31, 2024 and 2023, receivables, net of reserves, related to sales of ORLADEYO were $76,282 and $54,149, respectively. At December 31, 2024 and 2023, receivables related to sales of RAPIVAB were $564 and $505,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2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2024 and 2023 receivables from collaborations related to receivables from our royalty partners and were $2,223 and $2,296,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Company’s inventory primarily related to ORLADEYO. Inventory also included peramivir, which is primarily manufactured for the Company’s partners.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inventories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tcPr>
          <w:p>
            <w:pPr>
              <w:spacing w:after="0"/>
              <w:rPr>
                <w:sz w:val="21"/>
                <w:szCs w:val="21"/>
                <w:color w:val="auto"/>
              </w:rPr>
            </w:pPr>
          </w:p>
        </w:tc>
        <w:tc>
          <w:tcPr>
            <w:tcW w:w="46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6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46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30,282</w:t>
            </w: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46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57"/>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4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62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5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43"/>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$1,246, $1,655, and $1,437, respectively. During the year ended December 31, 2023, the Company recorded an impairment loss of $1,548 and contract termination fees of $440 related to the discontinuation of the Birmingham research facilities expansion, which was recognized in research and development expenses during the year ended December 31, 2023. The Company did not record any impairment losses during the years ended December 31, 2024 and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Accrued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Revenue-related reserves for discounts and allowances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113,292</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Financing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 and Factor D Inhibitors</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spacing w:after="0" w:line="18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proceeds received by the Company on annual net sales between $150,000 and $230,000 in the Other Markets. No royalty payments are payable on annual net sales above $230,000 in the Other Markets.</w:t>
      </w:r>
    </w:p>
    <w:p>
      <w:pPr>
        <w:spacing w:after="0" w:line="16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8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 On August 5, 2024, the Company announced that it plans to discontinue development of BCX10013.</w:t>
      </w:r>
    </w:p>
    <w:p>
      <w:pPr>
        <w:spacing w:after="0" w:line="18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16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spacing w:after="0" w:line="18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8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9 herein) through its payoff and termination on April 17, 2023 or, subsequent to that date, the Pharmakon Loan Agreement (as defined in Note 9 herein), as applicable. See “</w:t>
      </w:r>
      <w:r>
        <w:rPr>
          <w:rFonts w:ascii="Times New Roman" w:cs="Times New Roman" w:eastAsia="Times New Roman" w:hAnsi="Times New Roman"/>
          <w:sz w:val="18"/>
          <w:szCs w:val="18"/>
          <w:i w:val="1"/>
          <w:iCs w:val="1"/>
          <w:color w:val="auto"/>
        </w:rPr>
        <w:t>Note 9—Debt</w:t>
      </w:r>
      <w:r>
        <w:rPr>
          <w:rFonts w:ascii="Times New Roman" w:cs="Times New Roman" w:eastAsia="Times New Roman" w:hAnsi="Times New Roman"/>
          <w:sz w:val="18"/>
          <w:szCs w:val="18"/>
          <w:color w:val="auto"/>
        </w:rPr>
        <w: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As of December 31, 2024 and 2023, the carrying value of the royalty financing obligations under the Royalty Purchase Agreements approximated fair value and was measured based on the Company’s current estimates of future payments to RPI and OMERS over the lives of the agreements, which are considered Level 3 inputs. The Company utilizes the prospective method to account for subsequent changes in the estimated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internal projections of future net product sales, which are based on key assumptions, including paid patients and price.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principal. In such case of excess payments relative to interest accretion for the next twelve months, the excess payments are considered to be a short-term liability and classified within current liabilities on the Company’s Consolidated Balance Sheets.</w:t>
      </w:r>
    </w:p>
    <w:p>
      <w:pPr>
        <w:spacing w:after="0" w:line="19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there were no significant changes to the amount and timing of expected royalties under the Royalty Purchase Agreements based on the Company’s latest forecasts related to ORLADEYO sales. There was a decrease in the estimated amount and timing of expected royalties under the 2021 RPI Royalty Purchase Agreement based on the Company's latest forecasts for its research and development programs as there are no longer any forecasted future royalties for BCX10013 due to the Company's announced plan to discontinue development of that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royalty financing obligations activity for the years ended December 31, 2024, 2023, and 2022 (in thousands) as well as the effective interest rate as of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2020 RPI Royalty</w:t>
            </w:r>
          </w:p>
        </w:tc>
        <w:tc>
          <w:tcPr>
            <w:tcW w:w="1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2021 RPI Royalty</w:t>
            </w: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OMERS Royalty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9"/>
        </w:trPr>
        <w:tc>
          <w:tcPr>
            <w:tcW w:w="4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20" w:type="dxa"/>
            <w:vAlign w:val="bottom"/>
          </w:tcPr>
          <w:p>
            <w:pPr>
              <w:spacing w:after="0"/>
              <w:rPr>
                <w:sz w:val="22"/>
                <w:szCs w:val="22"/>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0" w:type="dxa"/>
            <w:vAlign w:val="bottom"/>
          </w:tcPr>
          <w:p>
            <w:pPr>
              <w:spacing w:after="0"/>
              <w:rPr>
                <w:sz w:val="22"/>
                <w:szCs w:val="22"/>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20" w:type="dxa"/>
            <w:vAlign w:val="bottom"/>
          </w:tcPr>
          <w:p>
            <w:pPr>
              <w:spacing w:after="0"/>
              <w:rPr>
                <w:sz w:val="22"/>
                <w:szCs w:val="22"/>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147,224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153,377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148,774</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449,375</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76,482</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1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(24,168)</w:t>
            </w:r>
          </w:p>
        </w:tc>
      </w:tr>
      <w:tr>
        <w:trPr>
          <w:trHeight w:val="28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163,023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501,655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12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70,356</w:t>
            </w:r>
          </w:p>
        </w:tc>
      </w:tr>
      <w:tr>
        <w:trPr>
          <w:trHeight w:val="25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(28,768)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(40,412)</w:t>
            </w: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174,480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185,345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171,774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531,599</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16,384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55,969</w:t>
            </w:r>
          </w:p>
        </w:tc>
      </w:tr>
      <w:tr>
        <w:trPr>
          <w:trHeight w:val="25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(33,652)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(35,982)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(73,839)</w:t>
            </w:r>
          </w:p>
        </w:tc>
      </w:tr>
      <w:tr>
        <w:trPr>
          <w:trHeight w:val="28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180,413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181,140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152,176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bl>
    <w:p>
      <w:pPr>
        <w:spacing w:after="0" w:line="292"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Deferred financing costs pursuant to the Royalty financing obligations, which consist primarily of advisory and legal fees, totaled $8,532 as of December 31, 2024 and 2023. The Royalty financing obligations liabilities and the associated deferred issuance costs are amortized using the effective interest method over the term of the arrangement.</w:t>
      </w:r>
    </w:p>
    <w:p>
      <w:pPr>
        <w:spacing w:after="0" w:line="17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Pharmakon Loan Agreement</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(defined below) and to pay associated transaction costs and fees, and used the remaining net proceeds of $25,805 for other general corporate purposes.</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Pharmakon Loan Agreement also provided for three additional term loan tranches, at the Company’s option, in principal amounts of $50,000 each (each a “Subsequent Tranche Loan” and, collectively with the Tranche A Loan, the “Pharmakon Term Loans” and each, a “Pharmakon Term Loan”), which could have been requested on or prior to September 30, 2024. The Company chose not to request any Subsequent Tranche Loans and the options have since expired. The maturity date of the Pharmakon Loan Agreement is April 17, 2028 (the “Maturity Date”), the fifth anniversary of the Tranche A Closing Date.</w:t>
      </w:r>
    </w:p>
    <w:p>
      <w:pPr>
        <w:spacing w:after="0" w:line="18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had the option to make a portion of the applicable interest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payment on the Tranche A Loan in-kind (a “Pharmakon PIK Interest Payment”) by capitalizing as principal up to 50% of the amount of interest accrued on the Tranche A Loan during the applicable interest period. The Pharmakon Term Loans bear interest at a rate equal to the three-month Secured Overnight Financing Rate (“SOFR”), which shall be no less than 1.75%, plus 7.00%, per annum or, for each interest period in which a Pharmakon PIK Interest Payment was made, with respect to the Tranche A Loan, SOFR plus 7.25%, per annum.</w:t>
      </w:r>
    </w:p>
    <w:p>
      <w:pPr>
        <w:spacing w:after="0" w:line="180"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Tranche A Loan accrued interest at an effective interest rate of 13.14% and 13.30% for the years ended December 31, 2024 and 2023, respectively.</w:t>
      </w:r>
    </w:p>
    <w:p>
      <w:pPr>
        <w:spacing w:after="0" w:line="16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if the Company had requested any Subsequent Tranche Loans, certain funding fees would have been required to be paid.</w:t>
      </w:r>
    </w:p>
    <w:p>
      <w:pPr>
        <w:spacing w:after="0" w:line="19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spacing w:after="0" w:line="18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spacing w:after="0" w:line="17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Pharmakon Loan Agreement are secured by a security interest in, subject to certain exceptions, substantially all of the Company’s assets.</w:t>
      </w:r>
    </w:p>
    <w:p>
      <w:pPr>
        <w:spacing w:after="0" w:line="1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total borrowings of $300,000 under the Pharmakon Loan Agreement. Interest expense on the Tranche A Loan for the year ended December 31, 2024 was $39,874. As allowable under the Pharmakon Loan Agreement, the Company designated and accounted for 50% of the quarterly interest payments for each of the three months ended March 31, 2024 and June 30, 2024 as a Pharmakon PIK Interest Payment and the total amount of $10,041 has been added to the outstanding principal balance of the borrowing. The Company did not elect to account for 50% of the quarterly interest payment for the three months ended September 30, 2024 as a Pharmakon PIK Interest Payment. The remaining 50% of the total quarterly interest payments for the three months ended March 31, 2024 and June 30, 2024 and the full quarterly interest payments for the three months ended September 30, 2024 and December 31, 2024 totaling $29,833 in aggregate have been paid at the end of each quarterly period. As of December 31, 2024, borrowings, including the Pharmakon PIK Interest Payments, totaled $323,704.</w:t>
      </w:r>
    </w:p>
    <w:p>
      <w:pPr>
        <w:spacing w:after="0" w:line="19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total borrowings of $300,000 under the Pharmakon Loan Agreement. Interest expense on the Tranche A Loan for the year ended December 31, 2023 was $27,326. As allowable under the Pharmakon Loan Agreement, the Company designated and accounted for 50% of the quarterly interest payments for the year ended December 31, 2023 as a Pharmakon PIK Interest Payment and the total amount of $13,663 has been added to the outstanding principal balance of the borrowing. The remaining 50% of the total quarterly interest payments of $13,663 was paid at the end of each quarterly period. As of December 31, 2023, borrowings, including the Pharmakon PIK Interest Payments, totaled $313,663.</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debt approximates its carrying value based on prevailing interest rates as of the balance sheet date and is considered as Level 2 in the fair value hierarchy.</w:t>
      </w:r>
    </w:p>
    <w:p>
      <w:pPr>
        <w:spacing w:after="0" w:line="162"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Incurred debt fees and issuance costs associated with the Tranche A Loan under the Pharmakon Loan Agreement totaled $11,147 and have been deferred and are being amortized as interest expense on an effective interest rate method over the remaining term of the Tranche A Loan. Deferred financing amortization of $1,597 and $715 was recognized for the years ended December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Athyrium Credit Agreement</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prior credit facility with MidCap Financial Trust.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Athyrium Credit Agreement also provided for two additional term loans, at the Company’s option, in the respective principal amounts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 (the “Term B Loan”) and $50,000 (the “Term C Loan” and, collectively with the Term A Loan and the Term B Loan, the “Athyrium Term Loans”).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achieved all required revenue-based milestones, the Company exercised its option to draw upon the additional funding available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Athyrium Credit Agreement, borrowing the principal amounts of $25,000 under the Term B Loan and $50,000 under the Term C Loan. Both the Term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the Term C Loan were funded on July 29, 2022 in the aggregate principal amount of $75,000. The Company incurred deferred debt fees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costs associated with the Term B and Term C Loans of $3,428. The Term B Loan and the Term C Loan were subject to all the provisions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Athyrium Credit Agreement.</w:t>
      </w:r>
    </w:p>
    <w:p>
      <w:pPr>
        <w:spacing w:after="0" w:line="20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and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financing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spacing w:after="0" w:line="192" w:lineRule="exact"/>
        <w:rPr>
          <w:sz w:val="20"/>
          <w:szCs w:val="20"/>
          <w:color w:val="auto"/>
        </w:rPr>
      </w:pPr>
    </w:p>
    <w:p>
      <w:pPr>
        <w:ind w:right="260" w:firstLine="486"/>
        <w:spacing w:after="0" w:line="269" w:lineRule="auto"/>
        <w:rPr>
          <w:sz w:val="20"/>
          <w:szCs w:val="20"/>
          <w:color w:val="auto"/>
        </w:rPr>
      </w:pPr>
      <w:r>
        <w:rPr>
          <w:rFonts w:ascii="Times New Roman" w:cs="Times New Roman" w:eastAsia="Times New Roman" w:hAnsi="Times New Roman"/>
          <w:sz w:val="17"/>
          <w:szCs w:val="17"/>
          <w:color w:val="auto"/>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8.25%, or for each interest period in which an Athyrium PIK Interest Payment was made, LIBOR plus 10.25%. The quarter ended December 31, 2022 was the last period eligible for the Athyrium PIK Interest Payment designation.</w:t>
      </w:r>
    </w:p>
    <w:p>
      <w:pPr>
        <w:spacing w:after="0" w:line="18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Athyrium Term Loans accrued interest at an effective interest rate of 13.71% during the period in which the debt was outstanding for the year ended December 31, 2023 compared to 12.87% for the year ended December 31, 2022.</w:t>
      </w:r>
    </w:p>
    <w:p>
      <w:pPr>
        <w:spacing w:after="0" w:line="162"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Quarterly interest payments under the Athyrium Credit Agreement for the year ended December 31, 2023 totaled $8,476. Quarterly interest payments under the Athyrium Credit Agreement for the year ended December 31, 2022 totaled $23,387 and were designated and accounted for as Athyrium PIK Interest Payments and added to the outstanding principal balance of the borrowing. From the Athyrium Term Loans’ inception through December 31, 2022, the quarterly interest payments were designated and accounted for as Athyrium PIK Interest Payments and added to the outstanding principal balance of the borrowing. The quarter ended December 31, 2022 was the last period eligible for the Athyrium PIK Interest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designation. Deferred financing amortization of $1,069 and $916 was recognized for the years ended December 31, 2023 and 2022, respectively.</w:t>
      </w:r>
    </w:p>
    <w:p>
      <w:pPr>
        <w:spacing w:after="0" w:line="22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spacing w:after="0" w:line="17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the Athyrium Credit Agreement, upon the prepayment or repayment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 As a result, the Company incurred prepayment and final payment fees of $17,261 upon repayment of the Athyrium Term Loans. Additionally, unamortized deferred financing costs of $11,758 associated with the Athyrium Term Loans were written off at the time of repayment. Collectively, the prepayment and final payment fees and unamortized deferred financing costs totaled $29,019 and are reflected as a one-time loss on extinguishment of debt on the Consolidated Statements of Comprehensive Loss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assets under operating leases, which primarily consist of real estate leases, and finance leases, which generally consist of laboratory equipment leases and office equipment leases, as of December 31, 2024. Renewal options for the Company’s real estate leases are three years in length and begin from 2025 through 2030.</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under operating and finance leases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56"/>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2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93"/>
        </w:trPr>
        <w:tc>
          <w:tcPr>
            <w:tcW w:w="5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0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0" w:type="dxa"/>
            <w:vAlign w:val="bottom"/>
          </w:tcPr>
          <w:p>
            <w:pPr>
              <w:spacing w:after="0"/>
              <w:rPr>
                <w:sz w:val="24"/>
                <w:szCs w:val="24"/>
                <w:color w:val="auto"/>
              </w:rPr>
            </w:pPr>
          </w:p>
        </w:tc>
      </w:tr>
      <w:tr>
        <w:trPr>
          <w:trHeight w:val="250"/>
        </w:trPr>
        <w:tc>
          <w:tcPr>
            <w:tcW w:w="5320" w:type="dxa"/>
            <w:vAlign w:val="bottom"/>
          </w:tcPr>
          <w:p>
            <w:pPr>
              <w:spacing w:after="0"/>
              <w:rPr>
                <w:sz w:val="21"/>
                <w:szCs w:val="21"/>
                <w:color w:val="auto"/>
              </w:rPr>
            </w:pPr>
          </w:p>
        </w:tc>
        <w:tc>
          <w:tcPr>
            <w:tcW w:w="41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5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560" w:type="dxa"/>
            <w:vAlign w:val="bottom"/>
          </w:tcPr>
          <w:p>
            <w:pPr>
              <w:spacing w:after="0"/>
              <w:rPr>
                <w:sz w:val="19"/>
                <w:szCs w:val="19"/>
                <w:color w:val="auto"/>
              </w:rPr>
            </w:pP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9.0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years</w:t>
            </w:r>
          </w:p>
        </w:tc>
        <w:tc>
          <w:tcPr>
            <w:tcW w:w="6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5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6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10.88 %</w:t>
            </w:r>
          </w:p>
        </w:tc>
        <w:tc>
          <w:tcPr>
            <w:tcW w:w="60" w:type="dxa"/>
            <w:vAlign w:val="bottom"/>
          </w:tcPr>
          <w:p>
            <w:pPr>
              <w:spacing w:after="0"/>
              <w:rPr>
                <w:sz w:val="19"/>
                <w:szCs w:val="19"/>
                <w:color w:val="auto"/>
              </w:rPr>
            </w:pPr>
          </w:p>
        </w:tc>
      </w:tr>
      <w:tr>
        <w:trPr>
          <w:trHeight w:val="234"/>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60" w:type="dxa"/>
            <w:vAlign w:val="bottom"/>
          </w:tcPr>
          <w:p>
            <w:pPr>
              <w:spacing w:after="0"/>
              <w:rPr>
                <w:sz w:val="20"/>
                <w:szCs w:val="20"/>
                <w:color w:val="auto"/>
              </w:rPr>
            </w:pPr>
          </w:p>
        </w:tc>
      </w:tr>
      <w:tr>
        <w:trPr>
          <w:trHeight w:val="886"/>
        </w:trPr>
        <w:tc>
          <w:tcPr>
            <w:tcW w:w="5320" w:type="dxa"/>
            <w:vAlign w:val="bottom"/>
          </w:tcPr>
          <w:p>
            <w:pPr>
              <w:spacing w:after="0"/>
              <w:rPr>
                <w:sz w:val="24"/>
                <w:szCs w:val="24"/>
                <w:color w:val="auto"/>
              </w:rPr>
            </w:pPr>
          </w:p>
        </w:tc>
        <w:tc>
          <w:tcPr>
            <w:tcW w:w="256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Consolidated Balance Sheets of the Company’s operating leases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0"/>
        </w:trPr>
        <w:tc>
          <w:tcPr>
            <w:tcW w:w="3160" w:type="dxa"/>
            <w:vAlign w:val="bottom"/>
          </w:tcPr>
          <w:p>
            <w:pPr>
              <w:spacing w:after="0"/>
              <w:rPr>
                <w:sz w:val="21"/>
                <w:szCs w:val="21"/>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5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Right of 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r>
      <w:tr>
        <w:trPr>
          <w:trHeight w:val="23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current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63"/>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long-term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r>
      <w:tr>
        <w:trPr>
          <w:trHeight w:val="24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r>
      <w:tr>
        <w:trPr>
          <w:trHeight w:val="27"/>
        </w:trPr>
        <w:tc>
          <w:tcPr>
            <w:tcW w:w="3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Consolidated Balance Sheets of the Company’s finance leases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0"/>
        </w:trPr>
        <w:tc>
          <w:tcPr>
            <w:tcW w:w="3080" w:type="dxa"/>
            <w:vAlign w:val="bottom"/>
          </w:tcPr>
          <w:p>
            <w:pPr>
              <w:spacing w:after="0"/>
              <w:rPr>
                <w:sz w:val="21"/>
                <w:szCs w:val="21"/>
                <w:color w:val="auto"/>
              </w:rPr>
            </w:pP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Right of 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Finance lease liabilities – current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63"/>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Finance lease liabilities – long-term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44"/>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7"/>
        </w:trPr>
        <w:tc>
          <w:tcPr>
            <w:tcW w:w="30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Operating lease assets are recorded net of accumulated amortization of $6,065 and $4,794 as of December 31, 2024 and 2023, respectively. Finance lease assets are recorded net of accumulated amortization of $4,059 and $2,293 as of December 31,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are as follows (in thousands):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2"/>
        </w:trPr>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50"/>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8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3"/>
        </w:trPr>
        <w:tc>
          <w:tcPr>
            <w:tcW w:w="6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80" w:type="dxa"/>
            <w:vAlign w:val="bottom"/>
            <w:tcBorders>
              <w:bottom w:val="single" w:sz="8" w:color="auto"/>
            </w:tcBorders>
          </w:tcPr>
          <w:p>
            <w:pPr>
              <w:spacing w:after="0"/>
              <w:rPr>
                <w:sz w:val="24"/>
                <w:szCs w:val="24"/>
                <w:color w:val="auto"/>
              </w:rPr>
            </w:pPr>
          </w:p>
        </w:tc>
      </w:tr>
      <w:tr>
        <w:trPr>
          <w:trHeight w:val="250"/>
        </w:trPr>
        <w:tc>
          <w:tcPr>
            <w:tcW w:w="69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9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 obtained in exchange for finance lease liabilities: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176"/>
        </w:trPr>
        <w:tc>
          <w:tcPr>
            <w:tcW w:w="6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operating lease assets due to remeasurement of operating lease</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February 27, 2024,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18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October 23, 2023, certain entities affiliated with Baker Bros. Advisors LP (the “Baker Entities”) net exercised the remaining balance of the pre-funded warrants held by such Baker Entities that were issued on November 21, 2019. Additionally, certain of the Baker Entities net exercised all of the pre-funded warrants that were issued on June 1, 2020. The exercises resulted in the issuance of 14,997 common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 of Common Stock</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 (in thousands):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2"/>
        </w:trPr>
        <w:tc>
          <w:tcPr>
            <w:tcW w:w="8180" w:type="dxa"/>
            <w:vAlign w:val="bottom"/>
          </w:tcPr>
          <w:p>
            <w:pPr>
              <w:spacing w:after="0"/>
              <w:rPr>
                <w:sz w:val="24"/>
                <w:szCs w:val="24"/>
                <w:color w:val="auto"/>
              </w:rPr>
            </w:pPr>
          </w:p>
        </w:tc>
        <w:tc>
          <w:tcPr>
            <w:tcW w:w="21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Stock Incentive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Inducement Equity Incentive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Employee Stock Purchase Plan</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58,020</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22, 2024 and approved by the Company’s stockholders on June 12, 2024. The Inducement Plan was most recently amended and restated by the Company’s Board of Directors on October 26, 2023. The ESPP was most recently amended and restated by the Company’s Board of Directors on July 7,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44,701</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stock-based compensation was allocated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Policy</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July 2024, the Company adopted the BioCryst Pharmaceuticals, Inc. Equity Award Retirement Policy (the “Retirement Policy”). The Retirement Policy provides for the continued vesting of certain unvested awards granted more than one year prior to the date of retirement according to the original vesting schedule of the award. Employees are eligible for the Retirement Policy upon meeting age, service, and notice period requirements and receipt of notice of their eligibility from the Company. The Company considered the adoption of the Retirement Policy to be a modification of existing awards under ASC Topic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modification did not result in any incremental compensation cost. However, the adoption of the Retirement Policy resulted in a new estimate of the requisite service period for certain awards. In connection with the modification as a result of the adoption of the Retirement Policy, the Company accelerated the recognition of stock-based compensation expense of $7,569 during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Company grants stock option awards and restricted stock unit awards to its employees, directors, and consultants under the Incentive Plan. Under the Incentive Plan, stock option awards are granted with an exercise price equal to the market price of the Company’s common stock at the date of grant. Stock option awards and restricted stock unit awards granted to employees generally vest 25% each year until fully vested after four years.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80" w:type="dxa"/>
            <w:vAlign w:val="bottom"/>
          </w:tcPr>
          <w:p>
            <w:pPr>
              <w:spacing w:after="0"/>
              <w:rPr>
                <w:sz w:val="16"/>
                <w:szCs w:val="16"/>
                <w:color w:val="auto"/>
              </w:rPr>
            </w:pPr>
          </w:p>
        </w:tc>
        <w:tc>
          <w:tcPr>
            <w:tcW w:w="14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0" w:type="dxa"/>
            <w:vAlign w:val="bottom"/>
          </w:tcPr>
          <w:p>
            <w:pPr>
              <w:spacing w:after="0"/>
              <w:rPr>
                <w:sz w:val="19"/>
                <w:szCs w:val="19"/>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24,462</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7.99</w:t>
            </w:r>
          </w:p>
        </w:tc>
        <w:tc>
          <w:tcPr>
            <w:tcW w:w="17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total intrinsic value of stock option awards exercised under the Incentive Plan was $3,601 and $21,150 during the years ended December 31, 2023 and 2022, respectively. The aggregate intrinsic value represents the total proceeds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 received by all individuals who exercised stock option awards during the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Incentive Plan:</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796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Incentive Plan, the fair value of the awards is determined based on the market value of the Company’s shares on the grant date. The weighted average grant date fair value of these awards granted during 2024, 2023, and 2022 was $7.32, $6.71, and $11.20, respectively. The fair value of the restricted stock unit awards is amortized to expense over the vesting periods using a straight-line expense attribution method.</w:t>
      </w:r>
    </w:p>
    <w:p>
      <w:pPr>
        <w:spacing w:after="0" w:line="18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unvested restricted stock unit awards granted under the Incentive Plan was $58,333, which is expected to be recognized over a weighted average period of 1.9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All stock option awards have contractual terms of 10 years.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Inducement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80" w:type="dxa"/>
            <w:vAlign w:val="bottom"/>
          </w:tcPr>
          <w:p>
            <w:pPr>
              <w:spacing w:after="0"/>
              <w:rPr>
                <w:sz w:val="16"/>
                <w:szCs w:val="16"/>
                <w:color w:val="auto"/>
              </w:rPr>
            </w:pPr>
          </w:p>
        </w:tc>
        <w:tc>
          <w:tcPr>
            <w:tcW w:w="14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0" w:type="dxa"/>
            <w:vAlign w:val="bottom"/>
          </w:tcPr>
          <w:p>
            <w:pPr>
              <w:spacing w:after="0"/>
              <w:rPr>
                <w:sz w:val="19"/>
                <w:szCs w:val="19"/>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3,292</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7.70</w:t>
            </w:r>
          </w:p>
        </w:tc>
        <w:tc>
          <w:tcPr>
            <w:tcW w:w="17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total intrinsic value of stock option awards exercised under the Inducement Plan was $1,803 and $3,710 during the years ended December 31, 2023 and 2022, respectively. The aggregate intrinsic value represents the total proceeds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 received by all individuals who exercised stock option awards during the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Inducement Plan:</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1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796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600" w:type="dxa"/>
            <w:vAlign w:val="bottom"/>
            <w:tcBorders>
              <w:top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915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324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7"/>
              </w:rPr>
              <w:t>(200)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0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823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Inducement Plan, the fair value of the awards is determined based on the market value of the Company’s shares on the grant date. The weighted average grant date fair value of these awards granted during 2024, 2023, and 2022 was $6.51, $7.81, and $13.21, respectively. The fair value of the restricted stock unit awards is amortized to expense over the vesting periods using a straight-line expense attribution method.</w:t>
      </w:r>
    </w:p>
    <w:p>
      <w:pPr>
        <w:spacing w:after="0" w:line="18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unvested restricted stock unit awards granted under the Inducement Plan was $4,948, which is expected to be recognized over a weighted average period of 1.6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for Stock Option Awards Granted to Employees and Directors under the Incentive and Inducement Plans</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w:t>
      </w:r>
    </w:p>
    <w:p>
      <w:pPr>
        <w:spacing w:after="0" w:line="17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Historically, the expected life was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Effective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July 1, 2023, the expected life is based on the historical settlement of options by taking into account exercises and post-vesting terminations and weighing them based on the number of options settled. This change in approach did not have a significant impact on the value of the stock option awards granted.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Incentive Plan during the years ended December 31, 2024,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1"/>
                <w:szCs w:val="21"/>
                <w:color w:val="auto"/>
              </w:rPr>
            </w:pPr>
          </w:p>
        </w:tc>
      </w:tr>
      <w:tr>
        <w:trPr>
          <w:trHeight w:val="250"/>
        </w:trPr>
        <w:tc>
          <w:tcPr>
            <w:tcW w:w="63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w:t>
            </w:r>
          </w:p>
        </w:tc>
      </w:tr>
    </w:tbl>
    <w:p>
      <w:pPr>
        <w:spacing w:after="0" w:line="29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total fair value of the stock option awards vested under the Incentive Plan was $35,151, $33,731, and $28,916 during the years ended December 31, 2024, 2023, and 2022, respectively. As of December 31, 2024, total unrecognized compensation cost related to unvested stock option awards granted under the Incentive Plan was $66,658, which is expected to be recognized over a weighted average period of 1.6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22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Inducement Plan during the years ended December 31, 2024,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1"/>
                <w:szCs w:val="21"/>
                <w:color w:val="auto"/>
              </w:rPr>
            </w:pPr>
          </w:p>
        </w:tc>
      </w:tr>
      <w:tr>
        <w:trPr>
          <w:trHeight w:val="250"/>
        </w:trPr>
        <w:tc>
          <w:tcPr>
            <w:tcW w:w="63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9.54</w:t>
            </w: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fair value of the stock option awards vested under the Inducement Plan was $7,225, $7,698, and $4,659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respectively. As of December 31, 2024, total unrecognized compensation cost related to unvested stock option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Inducement Plan was $8,612, which is expected to be recognized over a weighted average period of 1.4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The Company has reserved a total of 7,975 shares of common stock to be purchased under the ESPP, of which 5,042 shares remain available for purchase at December 31, 2024. Eligible employees may authorize up to 15% of their salary to purchase common stock at the lower of 85% of the beginning or 85% of the ending price during six-month purchase intervals. No more than three thousand shares may be purchased by any one employee at each purchase date, and no employee may purchase stock having a fair market value at the commencement date of $25 or more in any one calendar year.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issued 412, 338, and 260 shares of common stock under the ESPP, respectively, at a weighted average price per share of $4.50, $7.68, and $11.03, respectively. Compensation expense for shares purchased under the ESPP related to the purchase discount and the “look-back” option were determined using a Black-Scholes option pricing model. The weighted average grant date fair values of shares granted under the ESPP during the years ended December 31, 2024, 2023, and 2022, were $1.99, $3.82, and $6.02,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loss before provision for income taxes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(benefit) expense for income taxes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 provision:</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 and state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expense provision</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expense (benefit) provision:</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 and state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expense provision</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 provision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differences between the Company’s effective tax rate and the statutory tax rate in 2024, 2023, and 2022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 (21% for 2024, 2023 and 2022)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70,894</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the impact of a tax position in its financial statements if it is more likely than not that the position will be sustained on audit based on the technical merits of the position. The Company has concluded that it has an uncertain tax position pertaining to its research and development and orphan drug credit carryforwards. The Company has established these credits based on information and calculations it believes are appropriate and the best estimate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underlying credit. Any changes to the Company’s unrecognized tax benefits are offset by an adjustment to the valuation allowance and there would be no impact on the Company’s financial statements. The Company does not expect its unrecognized tax benefits to change significantly over the next 12 months. If recognized, none of these tax benefits would affect the effective tax rate due to the valuation allowance.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current period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to prior period tax provisions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14,362</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restrictions in the event of past or future ownership changes as defined in Section 382 of the IRC and similar state tax law.</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federal and state operating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108,753</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122,391</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75,081</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Leasing obligations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17,515</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453,183</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(437,098)</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valuation allowance against substantially all the net deferred tax assets due to uncertainties as to their ultimate realization. The valuation allowance will remain at the full amount of the deferred tax assets until it is more likely than not that the related tax benefits will be realized. The Company’s valuation allowance increased by $11,642, $47,490, and $70,894 in 2024, 2023, and 2022, respectively.</w:t>
      </w:r>
    </w:p>
    <w:p>
      <w:pPr>
        <w:spacing w:after="0" w:line="18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U.S. federal operating loss carryforwards of $403,528, state operating loss carryforwards of $177,492, foreign net operating losses of $93,275, and U.S. research and development and orphan drug credit carryforwards of $102,001, which will expire at various dates from 2025 through 2044. Federal losses, state losses, and research and development credit carryforwards began expiring in 2021. The foreign net operating losses have an indefinite carryforward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Tax years 2021-2024 remain open to examination by the major taxing jurisdictions to which the Company is subject. Additionally, years prior to 2021 are also open to examination for loss and credit carryforwards from those years. The Company recognizes interest and penalties accrued related to unrecognized tax benefits as components of its income tax provision. However, there were no provisions or accruals for interest and penalties in 2024, 2023, and 2022.</w:t>
      </w:r>
    </w:p>
    <w:p>
      <w:pPr>
        <w:spacing w:after="0" w:line="180"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minimal accumulated undistributed earnings generated by its foreign subsidiaries which have already been subject to local and U.S. tax as part of the global intangible low-taxed income provisions. The Company intends to indefinitely reinvest these earnings, as well as future earnings from its foreign subsidiaries, to fund its international operations. In addition, the Company expects future U.S. cash generation will be sufficient to meet future U.S. cash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401(k) Plan</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January 1991, the Company adopted an employee retirement plan (“401(k) Plan”) under Section 401(k) of the IRC covering all employees. Employee contributions may be made to the 401(k) Plan up to limits established by the Internal Revenue Service. Company matching contributions may be made at the discretion of the Board of Directors. The Company made matching contributions of $6,030, $5,716, and $3,758 in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Torii Pharmaceutical Co., Ltd. (“Torii”)</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w:t>
      </w:r>
    </w:p>
    <w:p>
      <w:pPr>
        <w:spacing w:after="0" w:line="189"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68"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spacing w:after="0" w:line="18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Torii’s updated royalty payment obligations commenced on November 30, 2023 and expire upon the later of (i) the tenth anniversary of the date of first commercial sale of ORLADEYO in Japan, (ii) the expiration of the Company’s patents covering ORLADEYO, and (iii) the expiration of regulatory exclusivity for ORLADEYO in Japan.</w:t>
      </w:r>
    </w:p>
    <w:p>
      <w:pPr>
        <w:spacing w:after="0" w:line="176"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U.S. Department of Health and Human Services (“HHS”)</w:t>
      </w:r>
    </w:p>
    <w:p>
      <w:pPr>
        <w:spacing w:after="0" w:line="22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September 2024, the HHS awarded the Company up to a $69,388 contract for the procurement of up to 95.6 thousand doses over a five-year period of RAPIVAB (peramivir injection) for the treatment of influenza. The contract, awarded by the HHS Office of the Administration for Strategic Preparedness and Response (“ASPR”), will supply the Center for the Strategic National Stockpile, the nation’s largest supply of life-saving pharmaceuticals and medical supplies for use in a public health emergency. The contract is structured with a 12-month base ordering period and four optional 12-month ordering periods, which the government can exercise on an annual basis. ASPR executed the first ordering period for $13,878 and the Company plans to supply 19.1 thousand doses to fulfill this option by September 29, 2025. The Company delivered 2.3 thousand doses of RAPIVAB under this contract in the fourth quarter of 2024 and recorded revenue of $1,672 for the year ended December 31, 2024.</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September 2018, HHS awarded the Company a $34,660 contract for the procurement of up to 50,000 doses of RAPIVAB (peramivir injection) over a five-year period. The Company initially delivered 20,000 doses of RAPIVAB under this contract in 2019 for a total price of approximately $13,864. The Company further delivered 20,000 and 9,980 doses of RAPIVAB in 2022 and 2021, respectively, and recorded revenue of $13,864 and $6,918 for the years ending December 31, 2022 and 2021, respectively. As of December 31, 2022, the Company had delivered a total of 49,980 RAPIVAB doses of the 50,000 RAPIVAB doses available under the contract, effectively completing the contract with HHS.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Shionogi &amp; Co., Ltd. (“Shionogi”)</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will owe sublicense payments to UAB on any future milestone payments and/or royalties received by the Company from Shionogi.</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Green Cross Corporation (“Green Cross”)</w:t>
      </w:r>
    </w:p>
    <w:p>
      <w:pPr>
        <w:spacing w:after="0" w:line="22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Clearside Biomedical, Inc. (“Clearside”)</w:t>
      </w:r>
    </w:p>
    <w:p>
      <w:pPr>
        <w:spacing w:after="0" w:line="22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Under the Clearside Agreement, Clearside received a $5,000 upfront license fee from the Company, which was recognized in research and development expenses during the year ended December 31, 2023.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Workforce Reduction</w:t>
      </w:r>
    </w:p>
    <w:p>
      <w:pPr>
        <w:spacing w:after="0" w:line="22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In January 2024, the Company announced a reduction of workforce. The majority of the impacted employees had a termination date in January 2024, with certain employees exiting later in 2024. The Company notified the impacted employees in January 2024.</w:t>
      </w:r>
    </w:p>
    <w:p>
      <w:pPr>
        <w:spacing w:after="0" w:line="16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incurred costs related to employee severance, benefits, and related costs which were accounted for as ongoing terminations benefits under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As of December 31, 2023, it was considered probable that payment would be owed and the amount of payment was considered to be reasonably estimable, which resulted in the recognition of $3,380 of costs related to the workforce reduction during the year ended December 31, 2023, of which $3,026 was recognized in research and development expenses and $354 was recognized in selling, general and administrative expenses in the Consolidated Statement of Comprehensive Loss. All of these costs were paid during the year ended December 31, 2024.</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the employees impacted by the workforce reduction received an amount equal to the bonus amount the employee would have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through continued employment with the Company, which was considered a one-time termination benefit pursuant to ASC Topic 420, </w:t>
      </w:r>
      <w:r>
        <w:rPr>
          <w:rFonts w:ascii="Times New Roman" w:cs="Times New Roman" w:eastAsia="Times New Roman" w:hAnsi="Times New Roman"/>
          <w:sz w:val="18"/>
          <w:szCs w:val="18"/>
          <w:i w:val="1"/>
          <w:iCs w:val="1"/>
          <w:color w:val="auto"/>
        </w:rPr>
        <w:t>Exit or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As a result, $1,264 was recognized during the three months ended March 31, 2024, the period in which the communication occurred,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$1,201 was recognized in research and development expenses, and $63 was recognized in selling, general and administrative expenses in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Comprehensive Loss. All of these costs were paid during the three months ended March 31, 2024.</w:t>
      </w:r>
    </w:p>
    <w:p>
      <w:pPr>
        <w:spacing w:after="0" w:line="20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liability activity recorded in connection with the workforce reduction for the year ended December 31,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year ended December 31, 2024</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paid during the year ended December 31, 2024</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expect to incur any additional significant costs related to this workforce reduction.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Company operates as one operating and reportable segment, centered around its commercialized product, ORLADEYO, and its pipeline with the goal of developing first-in-class or best-in-class oral small-molecule and injectable protein therapeutics to target difficult-to-treat rare diseases. The determination of a single segment is consistent with the 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spacing w:after="0" w:line="18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consolidated net loss. This measure is used to monitor budget versus actual results to evaluate the performance of the segment. The CODM uses consolidated cash, cash equivalents and investments as the measure of segment assets. As of December 31, 2024 and 2023, the Company’s cash, cash equivalents, and investments were $341,173 and $388,987,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illustrates information about segment revenues, significant segment expenses, and segment net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(in thousands):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20" w:type="dxa"/>
            <w:vAlign w:val="bottom"/>
            <w:tcBorders>
              <w:bottom w:val="single" w:sz="8" w:color="auto"/>
            </w:tcBorders>
          </w:tcPr>
          <w:p>
            <w:pPr>
              <w:spacing w:after="0"/>
              <w:rPr>
                <w:sz w:val="21"/>
                <w:szCs w:val="21"/>
                <w:color w:val="auto"/>
              </w:rPr>
            </w:pPr>
          </w:p>
        </w:tc>
      </w:tr>
      <w:tr>
        <w:trPr>
          <w:trHeight w:val="250"/>
        </w:trPr>
        <w:tc>
          <w:tcPr>
            <w:tcW w:w="59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450,712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270,827</w:t>
            </w:r>
          </w:p>
        </w:tc>
      </w:tr>
      <w:tr>
        <w:trPr>
          <w:trHeight w:val="270"/>
        </w:trPr>
        <w:tc>
          <w:tcPr>
            <w:tcW w:w="5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Less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Berotralstat</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32,637</w:t>
            </w:r>
          </w:p>
        </w:tc>
      </w:tr>
      <w:tr>
        <w:trPr>
          <w:trHeight w:val="257"/>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Factor D Program</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174,234</w:t>
            </w:r>
          </w:p>
        </w:tc>
      </w:tr>
      <w:tr>
        <w:trPr>
          <w:trHeight w:val="257"/>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BCX17725</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46,426</w:t>
            </w:r>
          </w:p>
        </w:tc>
      </w:tr>
      <w:tr>
        <w:trPr>
          <w:trHeight w:val="256"/>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266,132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159,371</w:t>
            </w:r>
          </w:p>
        </w:tc>
      </w:tr>
      <w:tr>
        <w:trPr>
          <w:trHeight w:val="257"/>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Royalty</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594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57"/>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56"/>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99,092</w:t>
            </w:r>
          </w:p>
        </w:tc>
      </w:tr>
      <w:tr>
        <w:trPr>
          <w:trHeight w:val="257"/>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5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loss</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(88,881)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(226,539)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(247,116)</w:t>
            </w:r>
          </w:p>
        </w:tc>
      </w:tr>
      <w:tr>
        <w:trPr>
          <w:trHeight w:val="250"/>
        </w:trPr>
        <w:tc>
          <w:tcPr>
            <w:tcW w:w="59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 or loss: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0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(88,881)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(226,539)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(247,116)</w:t>
            </w:r>
          </w:p>
        </w:tc>
      </w:tr>
      <w:tr>
        <w:trPr>
          <w:trHeight w:val="20"/>
        </w:trPr>
        <w:tc>
          <w:tcPr>
            <w:tcW w:w="5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00" w:hanging="74"/>
        <w:spacing w:after="0"/>
        <w:tabs>
          <w:tab w:leader="none" w:pos="10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CODM.</w:t>
      </w:r>
    </w:p>
    <w:p>
      <w:pPr>
        <w:spacing w:after="0" w:line="23" w:lineRule="exact"/>
        <w:rPr>
          <w:rFonts w:ascii="Times New Roman" w:cs="Times New Roman" w:eastAsia="Times New Roman" w:hAnsi="Times New Roman"/>
          <w:sz w:val="21"/>
          <w:szCs w:val="21"/>
          <w:color w:val="auto"/>
          <w:vertAlign w:val="superscript"/>
        </w:rPr>
      </w:pPr>
    </w:p>
    <w:p>
      <w:pPr>
        <w:ind w:left="2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Other segment items included in Segment net loss include loss on extinguishment of debt and foreign currency losses, net.</w:t>
      </w:r>
    </w:p>
    <w:p>
      <w:pPr>
        <w:spacing w:after="0" w:line="247"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color w:val="auto"/>
        </w:rPr>
        <w:t>All material long-lived assets of the Company reside in the U.S. For geographic information about the Company’s product revenues,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January 2025, the Company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 The Company intends to vigorously defend its intellectual property rights protecting ORLADEYO.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BioCryst Pharmaceuticals,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BioCryst Pharmaceuticals, Inc. (the Company) as of December 31, 2024 and 2023, the related consolidated statements of comprehensive loss, stockholders’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i w:val="1"/>
          <w:iCs w:val="1"/>
          <w:color w:val="auto"/>
        </w:rPr>
        <w:t>Royalty Financing Obligations</w:t>
      </w:r>
    </w:p>
    <w:p>
      <w:pPr>
        <w:sectPr>
          <w:pgSz w:w="11900" w:h="16838" w:orient="portrait"/>
          <w:cols w:equalWidth="0" w:num="1">
            <w:col w:w="11220"/>
          </w:cols>
          <w:pgMar w:left="320" w:top="121" w:right="359" w:bottom="1440" w:gutter="0" w:footer="0" w:header="0"/>
        </w:sectPr>
      </w:pPr>
    </w:p>
    <w:p>
      <w:pPr>
        <w:spacing w:after="0" w:line="347"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8 to the consolidated financial statements, the Company entered into Royalty Purchase Agreements with third parties and received proceeds of approximately $425 million in exchange for the right to receive royalty payments based on future net revenues of the Company’s commercialized drug, ORLADEYO, and other drug candidates as specified in the agreements.</w:t>
      </w:r>
    </w:p>
    <w:p>
      <w:pPr>
        <w:spacing w:after="0" w:line="200" w:lineRule="exact"/>
        <w:rPr>
          <w:sz w:val="20"/>
          <w:szCs w:val="20"/>
          <w:color w:val="auto"/>
        </w:rPr>
      </w:pPr>
    </w:p>
    <w:p>
      <w:pPr>
        <w:sectPr>
          <w:pgSz w:w="11900" w:h="16838" w:orient="portrait"/>
          <w:cols w:equalWidth="0" w:num="2">
            <w:col w:w="1320" w:space="340"/>
            <w:col w:w="9560"/>
          </w:cols>
          <w:pgMar w:left="320" w:top="121" w:right="359" w:bottom="1440" w:gutter="0" w:footer="0" w:header="0"/>
          <w:type w:val="continuous"/>
        </w:sectPr>
      </w:pPr>
    </w:p>
    <w:p>
      <w:pPr>
        <w:spacing w:after="0" w:line="3" w:lineRule="exact"/>
        <w:rPr>
          <w:sz w:val="20"/>
          <w:szCs w:val="20"/>
          <w:color w:val="auto"/>
        </w:rPr>
      </w:pPr>
    </w:p>
    <w:p>
      <w:pPr>
        <w:jc w:val="both"/>
        <w:ind w:left="1660"/>
        <w:spacing w:after="0" w:line="258" w:lineRule="auto"/>
        <w:rPr>
          <w:sz w:val="20"/>
          <w:szCs w:val="20"/>
          <w:color w:val="auto"/>
        </w:rPr>
      </w:pPr>
      <w:r>
        <w:rPr>
          <w:rFonts w:ascii="Times New Roman" w:cs="Times New Roman" w:eastAsia="Times New Roman" w:hAnsi="Times New Roman"/>
          <w:sz w:val="18"/>
          <w:szCs w:val="18"/>
          <w:color w:val="auto"/>
        </w:rPr>
        <w:t>The Company recorded the Royalty Purchase Agreements as liability instruments (royalty financing obligations) on the balance sheet at their carrying value of $513.7 million as of December 31, 2024, and imputed interest expense, totaling $56.0 million for the year ending December 31, 2024, associated with these liabilities using the effective interest method. Under the prospective method, a new effective interest rate is determined based on the revised estimate of remaining cash flows. The Company periodically assesses the amount and timing of expected royalty payments using internal projections of future net product sales.</w:t>
      </w:r>
    </w:p>
    <w:p>
      <w:pPr>
        <w:spacing w:after="0" w:line="210" w:lineRule="exact"/>
        <w:rPr>
          <w:sz w:val="20"/>
          <w:szCs w:val="20"/>
          <w:color w:val="auto"/>
        </w:rPr>
      </w:pPr>
    </w:p>
    <w:p>
      <w:pPr>
        <w:jc w:val="both"/>
        <w:ind w:left="1660"/>
        <w:spacing w:after="0" w:line="266" w:lineRule="auto"/>
        <w:rPr>
          <w:sz w:val="20"/>
          <w:szCs w:val="20"/>
          <w:color w:val="auto"/>
        </w:rPr>
      </w:pPr>
      <w:r>
        <w:rPr>
          <w:rFonts w:ascii="Times New Roman" w:cs="Times New Roman" w:eastAsia="Times New Roman" w:hAnsi="Times New Roman"/>
          <w:sz w:val="18"/>
          <w:szCs w:val="18"/>
          <w:color w:val="auto"/>
        </w:rPr>
        <w:t>Auditing the royalty financing obligations was judgmental due to the estimation uncertainty in determining the future net product sales included in the effective interest rate model. In particular, future net product sales are impacted by significant assumptions, including paid patients and price, which are affected by future market conditions.</w:t>
      </w:r>
    </w:p>
    <w:p>
      <w:pPr>
        <w:sectPr>
          <w:pgSz w:w="11900" w:h="16838" w:orient="portrait"/>
          <w:cols w:equalWidth="0" w:num="1">
            <w:col w:w="11220"/>
          </w:cols>
          <w:pgMar w:left="320" w:top="121" w:right="359" w:bottom="1440" w:gutter="0" w:footer="0" w:header="0"/>
          <w:type w:val="continuous"/>
        </w:sectPr>
      </w:pPr>
    </w:p>
    <w:p>
      <w:pPr>
        <w:spacing w:after="0" w:line="282" w:lineRule="exact"/>
        <w:rPr>
          <w:sz w:val="20"/>
          <w:szCs w:val="20"/>
          <w:color w:val="auto"/>
        </w:rPr>
      </w:pPr>
    </w:p>
    <w:p>
      <w:pPr>
        <w:ind w:left="20"/>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processes to account for the royalty financing obligations, including controls over management’s review of the internal projections of future net product sales.</w:t>
      </w:r>
    </w:p>
    <w:p>
      <w:pPr>
        <w:spacing w:after="0" w:line="202" w:lineRule="exact"/>
        <w:rPr>
          <w:sz w:val="20"/>
          <w:szCs w:val="20"/>
          <w:color w:val="auto"/>
        </w:rPr>
      </w:pPr>
    </w:p>
    <w:p>
      <w:pPr>
        <w:sectPr>
          <w:pgSz w:w="11900" w:h="16838" w:orient="portrait"/>
          <w:cols w:equalWidth="0" w:num="2">
            <w:col w:w="1420" w:space="240"/>
            <w:col w:w="9560"/>
          </w:cols>
          <w:pgMar w:left="320" w:top="121" w:right="359" w:bottom="1440" w:gutter="0" w:footer="0" w:header="0"/>
          <w:type w:val="continuous"/>
        </w:sectPr>
      </w:pPr>
    </w:p>
    <w:p>
      <w:pPr>
        <w:jc w:val="both"/>
        <w:ind w:left="1660"/>
        <w:spacing w:after="0" w:line="258" w:lineRule="auto"/>
        <w:rPr>
          <w:sz w:val="20"/>
          <w:szCs w:val="20"/>
          <w:color w:val="auto"/>
        </w:rPr>
      </w:pPr>
      <w:r>
        <w:rPr>
          <w:rFonts w:ascii="Times New Roman" w:cs="Times New Roman" w:eastAsia="Times New Roman" w:hAnsi="Times New Roman"/>
          <w:sz w:val="18"/>
          <w:szCs w:val="18"/>
          <w:color w:val="auto"/>
        </w:rPr>
        <w:t>To evaluate the royalty financing obligations, our audit procedures included, among others, assessing the projections of future net product sales. We compared the significant assumptions noted above to historical, current industry, market and economic trends. We recalculated the current year interest expense based on the amortization schedules and estimates of royalties using the effective interest method and performed sensitivity analyses to evaluate the changes in the royalty financing obligations, and associated interest expense, that would result from changes in the significant assumptions.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BioCryst Pharmaceuticals,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BioCryst Pharmaceuticals, Inc.’s internal control over financial reporting as of December 31, 2024, based on criteria established in Internal Control—Integrated Framework issued by the Committee of Sponsoring Organizations of the Treadway Commission (2013 framework) (the COSO criteria). In our opinion, BioCryst Pharmaceuticals, Inc. (the Company) maintained, in all material respects, effective internal control over financial reporting as of December 31, 2024, based on the COSO criteria.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comprehensive loss, stockholders’ deficit and cash flows for each of the three years in the period ended December 31, 2024, and the related notes and our report dated February 25,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 We carried out an evaluation as required by paragraph (b) of Rule 13a-15 or Rule 15d-15 under the Exchange Act, under the supervision and with the participation of management, including our Chief Executive Officer and Chief Financial Officer, of the effectiveness of the design and operation of our disclosure controls and procedures (as defined in Rule 13a-15(e) or Rule 15d-15(e) under the Exchange Act). Based on that evaluation, our Chief Executive Officer and Chief Financial Officer concluded that, as of December 31, 2024, our disclosure controls and procedures were effective.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or Rule 15d-15(f) under the Exchange Act,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GAAP. Internal control over financial reporting includes policies and procedures that (1) pertain to the maintenance of records that, in reasonable detail, accurately and fairly reflect our transactions and the dispositions of our assets; (2) provide reasonable assurance that transactions are recorded as necessary to permit preparation of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w:t>
      </w:r>
    </w:p>
    <w:p>
      <w:pPr>
        <w:spacing w:after="0" w:line="18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annual financial statements, management has undertaken an assessment of the effectiveness of our internal control over financial reporting as of December 31, 2024, based on criteria established in Internal Control — Integrated Framework issued by the Committee of Sponsoring Organizations of the Treadway Commission (2013 Framework) (the COSO Framework). Management’s assessment included an evaluation of the design of our internal control over financial reporting and testing of the operational effectiveness of those controls.</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2024, our internal control over financial reporting was effective. Management believes our internal control over financial reporting will provide reasonable assurance regarding the reliability of financial reporting and the preparation of financial statements for external purposes in accordance with U.S. GAAP.</w:t>
      </w:r>
    </w:p>
    <w:p>
      <w:pPr>
        <w:spacing w:after="0" w:line="17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our financial statements included in this report, has issued an attestation report on the effectiveness of the Company’s internal control over financial reporting as of December 31, 2024, a copy of which is included in this Annual Report on Form 10-K.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21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adopted or terminated a “Rule 10b5-1 trading arrangement” or “non-Rule 10b5-1 trading arrangement” (as each of those terms is defined in Item 408(a)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which governs the purchase, sale, and other dispositions of the Company’s securities by us and our directors, officers, employees, and other covered persons. We believe this policy is reasonably designed to promote compliance with insider trading laws, rules and regulations and listing standards applicable to the Company. A copy of our Insider Trading Policy is filed as Exhibit 19 to this Annual Report on Form 10-K.</w:t>
      </w:r>
    </w:p>
    <w:p>
      <w:pPr>
        <w:spacing w:after="0" w:line="205" w:lineRule="exact"/>
        <w:rPr>
          <w:sz w:val="20"/>
          <w:szCs w:val="20"/>
          <w:color w:val="auto"/>
        </w:rPr>
      </w:pPr>
    </w:p>
    <w:p>
      <w:pPr>
        <w:ind w:firstLine="486"/>
        <w:spacing w:after="0" w:line="315" w:lineRule="auto"/>
        <w:rPr>
          <w:sz w:val="20"/>
          <w:szCs w:val="20"/>
          <w:color w:val="auto"/>
        </w:rPr>
      </w:pPr>
      <w:r>
        <w:rPr>
          <w:rFonts w:ascii="Times New Roman" w:cs="Times New Roman" w:eastAsia="Times New Roman" w:hAnsi="Times New Roman"/>
          <w:sz w:val="17"/>
          <w:szCs w:val="17"/>
          <w:color w:val="auto"/>
        </w:rPr>
        <w:t>The other information required by this item is set forth under the captions “</w:t>
      </w:r>
      <w:r>
        <w:rPr>
          <w:rFonts w:ascii="Times New Roman" w:cs="Times New Roman" w:eastAsia="Times New Roman" w:hAnsi="Times New Roman"/>
          <w:sz w:val="17"/>
          <w:szCs w:val="17"/>
          <w:i w:val="1"/>
          <w:iCs w:val="1"/>
          <w:color w:val="auto"/>
        </w:rPr>
        <w:t>Items to be Voted upon</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1. Election of Directors,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Executive Officers,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Corporate Governance</w:t>
      </w:r>
      <w:r>
        <w:rPr>
          <w:rFonts w:ascii="Times New Roman" w:cs="Times New Roman" w:eastAsia="Times New Roman" w:hAnsi="Times New Roman"/>
          <w:sz w:val="17"/>
          <w:szCs w:val="17"/>
          <w:color w:val="auto"/>
        </w:rPr>
        <w:t>” in our definitive Proxy Statement for the 2025 Annual Meeting of Stockholders and incorporated herein by reference.</w:t>
      </w:r>
    </w:p>
    <w:p>
      <w:pPr>
        <w:spacing w:after="0" w:line="1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7"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captions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Compensation Committee Interlocks and Insider Participation,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Compensation Committee Report</w:t>
      </w:r>
      <w:r>
        <w:rPr>
          <w:rFonts w:ascii="Times New Roman" w:cs="Times New Roman" w:eastAsia="Times New Roman" w:hAnsi="Times New Roman"/>
          <w:sz w:val="18"/>
          <w:szCs w:val="18"/>
          <w:color w:val="auto"/>
        </w:rPr>
        <w:t>” in our definitive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for the 2025 Annual Meeting of Stockholders and incorporated herein by reference.</w:t>
      </w:r>
    </w:p>
    <w:p>
      <w:pPr>
        <w:spacing w:after="0" w:line="171" w:lineRule="exact"/>
        <w:rPr>
          <w:sz w:val="20"/>
          <w:szCs w:val="20"/>
          <w:color w:val="auto"/>
        </w:rPr>
      </w:pPr>
    </w:p>
    <w:p>
      <w:pPr>
        <w:ind w:left="940" w:right="780" w:hanging="971"/>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57" w:lineRule="exact"/>
        <w:rPr>
          <w:sz w:val="20"/>
          <w:szCs w:val="20"/>
          <w:color w:val="auto"/>
        </w:rPr>
      </w:pPr>
    </w:p>
    <w:p>
      <w:pPr>
        <w:ind w:firstLine="486"/>
        <w:spacing w:after="0" w:line="315" w:lineRule="auto"/>
        <w:rPr>
          <w:sz w:val="20"/>
          <w:szCs w:val="20"/>
          <w:color w:val="auto"/>
        </w:rPr>
      </w:pPr>
      <w:r>
        <w:rPr>
          <w:rFonts w:ascii="Times New Roman" w:cs="Times New Roman" w:eastAsia="Times New Roman" w:hAnsi="Times New Roman"/>
          <w:sz w:val="17"/>
          <w:szCs w:val="17"/>
          <w:color w:val="auto"/>
        </w:rPr>
        <w:t>The information required by this item is set forth under the captions “</w:t>
      </w:r>
      <w:r>
        <w:rPr>
          <w:rFonts w:ascii="Times New Roman" w:cs="Times New Roman" w:eastAsia="Times New Roman" w:hAnsi="Times New Roman"/>
          <w:sz w:val="17"/>
          <w:szCs w:val="17"/>
          <w:i w:val="1"/>
          <w:iCs w:val="1"/>
          <w:color w:val="auto"/>
        </w:rPr>
        <w:t>Equity Compensation Plan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Security Ownership of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Beneficial Owners and Management</w:t>
      </w:r>
      <w:r>
        <w:rPr>
          <w:rFonts w:ascii="Times New Roman" w:cs="Times New Roman" w:eastAsia="Times New Roman" w:hAnsi="Times New Roman"/>
          <w:sz w:val="17"/>
          <w:szCs w:val="17"/>
          <w:color w:val="auto"/>
        </w:rPr>
        <w:t>” in our definitive Proxy Statement for the 2025 Annual Meeting of Stockholders and incorporated herein by reference.</w:t>
      </w:r>
    </w:p>
    <w:p>
      <w:pPr>
        <w:spacing w:after="0" w:line="1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7" w:lineRule="exact"/>
        <w:rPr>
          <w:sz w:val="20"/>
          <w:szCs w:val="20"/>
          <w:color w:val="auto"/>
        </w:rPr>
      </w:pPr>
    </w:p>
    <w:p>
      <w:pPr>
        <w:ind w:right="100" w:firstLine="486"/>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caption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in our definitive Proxy Statement for the 2025 Annual Meeting of Stockholders and incorporated herein by reference.</w:t>
      </w:r>
    </w:p>
    <w:p>
      <w:pPr>
        <w:spacing w:after="0" w:line="15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Raleigh, NC, Auditor Firm ID: 42.</w:t>
      </w:r>
    </w:p>
    <w:p>
      <w:pPr>
        <w:spacing w:after="0" w:line="223" w:lineRule="exact"/>
        <w:rPr>
          <w:sz w:val="20"/>
          <w:szCs w:val="20"/>
          <w:color w:val="auto"/>
        </w:rPr>
      </w:pPr>
    </w:p>
    <w:p>
      <w:pPr>
        <w:jc w:val="both"/>
        <w:ind w:right="520" w:firstLine="486"/>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caption “</w:t>
      </w:r>
      <w:r>
        <w:rPr>
          <w:rFonts w:ascii="Times New Roman" w:cs="Times New Roman" w:eastAsia="Times New Roman" w:hAnsi="Times New Roman"/>
          <w:sz w:val="18"/>
          <w:szCs w:val="18"/>
          <w:i w:val="1"/>
          <w:iCs w:val="1"/>
          <w:color w:val="auto"/>
        </w:rPr>
        <w:t>Items to be Voted upon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2. Ratification of Appointment of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Registered Public Accountants for 2025</w:t>
      </w:r>
      <w:r>
        <w:rPr>
          <w:rFonts w:ascii="Times New Roman" w:cs="Times New Roman" w:eastAsia="Times New Roman" w:hAnsi="Times New Roman"/>
          <w:sz w:val="18"/>
          <w:szCs w:val="18"/>
          <w:color w:val="auto"/>
        </w:rPr>
        <w:t>” in our definitive Proxy Statement for the 2025 Annual Meeting of Stockholders and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38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8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820" w:type="dxa"/>
            <w:vAlign w:val="bottom"/>
            <w:gridSpan w:val="6"/>
          </w:tcPr>
          <w:p>
            <w:pPr>
              <w:ind w:left="160"/>
              <w:spacing w:after="0"/>
              <w:rPr>
                <w:sz w:val="20"/>
                <w:szCs w:val="20"/>
                <w:color w:val="auto"/>
              </w:rPr>
            </w:pPr>
            <w:r>
              <w:rPr>
                <w:rFonts w:ascii="Times New Roman" w:cs="Times New Roman" w:eastAsia="Times New Roman" w:hAnsi="Times New Roman"/>
                <w:sz w:val="18"/>
                <w:szCs w:val="18"/>
                <w:i w:val="1"/>
                <w:iCs w:val="1"/>
                <w:color w:val="auto"/>
              </w:rPr>
              <w:t>(a) Financial Statements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82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The following financial statements appear in Item 8 of this report:</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Page in</w:t>
            </w:r>
          </w:p>
        </w:tc>
      </w:t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2024 and 2023</w:t>
            </w:r>
          </w:p>
        </w:tc>
        <w:tc>
          <w:tcPr>
            <w:tcW w:w="4380" w:type="dxa"/>
            <w:vAlign w:val="bottom"/>
            <w:gridSpan w:val="4"/>
          </w:tcPr>
          <w:p>
            <w:pPr>
              <w:spacing w:after="0"/>
              <w:rPr>
                <w:sz w:val="18"/>
                <w:szCs w:val="18"/>
                <w:color w:val="auto"/>
              </w:rPr>
            </w:pPr>
          </w:p>
        </w:tc>
        <w:tc>
          <w:tcPr>
            <w:tcW w:w="170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77</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2024, 2023, and 2022</w:t>
            </w:r>
          </w:p>
        </w:tc>
        <w:tc>
          <w:tcPr>
            <w:tcW w:w="170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78</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79</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for the years ended December 31, 2024, 2023, and 2022</w:t>
            </w:r>
          </w:p>
        </w:tc>
        <w:tc>
          <w:tcPr>
            <w:tcW w:w="1200" w:type="dxa"/>
            <w:vAlign w:val="bottom"/>
          </w:tcPr>
          <w:p>
            <w:pPr>
              <w:spacing w:after="0"/>
              <w:rPr>
                <w:sz w:val="18"/>
                <w:szCs w:val="18"/>
                <w:color w:val="auto"/>
              </w:rPr>
            </w:pPr>
          </w:p>
        </w:tc>
        <w:tc>
          <w:tcPr>
            <w:tcW w:w="170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80</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460" w:type="dxa"/>
            <w:vAlign w:val="bottom"/>
            <w:gridSpan w:val="4"/>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81</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Report of Independent Registered Public Accounting Firm on Consolidated Financial Statements</w:t>
            </w:r>
          </w:p>
        </w:tc>
        <w:tc>
          <w:tcPr>
            <w:tcW w:w="1860" w:type="dxa"/>
            <w:vAlign w:val="bottom"/>
            <w:gridSpan w:val="2"/>
          </w:tcPr>
          <w:p>
            <w:pPr>
              <w:spacing w:after="0"/>
              <w:rPr>
                <w:sz w:val="18"/>
                <w:szCs w:val="18"/>
                <w:color w:val="auto"/>
              </w:rPr>
            </w:pPr>
          </w:p>
        </w:tc>
        <w:tc>
          <w:tcPr>
            <w:tcW w:w="20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w:t>
            </w:r>
          </w:p>
        </w:tc>
        <w:tc>
          <w:tcPr>
            <w:tcW w:w="1860" w:type="dxa"/>
            <w:vAlign w:val="bottom"/>
            <w:gridSpan w:val="2"/>
          </w:tcPr>
          <w:p>
            <w:pPr>
              <w:spacing w:after="0"/>
              <w:rPr>
                <w:sz w:val="18"/>
                <w:szCs w:val="18"/>
                <w:color w:val="auto"/>
              </w:rPr>
            </w:pPr>
          </w:p>
        </w:tc>
        <w:tc>
          <w:tcPr>
            <w:tcW w:w="20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6"/>
              </w:rPr>
              <w:t>115</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3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included because the information is either provided in the consolidated financial statements or is not required under the related instructions or is inapplicable and such schedules therefore have been omitted.</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(b) Exhibits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058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53403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23" w:lineRule="exact"/>
        <w:rPr>
          <w:sz w:val="20"/>
          <w:szCs w:val="20"/>
          <w:color w:val="auto"/>
        </w:rPr>
      </w:pPr>
    </w:p>
    <w:p>
      <w:pPr>
        <w:ind w:right="1640"/>
        <w:spacing w:after="0" w:line="282"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Third Restated Certificate of Incorporation of BioCryst Pharmaceuticals, Inc. Incorporated by reference to Exhibit</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3.1 to the Company’s Form 8-K filed December 22, 2006.</w:t>
        </w:r>
      </w:hyperlink>
    </w:p>
    <w:p>
      <w:pPr>
        <w:spacing w:after="0" w:line="20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Certificate of Amendment to the Third Restated Certificate of Incorporation of BioCryst Pharmaceuticals,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Incorporated by reference to Exhibit 3.1 to the Company’s Form 8-K filed July 24, 2007.</w:t>
        </w:r>
      </w:hyperlink>
    </w:p>
    <w:p>
      <w:pPr>
        <w:spacing w:after="0" w:line="24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Certificate of Amendment to the Third Restated Certificate of Incorporation of BioCryst Pharmaceuticals,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Incorporated by reference to Exhibit 3.1 to the Company’s Form 8-K filed May 7, 2014.</w:t>
        </w:r>
      </w:hyperlink>
    </w:p>
    <w:p>
      <w:pPr>
        <w:spacing w:after="0" w:line="247" w:lineRule="exact"/>
        <w:rPr>
          <w:sz w:val="20"/>
          <w:szCs w:val="20"/>
          <w:color w:val="auto"/>
        </w:rPr>
      </w:pPr>
    </w:p>
    <w:p>
      <w:pPr>
        <w:ind w:right="1560"/>
        <w:spacing w:after="0" w:line="282"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Certificate of Elimination of the Series B Junior Participating Preferred Stock. Incorporated by reference to Exhibit</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3.1 to the Company’s Form 8-K filed May 13, 2020.</w:t>
        </w:r>
      </w:hyperlink>
    </w:p>
    <w:p>
      <w:pPr>
        <w:spacing w:after="0" w:line="20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Certificate of Amendment to the Third Restated Certificate of Incorporation of BioCryst Pharmaceuticals,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Incorporated by reference to Exhibit 3.2 to the Company’s Form 8-K filed May 13, 2020.</w:t>
        </w:r>
      </w:hyperlink>
    </w:p>
    <w:p>
      <w:pPr>
        <w:spacing w:after="0" w:line="234" w:lineRule="exact"/>
        <w:rPr>
          <w:sz w:val="20"/>
          <w:szCs w:val="20"/>
          <w:color w:val="auto"/>
        </w:rPr>
      </w:pPr>
    </w:p>
    <w:p>
      <w:pPr>
        <w:ind w:right="1780"/>
        <w:spacing w:after="0" w:line="237"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Amended and Restated By-Laws of BioCryst Pharmaceuticals, Inc., effective January 16, 2024. Incorporated by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reference to Exhibit 3.1 to the Company’s Form 8-K filed January 18, 2024.</w:t>
        </w:r>
      </w:hyperlink>
    </w:p>
    <w:p>
      <w:pPr>
        <w:spacing w:after="0" w:line="226" w:lineRule="exact"/>
        <w:rPr>
          <w:sz w:val="20"/>
          <w:szCs w:val="20"/>
          <w:color w:val="auto"/>
        </w:rPr>
      </w:pPr>
    </w:p>
    <w:p>
      <w:pPr>
        <w:ind w:right="1860"/>
        <w:spacing w:after="0" w:line="282"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Description of Securities. Incorporated by reference to Exhibit 4.1 to the Company’s Form 10-K filed March 1,</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2021.</w:t>
        </w:r>
      </w:hyperlink>
    </w:p>
    <w:p>
      <w:pPr>
        <w:spacing w:after="0" w:line="202" w:lineRule="exact"/>
        <w:rPr>
          <w:sz w:val="20"/>
          <w:szCs w:val="20"/>
          <w:color w:val="auto"/>
        </w:rPr>
      </w:pPr>
    </w:p>
    <w:p>
      <w:pPr>
        <w:ind w:right="1680"/>
        <w:spacing w:after="0" w:line="282"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Indenture, dated as of March 9, 2011 by and between JPR Royalty Sub LLC and U.S. Bank National Association,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as trustee. Incorporated by reference to Exhibit 4.3 to the Company’s Form 10-Q filed May 6, 2011.</w:t>
        </w:r>
      </w:hyperlink>
    </w:p>
    <w:p>
      <w:pPr>
        <w:spacing w:after="0" w:line="200" w:lineRule="exact"/>
        <w:rPr>
          <w:sz w:val="20"/>
          <w:szCs w:val="20"/>
          <w:color w:val="auto"/>
        </w:rPr>
      </w:pPr>
    </w:p>
    <w:p>
      <w:pPr>
        <w:sectPr>
          <w:pgSz w:w="11900" w:h="16838" w:orient="portrait"/>
          <w:cols w:equalWidth="0" w:num="2">
            <w:col w:w="1020" w:space="360"/>
            <w:col w:w="98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10.10&amp;</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39"/>
        <w:spacing w:after="0" w:line="282"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BioCryst Pharmaceuticals, Inc. Stock Incentive Plan (as amended and restated March 8, 2014). Incorporated by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reference to Exhibit 10.1 to the Company’s Form 8-K filed May 5, 2014.</w:t>
        </w:r>
      </w:hyperlink>
    </w:p>
    <w:p>
      <w:pPr>
        <w:spacing w:after="0" w:line="202" w:lineRule="exact"/>
        <w:rPr>
          <w:sz w:val="20"/>
          <w:szCs w:val="20"/>
          <w:color w:val="auto"/>
        </w:rPr>
      </w:pPr>
    </w:p>
    <w:p>
      <w:pPr>
        <w:ind w:right="739"/>
        <w:spacing w:after="0" w:line="282"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BioCryst Pharmaceuticals, Inc. Stock Incentive Plan (as amended and restated May 23, 2016).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10.1 to the Company’s Registration Statement on Form S-8, filed May 23, 2016.</w:t>
        </w:r>
      </w:hyperlink>
    </w:p>
    <w:p>
      <w:pPr>
        <w:spacing w:after="0" w:line="202" w:lineRule="exact"/>
        <w:rPr>
          <w:sz w:val="20"/>
          <w:szCs w:val="20"/>
          <w:color w:val="auto"/>
        </w:rPr>
      </w:pPr>
    </w:p>
    <w:p>
      <w:pPr>
        <w:ind w:right="819"/>
        <w:spacing w:after="0" w:line="282"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BioCryst Pharmaceuticals, Inc. Stock Incentive Plan (as amended and restated April 3, 2017).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10.1 to the Company’s Form 8-K filed May 30, 2017.</w:t>
        </w:r>
      </w:hyperlink>
    </w:p>
    <w:p>
      <w:pPr>
        <w:spacing w:after="0" w:line="202" w:lineRule="exact"/>
        <w:rPr>
          <w:sz w:val="20"/>
          <w:szCs w:val="20"/>
          <w:color w:val="auto"/>
        </w:rPr>
      </w:pPr>
    </w:p>
    <w:p>
      <w:pPr>
        <w:ind w:right="579"/>
        <w:spacing w:after="0" w:line="282"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BioCryst Pharmaceuticals, Inc. Stock Incentive Plan (as amended and restated September 17, 2018). Incorporated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by reference to Exhibit 10.1 to the Company’s Form 8-K filed October 31, 2018.</w:t>
        </w:r>
      </w:hyperlink>
    </w:p>
    <w:p>
      <w:pPr>
        <w:spacing w:after="0" w:line="202" w:lineRule="exact"/>
        <w:rPr>
          <w:sz w:val="20"/>
          <w:szCs w:val="20"/>
          <w:color w:val="auto"/>
        </w:rPr>
      </w:pPr>
    </w:p>
    <w:p>
      <w:pPr>
        <w:ind w:right="739"/>
        <w:spacing w:after="0" w:line="282"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BioCryst Pharmaceuticals, Inc. Stock Incentive Plan (as amended and restated April 12, 2019). Incorporated by</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reference to Exhibit 10.1 to the Company’s Form 8-K filed June 4, 2019.</w:t>
        </w:r>
      </w:hyperlink>
    </w:p>
    <w:p>
      <w:pPr>
        <w:spacing w:after="0" w:line="202" w:lineRule="exact"/>
        <w:rPr>
          <w:sz w:val="20"/>
          <w:szCs w:val="20"/>
          <w:color w:val="auto"/>
        </w:rPr>
      </w:pPr>
    </w:p>
    <w:p>
      <w:pPr>
        <w:ind w:right="639"/>
        <w:spacing w:after="0" w:line="282"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BioCryst Pharmaceuticals, Inc. Stock Incentive Plan (as amended and restated March 19, 2020). Incorporated by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reference to Exhibit 10.1 to the Company’s Form 8-K filed May 13, 2020.</w:t>
        </w:r>
      </w:hyperlink>
    </w:p>
    <w:p>
      <w:pPr>
        <w:spacing w:after="0" w:line="202" w:lineRule="exact"/>
        <w:rPr>
          <w:sz w:val="20"/>
          <w:szCs w:val="20"/>
          <w:color w:val="auto"/>
        </w:rPr>
      </w:pPr>
    </w:p>
    <w:p>
      <w:pPr>
        <w:ind w:right="819"/>
        <w:spacing w:after="0" w:line="282"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BioCryst Pharmaceuticals, Inc. Stock Incentive Plan (as amended and restated April 1, 2021). Incorporated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10.1 to the Company’s Form 8-K filed May 26, 2021.</w:t>
        </w:r>
      </w:hyperlink>
    </w:p>
    <w:p>
      <w:pPr>
        <w:spacing w:after="0" w:line="202" w:lineRule="exact"/>
        <w:rPr>
          <w:sz w:val="20"/>
          <w:szCs w:val="20"/>
          <w:color w:val="auto"/>
        </w:rPr>
      </w:pPr>
    </w:p>
    <w:p>
      <w:pPr>
        <w:ind w:right="579"/>
        <w:spacing w:after="0" w:line="282"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BioCryst Pharmaceuticals, Inc. Stock Incentive Plan (as amended and restated as of April 18, 2022). Incorporated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by reference to Exhibit 10.1 to the Company’s Form 8-K filed June 7, 2022.</w:t>
        </w:r>
      </w:hyperlink>
    </w:p>
    <w:p>
      <w:pPr>
        <w:spacing w:after="0" w:line="189" w:lineRule="exact"/>
        <w:rPr>
          <w:sz w:val="20"/>
          <w:szCs w:val="20"/>
          <w:color w:val="auto"/>
        </w:rPr>
      </w:pPr>
    </w:p>
    <w:p>
      <w:pPr>
        <w:ind w:right="579"/>
        <w:spacing w:after="0" w:line="237"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BioCryst Pharmaceuticals, Inc. Stock Incentive Plan (as amended and restated as of April 24, 2023). Incorporated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by reference to Exhibit 10.1 to the Company’s Form 8-K filed June 14, 2023.</w:t>
        </w:r>
      </w:hyperlink>
    </w:p>
    <w:p>
      <w:pPr>
        <w:spacing w:after="0" w:line="293" w:lineRule="exact"/>
        <w:rPr>
          <w:sz w:val="20"/>
          <w:szCs w:val="20"/>
          <w:color w:val="auto"/>
        </w:rPr>
      </w:pPr>
    </w:p>
    <w:p>
      <w:pPr>
        <w:ind w:right="579"/>
        <w:spacing w:after="0" w:line="282"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BioCryst Pharmaceuticals, Inc. Stock Incentive Plan (as amended and restated as of April 22, 2024). Incorporated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reference to Exhibit 10.1 to the Company’s Form 8-K filed June 13, 2024.</w:t>
        </w:r>
      </w:hyperlink>
    </w:p>
    <w:p>
      <w:pPr>
        <w:spacing w:after="0" w:line="270" w:lineRule="exact"/>
        <w:rPr>
          <w:sz w:val="20"/>
          <w:szCs w:val="20"/>
          <w:color w:val="auto"/>
        </w:rPr>
      </w:pPr>
    </w:p>
    <w:p>
      <w:pPr>
        <w:ind w:right="619"/>
        <w:spacing w:after="0" w:line="26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Notice of Grant of Non-Employee Director Automatic Stock Option and Stock Option Agreement under</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the BioCryst Pharmaceuticals, Inc. Stock Incentive Plan. Incorporated by reference to Exhibit 10.4 to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Company’s Form 10-K filed March 4, 2008.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100"/>
            <w:col w:w="8759"/>
          </w:cols>
          <w:pgMar w:left="320" w:top="121" w:right="1440" w:bottom="1440" w:gutter="0" w:footer="0" w:header="0"/>
        </w:sectPr>
      </w:pPr>
    </w:p>
    <w:p>
      <w:pPr>
        <w:spacing w:after="0" w:line="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10.12&amp;</w:t>
      </w:r>
    </w:p>
    <w:p>
      <w:pPr>
        <w:spacing w:after="0" w:line="200" w:lineRule="exact"/>
        <w:rPr>
          <w:rFonts w:ascii="Times New Roman" w:cs="Times New Roman" w:eastAsia="Times New Roman" w:hAnsi="Times New Roman"/>
          <w:sz w:val="18"/>
          <w:szCs w:val="18"/>
          <w:u w:val="single" w:color="auto"/>
          <w:color w:val="0000FF"/>
        </w:rPr>
      </w:pPr>
    </w:p>
    <w:p>
      <w:pPr>
        <w:spacing w:after="0" w:line="282"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10.13&amp;</w:t>
      </w:r>
    </w:p>
    <w:p>
      <w:pPr>
        <w:spacing w:after="0" w:line="200" w:lineRule="exact"/>
        <w:rPr>
          <w:rFonts w:ascii="Times New Roman" w:cs="Times New Roman" w:eastAsia="Times New Roman" w:hAnsi="Times New Roman"/>
          <w:sz w:val="18"/>
          <w:szCs w:val="18"/>
          <w:u w:val="single" w:color="auto"/>
          <w:color w:val="0000FF"/>
        </w:rPr>
      </w:pPr>
    </w:p>
    <w:p>
      <w:pPr>
        <w:spacing w:after="0" w:line="282"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10.14&amp;</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Form of Notice of Grant of Stock Option and Stock Option Agreement under the BioCryst Pharmaceuticals, Inc.</w:t>
        </w:r>
      </w:hyperlink>
    </w:p>
    <w:p>
      <w:pPr>
        <w:spacing w:after="0" w:line="2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Stock Incentive Plan. Incorporated by reference to Exhibit 10.5 to the Company’s Form 10-K filed March 4, 2008.</w:t>
        </w:r>
      </w:hyperlink>
    </w:p>
    <w:p>
      <w:pPr>
        <w:spacing w:after="0" w:line="247" w:lineRule="exact"/>
        <w:rPr>
          <w:rFonts w:ascii="Times New Roman" w:cs="Times New Roman" w:eastAsia="Times New Roman" w:hAnsi="Times New Roman"/>
          <w:sz w:val="18"/>
          <w:szCs w:val="18"/>
          <w:u w:val="single" w:color="auto"/>
          <w:color w:val="0000FF"/>
        </w:rPr>
      </w:pPr>
    </w:p>
    <w:p>
      <w:pPr>
        <w:ind w:right="499"/>
        <w:spacing w:after="0" w:line="282"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Standard Stock Option Agreement under the BioCryst Pharmaceuticals, Inc. Stock Incentive Plan. Incorporated by</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reference to Exhibit 10.7 to the Company’s Form 10-K filed March 2, 2015.</w:t>
        </w:r>
      </w:hyperlink>
    </w:p>
    <w:p>
      <w:pPr>
        <w:spacing w:after="0" w:line="202" w:lineRule="exact"/>
        <w:rPr>
          <w:sz w:val="20"/>
          <w:szCs w:val="20"/>
          <w:color w:val="auto"/>
        </w:rPr>
      </w:pPr>
    </w:p>
    <w:p>
      <w:pPr>
        <w:jc w:val="both"/>
        <w:ind w:right="459"/>
        <w:spacing w:after="0" w:line="26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Form of Notice of Grant of Non-Employee Director Stock Option and Stock Option Agreement under the BioCryst</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Pharmaceuticals, Inc. Stock Incentive Plan. Incorporated by reference to Exhibit 10.3 to the Company’s 10-Q filed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August 5, 2022.</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8759"/>
          </w:cols>
          <w:pgMar w:left="320" w:top="121" w:right="1440" w:bottom="1440" w:gutter="0" w:footer="0" w:header="0"/>
          <w:type w:val="continuous"/>
        </w:sectPr>
      </w:pPr>
    </w:p>
    <w:p>
      <w:pPr>
        <w:spacing w:after="0" w:line="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10.15&amp;</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8"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10.16&amp;</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439"/>
        <w:spacing w:after="0" w:line="266" w:lineRule="auto"/>
        <w:rPr>
          <w:rFonts w:ascii="Times New Roman" w:cs="Times New Roman" w:eastAsia="Times New Roman" w:hAnsi="Times New Roman"/>
          <w:sz w:val="18"/>
          <w:szCs w:val="18"/>
          <w:u w:val="single" w:color="auto"/>
          <w:color w:val="0E32E1"/>
        </w:rPr>
      </w:pPr>
      <w:hyperlink r:id="rId161">
        <w:r>
          <w:rPr>
            <w:rFonts w:ascii="Times New Roman" w:cs="Times New Roman" w:eastAsia="Times New Roman" w:hAnsi="Times New Roman"/>
            <w:sz w:val="18"/>
            <w:szCs w:val="18"/>
            <w:u w:val="single" w:color="auto"/>
            <w:color w:val="0E32E1"/>
          </w:rPr>
          <w:t>Form of Notice of Grant of Restricted Stock Unit Award and Restricted Stock Unit Agreement under the BioCryst</w:t>
        </w:r>
      </w:hyperlink>
      <w:r>
        <w:rPr>
          <w:rFonts w:ascii="Times New Roman" w:cs="Times New Roman" w:eastAsia="Times New Roman" w:hAnsi="Times New Roman"/>
          <w:sz w:val="18"/>
          <w:szCs w:val="18"/>
          <w:u w:val="single" w:color="auto"/>
          <w:color w:val="0E32E1"/>
        </w:rPr>
        <w:t xml:space="preserve"> </w:t>
      </w:r>
      <w:hyperlink r:id="rId161">
        <w:r>
          <w:rPr>
            <w:rFonts w:ascii="Times New Roman" w:cs="Times New Roman" w:eastAsia="Times New Roman" w:hAnsi="Times New Roman"/>
            <w:sz w:val="18"/>
            <w:szCs w:val="18"/>
            <w:u w:val="single" w:color="auto"/>
            <w:color w:val="0E32E1"/>
          </w:rPr>
          <w:t>Pharmaceuticals, Inc. Stock Incentive Plan. Incorporated by reference to Exhibit 10.8 of the Company’s Form 10-K</w:t>
        </w:r>
      </w:hyperlink>
      <w:r>
        <w:rPr>
          <w:rFonts w:ascii="Times New Roman" w:cs="Times New Roman" w:eastAsia="Times New Roman" w:hAnsi="Times New Roman"/>
          <w:sz w:val="18"/>
          <w:szCs w:val="18"/>
          <w:u w:val="single" w:color="auto"/>
          <w:color w:val="0E32E1"/>
        </w:rPr>
        <w:t xml:space="preserve"> </w:t>
      </w:r>
      <w:hyperlink r:id="rId161">
        <w:r>
          <w:rPr>
            <w:rFonts w:ascii="Times New Roman" w:cs="Times New Roman" w:eastAsia="Times New Roman" w:hAnsi="Times New Roman"/>
            <w:sz w:val="18"/>
            <w:szCs w:val="18"/>
            <w:u w:val="single" w:color="auto"/>
            <w:color w:val="0E32E1"/>
          </w:rPr>
          <w:t>filed March 2, 2015.</w:t>
        </w:r>
      </w:hyperlink>
    </w:p>
    <w:p>
      <w:pPr>
        <w:spacing w:after="0" w:line="216" w:lineRule="exact"/>
        <w:rPr>
          <w:rFonts w:ascii="Times New Roman" w:cs="Times New Roman" w:eastAsia="Times New Roman" w:hAnsi="Times New Roman"/>
          <w:sz w:val="18"/>
          <w:szCs w:val="18"/>
          <w:u w:val="single" w:color="auto"/>
          <w:color w:val="0E32E1"/>
        </w:rPr>
      </w:pPr>
    </w:p>
    <w:p>
      <w:pPr>
        <w:jc w:val="both"/>
        <w:ind w:right="459"/>
        <w:spacing w:after="0" w:line="26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Form of Notice of Grant of Restricted Stock Unit Award and Restricted Stock Unit Agreement under the BioCryst</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Pharmaceuticals, Inc. Stock Incentive Plan. Incorporated by reference to Exhibit 10.2 to the Company’s Form 10-Q</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filed May 7,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8759"/>
          </w:cols>
          <w:pgMar w:left="320" w:top="121" w:right="1440"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8"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8"/>
              </w:rPr>
              <w:t>10.17&amp;</w:t>
            </w:r>
          </w:p>
        </w:tc>
        <w:tc>
          <w:tcPr>
            <w:tcW w:w="82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Form of Notice of Grant of Restricted Stock Unit Award and Restricted Stock Unit Agreement under the BioCryst</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2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Pharmaceuticals, Inc. Stock Incentive Plan. Incorporated by reference to Exhibit 10.14 to the Company’s Form 10-</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9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K filed February 28, 2022.</w:t>
              </w:r>
            </w:hyperlink>
          </w:p>
        </w:tc>
        <w:tc>
          <w:tcPr>
            <w:tcW w:w="6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8"/>
              </w:rPr>
              <w:t>10.18&amp;</w:t>
            </w:r>
          </w:p>
        </w:tc>
        <w:tc>
          <w:tcPr>
            <w:tcW w:w="8260" w:type="dxa"/>
            <w:vAlign w:val="bottom"/>
            <w:gridSpan w:val="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Notice of Grant of Non-Employee Director Restricted Stock Unit Award and Restricted Stock Unit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Agreement under the BioCryst Pharmaceuticals, Inc. Stock Incentive Plan. Incorporated by reference to Exhibit</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260" w:type="dxa"/>
            <w:vAlign w:val="bottom"/>
            <w:gridSpan w:val="7"/>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Company’s Form 10-Q filed August 5, 2022.</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98"/>
              </w:rPr>
              <w:t>10.19&amp;</w:t>
            </w:r>
          </w:p>
        </w:tc>
        <w:tc>
          <w:tcPr>
            <w:tcW w:w="4040" w:type="dxa"/>
            <w:vAlign w:val="bottom"/>
            <w:gridSpan w:val="2"/>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vMerge w:val="continue"/>
          </w:tcPr>
          <w:p>
            <w:pPr>
              <w:spacing w:after="0"/>
              <w:rPr>
                <w:sz w:val="24"/>
                <w:szCs w:val="24"/>
                <w:color w:val="auto"/>
              </w:rPr>
            </w:pPr>
          </w:p>
        </w:tc>
        <w:tc>
          <w:tcPr>
            <w:tcW w:w="82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Form of Notice of Performance-Based Restricted Stock Unit Award and Performance-Based Restricted Stock Unit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Agreement under the BioCryst Pharmaceuticals, Inc. Stock Incentive Plan. Incorporated by reference to Exhibit</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260" w:type="dxa"/>
            <w:vAlign w:val="bottom"/>
            <w:gridSpan w:val="7"/>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Company’s Form 10-Q filed August 6, 2024.</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10.24&amp;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10.26&amp;</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10.27&amp;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10.28&amp;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10.30&amp;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10.31&amp;</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BioCryst Pharmaceuticals, Inc. Employee Stock Purchase Plan (as amended and restated as of July 7, 2023).</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Incorporated by reference to Exhibit 10.3 to the Company’s Form 10-Q filed August 7, 2023.</w:t>
        </w:r>
      </w:hyperlink>
    </w:p>
    <w:p>
      <w:pPr>
        <w:spacing w:after="0" w:line="247" w:lineRule="exact"/>
        <w:rPr>
          <w:sz w:val="20"/>
          <w:szCs w:val="20"/>
          <w:color w:val="auto"/>
        </w:rPr>
      </w:pPr>
    </w:p>
    <w:p>
      <w:pPr>
        <w:ind w:right="519"/>
        <w:spacing w:after="0" w:line="282"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BioCryst Pharmaceuticals, Inc. Inducement Equity Incentive Plan (effective as of April 24, 2019). Incorporated by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reference to Exhibit 99.1 to the Company’s Form S-8 (File No. 333-231108) filed April 29, 2019.</w:t>
        </w:r>
      </w:hyperlink>
    </w:p>
    <w:p>
      <w:pPr>
        <w:spacing w:after="0" w:line="20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BioCryst Pharmaceuticals, Inc. Inducement Equity Incentive Plan (as amended and restated February 7, 2020).</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Incorporated by reference to Exhibit 10.2 of the Company’s Form 10-Q filed May 11, 2020.</w:t>
        </w:r>
      </w:hyperlink>
    </w:p>
    <w:p>
      <w:pPr>
        <w:spacing w:after="0" w:line="24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BioCryst Pharmaceuticals, Inc. Inducement Equity Incentive Plan (as amended and restated July 17, 2020).</w:t>
        </w:r>
      </w:hyperlink>
    </w:p>
    <w:p>
      <w:pPr>
        <w:spacing w:after="0" w:line="2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Incorporated by reference to Exhibit 99.1 to the Company’s Form S-8 (File No. 333-245024) filed August 12, 2020.</w:t>
        </w:r>
      </w:hyperlink>
    </w:p>
    <w:p>
      <w:pPr>
        <w:spacing w:after="0" w:line="259" w:lineRule="exact"/>
        <w:rPr>
          <w:sz w:val="20"/>
          <w:szCs w:val="20"/>
          <w:color w:val="auto"/>
        </w:rPr>
      </w:pPr>
    </w:p>
    <w:p>
      <w:pPr>
        <w:ind w:right="619"/>
        <w:spacing w:after="0" w:line="26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BioCryst Pharmaceuticals, Inc. Inducement Equity Incentive Plan (as amended and restated July 23, 2021).</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Incorporated by reference to Exhibit 99.1 to the Company’s Form S-8 (File No. 333-259919) filed September 30,</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2021.</w:t>
        </w:r>
      </w:hyperlink>
    </w:p>
    <w:p>
      <w:pPr>
        <w:spacing w:after="0" w:line="21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BioCryst Pharmaceuticals, Inc. Inducement Equity Incentive Plan (as amended and restated August 31, 2022).</w:t>
        </w:r>
      </w:hyperlink>
    </w:p>
    <w:p>
      <w:pPr>
        <w:spacing w:after="0" w:line="2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7"/>
          <w:szCs w:val="17"/>
          <w:u w:val="single" w:color="auto"/>
          <w:color w:val="0000FF"/>
        </w:rPr>
      </w:pPr>
      <w:hyperlink r:id="rId172">
        <w:r>
          <w:rPr>
            <w:rFonts w:ascii="Times New Roman" w:cs="Times New Roman" w:eastAsia="Times New Roman" w:hAnsi="Times New Roman"/>
            <w:sz w:val="17"/>
            <w:szCs w:val="17"/>
            <w:u w:val="single" w:color="auto"/>
            <w:color w:val="0000FF"/>
          </w:rPr>
          <w:t>Incorporated by reference to Exhibit 99.1 to the Company’s Form S-8 (File No. 333-267193) filed August 31, 2022.</w:t>
        </w:r>
      </w:hyperlink>
    </w:p>
    <w:p>
      <w:pPr>
        <w:spacing w:after="0" w:line="245" w:lineRule="exact"/>
        <w:rPr>
          <w:rFonts w:ascii="Times New Roman" w:cs="Times New Roman" w:eastAsia="Times New Roman" w:hAnsi="Times New Roman"/>
          <w:sz w:val="18"/>
          <w:szCs w:val="18"/>
          <w:u w:val="single" w:color="auto"/>
          <w:color w:val="0000FF"/>
        </w:rPr>
      </w:pPr>
    </w:p>
    <w:p>
      <w:pPr>
        <w:ind w:right="879"/>
        <w:spacing w:after="0" w:line="237"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BioCryst Pharmaceuticals, Inc. Inducement Equity Incentive Plan (as amended and restated as of October 26,</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2023). Incorporated by reference to Exhibit 10.2 to the Company’s Form 10-Q filed November 8, 2023.</w:t>
        </w:r>
      </w:hyperlink>
    </w:p>
    <w:p>
      <w:pPr>
        <w:spacing w:after="0" w:line="226" w:lineRule="exact"/>
        <w:rPr>
          <w:sz w:val="20"/>
          <w:szCs w:val="20"/>
          <w:color w:val="auto"/>
        </w:rPr>
      </w:pPr>
    </w:p>
    <w:p>
      <w:pPr>
        <w:ind w:right="1119"/>
        <w:spacing w:after="0" w:line="26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Form of Notice of Grant of Stock Option and Standard Stock Option Agreement under the BioCryst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Pharmaceuticals, Inc. Inducement Equity Incentive Plan. Incorporated by reference to Exhibit 10.16 to the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Company’s Form 10-K filed March 1, 2021.</w:t>
        </w:r>
      </w:hyperlink>
    </w:p>
    <w:p>
      <w:pPr>
        <w:spacing w:after="0" w:line="216" w:lineRule="exact"/>
        <w:rPr>
          <w:rFonts w:ascii="Times New Roman" w:cs="Times New Roman" w:eastAsia="Times New Roman" w:hAnsi="Times New Roman"/>
          <w:sz w:val="18"/>
          <w:szCs w:val="18"/>
          <w:u w:val="single" w:color="auto"/>
          <w:color w:val="0000FF"/>
        </w:rPr>
      </w:pPr>
    </w:p>
    <w:p>
      <w:pPr>
        <w:ind w:right="539"/>
        <w:spacing w:after="0" w:line="266"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Form of Notice of Grant of Restricted Stock Unit Award and Restricted Stock Unit Agreement under the BioCryst</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Pharmaceuticals, Inc. Inducement Equity Incentive Plan. Incorporated by reference to Exhibit 10.25 to the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Company’s Form 10-K filed February 27, 2023.</w:t>
        </w:r>
      </w:hyperlink>
    </w:p>
    <w:p>
      <w:pPr>
        <w:spacing w:after="0" w:line="21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BioCryst Pharmaceuticals, Inc. Non-Employee Director Compensation Policy, effective April 18, 2022.</w:t>
        </w:r>
      </w:hyperlink>
    </w:p>
    <w:p>
      <w:pPr>
        <w:spacing w:after="0" w:line="2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Incorporated by reference to Exhibit 10.2 to the Company’s Form 10-Q filed May 9, 2022.</w:t>
        </w:r>
      </w:hyperlink>
    </w:p>
    <w:p>
      <w:pPr>
        <w:spacing w:after="0" w:line="247" w:lineRule="exact"/>
        <w:rPr>
          <w:rFonts w:ascii="Times New Roman" w:cs="Times New Roman" w:eastAsia="Times New Roman" w:hAnsi="Times New Roman"/>
          <w:sz w:val="18"/>
          <w:szCs w:val="18"/>
          <w:u w:val="single" w:color="auto"/>
          <w:color w:val="0000FF"/>
        </w:rPr>
      </w:pPr>
    </w:p>
    <w:p>
      <w:pPr>
        <w:jc w:val="both"/>
        <w:ind w:right="679"/>
        <w:spacing w:after="0" w:line="312"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First Amendment to the BioCryst Pharmaceuticals, Inc. Non-Employee Director Compensation Policy, effective</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June 10, 2024. Incorporated by reference to Exhibit 10.2 to the Company’s Form 10-Q filed on August 6, 2024.</w:t>
        </w:r>
      </w:hyperlink>
    </w:p>
    <w:p>
      <w:pPr>
        <w:spacing w:after="0" w:line="180" w:lineRule="exact"/>
        <w:rPr>
          <w:sz w:val="20"/>
          <w:szCs w:val="20"/>
          <w:color w:val="auto"/>
        </w:rPr>
      </w:pPr>
    </w:p>
    <w:p>
      <w:pPr>
        <w:ind w:right="999"/>
        <w:spacing w:after="0" w:line="282"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BioCryst Pharmaceuticals, Inc. Annual Incentive Plan (effective as of December 16, 2020). Incorporated by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reference to Exhibit 10.1 to the Company’s Form 8-K filed December 17, 2020.</w:t>
        </w:r>
      </w:hyperlink>
    </w:p>
    <w:p>
      <w:pPr>
        <w:spacing w:after="0" w:line="200" w:lineRule="exact"/>
        <w:rPr>
          <w:sz w:val="20"/>
          <w:szCs w:val="20"/>
          <w:color w:val="auto"/>
        </w:rPr>
      </w:pPr>
    </w:p>
    <w:p>
      <w:pPr>
        <w:sectPr>
          <w:pgSz w:w="11900" w:h="16838" w:orient="portrait"/>
          <w:cols w:equalWidth="0" w:num="2">
            <w:col w:w="660" w:space="720"/>
            <w:col w:w="875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10.33&amp;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19"/>
        <w:spacing w:after="0" w:line="282"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Executive Relocation Policy. Incorporated by reference to Exhibit 10.2 to the Company’s Form 10-K filed March 4,</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2008.</w:t>
        </w:r>
      </w:hyperlink>
    </w:p>
    <w:p>
      <w:pPr>
        <w:spacing w:after="0" w:line="202" w:lineRule="exact"/>
        <w:rPr>
          <w:sz w:val="20"/>
          <w:szCs w:val="20"/>
          <w:color w:val="auto"/>
        </w:rPr>
      </w:pPr>
    </w:p>
    <w:p>
      <w:pPr>
        <w:ind w:right="379"/>
        <w:spacing w:after="0" w:line="266"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Amended and Restated Employment Letter Agreement between BioCryst Pharmaceuticals, Inc. and Jon P.</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Stonehouse, dated February 14, 2007. Incorporated by reference to Exhibit 10.12 to the Company’s Form 10-K filed</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March 14, 2007.</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100"/>
            <w:col w:w="8759"/>
          </w:cols>
          <w:pgMar w:left="320" w:top="121" w:right="1440" w:bottom="1440" w:gutter="0" w:footer="0" w:header="0"/>
        </w:sectPr>
      </w:pPr>
    </w:p>
    <w:p>
      <w:pPr>
        <w:spacing w:after="0" w:line="3"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8"/>
              </w:rPr>
              <w:t>10.34&amp;</w:t>
            </w:r>
          </w:p>
        </w:tc>
        <w:tc>
          <w:tcPr>
            <w:tcW w:w="78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Amended and Restated Employment Letter Agreement between BioCryst Pharmaceuticals, Inc. and Alane P.</w:t>
              </w:r>
            </w:hyperlink>
          </w:p>
        </w:tc>
        <w:tc>
          <w:tcPr>
            <w:tcW w:w="460" w:type="dxa"/>
            <w:vAlign w:val="bottom"/>
          </w:tcPr>
          <w:p>
            <w:pPr>
              <w:spacing w:after="0"/>
              <w:rPr>
                <w:sz w:val="18"/>
                <w:szCs w:val="18"/>
                <w:color w:val="auto"/>
              </w:rPr>
            </w:pPr>
          </w:p>
        </w:tc>
      </w:tr>
      <w:tr>
        <w:trPr>
          <w:trHeight w:val="196"/>
        </w:trPr>
        <w:tc>
          <w:tcPr>
            <w:tcW w:w="1360" w:type="dxa"/>
            <w:vAlign w:val="bottom"/>
          </w:tcPr>
          <w:p>
            <w:pPr>
              <w:spacing w:after="0"/>
              <w:rPr>
                <w:sz w:val="17"/>
                <w:szCs w:val="17"/>
                <w:color w:val="auto"/>
              </w:rPr>
            </w:pPr>
          </w:p>
        </w:tc>
        <w:tc>
          <w:tcPr>
            <w:tcW w:w="83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Barnes, dated August 4, 2021. Incorporated by reference to Exhibit 10.6 to the Company’s Form 10-Q filed August</w:t>
              </w:r>
            </w:hyperlink>
          </w:p>
        </w:tc>
      </w:tr>
      <w:tr>
        <w:trPr>
          <w:trHeight w:val="196"/>
        </w:trPr>
        <w:tc>
          <w:tcPr>
            <w:tcW w:w="136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82">
              <w:r>
                <w:rPr>
                  <w:rFonts w:ascii="Times New Roman" w:cs="Times New Roman" w:eastAsia="Times New Roman" w:hAnsi="Times New Roman"/>
                  <w:sz w:val="18"/>
                  <w:szCs w:val="18"/>
                  <w:color w:val="0000FF"/>
                  <w:w w:val="95"/>
                </w:rPr>
                <w:t>9, 2021.</w:t>
              </w:r>
            </w:hyperlink>
          </w:p>
        </w:tc>
        <w:tc>
          <w:tcPr>
            <w:tcW w:w="726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10.35&amp;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10.36&amp;</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Employment Letter Agreement between BioCryst Pharmaceuticals, Inc. and Charles Gayer, dated January 14, 2020.</w:t>
        </w:r>
      </w:hyperlink>
    </w:p>
    <w:p>
      <w:pPr>
        <w:spacing w:after="0" w:line="3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Incorporated by reference to Exhibit 10.26 to the Company’s Form 10-K filed March 1, 2021.</w:t>
        </w:r>
      </w:hyperlink>
    </w:p>
    <w:p>
      <w:pPr>
        <w:spacing w:after="0" w:line="247" w:lineRule="exact"/>
        <w:rPr>
          <w:sz w:val="20"/>
          <w:szCs w:val="20"/>
          <w:color w:val="auto"/>
        </w:rPr>
      </w:pPr>
    </w:p>
    <w:p>
      <w:pPr>
        <w:ind w:right="659"/>
        <w:spacing w:after="0" w:line="266"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Amendment No. 1 to the Employment Letter Agreement between BioCryst Pharmaceuticals, Inc. and Charles</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Gayer, dated September 24, 2021. Incorporated by reference to Exhibit 10.10 to the Company’s Form 10-Q filed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November 4,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8759"/>
          </w:cols>
          <w:pgMar w:left="320" w:top="121" w:right="1440" w:bottom="1440" w:gutter="0" w:footer="0" w:header="0"/>
          <w:type w:val="continuous"/>
        </w:sectPr>
      </w:pPr>
    </w:p>
    <w:p>
      <w:pPr>
        <w:spacing w:after="0" w:line="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10.37&amp;</w:t>
      </w:r>
    </w:p>
    <w:p>
      <w:pPr>
        <w:spacing w:after="0" w:line="200" w:lineRule="exact"/>
        <w:rPr>
          <w:rFonts w:ascii="Times New Roman" w:cs="Times New Roman" w:eastAsia="Times New Roman" w:hAnsi="Times New Roman"/>
          <w:sz w:val="18"/>
          <w:szCs w:val="18"/>
          <w:u w:val="single" w:color="auto"/>
          <w:color w:val="0000FF"/>
        </w:rPr>
      </w:pPr>
    </w:p>
    <w:p>
      <w:pPr>
        <w:spacing w:after="0" w:line="282"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10.38&amp;</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Employment Letter Agreement between BioCryst Pharmaceuticals, Inc. and Anthony Doyle, dated March 29, 2020.</w:t>
        </w:r>
      </w:hyperlink>
    </w:p>
    <w:p>
      <w:pPr>
        <w:spacing w:after="0" w:line="2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Incorporated by reference to Exhibit 10.1 to the Company’s Form 10-Q filed May 11, 2020.</w:t>
        </w:r>
      </w:hyperlink>
    </w:p>
    <w:p>
      <w:pPr>
        <w:spacing w:after="0" w:line="247" w:lineRule="exact"/>
        <w:rPr>
          <w:rFonts w:ascii="Times New Roman" w:cs="Times New Roman" w:eastAsia="Times New Roman" w:hAnsi="Times New Roman"/>
          <w:sz w:val="18"/>
          <w:szCs w:val="18"/>
          <w:u w:val="single" w:color="auto"/>
          <w:color w:val="0000FF"/>
        </w:rPr>
      </w:pPr>
    </w:p>
    <w:p>
      <w:pPr>
        <w:jc w:val="both"/>
        <w:ind w:right="739"/>
        <w:spacing w:after="0" w:line="266"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Amendment No. 1 to the Employment Letter Agreement between BioCryst Pharmaceuticals, Inc. and Anthony</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Doyle, dated September 24, 2021. Incorporated by reference to Exhibit 10.8 to the Company’s Form 10-Q filed</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November 4,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8759"/>
          </w:cols>
          <w:pgMar w:left="320" w:top="121" w:right="1440" w:bottom="1440" w:gutter="0" w:footer="0" w:header="0"/>
          <w:type w:val="continuous"/>
        </w:sectPr>
      </w:pPr>
    </w:p>
    <w:p>
      <w:pPr>
        <w:spacing w:after="0" w:line="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10.39&amp;</w:t>
      </w:r>
    </w:p>
    <w:p>
      <w:pPr>
        <w:spacing w:after="0" w:line="200" w:lineRule="exact"/>
        <w:rPr>
          <w:rFonts w:ascii="Times New Roman" w:cs="Times New Roman" w:eastAsia="Times New Roman" w:hAnsi="Times New Roman"/>
          <w:sz w:val="18"/>
          <w:szCs w:val="18"/>
          <w:u w:val="single" w:color="auto"/>
          <w:color w:val="0000FF"/>
        </w:rPr>
      </w:pPr>
    </w:p>
    <w:p>
      <w:pPr>
        <w:spacing w:after="0" w:line="282"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10.40&amp;</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399"/>
        <w:spacing w:after="0" w:line="282"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Employment Letter Agreement between BioCryst Pharmaceuticals, Inc. and Dr. Helen M. Thackray, dated February</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18, 2021. Incorporated by reference to Exhibit 10.1 to the Company’s Form 10-Q filed May 7, 2021.</w:t>
        </w:r>
      </w:hyperlink>
    </w:p>
    <w:p>
      <w:pPr>
        <w:spacing w:after="0" w:line="202" w:lineRule="exact"/>
        <w:rPr>
          <w:sz w:val="20"/>
          <w:szCs w:val="20"/>
          <w:color w:val="auto"/>
        </w:rPr>
      </w:pPr>
    </w:p>
    <w:p>
      <w:pPr>
        <w:jc w:val="both"/>
        <w:ind w:right="459"/>
        <w:spacing w:after="0" w:line="26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Amendment No. 1 to the Employment Letter Agreement between BioCryst Pharmaceuticals, Inc. and Dr. Helen M.</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Thackray, dated September 24, 2021. Incorporated by reference to Exhibit 10.9 to the Company’s Form 10-Q filed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November 4,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8759"/>
          </w:cols>
          <w:pgMar w:left="320" w:top="121" w:right="1440" w:bottom="1440" w:gutter="0" w:footer="0" w:header="0"/>
          <w:type w:val="continuous"/>
        </w:sectPr>
      </w:pPr>
    </w:p>
    <w:p>
      <w:pPr>
        <w:spacing w:after="0" w:line="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10.41†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8"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10.42†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539"/>
        <w:spacing w:after="0" w:line="26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License, Development and Commercialization Agreement dated as of February 28, 2007, by and between the</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Company and Shionogi &amp; Co., Ltd. Incorporated by reference to Exhibit 10.28 to the Company’s Form 10-K filed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March 1, 2021.</w:t>
        </w:r>
      </w:hyperlink>
    </w:p>
    <w:p>
      <w:pPr>
        <w:spacing w:after="0" w:line="216" w:lineRule="exact"/>
        <w:rPr>
          <w:rFonts w:ascii="Times New Roman" w:cs="Times New Roman" w:eastAsia="Times New Roman" w:hAnsi="Times New Roman"/>
          <w:sz w:val="18"/>
          <w:szCs w:val="18"/>
          <w:u w:val="single" w:color="auto"/>
          <w:color w:val="0000FF"/>
        </w:rPr>
      </w:pPr>
    </w:p>
    <w:p>
      <w:pPr>
        <w:jc w:val="both"/>
        <w:ind w:right="419"/>
        <w:spacing w:after="0" w:line="26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First Amendment to License, Development and Commercialization Agreement, effective as of September 30, 2008,</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between the Company and Shionogi &amp; Co., Ltd. Incorporated by reference to Exhibit 10.29 to the Company’s Form</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10-K filed March 1,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8759"/>
          </w:cols>
          <w:pgMar w:left="320" w:top="121" w:right="1440" w:bottom="1440" w:gutter="0" w:footer="0" w:header="0"/>
          <w:type w:val="continuous"/>
        </w:sectPr>
      </w:pPr>
    </w:p>
    <w:p>
      <w:pPr>
        <w:spacing w:after="0" w:line="3"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83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Purchase and Sale Agreement, dated as of March 9, 2011 between BioCryst Pharmaceuticals, Inc. and JPR Royalty</w:t>
              </w:r>
            </w:hyperlink>
          </w:p>
        </w:tc>
      </w:tr>
      <w:tr>
        <w:trPr>
          <w:trHeight w:val="196"/>
        </w:trPr>
        <w:tc>
          <w:tcPr>
            <w:tcW w:w="1360" w:type="dxa"/>
            <w:vAlign w:val="bottom"/>
          </w:tcPr>
          <w:p>
            <w:pPr>
              <w:spacing w:after="0"/>
              <w:rPr>
                <w:sz w:val="17"/>
                <w:szCs w:val="17"/>
                <w:color w:val="auto"/>
              </w:rPr>
            </w:pPr>
          </w:p>
        </w:tc>
        <w:tc>
          <w:tcPr>
            <w:tcW w:w="7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Sub LLC. Incorporated by reference to Exhibit 10.1 of the Company’s Form 10-Q filed May 6, 2011.</w:t>
              </w:r>
            </w:hyperlink>
          </w:p>
        </w:tc>
        <w:tc>
          <w:tcPr>
            <w:tcW w:w="1020" w:type="dxa"/>
            <w:vAlign w:val="bottom"/>
            <w:gridSpan w:val="4"/>
          </w:tcPr>
          <w:p>
            <w:pPr>
              <w:spacing w:after="0"/>
              <w:rPr>
                <w:sz w:val="17"/>
                <w:szCs w:val="17"/>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8300" w:type="dxa"/>
            <w:vAlign w:val="bottom"/>
            <w:gridSpan w:val="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Pledge and Security Agreement, dated as of March 9, 2011 between BioCryst Pharmaceuticals, Inc. and U.S. Bank</w:t>
              </w:r>
            </w:hyperlink>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300" w:type="dxa"/>
            <w:vAlign w:val="bottom"/>
            <w:gridSpan w:val="7"/>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National Association, as trustee. Incorporated by reference to Exhibit 10.2 of the Company’s Form 10-Q filed May</w:t>
              </w:r>
            </w:hyperlink>
          </w:p>
        </w:tc>
      </w:tr>
      <w:tr>
        <w:trPr>
          <w:trHeight w:val="196"/>
        </w:trPr>
        <w:tc>
          <w:tcPr>
            <w:tcW w:w="136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92">
              <w:r>
                <w:rPr>
                  <w:rFonts w:ascii="Times New Roman" w:cs="Times New Roman" w:eastAsia="Times New Roman" w:hAnsi="Times New Roman"/>
                  <w:sz w:val="18"/>
                  <w:szCs w:val="18"/>
                  <w:color w:val="0000FF"/>
                  <w:w w:val="95"/>
                </w:rPr>
                <w:t>6, 2011.</w:t>
              </w:r>
            </w:hyperlink>
          </w:p>
        </w:tc>
        <w:tc>
          <w:tcPr>
            <w:tcW w:w="520" w:type="dxa"/>
            <w:vAlign w:val="bottom"/>
            <w:tcBorders>
              <w:top w:val="single" w:sz="8" w:color="0000FF"/>
            </w:tcBorders>
          </w:tcPr>
          <w:p>
            <w:pPr>
              <w:spacing w:after="0"/>
              <w:rPr>
                <w:sz w:val="17"/>
                <w:szCs w:val="17"/>
                <w:color w:val="auto"/>
              </w:rPr>
            </w:pPr>
          </w:p>
        </w:tc>
        <w:tc>
          <w:tcPr>
            <w:tcW w:w="61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80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Purchase and Sale Agreement, dated as of December 7, 2020, between BioCryst Pharmaceuticals, Inc. and RPI</w:t>
              </w:r>
            </w:hyperlink>
          </w:p>
        </w:tc>
        <w:tc>
          <w:tcPr>
            <w:tcW w:w="30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2019 Intermediate Finance Trust. Incorporated by reference to Exhibit 10.91 to the Company’s Form 10-K filed</w:t>
              </w:r>
            </w:hyperlink>
          </w:p>
        </w:tc>
        <w:tc>
          <w:tcPr>
            <w:tcW w:w="26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1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March 1, 2021.</w:t>
              </w:r>
            </w:hyperlink>
          </w:p>
        </w:tc>
        <w:tc>
          <w:tcPr>
            <w:tcW w:w="720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81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Purchase and Sale Agreement, dated as of November 19, 2021, between BioCryst Pharmaceuticals, Inc. and RPI</w:t>
              </w:r>
            </w:hyperlink>
          </w:p>
        </w:tc>
        <w:tc>
          <w:tcPr>
            <w:tcW w:w="2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2019 Intermediate Finance Trust. Incorporated by reference to Exhibit 10.102 to the Company’s Form 10-K filed on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February 28, 2022.</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10.47†*</w:t>
            </w: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vMerge w:val="continue"/>
          </w:tcPr>
          <w:p>
            <w:pPr>
              <w:spacing w:after="0"/>
              <w:rPr>
                <w:sz w:val="24"/>
                <w:szCs w:val="24"/>
                <w:color w:val="auto"/>
              </w:rPr>
            </w:pPr>
          </w:p>
        </w:tc>
        <w:tc>
          <w:tcPr>
            <w:tcW w:w="82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Purchase and Sale Agreement, dated as of November 19, 2021, between BioCryst Pharmaceuticals, Inc. and OCM</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IP Healthcare Holdings Limited. Incorporated by reference to Exhibit 10.103 to the Company’s Form 10-K filed 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February 28, 2022.</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10.48†*</w:t>
            </w: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vMerge w:val="continue"/>
          </w:tcPr>
          <w:p>
            <w:pPr>
              <w:spacing w:after="0"/>
              <w:rPr>
                <w:sz w:val="24"/>
                <w:szCs w:val="24"/>
                <w:color w:val="auto"/>
              </w:rPr>
            </w:pPr>
          </w:p>
        </w:tc>
        <w:tc>
          <w:tcPr>
            <w:tcW w:w="83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Common Stock Purchase Agreement, dated as of November 19, 2021, between BioCryst Pharmaceuticals, Inc. and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2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RPI Intermediate Finance Trust. Incorporated by reference to Exhibit 10.104 to the Company’s Form 10-K filed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February 28, 2022.</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10.49†*</w:t>
            </w: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360" w:type="dxa"/>
            <w:vAlign w:val="bottom"/>
            <w:vMerge w:val="continue"/>
          </w:tcPr>
          <w:p>
            <w:pPr>
              <w:spacing w:after="0"/>
              <w:rPr>
                <w:sz w:val="24"/>
                <w:szCs w:val="24"/>
                <w:color w:val="auto"/>
              </w:rPr>
            </w:pPr>
          </w:p>
        </w:tc>
        <w:tc>
          <w:tcPr>
            <w:tcW w:w="78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Loan Agreement, dated as of April 17, 2023, by and among BioCryst Pharmaceuticals, Inc., as borrower, the</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guarantors signatory thereto or otherwise party thereto from time to time, BioPharma Credit PLC, as collateral</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5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3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agent for the lenders, and BPCR Limited Partnership and BioPharma Credit Investments V (Master) LP, as lenders.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9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Incorporated by reference to Exhibit 10.1 to the Company’s Form 10-Q filed on August 7, 2023.</w:t>
              </w:r>
            </w:hyperlink>
          </w:p>
        </w:tc>
        <w:tc>
          <w:tcPr>
            <w:tcW w:w="1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8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Joinder Agreement, dated as of February 24, 2025, by and between BioCryst UK Limited and BioPharma Credit</w:t>
            </w: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PLC.</w:t>
            </w:r>
          </w:p>
        </w:tc>
        <w:tc>
          <w:tcPr>
            <w:tcW w:w="7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10.51&amp;</w:t>
            </w:r>
          </w:p>
        </w:tc>
        <w:tc>
          <w:tcPr>
            <w:tcW w:w="8360" w:type="dxa"/>
            <w:vAlign w:val="bottom"/>
            <w:gridSpan w:val="1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BioCryst Pharmaceuticals, Inc. Equity Award Retirement Policy, effective July 1, 2024, as updated October 31,</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00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2024. Incorporated by reference to Exhibit 10.1 to the Company’s Form 10-Q filed on November 5, 2024.</w:t>
              </w:r>
            </w:hyperlink>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380" w:hanging="1354"/>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BioCryst Pharmaceuticals, Inc. Insider Trading Policy.</w:t>
      </w:r>
    </w:p>
    <w:p>
      <w:pPr>
        <w:spacing w:after="0" w:line="293" w:lineRule="exact"/>
        <w:rPr>
          <w:sz w:val="20"/>
          <w:szCs w:val="20"/>
          <w:color w:val="auto"/>
        </w:rPr>
      </w:pPr>
    </w:p>
    <w:p>
      <w:pPr>
        <w:ind w:left="1380" w:hanging="1354"/>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293" w:lineRule="exact"/>
        <w:rPr>
          <w:sz w:val="20"/>
          <w:szCs w:val="20"/>
          <w:color w:val="auto"/>
        </w:rPr>
      </w:pPr>
    </w:p>
    <w:p>
      <w:pPr>
        <w:ind w:left="1380" w:hanging="1354"/>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Ernst &amp; Young, LLP, Independent Registered Public Accounting Firm.</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42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 Section 1350, as adopted pursuant to Section 906</w:t>
            </w:r>
          </w:p>
        </w:tc>
      </w:tr>
      <w:tr>
        <w:trPr>
          <w:trHeight w:val="196"/>
        </w:trPr>
        <w:tc>
          <w:tcPr>
            <w:tcW w:w="136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780" w:type="dxa"/>
            <w:vAlign w:val="bottom"/>
            <w:gridSpan w:val="4"/>
          </w:tcPr>
          <w:p>
            <w:pPr>
              <w:spacing w:after="0"/>
              <w:rPr>
                <w:sz w:val="17"/>
                <w:szCs w:val="17"/>
                <w:color w:val="auto"/>
              </w:rPr>
            </w:pPr>
          </w:p>
        </w:tc>
      </w:tr>
      <w:tr>
        <w:trPr>
          <w:trHeight w:val="52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18.U.S.C. Section 1350, as adopted pursuant to section 906</w:t>
            </w:r>
          </w:p>
        </w:tc>
        <w:tc>
          <w:tcPr>
            <w:tcW w:w="8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780" w:type="dxa"/>
            <w:vAlign w:val="bottom"/>
            <w:gridSpan w:val="4"/>
          </w:tcPr>
          <w:p>
            <w:pPr>
              <w:spacing w:after="0"/>
              <w:rPr>
                <w:sz w:val="17"/>
                <w:szCs w:val="17"/>
                <w:color w:val="auto"/>
              </w:rPr>
            </w:pPr>
          </w:p>
        </w:tc>
      </w:tr>
    </w:tbl>
    <w:p>
      <w:pPr>
        <w:spacing w:after="0" w:line="333" w:lineRule="exact"/>
        <w:rPr>
          <w:sz w:val="20"/>
          <w:szCs w:val="20"/>
          <w:color w:val="auto"/>
        </w:rPr>
      </w:pPr>
    </w:p>
    <w:p>
      <w:pPr>
        <w:ind w:left="1380" w:right="999" w:hanging="1354"/>
        <w:spacing w:after="0" w:line="282" w:lineRule="auto"/>
        <w:tabs>
          <w:tab w:leader="none" w:pos="1380" w:val="left"/>
        </w:tabs>
        <w:numPr>
          <w:ilvl w:val="0"/>
          <w:numId w:val="45"/>
        </w:numPr>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BioCryst Pharmaceuticals, Inc. Rule 10D-1 Clawback Policy. Incorporated by reference to Exhibit 97 to the</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Company’s Form 10-K filed on February 27, 2024.</w:t>
        </w:r>
      </w:hyperlink>
    </w:p>
    <w:p>
      <w:pPr>
        <w:spacing w:after="0" w:line="270" w:lineRule="exact"/>
        <w:rPr>
          <w:rFonts w:ascii="Times New Roman" w:cs="Times New Roman" w:eastAsia="Times New Roman" w:hAnsi="Times New Roman"/>
          <w:sz w:val="18"/>
          <w:szCs w:val="18"/>
          <w:color w:val="auto"/>
        </w:rPr>
      </w:pPr>
    </w:p>
    <w:p>
      <w:pPr>
        <w:ind w:left="1380" w:right="579" w:hanging="1354"/>
        <w:spacing w:after="0" w:line="261"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Annual Report on Form 10-K of BioCryst Pharmaceuticals, Inc. for the fiscal year ended December 31, 2024, formatted in Inline XBRL: (i) Consolidated Balance Sheets, (ii) Consolidated Statements of Comprehensive Loss, (iii) Consolidated Statements of Cash Flows, (iv) Consolidated Statements of Stockholders’ Equity and (v) Notes to Consolidated Financial Statements.</w:t>
      </w:r>
    </w:p>
    <w:p>
      <w:pPr>
        <w:spacing w:after="0" w:line="220" w:lineRule="exact"/>
        <w:rPr>
          <w:rFonts w:ascii="Times New Roman" w:cs="Times New Roman" w:eastAsia="Times New Roman" w:hAnsi="Times New Roman"/>
          <w:sz w:val="18"/>
          <w:szCs w:val="18"/>
          <w:color w:val="auto"/>
        </w:rPr>
      </w:pPr>
    </w:p>
    <w:p>
      <w:pPr>
        <w:ind w:left="1380" w:right="559" w:hanging="1354"/>
        <w:spacing w:after="0" w:line="282"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from this annual report on Form 10-K for the fiscal year ended December 31, 2024 is formatted in Inline XBRL (contained in Exhibit 101).</w:t>
      </w:r>
    </w:p>
    <w:p>
      <w:pPr>
        <w:sectPr>
          <w:pgSz w:w="11900" w:h="16838" w:orient="portrait"/>
          <w:cols w:equalWidth="0" w:num="1">
            <w:col w:w="10139"/>
          </w:cols>
          <w:pgMar w:left="320" w:top="121"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4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639" w:hanging="1354"/>
        <w:spacing w:after="0" w:line="273"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omitted pursuant to Item 601(b)(10) of Regulation S-K because it is both not material and would likely cause competitive harm to the Company if publicly disclosed.</w:t>
      </w:r>
    </w:p>
    <w:p>
      <w:pPr>
        <w:spacing w:after="0" w:line="15" w:lineRule="exact"/>
        <w:rPr>
          <w:sz w:val="20"/>
          <w:szCs w:val="20"/>
          <w:color w:val="auto"/>
        </w:rPr>
      </w:pPr>
    </w:p>
    <w:p>
      <w:pPr>
        <w:ind w:left="1380" w:right="1019" w:hanging="1354"/>
        <w:spacing w:after="0" w:line="273"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15" w:lineRule="exact"/>
        <w:rPr>
          <w:sz w:val="20"/>
          <w:szCs w:val="20"/>
          <w:color w:val="auto"/>
        </w:rPr>
      </w:pPr>
    </w:p>
    <w:p>
      <w:pPr>
        <w:jc w:val="both"/>
        <w:ind w:left="1380" w:right="559" w:hanging="1354"/>
        <w:spacing w:after="0" w:line="266"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is being furnished solely to accompany this Annual Report on Form 10-K pursuant to 18 U.S.C. Section 1350, and will not be deemed “filed” for purposes of Section 18 of the Exchange Act, except to the extent that the Company specifically incorporates it by reference.</w:t>
      </w:r>
    </w:p>
    <w:p>
      <w:pPr>
        <w:ind w:left="1380" w:hanging="1354"/>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w:t>
      </w:r>
    </w:p>
    <w:p>
      <w:pPr>
        <w:spacing w:after="0" w:line="2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Filed herewith.</w:t>
      </w:r>
    </w:p>
    <w:p>
      <w:pPr>
        <w:spacing w:after="0" w:line="3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25, 2025.</w:t>
      </w:r>
    </w:p>
    <w:p>
      <w:pPr>
        <w:spacing w:after="0" w:line="216"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PHARMACEUTICALS, INC.</w:t>
            </w:r>
          </w:p>
        </w:tc>
      </w:tr>
      <w:tr>
        <w:trPr>
          <w:trHeight w:val="53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43"/>
        </w:trPr>
        <w:tc>
          <w:tcPr>
            <w:tcW w:w="78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57"/>
        </w:trPr>
        <w:tc>
          <w:tcPr>
            <w:tcW w:w="78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30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25,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1"/>
                <w:szCs w:val="21"/>
                <w:color w:val="auto"/>
              </w:rPr>
            </w:pPr>
          </w:p>
        </w:tc>
        <w:tc>
          <w:tcPr>
            <w:tcW w:w="6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Title(s)</w:t>
            </w:r>
          </w:p>
        </w:tc>
      </w:tr>
      <w:tr>
        <w:trPr>
          <w:trHeight w:val="49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c>
          <w:tcPr>
            <w:tcW w:w="80" w:type="dxa"/>
            <w:vAlign w:val="bottom"/>
          </w:tcPr>
          <w:p>
            <w:pPr>
              <w:spacing w:after="0"/>
              <w:rPr>
                <w:sz w:val="21"/>
                <w:szCs w:val="21"/>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J. Doyle</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Doyle</w:t>
            </w:r>
          </w:p>
        </w:tc>
        <w:tc>
          <w:tcPr>
            <w:tcW w:w="80" w:type="dxa"/>
            <w:vAlign w:val="bottom"/>
          </w:tcPr>
          <w:p>
            <w:pPr>
              <w:spacing w:after="0"/>
              <w:rPr>
                <w:sz w:val="21"/>
                <w:szCs w:val="21"/>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Interim Principal Accounting Officer)</w:t>
            </w:r>
          </w:p>
        </w:tc>
      </w:tr>
      <w:tr>
        <w:trPr>
          <w:trHeight w:val="35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Nancy J. Hutson</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of the Board, Director</w:t>
            </w:r>
          </w:p>
        </w:tc>
      </w:tr>
      <w:tr>
        <w:trPr>
          <w:trHeight w:val="27"/>
        </w:trPr>
        <w:tc>
          <w:tcPr>
            <w:tcW w:w="4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J. Hutson, Ph.D.</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5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George B. Abercrombie</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7"/>
        </w:trPr>
        <w:tc>
          <w:tcPr>
            <w:tcW w:w="4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B. Abercrombie</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J. Aselage</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J. Aselage</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K. Galson</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K. Galson, M.D.</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Theresa M. Heggie</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Theresa M. Heggie</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17"/>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G. Levin</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G. Levin</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E. McKee</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E. McKee, M.D.</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Vincent J. Milano</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Vincent J. Milano</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5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Machelle Sanders</w:t>
            </w:r>
          </w:p>
        </w:tc>
        <w:tc>
          <w:tcPr>
            <w:tcW w:w="8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Machelle Sanders</w:t>
            </w:r>
          </w:p>
        </w:tc>
        <w:tc>
          <w:tcPr>
            <w:tcW w:w="8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905"/>
        </w:trPr>
        <w:tc>
          <w:tcPr>
            <w:tcW w:w="4540" w:type="dxa"/>
            <w:vAlign w:val="bottom"/>
          </w:tcPr>
          <w:p>
            <w:pPr>
              <w:spacing w:after="0"/>
              <w:rPr>
                <w:sz w:val="24"/>
                <w:szCs w:val="24"/>
                <w:color w:val="auto"/>
              </w:rPr>
            </w:pPr>
          </w:p>
        </w:tc>
        <w:tc>
          <w:tcPr>
            <w:tcW w:w="6700" w:type="dxa"/>
            <w:vAlign w:val="bottom"/>
            <w:gridSpan w:val="2"/>
          </w:tcPr>
          <w:p>
            <w:pPr>
              <w:jc w:val="right"/>
              <w:ind w:right="5390"/>
              <w:spacing w:after="0"/>
              <w:rPr>
                <w:sz w:val="20"/>
                <w:szCs w:val="20"/>
                <w:color w:val="auto"/>
              </w:rPr>
            </w:pPr>
            <w:r>
              <w:rPr>
                <w:rFonts w:ascii="Times New Roman" w:cs="Times New Roman" w:eastAsia="Times New Roman" w:hAnsi="Times New Roman"/>
                <w:sz w:val="18"/>
                <w:szCs w:val="18"/>
                <w:color w:val="auto"/>
              </w:rPr>
              <w:t>125</w:t>
            </w:r>
          </w:p>
        </w:tc>
      </w:tr>
    </w:tbl>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This JOINDER AGREEMENT, dated as of February 24, 2025, is delivered in connection with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of the Loan Agreement, dated as of April 17, 2023, by and among BIOCRYST PHARMACEUTICALS,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the other Persons from time to time party thereto as Grantors or Guarantors, in favor of BIOPHARMA CREDIT PLC (together with its successors and permitted assigns,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 behalf of Lenders and each of the other Secured Parties (as such agreement may be amended,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Capitalized terms used herein without definition are used as defined in the Loan Agreement.</w:t>
      </w:r>
    </w:p>
    <w:p>
      <w:pPr>
        <w:spacing w:after="0" w:line="183"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By executing and delivering this Joinder Agreement, the undersigned, as provided in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of the Loan Agreement, hereby becomes a party to the Loan Agreement as a “Guarantor” thereunder with the same force and effect as if originally named as a “Guarantor” (as the case may be) therein and, without limiting the generality of the foregoing, hereby assumes all obligations and liabilities of a “Guarantor” thereunder (as applicable). Each of the undersigned hereby agrees to be bound as a “Guarantor” for the purposes of the Loan Agreement. Notwithstanding anything to the contrary in this Joinder Agreement and/or the Loan Agreement, the guarantee provided by any Guarantor incorporated in England and Wales shall not apply to any liability to the extent that it would constitute unlawful financial assistance within the meaning of sections 678 or 679 of the Companies Act 2006 or any equivalent and applicable provisions under the laws of England and Wales.</w:t>
      </w:r>
    </w:p>
    <w:p>
      <w:pPr>
        <w:spacing w:after="0" w:line="189"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this Joinder Agreement, the undersigned have delivered to the Collateral Agent a completed Perfection Certificate duly executed by the undersigned. The information set forth in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18"/>
          <w:szCs w:val="18"/>
          <w:color w:val="auto"/>
        </w:rPr>
        <w:t xml:space="preserve"> is hereby added to the information set forth in the Disclosure Letter. By acknowledging and agreeing to this Joinder Agreement, each of the undersigned hereby agrees that this Joinder Agreement may be attached to the Loan Agreement and the Perfection Certificate delivered herewith by the undersigned shall constitute a “Perfection Certificate” referred to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of the Loan Agreement.</w:t>
      </w:r>
    </w:p>
    <w:p>
      <w:pPr>
        <w:spacing w:after="0" w:line="183"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Each of the undersigned hereby represents and warrants that each of the representations and warranties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Loan Agreement applicable to it, if any, is true and correct on and as the date hereof as if made on and as of such date.</w:t>
      </w:r>
    </w:p>
    <w:p>
      <w:pPr>
        <w:spacing w:after="0" w:line="162"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The parties hereto agree that, to the extent any Default or Event of Default may have occurred prior to the date hereof due to the Guarantor not being joined as a Guarantor prior to the date hereof or not providing any Collateral prior to the date hereof, such Default and/or Event of Default is hereby waived effective as of the date 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each of the undersigned have caused this Joinder Agreement to be duly executed and delivered as of the date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BIOCRYST UK LIMITED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Luke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Luke Robinson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i w:val="1"/>
          <w:iCs w:val="1"/>
          <w:color w:val="auto"/>
        </w:rPr>
        <w:t>[Signature Page for Loan Agreement Joinder]</w:t>
      </w:r>
    </w:p>
    <w:p>
      <w:pPr>
        <w:sectPr>
          <w:pgSz w:w="11900" w:h="16838" w:orient="portrait"/>
          <w:cols w:equalWidth="0" w:num="1">
            <w:col w:w="10139"/>
          </w:cols>
          <w:pgMar w:left="320" w:top="1417"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Pedro Gonzalez de Cosio</w:t>
      </w:r>
    </w:p>
    <w:p>
      <w:pPr>
        <w:spacing w:after="0" w:line="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Name:</w:t>
        <w:tab/>
        <w:t>Pedro Gonzalez de Cosio</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i w:val="1"/>
          <w:iCs w:val="1"/>
          <w:color w:val="auto"/>
        </w:rPr>
        <w:t>[Signature Page for Loan Agreement Joinder]</w:t>
      </w:r>
    </w:p>
    <w:p>
      <w:pPr>
        <w:sectPr>
          <w:pgSz w:w="11900" w:h="16838" w:orient="portrait"/>
          <w:cols w:equalWidth="0" w:num="1">
            <w:col w:w="10139"/>
          </w:cols>
          <w:pgMar w:left="320" w:top="1417"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Annex 1-A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 to Disclosure Letter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17"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6.2(c)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Accounts</w:t>
      </w:r>
    </w:p>
    <w:p>
      <w:pPr>
        <w:sectPr>
          <w:pgSz w:w="11900" w:h="16838" w:orient="portrait"/>
          <w:cols w:equalWidth="0" w:num="1">
            <w:col w:w="9019"/>
          </w:cols>
          <w:pgMar w:left="1440" w:top="1413"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0" w:lineRule="exact"/>
        <w:rPr>
          <w:sz w:val="20"/>
          <w:szCs w:val="20"/>
          <w:color w:val="auto"/>
        </w:rPr>
      </w:pPr>
    </w:p>
    <w:p>
      <w:pPr>
        <w:spacing w:after="0" w:line="2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23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1.1 BioCryst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guidelines for trading in Company and other securities, in order to comply with federal and state securities laws governing trading in securities while aware of material nonpublic information, as well as tipping or disclosing material nonpublic information to outsiders. The policy also is intended to prevent even the appearance of improper insider trading or tipping.</w:t>
      </w:r>
    </w:p>
    <w:p>
      <w:pPr>
        <w:spacing w:after="0" w:line="20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SCOPE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i w:val="1"/>
          <w:iCs w:val="1"/>
          <w:color w:val="auto"/>
        </w:rPr>
        <w:t>Insiders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left="1300" w:hanging="320"/>
        <w:spacing w:after="0" w:line="236" w:lineRule="auto"/>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covers all Directors, Officers and employees of the Company and its subsidiaries, as well as their spouses and minor children, persons with whom they share a household, persons who are their economic dependents, and any other person or entity (including any corporations, partnerships or trusts) over whose securities trading decisions the Director, Officer or employee exercises substantial influence or control (collectively, “</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and collectively with Directors, Officers and employees of the Company and its subsidiaries,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also covers any outsiders (e.g., consultants, contractors, etc.) whom the Chief Legal Officer may designate as Insiders because they have access to material nonpublic information concerning the Company (“</w:t>
      </w:r>
      <w:r>
        <w:rPr>
          <w:rFonts w:ascii="Times New Roman" w:cs="Times New Roman" w:eastAsia="Times New Roman" w:hAnsi="Times New Roman"/>
          <w:sz w:val="22"/>
          <w:szCs w:val="22"/>
          <w:u w:val="single" w:color="auto"/>
          <w:color w:val="auto"/>
        </w:rPr>
        <w:t>designated outsiders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Portions of this policy continue to apply to certain transactions in Company securities even after termination of service to the Company. If an Insider is aware of material nonpublic information when his or her service terminates, such Insider (and any of such Insider’s Related Persons) may not trade in Company securities until that information has become public or is no longer material.</w:t>
      </w:r>
    </w:p>
    <w:p>
      <w:pPr>
        <w:spacing w:after="0" w:line="206"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Officer and employee of the Company and its subsidiaries is responsible for making sure that he or she complies with this policy and that his or her Related Persons also comply with this policy. Each Insider is responsible for determining whether he or she is aware of material nonpublic information and should use good judgment at all times. Any action by or on behalf of the Company, the Chief Legal Officer (or such officer’s designee), or any other person pursuant to this policy (or otherwise) does not constitute legal advice or protect an Insider from liability under applicable securities laws.</w:t>
      </w:r>
    </w:p>
    <w:p>
      <w:pPr>
        <w:spacing w:after="0" w:line="204" w:lineRule="exact"/>
        <w:rPr>
          <w:sz w:val="20"/>
          <w:szCs w:val="20"/>
          <w:color w:val="auto"/>
        </w:rPr>
      </w:pPr>
    </w:p>
    <w:p>
      <w:pPr>
        <w:ind w:left="980" w:hanging="323"/>
        <w:spacing w:after="0" w:line="249"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i w:val="1"/>
          <w:iCs w:val="1"/>
          <w:color w:val="auto"/>
        </w:rPr>
        <w:t>Transactions and Securities Covered</w:t>
      </w:r>
      <w:r>
        <w:rPr>
          <w:rFonts w:ascii="Times New Roman" w:cs="Times New Roman" w:eastAsia="Times New Roman" w:hAnsi="Times New Roman"/>
          <w:sz w:val="22"/>
          <w:szCs w:val="22"/>
          <w:color w:val="auto"/>
        </w:rPr>
        <w:t>. The policy applies to any and all transactions in the Company’s securities, including its common stock, options, restricted stock units</w:t>
      </w:r>
    </w:p>
    <w:p>
      <w:pPr>
        <w:sectPr>
          <w:pgSz w:w="11900" w:h="16838" w:orient="portrait"/>
          <w:cols w:equalWidth="0" w:num="1">
            <w:col w:w="11240"/>
          </w:cols>
          <w:pgMar w:left="320" w:top="599" w:right="339" w:bottom="1440" w:gutter="0" w:footer="0" w:header="0"/>
        </w:sectPr>
      </w:pPr>
    </w:p>
    <w:bookmarkStart w:id="134" w:name="page135"/>
    <w:bookmarkEnd w:id="134"/>
    <w:p>
      <w:pPr>
        <w:jc w:val="both"/>
        <w:ind w:left="980"/>
        <w:spacing w:after="0" w:line="239" w:lineRule="auto"/>
        <w:rPr>
          <w:sz w:val="20"/>
          <w:szCs w:val="20"/>
          <w:color w:val="auto"/>
        </w:rPr>
      </w:pPr>
      <w:r>
        <w:rPr>
          <w:rFonts w:ascii="Times New Roman" w:cs="Times New Roman" w:eastAsia="Times New Roman" w:hAnsi="Times New Roman"/>
          <w:sz w:val="22"/>
          <w:szCs w:val="22"/>
          <w:color w:val="auto"/>
        </w:rPr>
        <w:t>or warrants to purchase common stock, and any other type of securities that the Company may issue, including, but not limited to, preferred stock, convertible debentures or other derivative securities, as well as derivative securities that are not issued by the Company, such as exchange-traded options or swaps. Section 6.1 also applies to transactions in the securities of other companies.</w:t>
      </w:r>
    </w:p>
    <w:p>
      <w:pPr>
        <w:spacing w:after="0" w:line="203" w:lineRule="exact"/>
        <w:rPr>
          <w:sz w:val="20"/>
          <w:szCs w:val="20"/>
          <w:color w:val="auto"/>
        </w:rPr>
      </w:pPr>
    </w:p>
    <w:p>
      <w:pPr>
        <w:jc w:val="both"/>
        <w:ind w:left="980" w:hanging="323"/>
        <w:spacing w:after="0" w:line="23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i w:val="1"/>
          <w:iCs w:val="1"/>
          <w:color w:val="auto"/>
        </w:rPr>
        <w:t>Availability; Acknowledgment</w:t>
      </w:r>
      <w:r>
        <w:rPr>
          <w:rFonts w:ascii="Times New Roman" w:cs="Times New Roman" w:eastAsia="Times New Roman" w:hAnsi="Times New Roman"/>
          <w:sz w:val="22"/>
          <w:szCs w:val="22"/>
          <w:color w:val="auto"/>
        </w:rPr>
        <w:t>. The policy will be delivered to all Directors, Officers and employees of the Company and its subsidiaries and to all designated outsiders upon its adoption or revision by the Company, and to all new Directors, Officers, employees and designated outsiders at the start of their employment or relationship with the Company. The policy also is available in the “Securities and Corporate Governance” section of the Legal &amp; Compliance page on the Company’s intranet. Upon first receiving a copy of the policy or any revisions thereto, each Insider must sign an acknowledgment that he or she has received a copy and agrees to comply with the policy’s terms. Section 16 Individuals, as defined in Section 3.1, may be required to certify compliance with the policy on an annual basis.</w:t>
      </w:r>
    </w:p>
    <w:p>
      <w:pPr>
        <w:spacing w:after="0" w:line="20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SECTION 16 INDIVIDUALS</w:t>
      </w:r>
    </w:p>
    <w:p>
      <w:pPr>
        <w:spacing w:after="0" w:line="237" w:lineRule="exact"/>
        <w:rPr>
          <w:sz w:val="20"/>
          <w:szCs w:val="20"/>
          <w:color w:val="auto"/>
        </w:rPr>
      </w:pPr>
    </w:p>
    <w:p>
      <w:pPr>
        <w:jc w:val="both"/>
        <w:ind w:left="980" w:hanging="323"/>
        <w:spacing w:after="0" w:line="239" w:lineRule="auto"/>
        <w:rPr>
          <w:sz w:val="20"/>
          <w:szCs w:val="20"/>
          <w:color w:val="auto"/>
        </w:rPr>
      </w:pPr>
      <w:r>
        <w:rPr>
          <w:rFonts w:ascii="Times New Roman" w:cs="Times New Roman" w:eastAsia="Times New Roman" w:hAnsi="Times New Roman"/>
          <w:sz w:val="22"/>
          <w:szCs w:val="22"/>
          <w:color w:val="auto"/>
        </w:rPr>
        <w:t xml:space="preserve">3.1 The Company has designated all Directors and Officers listed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of this policy (collectively referred to as “</w:t>
      </w:r>
      <w:r>
        <w:rPr>
          <w:rFonts w:ascii="Times New Roman" w:cs="Times New Roman" w:eastAsia="Times New Roman" w:hAnsi="Times New Roman"/>
          <w:sz w:val="22"/>
          <w:szCs w:val="22"/>
          <w:u w:val="single" w:color="auto"/>
          <w:color w:val="auto"/>
        </w:rPr>
        <w:t>Section 16 Individuals</w:t>
      </w:r>
      <w:r>
        <w:rPr>
          <w:rFonts w:ascii="Times New Roman" w:cs="Times New Roman" w:eastAsia="Times New Roman" w:hAnsi="Times New Roman"/>
          <w:sz w:val="22"/>
          <w:szCs w:val="22"/>
          <w:color w:val="auto"/>
        </w:rPr>
        <w:t>”) as subject to the reporting provisions and trading restrictions of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underlying rules and regulations promulgated by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INSIDER TRADING COMPLIANCE OFFICER</w:t>
      </w:r>
    </w:p>
    <w:p>
      <w:pPr>
        <w:spacing w:after="0" w:line="233" w:lineRule="exact"/>
        <w:rPr>
          <w:sz w:val="20"/>
          <w:szCs w:val="20"/>
          <w:color w:val="auto"/>
        </w:rPr>
      </w:pPr>
    </w:p>
    <w:p>
      <w:pPr>
        <w:jc w:val="both"/>
        <w:ind w:left="980" w:hanging="323"/>
        <w:spacing w:after="0" w:line="24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i w:val="1"/>
          <w:iCs w:val="1"/>
          <w:color w:val="auto"/>
        </w:rPr>
        <w:t>Insider Trading Compliance Officer</w:t>
      </w:r>
      <w:r>
        <w:rPr>
          <w:rFonts w:ascii="Times New Roman" w:cs="Times New Roman" w:eastAsia="Times New Roman" w:hAnsi="Times New Roman"/>
          <w:sz w:val="22"/>
          <w:szCs w:val="22"/>
          <w:color w:val="auto"/>
        </w:rPr>
        <w:t>. The Company has designated the Chief Legal Officer as the Insider Trading Compliance Officer responsible for the administration of this policy. The Chief Legal Officer will be available to review proposed trades by Section 16 Individuals. The Chief Legal Officer may, from time to time, consult with outside legal counsel on particular issues relating to Section 16 compliance.</w:t>
      </w:r>
    </w:p>
    <w:p>
      <w:pPr>
        <w:spacing w:after="0" w:line="199" w:lineRule="exact"/>
        <w:rPr>
          <w:sz w:val="20"/>
          <w:szCs w:val="20"/>
          <w:color w:val="auto"/>
        </w:rPr>
      </w:pPr>
    </w:p>
    <w:p>
      <w:pPr>
        <w:jc w:val="both"/>
        <w:ind w:left="980" w:hanging="323"/>
        <w:spacing w:after="0" w:line="26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color w:val="auto"/>
        </w:rPr>
        <w:t>Duties of the Insider Trading Compliance Officer</w:t>
      </w:r>
      <w:r>
        <w:rPr>
          <w:rFonts w:ascii="Times New Roman" w:cs="Times New Roman" w:eastAsia="Times New Roman" w:hAnsi="Times New Roman"/>
          <w:sz w:val="22"/>
          <w:szCs w:val="22"/>
          <w:color w:val="auto"/>
        </w:rPr>
        <w:t>. In addition to the trading review duties, the duties of the Chief Legal Officer will include the following:</w:t>
      </w:r>
    </w:p>
    <w:p>
      <w:pPr>
        <w:spacing w:after="0" w:line="181" w:lineRule="exact"/>
        <w:rPr>
          <w:sz w:val="20"/>
          <w:szCs w:val="20"/>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this policy and monitoring and enforcing compliance with all policy provisions and procedures.</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233" w:lineRule="exact"/>
        <w:rPr>
          <w:rFonts w:ascii="Times New Roman" w:cs="Times New Roman" w:eastAsia="Times New Roman" w:hAnsi="Times New Roman"/>
          <w:sz w:val="22"/>
          <w:szCs w:val="22"/>
          <w:color w:val="auto"/>
        </w:rPr>
      </w:pPr>
    </w:p>
    <w:p>
      <w:pPr>
        <w:ind w:left="1300" w:right="20" w:hanging="320"/>
        <w:spacing w:after="0" w:line="245"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Designating and announcing special trading blackout periods during which designated Insiders (as defined in Section 6.1.3 below) may not trade in Company securities.</w:t>
      </w:r>
    </w:p>
    <w:p>
      <w:pPr>
        <w:spacing w:after="0" w:line="199"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and monitoring compliance with all federal and state insider trading laws and regulations, including without limitation Sections 10(b), 16, 20A and 21A of the Exchange Act and the rules and regulations promulgated</w:t>
      </w:r>
    </w:p>
    <w:p>
      <w:pPr>
        <w:sectPr>
          <w:pgSz w:w="11900" w:h="16838" w:orient="portrait"/>
          <w:cols w:equalWidth="0" w:num="1">
            <w:col w:w="11240"/>
          </w:cols>
          <w:pgMar w:left="320" w:top="1408" w:right="339" w:bottom="1440" w:gutter="0" w:footer="0" w:header="0"/>
        </w:sectPr>
      </w:pPr>
    </w:p>
    <w:bookmarkStart w:id="135" w:name="page136"/>
    <w:bookmarkEnd w:id="135"/>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thereunder, and Rule 144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 assisting in the preparation and filing of all required SEC reports relating to insider trading in Company securities, including without limitation Forms 3, 4, 5 and 144.</w:t>
      </w:r>
    </w:p>
    <w:p>
      <w:pPr>
        <w:spacing w:after="0" w:line="200" w:lineRule="exact"/>
        <w:rPr>
          <w:sz w:val="20"/>
          <w:szCs w:val="20"/>
          <w:color w:val="auto"/>
        </w:rPr>
      </w:pPr>
    </w:p>
    <w:p>
      <w:pPr>
        <w:ind w:left="1300" w:right="20" w:hanging="320"/>
        <w:spacing w:after="0" w:line="258" w:lineRule="auto"/>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revisions to the policy as necessary to reflect changes in federal or state insider trading laws and regulations and developing practices.</w:t>
      </w:r>
    </w:p>
    <w:p>
      <w:pPr>
        <w:spacing w:after="0" w:line="185"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as Company records originals or copies of all documents required by the provisions of this policy or the procedures set forth herein, and copies of all required SEC reports provided to the Company by an Insider relating to insider trading, including without limitation Forms 3, 4, 5, 144 and Schedules 13D and 13G.</w:t>
      </w:r>
    </w:p>
    <w:p>
      <w:pPr>
        <w:spacing w:after="0" w:line="205"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Updating the list of Section 16 Individuals contained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periodically as necessary to reflect additions to or deletions from each category of individuals.</w:t>
      </w:r>
    </w:p>
    <w:p>
      <w:pPr>
        <w:spacing w:after="0" w:line="181" w:lineRule="exact"/>
        <w:rPr>
          <w:sz w:val="20"/>
          <w:szCs w:val="20"/>
          <w:color w:val="auto"/>
        </w:rPr>
      </w:pPr>
    </w:p>
    <w:p>
      <w:pPr>
        <w:jc w:val="both"/>
        <w:ind w:left="980" w:right="20" w:hanging="323"/>
        <w:spacing w:after="0" w:line="262"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Delegation of Duties</w:t>
      </w:r>
      <w:r>
        <w:rPr>
          <w:rFonts w:ascii="Times New Roman" w:cs="Times New Roman" w:eastAsia="Times New Roman" w:hAnsi="Times New Roman"/>
          <w:sz w:val="22"/>
          <w:szCs w:val="22"/>
          <w:color w:val="auto"/>
        </w:rPr>
        <w:t>. The Chief Legal Officer may designate one or more individuals who may perform some or all (as determined by the Chief Legal Officer) of the Chief Legal Officer’s duties under this policy.</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DEFINITION OF “MATERIAL NONPUBLIC INFORMATION”</w:t>
      </w:r>
    </w:p>
    <w:p>
      <w:pPr>
        <w:spacing w:after="0" w:line="233" w:lineRule="exact"/>
        <w:rPr>
          <w:sz w:val="20"/>
          <w:szCs w:val="20"/>
          <w:color w:val="auto"/>
        </w:rPr>
      </w:pPr>
    </w:p>
    <w:p>
      <w:pPr>
        <w:jc w:val="both"/>
        <w:ind w:left="980" w:hanging="323"/>
        <w:spacing w:after="0" w:line="235"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Information about the Company is material if it would be expected to affect the investment or voting decisions of a reasonable stockholder or investor, or if the disclosure of the information would be expected to significantly alter the total mix of the information in the marketplace about the Company. In simple terms, material information is any type of information which would reasonably be expected to affect the price (positively or negatively) of Company securities. While it is not possible to identify all information that would be deemed material, the following types of information ordinarily would be considered material:</w:t>
      </w:r>
    </w:p>
    <w:p>
      <w:pPr>
        <w:spacing w:after="0" w:line="205" w:lineRule="exact"/>
        <w:rPr>
          <w:sz w:val="20"/>
          <w:szCs w:val="20"/>
          <w:color w:val="auto"/>
        </w:rPr>
      </w:pPr>
    </w:p>
    <w:p>
      <w:pPr>
        <w:ind w:left="1300" w:right="20" w:hanging="320"/>
        <w:spacing w:after="0" w:line="258"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earnings or losses, and significant changes in financial performance or liquidity.</w:t>
      </w:r>
    </w:p>
    <w:p>
      <w:pPr>
        <w:spacing w:after="0" w:line="185"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projections and strategic plans to the extent such projections and plans differ materially from analysts’ estimates.</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mergers, acquisitions and joint ventures or the sale of Company assets or subsidiaries.</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major contracts, orders, suppliers, customers, partners, licenses or finance sources.</w:t>
      </w:r>
    </w:p>
    <w:p>
      <w:pPr>
        <w:spacing w:after="0" w:line="233"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discoveries or significant changes or developments in products or product lines, research or technologies, including animal studies, human clinical trial results, synthesis of compounds and regulatory decisions.</w:t>
      </w:r>
    </w:p>
    <w:p>
      <w:pPr>
        <w:sectPr>
          <w:pgSz w:w="11900" w:h="16838" w:orient="portrait"/>
          <w:cols w:equalWidth="0" w:num="1">
            <w:col w:w="11240"/>
          </w:cols>
          <w:pgMar w:left="320" w:top="1408" w:right="339" w:bottom="1440" w:gutter="0" w:footer="0" w:header="0"/>
        </w:sectPr>
      </w:pPr>
    </w:p>
    <w:bookmarkStart w:id="136" w:name="page137"/>
    <w:bookmarkEnd w:id="136"/>
    <w:p>
      <w:pPr>
        <w:ind w:left="1300" w:right="20" w:hanging="320"/>
        <w:spacing w:after="0" w:line="258"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or developments in supplies or inventory, including significant product defects or side effects, recalls or product returns.</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public or private securities/debt offerings and other financing arrangements.</w:t>
      </w:r>
    </w:p>
    <w:p>
      <w:pPr>
        <w:spacing w:after="0" w:line="233"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 Directors or independent accountants, particularly where a disagreement with management is involved.</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19"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96" w:lineRule="exact"/>
        <w:rPr>
          <w:sz w:val="20"/>
          <w:szCs w:val="20"/>
          <w:color w:val="auto"/>
        </w:rPr>
      </w:pPr>
    </w:p>
    <w:p>
      <w:pPr>
        <w:jc w:val="both"/>
        <w:ind w:left="980" w:hanging="323"/>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i w:val="1"/>
          <w:iCs w:val="1"/>
          <w:color w:val="auto"/>
        </w:rPr>
        <w:t>“Nonpublic” Information</w:t>
      </w:r>
      <w:r>
        <w:rPr>
          <w:rFonts w:ascii="Times New Roman" w:cs="Times New Roman" w:eastAsia="Times New Roman" w:hAnsi="Times New Roman"/>
          <w:sz w:val="22"/>
          <w:szCs w:val="22"/>
          <w:color w:val="auto"/>
        </w:rPr>
        <w:t>. Material information is nonpublic if it has not been widely disseminated to the public in the Company’s SEC filings or through major newswire services, national news services or financial news services. Information would likely not be considered widely disseminated if it is available only to the Company’s employees, or if it is only available to a select group of analysts, brokers and institutional investors. For the purposes of this policy, information will be considered public after the close of trading on the first full trading day following the Company’s widespread public release of the information. Depending on the particular circumstances, the Company may determine that a longer or shorter period should apply to the release of specific material nonpublic information.</w:t>
      </w:r>
    </w:p>
    <w:p>
      <w:pPr>
        <w:spacing w:after="0" w:line="203" w:lineRule="exact"/>
        <w:rPr>
          <w:sz w:val="20"/>
          <w:szCs w:val="20"/>
          <w:color w:val="auto"/>
        </w:rPr>
      </w:pPr>
    </w:p>
    <w:p>
      <w:pPr>
        <w:jc w:val="both"/>
        <w:ind w:left="980" w:hanging="323"/>
        <w:spacing w:after="0" w:line="23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i w:val="1"/>
          <w:iCs w:val="1"/>
          <w:color w:val="auto"/>
        </w:rPr>
        <w:t>Guidance</w:t>
      </w:r>
      <w:r>
        <w:rPr>
          <w:rFonts w:ascii="Times New Roman" w:cs="Times New Roman" w:eastAsia="Times New Roman" w:hAnsi="Times New Roman"/>
          <w:sz w:val="22"/>
          <w:szCs w:val="22"/>
          <w:color w:val="auto"/>
        </w:rPr>
        <w:t>. Any Insiders who are unsure whether the information that they are aware of is material or nonpublic are encouraged to consult the Chief Legal Officer (or such officer’s designee) for guidance before trading in any Company securities. All inquiries from outsiders regarding material nonpublic information about the Company must be forwarded to the Chief Legal Officer (or such officer’s designee).</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STATEMENT OF COMPANY POLICY AND PROCEDURES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 Prohibited Activities</w:t>
      </w:r>
    </w:p>
    <w:p>
      <w:pPr>
        <w:spacing w:after="0" w:line="229" w:lineRule="exact"/>
        <w:rPr>
          <w:sz w:val="20"/>
          <w:szCs w:val="20"/>
          <w:color w:val="auto"/>
        </w:rPr>
      </w:pPr>
    </w:p>
    <w:p>
      <w:pPr>
        <w:jc w:val="both"/>
        <w:ind w:left="1300" w:hanging="320"/>
        <w:spacing w:after="0" w:line="248" w:lineRule="auto"/>
        <w:tabs>
          <w:tab w:leader="none" w:pos="13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Trading While Aware of Material Nonpublic Information</w:t>
      </w:r>
      <w:r>
        <w:rPr>
          <w:rFonts w:ascii="Times New Roman" w:cs="Times New Roman" w:eastAsia="Times New Roman" w:hAnsi="Times New Roman"/>
          <w:sz w:val="21"/>
          <w:szCs w:val="21"/>
          <w:color w:val="auto"/>
        </w:rPr>
        <w:t>. No Insider may trade in Company securities while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aware of material nonpublic information concerning the Company, except as otherwise specified in Section 6.4 and Section 6.5 below. In addition, no Insider who, in the course of his or her relationship with the Company, obtains material nonpublic information relating to, or otherwise impacting, another company (such as a customer,</w:t>
      </w:r>
    </w:p>
    <w:p>
      <w:pPr>
        <w:ind w:left="1300"/>
        <w:spacing w:after="0" w:line="229" w:lineRule="auto"/>
        <w:rPr>
          <w:sz w:val="20"/>
          <w:szCs w:val="20"/>
          <w:color w:val="auto"/>
        </w:rPr>
      </w:pPr>
      <w:r>
        <w:rPr>
          <w:rFonts w:ascii="Times New Roman" w:cs="Times New Roman" w:eastAsia="Times New Roman" w:hAnsi="Times New Roman"/>
          <w:sz w:val="21"/>
          <w:szCs w:val="21"/>
          <w:color w:val="auto"/>
        </w:rPr>
        <w:t>vendor, supplier, other business partner, potential business partner, potential acquisition target, or competitor) may</w:t>
      </w:r>
    </w:p>
    <w:p>
      <w:pPr>
        <w:spacing w:after="0" w:line="1" w:lineRule="exact"/>
        <w:rPr>
          <w:sz w:val="20"/>
          <w:szCs w:val="20"/>
          <w:color w:val="auto"/>
        </w:rPr>
      </w:pPr>
    </w:p>
    <w:p>
      <w:pPr>
        <w:jc w:val="both"/>
        <w:ind w:left="1300" w:firstLine="4"/>
        <w:spacing w:after="0" w:line="235" w:lineRule="auto"/>
        <w:tabs>
          <w:tab w:leader="none" w:pos="16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in the securities of such company or (b) engage in any other action to take advantage of, engage in tipping (as discussed in Section 6.1.4 below) of, or give trading advice (as discussed in Section 6.1.5 below) while aware of, that material nonpublic information.</w:t>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207" w:lineRule="exact"/>
        <w:rPr>
          <w:sz w:val="20"/>
          <w:szCs w:val="20"/>
          <w:color w:val="auto"/>
        </w:rPr>
      </w:pPr>
    </w:p>
    <w:p>
      <w:pPr>
        <w:jc w:val="both"/>
        <w:ind w:left="320" w:hanging="320"/>
        <w:spacing w:after="0" w:line="246" w:lineRule="auto"/>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Trading Outside of Trading Windows</w:t>
      </w:r>
      <w:r>
        <w:rPr>
          <w:rFonts w:ascii="Times New Roman" w:cs="Times New Roman" w:eastAsia="Times New Roman" w:hAnsi="Times New Roman"/>
          <w:sz w:val="22"/>
          <w:szCs w:val="22"/>
          <w:color w:val="auto"/>
        </w:rPr>
        <w:t>. No Insider may trade in Company securities outside of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windows described in Section 6.2 below or during any applicable special trading blackout periods designated by the Chief Legal Officer (or such officer’s designee).</w:t>
      </w:r>
    </w:p>
    <w:p>
      <w:pPr>
        <w:spacing w:after="0" w:line="194" w:lineRule="exact"/>
        <w:rPr>
          <w:rFonts w:ascii="Times New Roman" w:cs="Times New Roman" w:eastAsia="Times New Roman" w:hAnsi="Times New Roman"/>
          <w:sz w:val="22"/>
          <w:szCs w:val="22"/>
          <w:color w:val="auto"/>
        </w:rPr>
      </w:pPr>
    </w:p>
    <w:p>
      <w:pPr>
        <w:jc w:val="both"/>
        <w:ind w:left="320" w:hanging="320"/>
        <w:spacing w:after="0" w:line="236" w:lineRule="auto"/>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Trading Without Pre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Clearance</w:t>
      </w:r>
      <w:r>
        <w:rPr>
          <w:rFonts w:ascii="Times New Roman" w:cs="Times New Roman" w:eastAsia="Times New Roman" w:hAnsi="Times New Roman"/>
          <w:sz w:val="22"/>
          <w:szCs w:val="22"/>
          <w:color w:val="auto"/>
        </w:rPr>
        <w:t>. No designated Insider (or any Related Person of such designated Insider)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trade in, or make or receive gifts of, Company securities without first obtaining written pre-clearance of the transaction in accordance with the procedures outlined in Section 6.3 below. All Insiders shall be “</w:t>
      </w:r>
      <w:r>
        <w:rPr>
          <w:rFonts w:ascii="Times New Roman" w:cs="Times New Roman" w:eastAsia="Times New Roman" w:hAnsi="Times New Roman"/>
          <w:sz w:val="22"/>
          <w:szCs w:val="22"/>
          <w:u w:val="single" w:color="auto"/>
          <w:color w:val="auto"/>
        </w:rPr>
        <w:t>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under this policy unless otherwise determined, and notified in writing, by the Chief Legal Officer (or such officer’s designee).</w:t>
      </w:r>
    </w:p>
    <w:p>
      <w:pPr>
        <w:spacing w:after="0" w:line="200" w:lineRule="exact"/>
        <w:rPr>
          <w:rFonts w:ascii="Times New Roman" w:cs="Times New Roman" w:eastAsia="Times New Roman" w:hAnsi="Times New Roman"/>
          <w:sz w:val="22"/>
          <w:szCs w:val="22"/>
          <w:color w:val="auto"/>
        </w:rPr>
      </w:pPr>
    </w:p>
    <w:p>
      <w:pPr>
        <w:jc w:val="both"/>
        <w:ind w:left="320" w:hanging="320"/>
        <w:spacing w:after="0" w:line="233" w:lineRule="auto"/>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Tipping</w:t>
      </w:r>
      <w:r>
        <w:rPr>
          <w:rFonts w:ascii="Times New Roman" w:cs="Times New Roman" w:eastAsia="Times New Roman" w:hAnsi="Times New Roman"/>
          <w:sz w:val="22"/>
          <w:szCs w:val="22"/>
          <w:color w:val="auto"/>
        </w:rPr>
        <w:t>. No Insider may “tip” or disclose material nonpublic information concerning the Company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person unless required as part of that Insider’s regular duties for the Company and authorized by the Chief Legal Officer (or such officer’s designee).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Insiders also should use care to avoid inadvertently disclosing material nonpublic information (e.g., by not discussing such information in public places where it can be overheard by others, such as in restaurants, airplanes, taxicabs or elevators). Liability in tipping cases can extend both to the “tippee” (the person to whom the Insider disclosed material nonpublic information) and to the “tipper” (the person disclosing the material nonpublic information). In such cases, the tipper can be held liable for his or her own transactions, as well as the transactions by a tippee or a tippee’s tippee, regardless of whether any monetary benefit is received.</w:t>
      </w:r>
    </w:p>
    <w:p>
      <w:pPr>
        <w:spacing w:after="0" w:line="200" w:lineRule="exact"/>
        <w:rPr>
          <w:rFonts w:ascii="Times New Roman" w:cs="Times New Roman" w:eastAsia="Times New Roman" w:hAnsi="Times New Roman"/>
          <w:sz w:val="22"/>
          <w:szCs w:val="22"/>
          <w:color w:val="auto"/>
        </w:rPr>
      </w:pPr>
    </w:p>
    <w:p>
      <w:pPr>
        <w:jc w:val="both"/>
        <w:ind w:left="320" w:hanging="320"/>
        <w:spacing w:after="0" w:line="238" w:lineRule="auto"/>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Trading Advice</w:t>
      </w:r>
      <w:r>
        <w:rPr>
          <w:rFonts w:ascii="Times New Roman" w:cs="Times New Roman" w:eastAsia="Times New Roman" w:hAnsi="Times New Roman"/>
          <w:sz w:val="22"/>
          <w:szCs w:val="22"/>
          <w:color w:val="auto"/>
        </w:rPr>
        <w:t>. No Insider may give trading advice of any kind about the Company to anyone while aware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nonpublic information about the Company; except that Insiders should advise others not to trade if doing so might violate the law or this policy. The Company strongly discourages all Insiders from giving trading advice concerning the Company to third parties even when the Insiders are not aware of material nonpublic information about the Company.</w:t>
      </w:r>
    </w:p>
    <w:p>
      <w:pPr>
        <w:spacing w:after="0" w:line="203" w:lineRule="exact"/>
        <w:rPr>
          <w:rFonts w:ascii="Times New Roman" w:cs="Times New Roman" w:eastAsia="Times New Roman" w:hAnsi="Times New Roman"/>
          <w:sz w:val="22"/>
          <w:szCs w:val="22"/>
          <w:color w:val="auto"/>
        </w:rPr>
      </w:pPr>
    </w:p>
    <w:p>
      <w:pPr>
        <w:jc w:val="both"/>
        <w:ind w:left="320" w:hanging="320"/>
        <w:spacing w:after="0" w:line="235" w:lineRule="auto"/>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Short Sales or Hedging</w:t>
      </w:r>
      <w:r>
        <w:rPr>
          <w:rFonts w:ascii="Times New Roman" w:cs="Times New Roman" w:eastAsia="Times New Roman" w:hAnsi="Times New Roman"/>
          <w:sz w:val="22"/>
          <w:szCs w:val="22"/>
          <w:color w:val="auto"/>
        </w:rPr>
        <w:t>. No Insider may engage in any type of short sale or purchase any financial instrument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prepaid variable forward contracts, equity swaps, collars and exchange-traded funds) or engage in any transaction that, in either case, hedges or offsets, or is designed to hedge or offset, any decrease in the market value of the Company’s equity securities. Insiders may engage in other derivative transactions only if it is determined, to the satisfaction of the Chief Legal Officer (or such officer’s designee), that such transactions are consistent with applicable rules, laws, and this policy.</w:t>
      </w:r>
    </w:p>
    <w:p>
      <w:pPr>
        <w:spacing w:after="0" w:line="201" w:lineRule="exact"/>
        <w:rPr>
          <w:rFonts w:ascii="Times New Roman" w:cs="Times New Roman" w:eastAsia="Times New Roman" w:hAnsi="Times New Roman"/>
          <w:sz w:val="22"/>
          <w:szCs w:val="22"/>
          <w:color w:val="auto"/>
        </w:rPr>
      </w:pPr>
    </w:p>
    <w:p>
      <w:pPr>
        <w:ind w:left="320" w:right="20" w:hanging="320"/>
        <w:spacing w:after="0" w:line="262" w:lineRule="auto"/>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Purchase of Company Securities on Margin or Pledging Without Advance Written Approval</w:t>
      </w:r>
      <w:r>
        <w:rPr>
          <w:rFonts w:ascii="Times New Roman" w:cs="Times New Roman" w:eastAsia="Times New Roman" w:hAnsi="Times New Roman"/>
          <w:sz w:val="22"/>
          <w:szCs w:val="22"/>
          <w:color w:val="auto"/>
        </w:rPr>
        <w:t>. No Insider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pledge Company securities as collateral for a</w:t>
      </w:r>
    </w:p>
    <w:p>
      <w:pPr>
        <w:sectPr>
          <w:pgSz w:w="11900" w:h="16838" w:orient="portrait"/>
          <w:cols w:equalWidth="0" w:num="1">
            <w:col w:w="10260"/>
          </w:cols>
          <w:pgMar w:left="1300" w:top="1440" w:right="339" w:bottom="1440" w:gutter="0" w:footer="0" w:header="0"/>
        </w:sectPr>
      </w:pPr>
    </w:p>
    <w:bookmarkStart w:id="138" w:name="page139"/>
    <w:bookmarkEnd w:id="138"/>
    <w:p>
      <w:pPr>
        <w:ind w:left="640"/>
        <w:spacing w:after="0" w:line="258" w:lineRule="auto"/>
        <w:rPr>
          <w:sz w:val="20"/>
          <w:szCs w:val="20"/>
          <w:color w:val="auto"/>
        </w:rPr>
      </w:pPr>
      <w:r>
        <w:rPr>
          <w:rFonts w:ascii="Times New Roman" w:cs="Times New Roman" w:eastAsia="Times New Roman" w:hAnsi="Times New Roman"/>
          <w:sz w:val="22"/>
          <w:szCs w:val="22"/>
          <w:color w:val="auto"/>
        </w:rPr>
        <w:t>loan or purchase Company securities on margin without obtaining the advance written approval of the Chief Legal Officer (or such officer’s designee).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Trading Windows and Blackout Periods</w:t>
      </w:r>
    </w:p>
    <w:p>
      <w:pPr>
        <w:spacing w:after="0" w:line="229" w:lineRule="exact"/>
        <w:rPr>
          <w:sz w:val="20"/>
          <w:szCs w:val="20"/>
          <w:color w:val="auto"/>
        </w:rPr>
      </w:pPr>
    </w:p>
    <w:p>
      <w:pPr>
        <w:jc w:val="both"/>
        <w:ind w:left="640" w:hanging="320"/>
        <w:spacing w:after="0" w:line="236" w:lineRule="auto"/>
        <w:tabs>
          <w:tab w:leader="none" w:pos="6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Trading Window</w:t>
      </w:r>
      <w:r>
        <w:rPr>
          <w:rFonts w:ascii="Times New Roman" w:cs="Times New Roman" w:eastAsia="Times New Roman" w:hAnsi="Times New Roman"/>
          <w:sz w:val="22"/>
          <w:szCs w:val="22"/>
          <w:color w:val="auto"/>
        </w:rPr>
        <w:t>. Insiders may trade in Company securities only during the period beginning when the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Legal Officer (or such officer’s designee) sends notice via email that the trading window is open (typically at the close of trading on the first or second full trading day following the Company’s widespread public release of quarterly or year-end earnings or losses) and ending at the close of trading on the last day of the fiscal quarter. Any exceptions must be pre-cleared by the Chief Legal Officer (or such officer’s designee).</w:t>
      </w:r>
    </w:p>
    <w:p>
      <w:pPr>
        <w:spacing w:after="0" w:line="200" w:lineRule="exact"/>
        <w:rPr>
          <w:rFonts w:ascii="Times New Roman" w:cs="Times New Roman" w:eastAsia="Times New Roman" w:hAnsi="Times New Roman"/>
          <w:sz w:val="22"/>
          <w:szCs w:val="22"/>
          <w:color w:val="auto"/>
        </w:rPr>
      </w:pPr>
    </w:p>
    <w:p>
      <w:pPr>
        <w:jc w:val="both"/>
        <w:ind w:left="640" w:hanging="320"/>
        <w:spacing w:after="0" w:line="246" w:lineRule="auto"/>
        <w:tabs>
          <w:tab w:leader="none" w:pos="6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Trading During Trading Windows While Aware of Material Nonpublic Information</w:t>
      </w:r>
      <w:r>
        <w:rPr>
          <w:rFonts w:ascii="Times New Roman" w:cs="Times New Roman" w:eastAsia="Times New Roman" w:hAnsi="Times New Roman"/>
          <w:sz w:val="22"/>
          <w:szCs w:val="22"/>
          <w:color w:val="auto"/>
        </w:rPr>
        <w:t>. No Insider aware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nonpublic information concerning the Company may trade in Company securities even during applicable trading windows.</w:t>
      </w:r>
    </w:p>
    <w:p>
      <w:pPr>
        <w:spacing w:after="0" w:line="194" w:lineRule="exact"/>
        <w:rPr>
          <w:rFonts w:ascii="Times New Roman" w:cs="Times New Roman" w:eastAsia="Times New Roman" w:hAnsi="Times New Roman"/>
          <w:sz w:val="22"/>
          <w:szCs w:val="22"/>
          <w:color w:val="auto"/>
        </w:rPr>
      </w:pPr>
    </w:p>
    <w:p>
      <w:pPr>
        <w:jc w:val="both"/>
        <w:ind w:left="640" w:hanging="320"/>
        <w:spacing w:after="0" w:line="241" w:lineRule="auto"/>
        <w:tabs>
          <w:tab w:leader="none" w:pos="6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Trading During Blackout Periods</w:t>
      </w:r>
      <w:r>
        <w:rPr>
          <w:rFonts w:ascii="Times New Roman" w:cs="Times New Roman" w:eastAsia="Times New Roman" w:hAnsi="Times New Roman"/>
          <w:sz w:val="22"/>
          <w:szCs w:val="22"/>
          <w:color w:val="auto"/>
        </w:rPr>
        <w:t>. No Insider may trade in Company securities outside of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windows or, for any designated Insider, during any special blackout periods that the Chief Legal Officer (or such officer’s designee) may designate. No Insider may disclose to any other person that a special blackout period has been designated.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Pre-Clearance Procedures</w:t>
      </w:r>
    </w:p>
    <w:p>
      <w:pPr>
        <w:spacing w:after="0" w:line="229" w:lineRule="exact"/>
        <w:rPr>
          <w:sz w:val="20"/>
          <w:szCs w:val="20"/>
          <w:color w:val="auto"/>
        </w:rPr>
      </w:pPr>
    </w:p>
    <w:p>
      <w:pPr>
        <w:jc w:val="both"/>
        <w:ind w:left="640" w:hanging="320"/>
        <w:spacing w:after="0" w:line="234" w:lineRule="auto"/>
        <w:tabs>
          <w:tab w:leader="none" w:pos="6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Requesting Pre-Clearance of Transactions</w:t>
      </w:r>
      <w:r>
        <w:rPr>
          <w:rFonts w:ascii="Times New Roman" w:cs="Times New Roman" w:eastAsia="Times New Roman" w:hAnsi="Times New Roman"/>
          <w:sz w:val="22"/>
          <w:szCs w:val="22"/>
          <w:color w:val="auto"/>
        </w:rPr>
        <w:t>. Designated Insiders (as defined in Section 6.1.3 above) must submit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request for pre-clearance in accordance with the Company’s pre-clearance procedures at least two business days before any proposed transaction in Company securities by such designated Insider (or any Related Person of such designated Insider) (including during applicable trading windows) and must comply with any other procedures established by the Chief Legal Officer (or such officer’s designee). If the request for pre-clearance is denied, the requesting Insider (or such Insider’s Related Person, as applicable) must refrain from engaging in any transaction in Company securities and may not disclose such restriction to any other person.</w:t>
      </w:r>
    </w:p>
    <w:p>
      <w:pPr>
        <w:spacing w:after="0" w:line="203" w:lineRule="exact"/>
        <w:rPr>
          <w:rFonts w:ascii="Times New Roman" w:cs="Times New Roman" w:eastAsia="Times New Roman" w:hAnsi="Times New Roman"/>
          <w:sz w:val="22"/>
          <w:szCs w:val="22"/>
          <w:color w:val="auto"/>
        </w:rPr>
      </w:pPr>
    </w:p>
    <w:p>
      <w:pPr>
        <w:jc w:val="both"/>
        <w:ind w:left="640" w:hanging="320"/>
        <w:spacing w:after="0" w:line="234" w:lineRule="auto"/>
        <w:tabs>
          <w:tab w:leader="none" w:pos="6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Executing Transactions after Pre-Clearance Approval</w:t>
      </w:r>
      <w:r>
        <w:rPr>
          <w:rFonts w:ascii="Times New Roman" w:cs="Times New Roman" w:eastAsia="Times New Roman" w:hAnsi="Times New Roman"/>
          <w:sz w:val="22"/>
          <w:szCs w:val="22"/>
          <w:color w:val="auto"/>
        </w:rPr>
        <w:t>. If pre-clearance approval is obtained, the approved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must be executed no later than the day after receipt of the pre-clearance approval (or such other length of time as approved); if the transaction is not executed during that time, a new pre-clearance approval is required before the trade may be executed. If the designated Insider learns of material nonpublic information after obtaining pre-clearance approval but before execution of the approved transaction, the designated Insider must inform the approver and the transaction may not be completed. Obtaining pre-clearance does not, in any circumstance, relieve anyone of his or her legal obligation to refrain from trading in Company securities while aware of material nonpublic information.</w:t>
      </w:r>
    </w:p>
    <w:p>
      <w:pPr>
        <w:sectPr>
          <w:pgSz w:w="11900" w:h="16838" w:orient="portrait"/>
          <w:cols w:equalWidth="0" w:num="1">
            <w:col w:w="10580"/>
          </w:cols>
          <w:pgMar w:left="980" w:top="1408" w:right="339" w:bottom="1440" w:gutter="0" w:footer="0" w:header="0"/>
        </w:sectPr>
      </w:pPr>
    </w:p>
    <w:bookmarkStart w:id="139" w:name="page140"/>
    <w:bookmarkEnd w:id="139"/>
    <w:p>
      <w:pPr>
        <w:spacing w:after="0" w:line="207" w:lineRule="exact"/>
        <w:rPr>
          <w:sz w:val="20"/>
          <w:szCs w:val="20"/>
          <w:color w:val="auto"/>
        </w:rPr>
      </w:pPr>
    </w:p>
    <w:p>
      <w:pPr>
        <w:ind w:left="640" w:right="20" w:hanging="320"/>
        <w:spacing w:after="0" w:line="262" w:lineRule="auto"/>
        <w:tabs>
          <w:tab w:leader="none" w:pos="6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10b5-1 Trading Plan Exception</w:t>
      </w:r>
      <w:r>
        <w:rPr>
          <w:rFonts w:ascii="Times New Roman" w:cs="Times New Roman" w:eastAsia="Times New Roman" w:hAnsi="Times New Roman"/>
          <w:sz w:val="22"/>
          <w:szCs w:val="22"/>
          <w:color w:val="auto"/>
        </w:rPr>
        <w:t>. The pre-clearance procedures described in this section do not apply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transactions under approved 10b5-1 Trading Plans (as defined in Section 6.5.1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Employee Benefit Plans</w:t>
      </w:r>
    </w:p>
    <w:p>
      <w:pPr>
        <w:spacing w:after="0" w:line="229" w:lineRule="exact"/>
        <w:rPr>
          <w:sz w:val="20"/>
          <w:szCs w:val="20"/>
          <w:color w:val="auto"/>
        </w:rPr>
      </w:pPr>
    </w:p>
    <w:p>
      <w:pPr>
        <w:jc w:val="both"/>
        <w:ind w:left="640" w:hanging="320"/>
        <w:spacing w:after="0" w:line="236" w:lineRule="auto"/>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Transactions by Benefit Plans</w:t>
      </w:r>
      <w:r>
        <w:rPr>
          <w:rFonts w:ascii="Times New Roman" w:cs="Times New Roman" w:eastAsia="Times New Roman" w:hAnsi="Times New Roman"/>
          <w:sz w:val="22"/>
          <w:szCs w:val="22"/>
          <w:color w:val="auto"/>
        </w:rPr>
        <w:t>. The trading prohibitions and restrictions set forth in this policy do not apply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periodic contributions by the Company or employees to employee benefit plans (e.g., pension or 401(k) plans) which are used to purchase Company securities pursuant to the employee’s advance instructions. However, no Officers or employees may alter their instructions to an employee benefits plan regarding the purchase or sale of Company securities while aware of material nonpublic information.</w:t>
      </w:r>
    </w:p>
    <w:p>
      <w:pPr>
        <w:spacing w:after="0" w:line="200" w:lineRule="exact"/>
        <w:rPr>
          <w:rFonts w:ascii="Times New Roman" w:cs="Times New Roman" w:eastAsia="Times New Roman" w:hAnsi="Times New Roman"/>
          <w:sz w:val="22"/>
          <w:szCs w:val="22"/>
          <w:color w:val="auto"/>
        </w:rPr>
      </w:pPr>
    </w:p>
    <w:p>
      <w:pPr>
        <w:jc w:val="both"/>
        <w:ind w:left="640" w:hanging="320"/>
        <w:spacing w:after="0" w:line="235" w:lineRule="auto"/>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Incentive Plans</w:t>
      </w:r>
      <w:r>
        <w:rPr>
          <w:rFonts w:ascii="Times New Roman" w:cs="Times New Roman" w:eastAsia="Times New Roman" w:hAnsi="Times New Roman"/>
          <w:sz w:val="22"/>
          <w:szCs w:val="22"/>
          <w:color w:val="auto"/>
        </w:rPr>
        <w:t>. The trading prohibitions and restrictions of this policy apply to all sales of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through the exercise of stock options or the vesting of restricted stock units or other restricted stock awards granted by the Company, including any sale as part of a broker assisted cashless exercise or any other market sale for the purpose of generating the cash needed to pay the exercise price of a stock option or applicable tax withholding obligations. The trading prohibitions and restrictions of this policy do not apply to the exercise of an employee stock option pursuant to the Company’s plans if no shares are to be sold, or to the exercise of any applicable tax withholding right pursuant to which the Company withholds shares subject to an option or other equity award to satisfy tax withholding obligations.</w:t>
      </w:r>
    </w:p>
    <w:p>
      <w:pPr>
        <w:spacing w:after="0" w:line="205" w:lineRule="exact"/>
        <w:rPr>
          <w:rFonts w:ascii="Times New Roman" w:cs="Times New Roman" w:eastAsia="Times New Roman" w:hAnsi="Times New Roman"/>
          <w:sz w:val="22"/>
          <w:szCs w:val="22"/>
          <w:color w:val="auto"/>
        </w:rPr>
      </w:pPr>
    </w:p>
    <w:p>
      <w:pPr>
        <w:jc w:val="both"/>
        <w:ind w:left="640" w:hanging="320"/>
        <w:spacing w:after="0" w:line="236" w:lineRule="auto"/>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Stock Purchase Plan</w:t>
      </w:r>
      <w:r>
        <w:rPr>
          <w:rFonts w:ascii="Times New Roman" w:cs="Times New Roman" w:eastAsia="Times New Roman" w:hAnsi="Times New Roman"/>
          <w:sz w:val="22"/>
          <w:szCs w:val="22"/>
          <w:color w:val="auto"/>
        </w:rPr>
        <w:t>. The trading prohibitions and restrictions of this policy apply to all sales of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through the Employee Stock Purchase Plan (the “Plan”). The trading prohibitions and restrictions of this policy do not apply to acquisitions of stock through the Plan resulting from an Insider’s periodic contribution of money to the Plan pursuant to an election made at the time of enrollment in the Plan in accordance with the terms of the Plan and the Company’s policies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10b5-1 Trading Plans</w:t>
      </w:r>
    </w:p>
    <w:p>
      <w:pPr>
        <w:spacing w:after="0" w:line="229" w:lineRule="exact"/>
        <w:rPr>
          <w:sz w:val="20"/>
          <w:szCs w:val="20"/>
          <w:color w:val="auto"/>
        </w:rPr>
      </w:pPr>
    </w:p>
    <w:p>
      <w:pPr>
        <w:jc w:val="both"/>
        <w:ind w:left="640" w:hanging="320"/>
        <w:spacing w:after="0" w:line="234" w:lineRule="auto"/>
        <w:tabs>
          <w:tab w:leader="none" w:pos="6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10b5-1 Trading Plan Requirements</w:t>
      </w:r>
      <w:r>
        <w:rPr>
          <w:rFonts w:ascii="Times New Roman" w:cs="Times New Roman" w:eastAsia="Times New Roman" w:hAnsi="Times New Roman"/>
          <w:sz w:val="22"/>
          <w:szCs w:val="22"/>
          <w:color w:val="auto"/>
        </w:rPr>
        <w:t>. The trading prohibition provisions of this policy, including without limitation,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Sections 6.1.1, 6.1.2, 6.1.3 and Section 6.2, shall not apply to trades in the Company’s securities which are effected by an Insider pursuant to the terms of a predetermined written trading plan that meets the requirements of Rule 10b5-1 under the Exchange Act (a “</w:t>
      </w:r>
      <w:r>
        <w:rPr>
          <w:rFonts w:ascii="Times New Roman" w:cs="Times New Roman" w:eastAsia="Times New Roman" w:hAnsi="Times New Roman"/>
          <w:sz w:val="22"/>
          <w:szCs w:val="22"/>
          <w:u w:val="single" w:color="auto"/>
          <w:color w:val="auto"/>
        </w:rPr>
        <w:t>10b5-1 Trading Plan</w:t>
      </w:r>
      <w:r>
        <w:rPr>
          <w:rFonts w:ascii="Times New Roman" w:cs="Times New Roman" w:eastAsia="Times New Roman" w:hAnsi="Times New Roman"/>
          <w:sz w:val="22"/>
          <w:szCs w:val="22"/>
          <w:color w:val="auto"/>
        </w:rPr>
        <w:t>”), provided that the 10b5-1 Trading Plan (i) was established in good faith, in compliance with the requirements of Rule 10b5-1 at a time when the Insider was not aware of material nonpublic information about the Company and the Company had not imposed any trading blackout period; (ii) provides for a specified cooling-off period, as required by Rule 10b5-1, between the date it is established and the date of the first sale thereunder; (iii) specifies the amount of</w:t>
      </w:r>
    </w:p>
    <w:p>
      <w:pPr>
        <w:sectPr>
          <w:pgSz w:w="11900" w:h="16838" w:orient="portrait"/>
          <w:cols w:equalWidth="0" w:num="1">
            <w:col w:w="10580"/>
          </w:cols>
          <w:pgMar w:left="980" w:top="1440" w:right="339" w:bottom="1440" w:gutter="0" w:footer="0" w:header="0"/>
        </w:sectPr>
      </w:pPr>
    </w:p>
    <w:bookmarkStart w:id="140" w:name="page141"/>
    <w:bookmarkEnd w:id="140"/>
    <w:p>
      <w:pPr>
        <w:jc w:val="both"/>
        <w:ind w:left="1300"/>
        <w:spacing w:after="0" w:line="255" w:lineRule="auto"/>
        <w:rPr>
          <w:sz w:val="20"/>
          <w:szCs w:val="20"/>
          <w:color w:val="auto"/>
        </w:rPr>
      </w:pPr>
      <w:r>
        <w:rPr>
          <w:rFonts w:ascii="Times New Roman" w:cs="Times New Roman" w:eastAsia="Times New Roman" w:hAnsi="Times New Roman"/>
          <w:sz w:val="21"/>
          <w:szCs w:val="21"/>
          <w:color w:val="auto"/>
        </w:rPr>
        <w:t>securities to be sold, the dates on which they are to be sold and the prices at which they are to be sold in advance, such that the Insider has no direct or indirect influence over the timing or terms; and (iv) was reviewed and approved in writing in accordance with the Company’s pre-approval procedures for 10b5-1 Trading Plans prior to establishment of the plan to confirm compliance with all relevant Company policies and the securities laws.</w:t>
      </w:r>
    </w:p>
    <w:p>
      <w:pPr>
        <w:spacing w:after="0" w:line="185" w:lineRule="exact"/>
        <w:rPr>
          <w:sz w:val="20"/>
          <w:szCs w:val="20"/>
          <w:color w:val="auto"/>
        </w:rPr>
      </w:pPr>
    </w:p>
    <w:p>
      <w:pPr>
        <w:ind w:left="1300" w:hanging="320"/>
        <w:spacing w:after="0" w:line="262" w:lineRule="auto"/>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10b5-1 Trading Plans for Section 16 Individuals. </w:t>
      </w:r>
      <w:r>
        <w:rPr>
          <w:rFonts w:ascii="Times New Roman" w:cs="Times New Roman" w:eastAsia="Times New Roman" w:hAnsi="Times New Roman"/>
          <w:sz w:val="22"/>
          <w:szCs w:val="22"/>
          <w:color w:val="auto"/>
        </w:rPr>
        <w:t>Section 16 Individuals who wish to trade Company securities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encouraged to do so pursuant to an approved 10b5-1 Trading Plan.</w:t>
      </w:r>
    </w:p>
    <w:p>
      <w:pPr>
        <w:spacing w:after="0" w:line="163" w:lineRule="exact"/>
        <w:rPr>
          <w:sz w:val="20"/>
          <w:szCs w:val="20"/>
          <w:color w:val="auto"/>
        </w:rPr>
      </w:pPr>
    </w:p>
    <w:p>
      <w:pPr>
        <w:ind w:left="980" w:right="200" w:hanging="323"/>
        <w:spacing w:after="0" w:line="270"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i w:val="1"/>
          <w:iCs w:val="1"/>
          <w:color w:val="auto"/>
        </w:rPr>
        <w:t>Company Transactions.</w:t>
      </w:r>
      <w:r>
        <w:rPr>
          <w:rFonts w:ascii="Times New Roman" w:cs="Times New Roman" w:eastAsia="Times New Roman" w:hAnsi="Times New Roman"/>
          <w:sz w:val="21"/>
          <w:szCs w:val="21"/>
          <w:color w:val="auto"/>
        </w:rPr>
        <w:t xml:space="preserve"> From time to time, the Company may engage in transactions in its own securities. It is the Company’s policy to comply with applicable securities and state laws (including appropriate approvals by the Board of Directors or appropriate committee, if required) when engaging in transactions in the Company’s securities.</w:t>
      </w:r>
    </w:p>
    <w:p>
      <w:pPr>
        <w:spacing w:after="0" w:line="18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POTENTIAL CIVIL, CRIMINAL AND DISCIPLINARY SANCTIONS</w:t>
      </w:r>
    </w:p>
    <w:p>
      <w:pPr>
        <w:spacing w:after="0" w:line="233" w:lineRule="exact"/>
        <w:rPr>
          <w:sz w:val="20"/>
          <w:szCs w:val="20"/>
          <w:color w:val="auto"/>
        </w:rPr>
      </w:pPr>
    </w:p>
    <w:p>
      <w:pPr>
        <w:ind w:left="980" w:right="20" w:hanging="323"/>
        <w:spacing w:after="0" w:line="24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i w:val="1"/>
          <w:iCs w:val="1"/>
          <w:color w:val="auto"/>
        </w:rPr>
        <w:t>Civil and Criminal Penalties.</w:t>
      </w:r>
      <w:r>
        <w:rPr>
          <w:rFonts w:ascii="Times New Roman" w:cs="Times New Roman" w:eastAsia="Times New Roman" w:hAnsi="Times New Roman"/>
          <w:sz w:val="22"/>
          <w:szCs w:val="22"/>
          <w:color w:val="auto"/>
        </w:rPr>
        <w:t xml:space="preserve"> The consequences of prohibited insider trading or tipping can be severe. Persons violating insider trading or tipping rules may be required to disgorge the profit made or the loss avoided by the trading (whether received by an Insider or a tippee), pay the loss suffered by the person who purchased securities from or sold securities to the insider tippee, pay civil penalties up to three times the profit made or loss avoided, pay a criminal penalty of up to $5 million and serve a jail term of up to twenty years. The Company and/or the supervisors of the person violating the rules also may be required to pay major civil or criminal penalties.</w:t>
      </w:r>
    </w:p>
    <w:p>
      <w:pPr>
        <w:spacing w:after="0" w:line="197" w:lineRule="exact"/>
        <w:rPr>
          <w:sz w:val="20"/>
          <w:szCs w:val="20"/>
          <w:color w:val="auto"/>
        </w:rPr>
      </w:pPr>
    </w:p>
    <w:p>
      <w:pPr>
        <w:ind w:left="980" w:right="440" w:hanging="323"/>
        <w:spacing w:after="0" w:line="27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i w:val="1"/>
          <w:iCs w:val="1"/>
          <w:color w:val="auto"/>
        </w:rPr>
        <w:t>Company Discipline.</w:t>
      </w:r>
      <w:r>
        <w:rPr>
          <w:rFonts w:ascii="Times New Roman" w:cs="Times New Roman" w:eastAsia="Times New Roman" w:hAnsi="Times New Roman"/>
          <w:sz w:val="22"/>
          <w:szCs w:val="22"/>
          <w:color w:val="auto"/>
        </w:rPr>
        <w:t xml:space="preserve"> Violation of this policy or federal or state insider trading or tipping laws by any Insider may subject the Insider to disciplinary action by the Company up to and including termination for cause.</w:t>
      </w:r>
    </w:p>
    <w:p>
      <w:pPr>
        <w:spacing w:after="0" w:line="163" w:lineRule="exact"/>
        <w:rPr>
          <w:sz w:val="20"/>
          <w:szCs w:val="20"/>
          <w:color w:val="auto"/>
        </w:rPr>
      </w:pPr>
    </w:p>
    <w:p>
      <w:pPr>
        <w:ind w:left="980" w:right="80" w:hanging="323"/>
        <w:spacing w:after="0" w:line="27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i w:val="1"/>
          <w:iCs w:val="1"/>
          <w:color w:val="auto"/>
        </w:rPr>
        <w:t>Reporting Violations.</w:t>
      </w:r>
      <w:r>
        <w:rPr>
          <w:rFonts w:ascii="Times New Roman" w:cs="Times New Roman" w:eastAsia="Times New Roman" w:hAnsi="Times New Roman"/>
          <w:sz w:val="22"/>
          <w:szCs w:val="22"/>
          <w:color w:val="auto"/>
        </w:rPr>
        <w:t xml:space="preserve"> Any Insider who learns of a violation of this policy must report the violation immediately to the Chief Legal Officer (or such officer’s designee).</w:t>
      </w:r>
    </w:p>
    <w:p>
      <w:pPr>
        <w:spacing w:after="0" w:line="1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INQUIRIES</w:t>
      </w:r>
    </w:p>
    <w:p>
      <w:pPr>
        <w:spacing w:after="0" w:line="237" w:lineRule="exact"/>
        <w:rPr>
          <w:sz w:val="20"/>
          <w:szCs w:val="20"/>
          <w:color w:val="auto"/>
        </w:rPr>
      </w:pPr>
    </w:p>
    <w:p>
      <w:pPr>
        <w:ind w:left="980" w:hanging="323"/>
        <w:spacing w:after="0" w:line="258" w:lineRule="auto"/>
        <w:rPr>
          <w:sz w:val="20"/>
          <w:szCs w:val="20"/>
          <w:color w:val="auto"/>
        </w:rPr>
      </w:pPr>
      <w:r>
        <w:rPr>
          <w:rFonts w:ascii="Times New Roman" w:cs="Times New Roman" w:eastAsia="Times New Roman" w:hAnsi="Times New Roman"/>
          <w:sz w:val="22"/>
          <w:szCs w:val="22"/>
          <w:color w:val="auto"/>
        </w:rPr>
        <w:t>8.1 Please direct all inquiries regarding any of the provisions or procedures of this policy to the Chief Legal Officer (or such officer’s designee).</w:t>
      </w:r>
    </w:p>
    <w:p>
      <w:pPr>
        <w:sectPr>
          <w:pgSz w:w="11900" w:h="16838" w:orient="portrait"/>
          <w:cols w:equalWidth="0" w:num="1">
            <w:col w:w="11240"/>
          </w:cols>
          <w:pgMar w:left="320" w:top="1408" w:right="339" w:bottom="1440" w:gutter="0" w:footer="0" w:header="0"/>
        </w:sectPr>
      </w:pPr>
    </w:p>
    <w:bookmarkStart w:id="141" w:name="page142"/>
    <w:bookmarkEnd w:id="141"/>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Section 16 Individuals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Chief Commercial Officer</w:t>
      </w:r>
    </w:p>
    <w:p>
      <w:pPr>
        <w:spacing w:after="0" w:line="218" w:lineRule="auto"/>
        <w:rPr>
          <w:sz w:val="20"/>
          <w:szCs w:val="20"/>
          <w:color w:val="auto"/>
        </w:rPr>
      </w:pPr>
      <w:r>
        <w:rPr>
          <w:rFonts w:ascii="Times New Roman" w:cs="Times New Roman" w:eastAsia="Times New Roman" w:hAnsi="Times New Roman"/>
          <w:sz w:val="22"/>
          <w:szCs w:val="22"/>
          <w:color w:val="auto"/>
        </w:rPr>
        <w:t>Chief Research and Development Officer</w:t>
      </w:r>
    </w:p>
    <w:p>
      <w:pPr>
        <w:spacing w:after="0" w:line="230" w:lineRule="auto"/>
        <w:rPr>
          <w:sz w:val="20"/>
          <w:szCs w:val="20"/>
          <w:color w:val="auto"/>
        </w:rPr>
      </w:pPr>
      <w:r>
        <w:rPr>
          <w:rFonts w:ascii="Times New Roman" w:cs="Times New Roman" w:eastAsia="Times New Roman" w:hAnsi="Times New Roman"/>
          <w:sz w:val="22"/>
          <w:szCs w:val="22"/>
          <w:color w:val="auto"/>
        </w:rPr>
        <w:t>Chief Legal Officer</w:t>
      </w:r>
    </w:p>
    <w:p>
      <w:pPr>
        <w:spacing w:after="0" w:line="231" w:lineRule="auto"/>
        <w:rPr>
          <w:sz w:val="20"/>
          <w:szCs w:val="20"/>
          <w:color w:val="auto"/>
        </w:rPr>
      </w:pPr>
      <w:r>
        <w:rPr>
          <w:rFonts w:ascii="Times New Roman" w:cs="Times New Roman" w:eastAsia="Times New Roman" w:hAnsi="Times New Roman"/>
          <w:sz w:val="22"/>
          <w:szCs w:val="22"/>
          <w:color w:val="auto"/>
        </w:rPr>
        <w:t>Principal Accounting Officer</w:t>
      </w:r>
    </w:p>
    <w:p>
      <w:pPr>
        <w:spacing w:after="0"/>
        <w:rPr>
          <w:sz w:val="20"/>
          <w:szCs w:val="20"/>
          <w:color w:val="auto"/>
        </w:rPr>
      </w:pPr>
      <w:r>
        <w:rPr>
          <w:rFonts w:ascii="Times New Roman" w:cs="Times New Roman" w:eastAsia="Times New Roman" w:hAnsi="Times New Roman"/>
          <w:sz w:val="22"/>
          <w:szCs w:val="22"/>
          <w:color w:val="auto"/>
        </w:rPr>
        <w:t>Members of the Company’s Board of Directors</w:t>
      </w:r>
    </w:p>
    <w:p>
      <w:pPr>
        <w:sectPr>
          <w:pgSz w:w="11900" w:h="16838" w:orient="portrait"/>
          <w:cols w:equalWidth="0" w:num="1">
            <w:col w:w="10139"/>
          </w:cols>
          <w:pgMar w:left="320" w:top="1440"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52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8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7"/>
        </w:trPr>
        <w:tc>
          <w:tcPr>
            <w:tcW w:w="43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28"/>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Canada, ULC</w:t>
            </w:r>
          </w:p>
        </w:tc>
        <w:tc>
          <w:tcPr>
            <w:tcW w:w="20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r>
      <w:tr>
        <w:trPr>
          <w:trHeight w:val="252"/>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España S.L.</w:t>
            </w:r>
          </w:p>
        </w:tc>
        <w:tc>
          <w:tcPr>
            <w:tcW w:w="2080" w:type="dxa"/>
            <w:vAlign w:val="bottom"/>
          </w:tcPr>
          <w:p>
            <w:pPr>
              <w:spacing w:after="0"/>
              <w:rPr>
                <w:sz w:val="21"/>
                <w:szCs w:val="21"/>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France SAS</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56"/>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Ireland Limited</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BioCryst Italia S.r.l.</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Japan K.K.</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BioCryst Netherlands B.V.</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56"/>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Pharma Deutschland GmbH</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Schweiz GmbH</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UK Limited</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England and Wales</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BioCryst US Sales Co., LLC</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JPR Royalty Sub LLC</w:t>
            </w:r>
          </w:p>
        </w:tc>
        <w:tc>
          <w:tcPr>
            <w:tcW w:w="208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60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80" w:firstLine="3090"/>
        <w:spacing w:after="0" w:line="417" w:lineRule="auto"/>
        <w:rPr>
          <w:sz w:val="20"/>
          <w:szCs w:val="20"/>
          <w:color w:val="auto"/>
        </w:rPr>
      </w:pPr>
      <w:r>
        <w:rPr>
          <w:rFonts w:ascii="Times New Roman" w:cs="Times New Roman" w:eastAsia="Times New Roman" w:hAnsi="Times New Roman"/>
          <w:sz w:val="20"/>
          <w:szCs w:val="20"/>
          <w:b w:val="1"/>
          <w:bCs w:val="1"/>
          <w:color w:val="333333"/>
        </w:rPr>
        <w:t xml:space="preserve">Consent of Independent Registered Public Accounting Firm </w:t>
      </w:r>
      <w:r>
        <w:rPr>
          <w:rFonts w:ascii="Times New Roman" w:cs="Times New Roman" w:eastAsia="Times New Roman" w:hAnsi="Times New Roman"/>
          <w:sz w:val="20"/>
          <w:szCs w:val="20"/>
          <w:color w:val="333333"/>
        </w:rPr>
        <w:t>We consent to the incorporation by reference in the following Registration Statements:</w:t>
      </w:r>
    </w:p>
    <w:p>
      <w:pPr>
        <w:spacing w:after="0" w:line="1" w:lineRule="exact"/>
        <w:rPr>
          <w:sz w:val="20"/>
          <w:szCs w:val="20"/>
          <w:color w:val="auto"/>
        </w:rPr>
      </w:pPr>
    </w:p>
    <w:p>
      <w:pPr>
        <w:ind w:left="660" w:right="740" w:hanging="328"/>
        <w:spacing w:after="0" w:line="283" w:lineRule="auto"/>
        <w:tabs>
          <w:tab w:leader="none" w:pos="648" w:val="left"/>
        </w:tabs>
        <w:numPr>
          <w:ilvl w:val="0"/>
          <w:numId w:val="66"/>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Registration Statements (Form S-8 Nos. 333-231108, 333-239078, 333-245024, 333-259919, 333-267193, and 333-275401) pertaining to the BioCryst Pharmaceuticals, Inc. Inducement Equity Incentive Plan, as amended and restated,</w:t>
      </w:r>
    </w:p>
    <w:p>
      <w:pPr>
        <w:spacing w:after="0" w:line="92" w:lineRule="exact"/>
        <w:rPr>
          <w:rFonts w:ascii="Times New Roman" w:cs="Times New Roman" w:eastAsia="Times New Roman" w:hAnsi="Times New Roman"/>
          <w:sz w:val="20"/>
          <w:szCs w:val="20"/>
          <w:color w:val="333333"/>
        </w:rPr>
      </w:pPr>
    </w:p>
    <w:p>
      <w:pPr>
        <w:ind w:left="640" w:hanging="308"/>
        <w:spacing w:after="0"/>
        <w:tabs>
          <w:tab w:leader="none" w:pos="640" w:val="left"/>
        </w:tabs>
        <w:numPr>
          <w:ilvl w:val="0"/>
          <w:numId w:val="66"/>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Statements (Form S-3 Nos. 333-145638, 333-153084, 333-217859, and 333-277417) of BioCryst Pharmaceuticals, Inc.,</w:t>
      </w:r>
    </w:p>
    <w:p>
      <w:pPr>
        <w:spacing w:after="0" w:line="186" w:lineRule="exact"/>
        <w:rPr>
          <w:rFonts w:ascii="Times New Roman" w:cs="Times New Roman" w:eastAsia="Times New Roman" w:hAnsi="Times New Roman"/>
          <w:sz w:val="19"/>
          <w:szCs w:val="19"/>
          <w:color w:val="333333"/>
        </w:rPr>
      </w:pPr>
    </w:p>
    <w:p>
      <w:pPr>
        <w:ind w:left="660" w:right="940" w:hanging="328"/>
        <w:spacing w:after="0" w:line="283" w:lineRule="auto"/>
        <w:tabs>
          <w:tab w:leader="none" w:pos="648" w:val="left"/>
        </w:tabs>
        <w:numPr>
          <w:ilvl w:val="0"/>
          <w:numId w:val="66"/>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Registration Statements (Form S-8 Nos. 333-120345, 333-39484, 333-30751, and 333-136703) pertaining to the BioCryst Pharmaceuticals, Inc. 1991 Stock Option Plan, as amended and restated,</w:t>
      </w:r>
    </w:p>
    <w:p>
      <w:pPr>
        <w:spacing w:after="0" w:line="92" w:lineRule="exact"/>
        <w:rPr>
          <w:rFonts w:ascii="Times New Roman" w:cs="Times New Roman" w:eastAsia="Times New Roman" w:hAnsi="Times New Roman"/>
          <w:sz w:val="20"/>
          <w:szCs w:val="20"/>
          <w:color w:val="333333"/>
        </w:rPr>
      </w:pPr>
    </w:p>
    <w:p>
      <w:pPr>
        <w:ind w:left="660" w:right="140" w:hanging="328"/>
        <w:spacing w:after="0" w:line="283" w:lineRule="auto"/>
        <w:tabs>
          <w:tab w:leader="none" w:pos="648" w:val="left"/>
        </w:tabs>
        <w:numPr>
          <w:ilvl w:val="0"/>
          <w:numId w:val="66"/>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Registration Statements (Form S-8 Nos. 333-90582, 333-239077, and 333-256624) pertaining to the BioCryst Pharmaceuticals, Inc. Employee Stock Purchase Plan, as amended and restated,</w:t>
      </w:r>
    </w:p>
    <w:p>
      <w:pPr>
        <w:spacing w:after="0" w:line="92" w:lineRule="exact"/>
        <w:rPr>
          <w:rFonts w:ascii="Times New Roman" w:cs="Times New Roman" w:eastAsia="Times New Roman" w:hAnsi="Times New Roman"/>
          <w:sz w:val="20"/>
          <w:szCs w:val="20"/>
          <w:color w:val="333333"/>
        </w:rPr>
      </w:pPr>
    </w:p>
    <w:p>
      <w:pPr>
        <w:ind w:left="660" w:right="520" w:hanging="328"/>
        <w:spacing w:after="0" w:line="268" w:lineRule="auto"/>
        <w:tabs>
          <w:tab w:leader="none" w:pos="648" w:val="left"/>
        </w:tabs>
        <w:numPr>
          <w:ilvl w:val="0"/>
          <w:numId w:val="66"/>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Registration Statement (Form S-8 No. 333-145627) pertaining to the BioCryst Pharmaceuticals, Inc. Stock Incentive Plan, as amended and restated, and the Employment Letter Agreement dated April 2, 2007 between BioCryst Pharmaceuticals, Inc. and David McCullough,</w:t>
      </w:r>
    </w:p>
    <w:p>
      <w:pPr>
        <w:spacing w:after="0" w:line="107" w:lineRule="exact"/>
        <w:rPr>
          <w:rFonts w:ascii="Times New Roman" w:cs="Times New Roman" w:eastAsia="Times New Roman" w:hAnsi="Times New Roman"/>
          <w:sz w:val="20"/>
          <w:szCs w:val="20"/>
          <w:color w:val="333333"/>
        </w:rPr>
      </w:pPr>
    </w:p>
    <w:p>
      <w:pPr>
        <w:ind w:left="660" w:right="40" w:hanging="328"/>
        <w:spacing w:after="0" w:line="261" w:lineRule="auto"/>
        <w:tabs>
          <w:tab w:leader="none" w:pos="648" w:val="left"/>
        </w:tabs>
        <w:numPr>
          <w:ilvl w:val="0"/>
          <w:numId w:val="66"/>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Registration Statements (Form S-8 Nos. 333-176096, 333-211529, 333-218360, 333-228296, 333-231942, 333-239076, 333-256625, 333-266132, 333-273042, and 333-281294) pertaining to the BioCryst Pharmaceuticals, Inc. Stock Incentive Plan, as amended and restated, and</w:t>
      </w:r>
    </w:p>
    <w:p>
      <w:pPr>
        <w:spacing w:after="0" w:line="127" w:lineRule="exact"/>
        <w:rPr>
          <w:rFonts w:ascii="Times New Roman" w:cs="Times New Roman" w:eastAsia="Times New Roman" w:hAnsi="Times New Roman"/>
          <w:sz w:val="20"/>
          <w:szCs w:val="20"/>
          <w:color w:val="333333"/>
        </w:rPr>
      </w:pPr>
    </w:p>
    <w:p>
      <w:pPr>
        <w:ind w:left="660" w:right="740" w:hanging="328"/>
        <w:spacing w:after="0" w:line="310" w:lineRule="auto"/>
        <w:tabs>
          <w:tab w:leader="none" w:pos="648" w:val="left"/>
        </w:tabs>
        <w:numPr>
          <w:ilvl w:val="0"/>
          <w:numId w:val="66"/>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Statements (Form S-8 Nos. 333-152570, 333-167830, 333-187193, and 333-195869) pertaining to the BioCryst Pharmaceuticals, Inc. Stock Incentive Plan and the Employee Stock Purchase Plan, each as amended and restated,</w:t>
      </w:r>
    </w:p>
    <w:p>
      <w:pPr>
        <w:spacing w:after="0" w:line="7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333333"/>
        </w:rPr>
        <w:t>of our reports dated February 25, 2025, with respect to the consolidated financial statements of BioCryst Pharmaceuticals, Inc. and the effectiveness of internal control over financial reporting of BioCryst Pharmaceuticals, Inc. included in this Annual Report (Form 10-K) of BioCryst Pharmaceuticals, Inc. for the year ended December 31, 2024.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2025</w:t>
      </w:r>
    </w:p>
    <w:p>
      <w:pPr>
        <w:sectPr>
          <w:pgSz w:w="11900" w:h="16838" w:orient="portrait"/>
          <w:cols w:equalWidth="0" w:num="1">
            <w:col w:w="11240"/>
          </w:cols>
          <w:pgMar w:left="320" w:top="10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BioCryst Pharmaceuticals,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7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18"/>
        </w:trPr>
        <w:tc>
          <w:tcPr>
            <w:tcW w:w="5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30"/>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Doyle, certify that:</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BioCryst Pharmaceuticals,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7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J. Doyle</w:t>
            </w:r>
          </w:p>
        </w:tc>
      </w:tr>
      <w:tr>
        <w:trPr>
          <w:trHeight w:val="218"/>
        </w:trPr>
        <w:tc>
          <w:tcPr>
            <w:tcW w:w="5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Doyle</w:t>
            </w:r>
          </w:p>
        </w:tc>
      </w:tr>
      <w:tr>
        <w:trPr>
          <w:trHeight w:val="230"/>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BioCryst Pharmaceuticals, Inc. (the “Company”) on Form 10-K for the period ending December 31, 2024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18"/>
        </w:trPr>
        <w:tc>
          <w:tcPr>
            <w:tcW w:w="5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30"/>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14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BioCryst Pharmaceuticals, Inc. (the “Company”) on Form 10-K for the period ending December 31, 2024 as filed with the Securities and Exchange Commission on the date hereof (the “Report”), I, Anthony J. Doyle,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J. Doyle</w:t>
            </w:r>
          </w:p>
        </w:tc>
      </w:tr>
      <w:tr>
        <w:trPr>
          <w:trHeight w:val="218"/>
        </w:trPr>
        <w:tc>
          <w:tcPr>
            <w:tcW w:w="5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Doyle</w:t>
            </w:r>
          </w:p>
        </w:tc>
      </w:tr>
      <w:tr>
        <w:trPr>
          <w:trHeight w:val="230"/>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9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lowerRoman"/>
      <w:start w:val="1"/>
    </w:lvl>
  </w:abstractNum>
  <w:abstractNum w:abstractNumId="37">
    <w:nsid w:val="374A3FE6"/>
    <w:multiLevelType w:val="hybridMultilevel"/>
    <w:lvl w:ilvl="0">
      <w:lvlJc w:val="left"/>
      <w:lvlText w:val="(%1)"/>
      <w:numFmt w:val="lowerRoman"/>
      <w:start w:val="3"/>
    </w:lvl>
  </w:abstractNum>
  <w:abstractNum w:abstractNumId="38">
    <w:nsid w:val="4F4EF005"/>
    <w:multiLevelType w:val="hybridMultilevel"/>
    <w:lvl w:ilvl="0">
      <w:lvlJc w:val="left"/>
      <w:lvlText w:val="(%1)"/>
      <w:numFmt w:val="lowerRoman"/>
      <w:start w:val="1"/>
    </w:lvl>
  </w:abstractNum>
  <w:abstractNum w:abstractNumId="39">
    <w:nsid w:val="23F9C13C"/>
    <w:multiLevelType w:val="hybridMultilevel"/>
    <w:lvl w:ilvl="0">
      <w:lvlJc w:val="left"/>
      <w:lvlText w:val="(%1)"/>
      <w:numFmt w:val="lowerRoman"/>
      <w:start w:val="3"/>
    </w:lvl>
  </w:abstractNum>
  <w:abstractNum w:abstractNumId="40">
    <w:nsid w:val="649BB77C"/>
    <w:multiLevelType w:val="hybridMultilevel"/>
    <w:lvl w:ilvl="0">
      <w:lvlJc w:val="left"/>
      <w:lvlText w:val="1"/>
      <w:numFmt w:val="bullet"/>
      <w:start w:val="1"/>
    </w:lvl>
  </w:abstractNum>
  <w:abstractNum w:abstractNumId="41">
    <w:nsid w:val="275AC794"/>
    <w:multiLevelType w:val="hybridMultilevel"/>
    <w:lvl w:ilvl="0">
      <w:lvlJc w:val="left"/>
      <w:lvlText w:val="(%1)"/>
      <w:numFmt w:val="decimal"/>
      <w:start w:val="19"/>
    </w:lvl>
  </w:abstractNum>
  <w:abstractNum w:abstractNumId="42">
    <w:nsid w:val="39386575"/>
    <w:multiLevelType w:val="hybridMultilevel"/>
    <w:lvl w:ilvl="0">
      <w:lvlJc w:val="left"/>
      <w:lvlText w:val="(%1)"/>
      <w:numFmt w:val="decimal"/>
      <w:start w:val="21"/>
    </w:lvl>
  </w:abstractNum>
  <w:abstractNum w:abstractNumId="43">
    <w:nsid w:val="1CF10FD8"/>
    <w:multiLevelType w:val="hybridMultilevel"/>
    <w:lvl w:ilvl="0">
      <w:lvlJc w:val="left"/>
      <w:lvlText w:val="(%1)"/>
      <w:numFmt w:val="decimal"/>
      <w:start w:val="23"/>
    </w:lvl>
  </w:abstractNum>
  <w:abstractNum w:abstractNumId="44">
    <w:nsid w:val="180115BE"/>
    <w:multiLevelType w:val="hybridMultilevel"/>
    <w:lvl w:ilvl="0">
      <w:lvlJc w:val="left"/>
      <w:lvlText w:val="%1"/>
      <w:numFmt w:val="decimal"/>
      <w:start w:val="97"/>
    </w:lvl>
  </w:abstractNum>
  <w:abstractNum w:abstractNumId="45">
    <w:nsid w:val="235BA861"/>
    <w:multiLevelType w:val="hybridMultilevel"/>
    <w:lvl w:ilvl="0">
      <w:lvlJc w:val="left"/>
      <w:lvlText w:val="(%1)"/>
      <w:numFmt w:val="decimal"/>
      <w:start w:val="101"/>
    </w:lvl>
  </w:abstractNum>
  <w:abstractNum w:abstractNumId="46">
    <w:nsid w:val="47398C89"/>
    <w:multiLevelType w:val="hybridMultilevel"/>
    <w:lvl w:ilvl="0">
      <w:lvlJc w:val="left"/>
      <w:lvlText w:val="(%1)"/>
      <w:numFmt w:val="decimal"/>
      <w:start w:val="104"/>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amp;"/>
      <w:numFmt w:val="bullet"/>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5"/>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6"/>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2"/>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3"/>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2"/>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6" Type="http://schemas.openxmlformats.org/officeDocument/2006/relationships/image" Target="media/image131.png"/><Relationship Id="rId163" Type="http://schemas.openxmlformats.org/officeDocument/2006/relationships/image" Target="media/image132.png"/><Relationship Id="rId179" Type="http://schemas.openxmlformats.org/officeDocument/2006/relationships/image" Target="media/image133.png"/><Relationship Id="rId194"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138" Type="http://schemas.openxmlformats.org/officeDocument/2006/relationships/hyperlink" Target="https://www.sec.gov/Archives/edgar/data/882796/000103570406000836/d42297exv3w1.htm" TargetMode="External"/><Relationship Id="rId139" Type="http://schemas.openxmlformats.org/officeDocument/2006/relationships/hyperlink" Target="https://www.sec.gov/Archives/edgar/data/882796/000136231007001386/c70813exv3w1.htm" TargetMode="External"/><Relationship Id="rId140" Type="http://schemas.openxmlformats.org/officeDocument/2006/relationships/hyperlink" Target="https://www.sec.gov/Archives/edgar/data/882796/000119312514186707/d722313dex31.htm" TargetMode="External"/><Relationship Id="rId141" Type="http://schemas.openxmlformats.org/officeDocument/2006/relationships/hyperlink" Target="https://www.sec.gov/Archives/edgar/data/882796/000117184320003680/exh_31.htm" TargetMode="External"/><Relationship Id="rId142" Type="http://schemas.openxmlformats.org/officeDocument/2006/relationships/hyperlink" Target="https://www.sec.gov/Archives/edgar/data/882796/000117184320003680/exh_32.htm" TargetMode="External"/><Relationship Id="rId143" Type="http://schemas.openxmlformats.org/officeDocument/2006/relationships/hyperlink" Target="https://www.sec.gov/Archives/edgar/data/882796/000117184324000297/exh_31.htm" TargetMode="External"/><Relationship Id="rId144" Type="http://schemas.openxmlformats.org/officeDocument/2006/relationships/hyperlink" Target="https://www.sec.gov/Archives/edgar/data/882796/000117184321001411/ex_230468.htm" TargetMode="External"/><Relationship Id="rId145" Type="http://schemas.openxmlformats.org/officeDocument/2006/relationships/hyperlink" Target="https://www.sec.gov/Archives/edgar/data/882796/000095012311046591/g27110exv4w3.htm" TargetMode="External"/><Relationship Id="rId147" Type="http://schemas.openxmlformats.org/officeDocument/2006/relationships/hyperlink" Target="https://www.sec.gov/Archives/edgar/data/882796/000119312514181823/d721175dex101.htm" TargetMode="External"/><Relationship Id="rId148" Type="http://schemas.openxmlformats.org/officeDocument/2006/relationships/hyperlink" Target="https://www.sec.gov/Archives/edgar/data/882796/000117184316010246/exh_101.htm" TargetMode="External"/><Relationship Id="rId149" Type="http://schemas.openxmlformats.org/officeDocument/2006/relationships/hyperlink" Target="https://www.sec.gov/Archives/edgar/data/882796/000117184317003361/exh_101.htm" TargetMode="External"/><Relationship Id="rId150" Type="http://schemas.openxmlformats.org/officeDocument/2006/relationships/hyperlink" Target="https://www.sec.gov/Archives/edgar/data/882796/000117184318007398/exh_101.htm" TargetMode="External"/><Relationship Id="rId151" Type="http://schemas.openxmlformats.org/officeDocument/2006/relationships/hyperlink" Target="https://www.sec.gov/Archives/edgar/data/882796/000117184319003812/exh_101.htm" TargetMode="External"/><Relationship Id="rId152" Type="http://schemas.openxmlformats.org/officeDocument/2006/relationships/hyperlink" Target="https://www.sec.gov/Archives/edgar/data/882796/000117184320003680/exh_101.htm" TargetMode="External"/><Relationship Id="rId153" Type="http://schemas.openxmlformats.org/officeDocument/2006/relationships/hyperlink" Target="https://www.sec.gov/Archives/edgar/data/882796/000117184321003792/exh_101.htm" TargetMode="External"/><Relationship Id="rId154" Type="http://schemas.openxmlformats.org/officeDocument/2006/relationships/hyperlink" Target="https://www.sec.gov/Archives/edgar/data/882796/000117184322004206/exh_101.htm" TargetMode="External"/><Relationship Id="rId155" Type="http://schemas.openxmlformats.org/officeDocument/2006/relationships/hyperlink" Target="https://www.sec.gov/Archives/edgar/data/882796/000117184323003914/exh_101.htm" TargetMode="External"/><Relationship Id="rId156" Type="http://schemas.openxmlformats.org/officeDocument/2006/relationships/hyperlink" Target="https://www.sec.gov/Archives/edgar/data/882796/000117184324003430/exh_101.htm" TargetMode="External"/><Relationship Id="rId157" Type="http://schemas.openxmlformats.org/officeDocument/2006/relationships/hyperlink" Target="https://www.sec.gov/Archives/edgar/data/882796/000095014408001624/g12086exv10w4.htm" TargetMode="External"/><Relationship Id="rId158" Type="http://schemas.openxmlformats.org/officeDocument/2006/relationships/hyperlink" Target="https://www.sec.gov/Archives/edgar/data/882796/000095014408001624/g12086exv10w5.htm" TargetMode="External"/><Relationship Id="rId159" Type="http://schemas.openxmlformats.org/officeDocument/2006/relationships/hyperlink" Target="https://www.sec.gov/Archives/edgar/data/882796/000117184315001186/exh_107.htm" TargetMode="External"/><Relationship Id="rId160" Type="http://schemas.openxmlformats.org/officeDocument/2006/relationships/hyperlink" Target="https://www.sec.gov/Archives/edgar/data/882796/000162828022021373/exhibit103.htm" TargetMode="External"/><Relationship Id="rId161" Type="http://schemas.openxmlformats.org/officeDocument/2006/relationships/hyperlink" Target="https://www.sec.gov/Archives/edgar/data/882796/000117184315001186/exh_108.htm" TargetMode="External"/><Relationship Id="rId162" Type="http://schemas.openxmlformats.org/officeDocument/2006/relationships/hyperlink" Target="https://www.sec.gov/Archives/edgar/data/882796/000117184321003310/ex_247204.htm" TargetMode="External"/><Relationship Id="rId164" Type="http://schemas.openxmlformats.org/officeDocument/2006/relationships/hyperlink" Target="https://www.sec.gov/Archives/edgar/data/882796/000117184322001460/ex_340701.htm" TargetMode="External"/><Relationship Id="rId165" Type="http://schemas.openxmlformats.org/officeDocument/2006/relationships/hyperlink" Target="https://www.sec.gov/Archives/edgar/data/882796/000162828022021373/exhibit104.htm" TargetMode="External"/><Relationship Id="rId166" Type="http://schemas.openxmlformats.org/officeDocument/2006/relationships/hyperlink" Target="https://www.sec.gov/Archives/edgar/data/882796/000162828024035170/exhibit104-biocrystsipperf.htm" TargetMode="External"/><Relationship Id="rId167" Type="http://schemas.openxmlformats.org/officeDocument/2006/relationships/hyperlink" Target="https://www.sec.gov/Archives/edgar/data/882796/000162828023027820/exhibit103-esppar20230707.htm" TargetMode="External"/><Relationship Id="rId168" Type="http://schemas.openxmlformats.org/officeDocument/2006/relationships/hyperlink" Target="https://www.sec.gov/Archives/edgar/data/882796/000117184319002720/exh_991.htm" TargetMode="External"/><Relationship Id="rId169" Type="http://schemas.openxmlformats.org/officeDocument/2006/relationships/hyperlink" Target="https://www.sec.gov/Archives/edgar/data/882796/000117184320003557/exh_102.htm" TargetMode="External"/><Relationship Id="rId170" Type="http://schemas.openxmlformats.org/officeDocument/2006/relationships/hyperlink" Target="https://www.sec.gov/Archives/edgar/data/882796/000117184320005862/exh_991.htm" TargetMode="External"/><Relationship Id="rId171" Type="http://schemas.openxmlformats.org/officeDocument/2006/relationships/hyperlink" Target="https://www.sec.gov/Archives/edgar/data/882796/000117184321006732/exh_991.htm" TargetMode="External"/><Relationship Id="rId172" Type="http://schemas.openxmlformats.org/officeDocument/2006/relationships/hyperlink" Target="https://www.sec.gov/Archives/edgar/data/882796/000117184322005878/exh_991.htm" TargetMode="External"/><Relationship Id="rId173" Type="http://schemas.openxmlformats.org/officeDocument/2006/relationships/hyperlink" Target="https://www.sec.gov/Archives/edgar/data/882796/000162828023037847/exhibit102-inducementequit.htm" TargetMode="External"/><Relationship Id="rId174" Type="http://schemas.openxmlformats.org/officeDocument/2006/relationships/hyperlink" Target="https://www.sec.gov/Archives/edgar/data/882796/000117184321001411/ex_230469.htm" TargetMode="External"/><Relationship Id="rId175" Type="http://schemas.openxmlformats.org/officeDocument/2006/relationships/hyperlink" Target="https://www.sec.gov/Archives/edgar/data/882796/000162828023005259/formofnoticeofgrantofrsuan.htm" TargetMode="External"/><Relationship Id="rId176" Type="http://schemas.openxmlformats.org/officeDocument/2006/relationships/hyperlink" Target="https://www.sec.gov/Archives/edgar/data/882796/000117184322003423/ex_371289.htm" TargetMode="External"/><Relationship Id="rId177" Type="http://schemas.openxmlformats.org/officeDocument/2006/relationships/hyperlink" Target="https://www.sec.gov/Archives/edgar/data/882796/000162828024035170/exhibit102-biocrystxfirsta.htm" TargetMode="External"/><Relationship Id="rId178" Type="http://schemas.openxmlformats.org/officeDocument/2006/relationships/hyperlink" Target="https://www.sec.gov/Archives/edgar/data/882796/000117184320008616/exh_101.htm" TargetMode="External"/><Relationship Id="rId180" Type="http://schemas.openxmlformats.org/officeDocument/2006/relationships/hyperlink" Target="https://www.sec.gov/Archives/edgar/data/882796/000095014408001624/g12086exv10w2.htm" TargetMode="External"/><Relationship Id="rId181" Type="http://schemas.openxmlformats.org/officeDocument/2006/relationships/hyperlink" Target="https://www.sec.gov/Archives/edgar/data/882796/000095014407002193/g06036exv10w12.htm" TargetMode="External"/><Relationship Id="rId182" Type="http://schemas.openxmlformats.org/officeDocument/2006/relationships/hyperlink" Target="https://www.sec.gov/Archives/edgar/data/882796/000117184321005674/ex_272111.htm" TargetMode="External"/><Relationship Id="rId183" Type="http://schemas.openxmlformats.org/officeDocument/2006/relationships/hyperlink" Target="https://www.sec.gov/Archives/edgar/data/882796/000117184321001411/ex_230470.htm" TargetMode="External"/><Relationship Id="rId184" Type="http://schemas.openxmlformats.org/officeDocument/2006/relationships/hyperlink" Target="https://www.sec.gov/Archives/edgar/data/882796/000117184321007570/ex_299598.htm" TargetMode="External"/><Relationship Id="rId185" Type="http://schemas.openxmlformats.org/officeDocument/2006/relationships/hyperlink" Target="https://www.sec.gov/Archives/edgar/data/882796/000117184320003557/exh_101.htm" TargetMode="External"/><Relationship Id="rId186" Type="http://schemas.openxmlformats.org/officeDocument/2006/relationships/hyperlink" Target="https://www.sec.gov/Archives/edgar/data/882796/000117184321007570/ex_299566.htm" TargetMode="External"/><Relationship Id="rId187" Type="http://schemas.openxmlformats.org/officeDocument/2006/relationships/hyperlink" Target="https://www.sec.gov/Archives/edgar/data/882796/000117184321003310/ex_247203.htm" TargetMode="External"/><Relationship Id="rId188" Type="http://schemas.openxmlformats.org/officeDocument/2006/relationships/hyperlink" Target="https://www.sec.gov/Archives/edgar/data/882796/000117184321007570/ex_299567.htm" TargetMode="External"/><Relationship Id="rId189" Type="http://schemas.openxmlformats.org/officeDocument/2006/relationships/hyperlink" Target="https://www.sec.gov/Archives/edgar/data/882796/000117184321001411/ex_230471.htm" TargetMode="External"/><Relationship Id="rId190" Type="http://schemas.openxmlformats.org/officeDocument/2006/relationships/hyperlink" Target="https://www.sec.gov/Archives/edgar/data/882796/000117184321001411/ex_230463.htm" TargetMode="External"/><Relationship Id="rId191" Type="http://schemas.openxmlformats.org/officeDocument/2006/relationships/hyperlink" Target="https://www.sec.gov/Archives/edgar/data/882796/000095012311046591/g27110exv10w1.htm" TargetMode="External"/><Relationship Id="rId192" Type="http://schemas.openxmlformats.org/officeDocument/2006/relationships/hyperlink" Target="https://www.sec.gov/Archives/edgar/data/882796/000095012311046591/g27110exv10w2.htm" TargetMode="External"/><Relationship Id="rId193" Type="http://schemas.openxmlformats.org/officeDocument/2006/relationships/hyperlink" Target="https://www.sec.gov/Archives/edgar/data/882796/000117184321001411/ex_230714.htm" TargetMode="External"/><Relationship Id="rId195" Type="http://schemas.openxmlformats.org/officeDocument/2006/relationships/hyperlink" Target="https://www.sec.gov/Archives/edgar/data/882796/000117184322001460/ex_340700.htm" TargetMode="External"/><Relationship Id="rId196" Type="http://schemas.openxmlformats.org/officeDocument/2006/relationships/hyperlink" Target="https://www.sec.gov/Archives/edgar/data/882796/000117184322001460/ex_340699.htm" TargetMode="External"/><Relationship Id="rId197" Type="http://schemas.openxmlformats.org/officeDocument/2006/relationships/hyperlink" Target="https://www.sec.gov/Archives/edgar/data/882796/000117184322001460/ex_340698.htm" TargetMode="External"/><Relationship Id="rId198" Type="http://schemas.openxmlformats.org/officeDocument/2006/relationships/hyperlink" Target="https://www.sec.gov/Archives/edgar/data/882796/000162828023027820/exhibit101-pharmakonloanag.htm" TargetMode="External"/><Relationship Id="rId199" Type="http://schemas.openxmlformats.org/officeDocument/2006/relationships/hyperlink" Target="https://www.sec.gov/Archives/edgar/data/882796/000162828024045364/biocrystpharmaceuticalsinc.htm" TargetMode="External"/><Relationship Id="rId200" Type="http://schemas.openxmlformats.org/officeDocument/2006/relationships/hyperlink" Target="https://www.sec.gov/Archives/edgar/data/882796/000162828024007205/exhibit97-nasdaqcompliant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2025-02-25T15:22:26Z</dcterms:created>
  <dcterms:modified xsi:type="dcterms:W3CDTF">2025-02-25T15:22:26Z</dcterms:modified>
</cp:coreProperties>
</file>