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061226.htm"/>
      <w:bookmarkStart w:id="1" w:name="ksf8k_061226"/>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FORM </w:t>
      </w:r>
      <w:bookmarkStart w:id="2" w:name="xdx_90D_edei--DocumentType_c20260611__20"/>
      <w:bookmarkEnd w:id="2"/>
      <w:r>
        <w:rPr>
          <w:sz w:val="20"/>
        </w:rPr>
        <w:t>8-K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4_edei--DocumentPeriodEndDate_c202"/>
      <w:bookmarkEnd w:id="3"/>
      <w:r>
        <w:rPr>
          <w:sz w:val="20"/>
        </w:rPr>
        <w:t>June 11,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36"/>
        </w:rPr>
      </w:pPr>
      <w:bookmarkStart w:id="4" w:name="xdx_906_edei--EntityRegistrantName_c2026"/>
      <w:bookmarkEnd w:id="4"/>
      <w:r>
        <w:rPr>
          <w:b/>
          <w:sz w:val="36"/>
        </w:rPr>
        <w:t>BioCryst Pharmaceuticals,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left"/>
        <w:rPr/>
      </w:pPr>
      <w:r>
        <w:rPr/>
        <w:t> </w:t>
      </w:r>
    </w:p>
    <w:tbl>
      <w:tblPr>
        <w:tblW w:w="4845" w:type="dxa"/>
        <w:jc w:val="left"/>
        <w:tblInd w:w="0" w:type="dxa"/>
        <w:tblLayout w:type="fixed"/>
        <w:tblCellMar>
          <w:top w:w="0" w:type="dxa"/>
          <w:left w:w="0" w:type="dxa"/>
          <w:bottom w:w="0" w:type="dxa"/>
          <w:right w:w="0" w:type="dxa"/>
        </w:tblCellMar>
      </w:tblPr>
      <w:tblGrid>
        <w:gridCol w:w="2210"/>
        <w:gridCol w:w="1100"/>
        <w:gridCol w:w="1535"/>
      </w:tblGrid>
      <w:tr>
        <w:trPr/>
        <w:tc>
          <w:tcPr>
            <w:tcW w:w="2210"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1100" w:type="dxa"/>
            <w:tcBorders/>
            <w:vAlign w:val="center"/>
          </w:tcPr>
          <w:p>
            <w:pPr>
              <w:pStyle w:val="TableContents"/>
              <w:bidi w:val="0"/>
              <w:spacing w:before="0" w:after="283"/>
              <w:jc w:val="center"/>
              <w:rPr>
                <w:b/>
                <w:sz w:val="20"/>
              </w:rPr>
            </w:pPr>
            <w:bookmarkStart w:id="6" w:name="xdx_908_edei--EntityFileNumber_c20260611"/>
            <w:bookmarkEnd w:id="6"/>
            <w:r>
              <w:rPr>
                <w:b/>
                <w:sz w:val="20"/>
              </w:rPr>
              <w:t>000-23186</w:t>
            </w:r>
          </w:p>
        </w:tc>
        <w:tc>
          <w:tcPr>
            <w:tcW w:w="1535" w:type="dxa"/>
            <w:tcBorders/>
            <w:vAlign w:val="center"/>
          </w:tcPr>
          <w:p>
            <w:pPr>
              <w:pStyle w:val="TableContents"/>
              <w:bidi w:val="0"/>
              <w:spacing w:before="0" w:after="283"/>
              <w:jc w:val="center"/>
              <w:rPr>
                <w:b/>
                <w:sz w:val="20"/>
              </w:rPr>
            </w:pPr>
            <w:bookmarkStart w:id="7" w:name="xdx_90D_edei--EntityTaxIdentificationNum"/>
            <w:bookmarkEnd w:id="7"/>
            <w:r>
              <w:rPr>
                <w:b/>
                <w:sz w:val="20"/>
              </w:rPr>
              <w:t>62-1413174</w:t>
            </w:r>
          </w:p>
        </w:tc>
      </w:tr>
      <w:tr>
        <w:trPr/>
        <w:tc>
          <w:tcPr>
            <w:tcW w:w="2210" w:type="dxa"/>
            <w:tcBorders/>
            <w:vAlign w:val="center"/>
          </w:tcPr>
          <w:p>
            <w:pPr>
              <w:pStyle w:val="TableContents"/>
              <w:bidi w:val="0"/>
              <w:spacing w:before="0" w:after="283"/>
              <w:jc w:val="center"/>
              <w:rPr>
                <w:sz w:val="20"/>
              </w:rPr>
            </w:pPr>
            <w:r>
              <w:rPr>
                <w:sz w:val="20"/>
              </w:rPr>
              <w:t>(State or Other Jurisdiction</w:t>
            </w:r>
          </w:p>
        </w:tc>
        <w:tc>
          <w:tcPr>
            <w:tcW w:w="1100" w:type="dxa"/>
            <w:tcBorders/>
            <w:vAlign w:val="center"/>
          </w:tcPr>
          <w:p>
            <w:pPr>
              <w:pStyle w:val="TableContents"/>
              <w:bidi w:val="0"/>
              <w:spacing w:before="0" w:after="283"/>
              <w:jc w:val="center"/>
              <w:rPr>
                <w:sz w:val="20"/>
              </w:rPr>
            </w:pPr>
            <w:r>
              <w:rPr>
                <w:sz w:val="20"/>
              </w:rPr>
              <w:t>(Commission</w:t>
            </w:r>
          </w:p>
        </w:tc>
        <w:tc>
          <w:tcPr>
            <w:tcW w:w="1535" w:type="dxa"/>
            <w:tcBorders/>
            <w:vAlign w:val="center"/>
          </w:tcPr>
          <w:p>
            <w:pPr>
              <w:pStyle w:val="TableContents"/>
              <w:bidi w:val="0"/>
              <w:spacing w:before="0" w:after="283"/>
              <w:jc w:val="center"/>
              <w:rPr>
                <w:sz w:val="20"/>
              </w:rPr>
            </w:pPr>
            <w:r>
              <w:rPr>
                <w:sz w:val="20"/>
              </w:rPr>
              <w:t>(IRS Employer</w:t>
            </w:r>
          </w:p>
        </w:tc>
      </w:tr>
      <w:tr>
        <w:trPr/>
        <w:tc>
          <w:tcPr>
            <w:tcW w:w="2210" w:type="dxa"/>
            <w:tcBorders/>
            <w:vAlign w:val="center"/>
          </w:tcPr>
          <w:p>
            <w:pPr>
              <w:pStyle w:val="TableContents"/>
              <w:bidi w:val="0"/>
              <w:spacing w:before="0" w:after="283"/>
              <w:jc w:val="center"/>
              <w:rPr>
                <w:sz w:val="20"/>
              </w:rPr>
            </w:pPr>
            <w:r>
              <w:rPr>
                <w:sz w:val="20"/>
              </w:rPr>
              <w:t>of Incorporation)</w:t>
            </w:r>
          </w:p>
        </w:tc>
        <w:tc>
          <w:tcPr>
            <w:tcW w:w="1100" w:type="dxa"/>
            <w:tcBorders/>
            <w:vAlign w:val="center"/>
          </w:tcPr>
          <w:p>
            <w:pPr>
              <w:pStyle w:val="TableContents"/>
              <w:bidi w:val="0"/>
              <w:spacing w:before="0" w:after="283"/>
              <w:jc w:val="center"/>
              <w:rPr>
                <w:sz w:val="20"/>
              </w:rPr>
            </w:pPr>
            <w:r>
              <w:rPr>
                <w:sz w:val="20"/>
              </w:rPr>
              <w:t>File Number)</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283"/>
        <w:jc w:val="left"/>
        <w:rPr/>
      </w:pPr>
      <w:r>
        <w:rPr/>
        <w:t> </w:t>
      </w:r>
    </w:p>
    <w:p>
      <w:pPr>
        <w:pStyle w:val="TextBody"/>
        <w:bidi w:val="0"/>
        <w:spacing w:before="0" w:after="0"/>
        <w:jc w:val="center"/>
        <w:rPr>
          <w:b/>
          <w:sz w:val="20"/>
        </w:rPr>
      </w:pPr>
      <w:bookmarkStart w:id="8" w:name="xdx_907_edei--EntityAddressAddressLine1_"/>
      <w:bookmarkEnd w:id="8"/>
      <w:r>
        <w:rPr>
          <w:b/>
          <w:sz w:val="20"/>
        </w:rPr>
        <w:t xml:space="preserve">4505 Emperor Blvd., </w:t>
      </w:r>
      <w:bookmarkStart w:id="9" w:name="xdx_904_edei--EntityAddressAddressLine2_"/>
      <w:bookmarkEnd w:id="9"/>
      <w:r>
        <w:rPr>
          <w:b/>
          <w:sz w:val="20"/>
        </w:rPr>
        <w:t>Suite 200</w:t>
      </w:r>
    </w:p>
    <w:p>
      <w:pPr>
        <w:pStyle w:val="TextBody"/>
        <w:bidi w:val="0"/>
        <w:spacing w:before="0" w:after="0"/>
        <w:jc w:val="center"/>
        <w:rPr>
          <w:b/>
          <w:sz w:val="20"/>
        </w:rPr>
      </w:pPr>
      <w:bookmarkStart w:id="10" w:name="xdx_908_edei--EntityAddressCityOrTown_c2"/>
      <w:bookmarkEnd w:id="10"/>
      <w:r>
        <w:rPr>
          <w:b/>
          <w:sz w:val="20"/>
        </w:rPr>
        <w:t xml:space="preserve">Durham, </w:t>
      </w:r>
      <w:bookmarkStart w:id="11" w:name="xdx_905_edei--EntityAddressStateOrProvin"/>
      <w:bookmarkEnd w:id="11"/>
      <w:r>
        <w:rPr>
          <w:b/>
          <w:sz w:val="20"/>
        </w:rPr>
        <w:t xml:space="preserve">North Carolina </w:t>
      </w:r>
      <w:bookmarkStart w:id="12" w:name="xdx_90C_edei--EntityAddressPostalZipCode"/>
      <w:bookmarkEnd w:id="12"/>
      <w:r>
        <w:rPr>
          <w:b/>
          <w:sz w:val="20"/>
        </w:rPr>
        <w:t>27703</w:t>
      </w:r>
    </w:p>
    <w:p>
      <w:pPr>
        <w:pStyle w:val="TextBody"/>
        <w:bidi w:val="0"/>
        <w:spacing w:before="0" w:after="0"/>
        <w:jc w:val="center"/>
        <w:rPr>
          <w:sz w:val="20"/>
        </w:rPr>
      </w:pPr>
      <w:r>
        <w:rPr>
          <w:sz w:val="20"/>
        </w:rPr>
        <w:t>(Address of Principal Executive Offices) (Zip Code)</w:t>
      </w:r>
    </w:p>
    <w:p>
      <w:pPr>
        <w:pStyle w:val="TextBody"/>
        <w:bidi w:val="0"/>
        <w:jc w:val="center"/>
        <w:rPr/>
      </w:pPr>
      <w:r>
        <w:rPr/>
        <w:t> </w:t>
      </w:r>
    </w:p>
    <w:p>
      <w:pPr>
        <w:pStyle w:val="TextBody"/>
        <w:bidi w:val="0"/>
        <w:spacing w:before="0" w:after="0"/>
        <w:jc w:val="center"/>
        <w:rPr>
          <w:b/>
          <w:sz w:val="20"/>
        </w:rPr>
      </w:pPr>
      <w:bookmarkStart w:id="13" w:name="xdx_909_edei--CityAreaCode_c20260611__20"/>
      <w:bookmarkEnd w:id="13"/>
      <w:r>
        <w:rPr>
          <w:b/>
          <w:sz w:val="20"/>
        </w:rPr>
        <w:t xml:space="preserve">(919) </w:t>
      </w:r>
      <w:bookmarkStart w:id="14" w:name="xdx_90E_edei--LocalPhoneNumber_c20260611"/>
      <w:bookmarkEnd w:id="14"/>
      <w:r>
        <w:rPr>
          <w:b/>
          <w:sz w:val="20"/>
        </w:rPr>
        <w:t>859-1302</w:t>
      </w:r>
    </w:p>
    <w:p>
      <w:pPr>
        <w:pStyle w:val="TextBody"/>
        <w:bidi w:val="0"/>
        <w:spacing w:before="0" w:after="0"/>
        <w:jc w:val="center"/>
        <w:rPr>
          <w:sz w:val="20"/>
        </w:rPr>
      </w:pPr>
      <w:r>
        <w:rPr>
          <w:sz w:val="20"/>
        </w:rPr>
        <w:t>(Registrant’s telephone number, including area code)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________________________________________</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20" w:right="2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20" w:right="2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6"/>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6615" w:type="dxa"/>
        <w:jc w:val="left"/>
        <w:tblInd w:w="-10" w:type="dxa"/>
        <w:tblLayout w:type="fixed"/>
        <w:tblCellMar>
          <w:top w:w="28" w:type="dxa"/>
          <w:left w:w="28" w:type="dxa"/>
          <w:bottom w:w="28" w:type="dxa"/>
          <w:right w:w="2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bookmarkStart w:id="19" w:name="xdx_909_edei--Security12bTitle_c20260611"/>
            <w:bookmarkEnd w:id="19"/>
            <w:r>
              <w:rPr>
                <w:b/>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0" w:name="xdx_90B_edei--TradingSymbol_c20260611__2"/>
            <w:bookmarkEnd w:id="20"/>
            <w:r>
              <w:rPr>
                <w:b/>
                <w:sz w:val="20"/>
              </w:rPr>
              <w:t>BCRX</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1" w:name="xdx_90F_edei--SecurityExchangeName_c2026"/>
            <w:bookmarkEnd w:id="21"/>
            <w:r>
              <w:rPr>
                <w:b/>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380" w:right="380" w:hanging="0"/>
        <w:jc w:val="left"/>
        <w:rPr>
          <w:sz w:val="20"/>
        </w:rPr>
      </w:pPr>
      <w:r>
        <w:rPr>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380" w:right="38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2" w:name="xdx_90C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140" w:right="14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140" w:right="14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left"/>
        <w:rPr>
          <w:b/>
          <w:sz w:val="20"/>
        </w:rPr>
      </w:pPr>
      <w:r>
        <w:rPr>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Amended and Restated Stock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June 11, 2026, at the 2026 Annual Meeting of Stockholders (the “Annual Meeting”) of BioCryst Pharmaceuticals, Inc., a Delaware corporation (the “Company”), the Company’s stockholders approved, by the affirmative vote of a majority of the shares of the Company’s common stock represented in person or by proxy at the Annual Meeting and voting on the proposal, a proposal to amend and restate the BioCryst Pharmaceuticals, Inc. Stock Incentive Plan (such plan, as amended and restated, the “Stock Incentive Plan”), increasing the number of shares available for issuance under the Stock Incentive Plan by 7,000,000 shares (the “Incentive Plan Proposal”). A detailed description of the Stock Incentive Plan is included in the Company’s Definitive Proxy Statement for the Annual Meeting. The description of the Stock Incentive Plan in this report does not purport to be complete and is qualified in its entirety by reference to the full text of the Stock Incentive Plan, a copy of which is filed as Exhibit 10.1 hereto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Item 5.07. Submission of Matters to a Vote of Security 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Annual Meeting was held on June 11, 2026 for the purpose of (1) electing three directors to serve for a term ending at the Company’s 2029 annual meeting of stockholders and until a successor is duly elected and qualified; (2) ratifying the appointment of Ernst &amp; Young LLP as the Company’s independent registered public accountants for 2026; (3) holding a non-binding, advisory vote approving the Company’s executive compensation; and (4) approving the Incentive Plan Proposal described in Item 5.02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nominees for director were elected by the following votes:</w:t>
      </w:r>
    </w:p>
    <w:p>
      <w:pPr>
        <w:pStyle w:val="TextBody"/>
        <w:bidi w:val="0"/>
        <w:spacing w:before="0" w:after="0"/>
        <w:ind w:left="0" w:right="0" w:hanging="0"/>
        <w:jc w:val="both"/>
        <w:rPr/>
      </w:pPr>
      <w:r>
        <w:rPr/>
        <w:t> </w:t>
      </w:r>
    </w:p>
    <w:tbl>
      <w:tblPr>
        <w:tblW w:w="4785" w:type="dxa"/>
        <w:jc w:val="left"/>
        <w:tblInd w:w="0" w:type="dxa"/>
        <w:tblLayout w:type="fixed"/>
        <w:tblCellMar>
          <w:top w:w="0" w:type="dxa"/>
          <w:left w:w="0" w:type="dxa"/>
          <w:bottom w:w="0" w:type="dxa"/>
          <w:right w:w="0" w:type="dxa"/>
        </w:tblCellMar>
      </w:tblPr>
      <w:tblGrid>
        <w:gridCol w:w="2180"/>
        <w:gridCol w:w="1220"/>
        <w:gridCol w:w="60"/>
        <w:gridCol w:w="1325"/>
      </w:tblGrid>
      <w:tr>
        <w:trPr/>
        <w:tc>
          <w:tcPr>
            <w:tcW w:w="2180" w:type="dxa"/>
            <w:tcBorders/>
            <w:vAlign w:val="center"/>
          </w:tcPr>
          <w:p>
            <w:pPr>
              <w:pStyle w:val="TableContents"/>
              <w:bidi w:val="0"/>
              <w:spacing w:before="0" w:after="283"/>
              <w:jc w:val="both"/>
              <w:rPr/>
            </w:pPr>
            <w:r>
              <w:rPr/>
              <w:t> </w:t>
            </w:r>
          </w:p>
        </w:tc>
        <w:tc>
          <w:tcPr>
            <w:tcW w:w="1220" w:type="dxa"/>
            <w:tcBorders/>
            <w:vAlign w:val="center"/>
          </w:tcPr>
          <w:p>
            <w:pPr>
              <w:pStyle w:val="TableContents"/>
              <w:bidi w:val="0"/>
              <w:spacing w:before="0" w:after="283"/>
              <w:jc w:val="center"/>
              <w:rPr>
                <w:u w:val="single"/>
              </w:rPr>
            </w:pPr>
            <w:r>
              <w:rPr>
                <w:u w:val="single"/>
              </w:rPr>
              <w:t>FOR</w:t>
            </w:r>
          </w:p>
        </w:tc>
        <w:tc>
          <w:tcPr>
            <w:tcW w:w="60" w:type="dxa"/>
            <w:tcBorders/>
            <w:vAlign w:val="center"/>
          </w:tcPr>
          <w:p>
            <w:pPr>
              <w:pStyle w:val="TableContents"/>
              <w:bidi w:val="0"/>
              <w:spacing w:before="0" w:after="283"/>
              <w:jc w:val="right"/>
              <w:rPr/>
            </w:pPr>
            <w:r>
              <w:rPr/>
              <w:t> </w:t>
            </w:r>
          </w:p>
        </w:tc>
        <w:tc>
          <w:tcPr>
            <w:tcW w:w="1325" w:type="dxa"/>
            <w:tcBorders/>
            <w:vAlign w:val="center"/>
          </w:tcPr>
          <w:p>
            <w:pPr>
              <w:pStyle w:val="TableContents"/>
              <w:bidi w:val="0"/>
              <w:spacing w:before="0" w:after="283"/>
              <w:jc w:val="center"/>
              <w:rPr>
                <w:u w:val="single"/>
              </w:rPr>
            </w:pPr>
            <w:r>
              <w:rPr>
                <w:u w:val="single"/>
              </w:rPr>
              <w:t>WITHHELD</w:t>
            </w:r>
          </w:p>
        </w:tc>
      </w:tr>
      <w:tr>
        <w:trPr/>
        <w:tc>
          <w:tcPr>
            <w:tcW w:w="2180" w:type="dxa"/>
            <w:tcBorders/>
            <w:shd w:fill="CCEEFF" w:val="clear"/>
            <w:vAlign w:val="center"/>
          </w:tcPr>
          <w:p>
            <w:pPr>
              <w:pStyle w:val="TableContents"/>
              <w:bidi w:val="0"/>
              <w:spacing w:before="0" w:after="283"/>
              <w:jc w:val="both"/>
              <w:rPr/>
            </w:pPr>
            <w:r>
              <w:rPr/>
              <w:t>Theresa M. Heggie</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176,939,696</w:t>
            </w:r>
          </w:p>
        </w:tc>
        <w:tc>
          <w:tcPr>
            <w:tcW w:w="60" w:type="dxa"/>
            <w:tcBorders/>
            <w:shd w:fill="CCEEFF" w:val="clear"/>
            <w:vAlign w:val="center"/>
          </w:tcPr>
          <w:p>
            <w:pPr>
              <w:pStyle w:val="TableContents"/>
              <w:bidi w:val="0"/>
              <w:spacing w:before="0" w:after="283"/>
              <w:jc w:val="righ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6,915,770</w:t>
            </w:r>
          </w:p>
        </w:tc>
      </w:tr>
      <w:tr>
        <w:trPr/>
        <w:tc>
          <w:tcPr>
            <w:tcW w:w="2180" w:type="dxa"/>
            <w:tcBorders/>
            <w:vAlign w:val="center"/>
          </w:tcPr>
          <w:p>
            <w:pPr>
              <w:pStyle w:val="TableContents"/>
              <w:bidi w:val="0"/>
              <w:spacing w:before="0" w:after="283"/>
              <w:jc w:val="both"/>
              <w:rPr/>
            </w:pPr>
            <w:r>
              <w:rPr/>
              <w:t>Amy E. McKee, M.D.</w:t>
            </w:r>
          </w:p>
        </w:tc>
        <w:tc>
          <w:tcPr>
            <w:tcW w:w="1220" w:type="dxa"/>
            <w:tcBorders>
              <w:bottom w:val="single" w:sz="8" w:space="0" w:color="000000"/>
            </w:tcBorders>
            <w:tcMar>
              <w:bottom w:w="28" w:type="dxa"/>
            </w:tcMar>
            <w:vAlign w:val="center"/>
          </w:tcPr>
          <w:p>
            <w:pPr>
              <w:pStyle w:val="TableContents"/>
              <w:bidi w:val="0"/>
              <w:spacing w:before="0" w:after="283"/>
              <w:jc w:val="right"/>
              <w:rPr/>
            </w:pPr>
            <w:r>
              <w:rPr/>
              <w:t>178,820,838</w:t>
            </w:r>
          </w:p>
        </w:tc>
        <w:tc>
          <w:tcPr>
            <w:tcW w:w="60" w:type="dxa"/>
            <w:tcBorders/>
            <w:vAlign w:val="center"/>
          </w:tcPr>
          <w:p>
            <w:pPr>
              <w:pStyle w:val="TableContents"/>
              <w:bidi w:val="0"/>
              <w:spacing w:before="0" w:after="283"/>
              <w:jc w:val="right"/>
              <w:rPr/>
            </w:pPr>
            <w:r>
              <w:rPr/>
              <w:t> </w:t>
            </w:r>
          </w:p>
        </w:tc>
        <w:tc>
          <w:tcPr>
            <w:tcW w:w="1325" w:type="dxa"/>
            <w:tcBorders>
              <w:bottom w:val="single" w:sz="8" w:space="0" w:color="000000"/>
            </w:tcBorders>
            <w:tcMar>
              <w:bottom w:w="28" w:type="dxa"/>
            </w:tcMar>
            <w:vAlign w:val="center"/>
          </w:tcPr>
          <w:p>
            <w:pPr>
              <w:pStyle w:val="TableContents"/>
              <w:bidi w:val="0"/>
              <w:spacing w:before="0" w:after="283"/>
              <w:jc w:val="right"/>
              <w:rPr/>
            </w:pPr>
            <w:r>
              <w:rPr/>
              <w:t>5,034,628</w:t>
            </w:r>
          </w:p>
        </w:tc>
      </w:tr>
      <w:tr>
        <w:trPr/>
        <w:tc>
          <w:tcPr>
            <w:tcW w:w="2180" w:type="dxa"/>
            <w:tcBorders/>
            <w:shd w:fill="CCEEFF" w:val="clear"/>
            <w:vAlign w:val="center"/>
          </w:tcPr>
          <w:p>
            <w:pPr>
              <w:pStyle w:val="TableContents"/>
              <w:bidi w:val="0"/>
              <w:spacing w:before="0" w:after="283"/>
              <w:jc w:val="both"/>
              <w:rPr/>
            </w:pPr>
            <w:r>
              <w:rPr/>
              <w:t>Jon P. Stonehouse</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173,944,412</w:t>
            </w:r>
          </w:p>
        </w:tc>
        <w:tc>
          <w:tcPr>
            <w:tcW w:w="60" w:type="dxa"/>
            <w:tcBorders/>
            <w:shd w:fill="CCEEFF" w:val="clear"/>
            <w:vAlign w:val="center"/>
          </w:tcPr>
          <w:p>
            <w:pPr>
              <w:pStyle w:val="TableContents"/>
              <w:bidi w:val="0"/>
              <w:spacing w:before="0" w:after="283"/>
              <w:jc w:val="righ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9,911,054</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there were 34,037,643 broker non-votes for each director.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proposed ratification of the appointment of Ernst &amp; Young LLP as the Company’s independent registered public accountants for 2026 was approved by the following votes:</w:t>
      </w:r>
    </w:p>
    <w:p>
      <w:pPr>
        <w:pStyle w:val="TextBody"/>
        <w:bidi w:val="0"/>
        <w:spacing w:before="0" w:after="0"/>
        <w:ind w:left="0" w:right="0" w:hanging="0"/>
        <w:jc w:val="both"/>
        <w:rPr/>
      </w:pPr>
      <w:r>
        <w:rPr/>
        <w:t> </w:t>
      </w:r>
    </w:p>
    <w:tbl>
      <w:tblPr>
        <w:tblW w:w="2350" w:type="dxa"/>
        <w:jc w:val="left"/>
        <w:tblInd w:w="0" w:type="dxa"/>
        <w:tblLayout w:type="fixed"/>
        <w:tblCellMar>
          <w:top w:w="0" w:type="dxa"/>
          <w:left w:w="0" w:type="dxa"/>
          <w:bottom w:w="0" w:type="dxa"/>
          <w:right w:w="0" w:type="dxa"/>
        </w:tblCellMar>
      </w:tblPr>
      <w:tblGrid>
        <w:gridCol w:w="1115"/>
        <w:gridCol w:w="1235"/>
      </w:tblGrid>
      <w:tr>
        <w:trPr/>
        <w:tc>
          <w:tcPr>
            <w:tcW w:w="1115" w:type="dxa"/>
            <w:tcBorders/>
            <w:shd w:fill="CCEEFF" w:val="clear"/>
            <w:vAlign w:val="center"/>
          </w:tcPr>
          <w:p>
            <w:pPr>
              <w:pStyle w:val="TableContents"/>
              <w:bidi w:val="0"/>
              <w:spacing w:before="0" w:after="283"/>
              <w:jc w:val="both"/>
              <w:rPr/>
            </w:pPr>
            <w:r>
              <w:rPr/>
              <w:t>FOR</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210,304,554</w:t>
            </w:r>
          </w:p>
        </w:tc>
      </w:tr>
      <w:tr>
        <w:trPr/>
        <w:tc>
          <w:tcPr>
            <w:tcW w:w="1115" w:type="dxa"/>
            <w:tcBorders/>
            <w:vAlign w:val="center"/>
          </w:tcPr>
          <w:p>
            <w:pPr>
              <w:pStyle w:val="TableContents"/>
              <w:bidi w:val="0"/>
              <w:spacing w:before="0" w:after="283"/>
              <w:jc w:val="both"/>
              <w:rPr/>
            </w:pPr>
            <w:r>
              <w:rPr/>
              <w:t>AGAINST</w:t>
            </w:r>
          </w:p>
        </w:tc>
        <w:tc>
          <w:tcPr>
            <w:tcW w:w="1235" w:type="dxa"/>
            <w:tcBorders>
              <w:bottom w:val="single" w:sz="8" w:space="0" w:color="000000"/>
            </w:tcBorders>
            <w:tcMar>
              <w:bottom w:w="28" w:type="dxa"/>
            </w:tcMar>
            <w:vAlign w:val="center"/>
          </w:tcPr>
          <w:p>
            <w:pPr>
              <w:pStyle w:val="TableContents"/>
              <w:bidi w:val="0"/>
              <w:spacing w:before="0" w:after="283"/>
              <w:jc w:val="right"/>
              <w:rPr/>
            </w:pPr>
            <w:r>
              <w:rPr/>
              <w:t>7,192,262</w:t>
            </w:r>
          </w:p>
        </w:tc>
      </w:tr>
      <w:tr>
        <w:trPr/>
        <w:tc>
          <w:tcPr>
            <w:tcW w:w="1115" w:type="dxa"/>
            <w:tcBorders/>
            <w:shd w:fill="CCEEFF" w:val="clear"/>
            <w:vAlign w:val="center"/>
          </w:tcPr>
          <w:p>
            <w:pPr>
              <w:pStyle w:val="TableContents"/>
              <w:bidi w:val="0"/>
              <w:spacing w:before="0" w:after="283"/>
              <w:jc w:val="both"/>
              <w:rPr/>
            </w:pPr>
            <w:r>
              <w:rPr/>
              <w:t>ABSTAIN</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396,293</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proposed non-binding, advisory resolution regarding executive compensation was approved by the following votes:</w:t>
      </w:r>
    </w:p>
    <w:p>
      <w:pPr>
        <w:pStyle w:val="TextBody"/>
        <w:bidi w:val="0"/>
        <w:spacing w:before="0" w:after="0"/>
        <w:ind w:left="0" w:right="0" w:hanging="0"/>
        <w:jc w:val="both"/>
        <w:rPr/>
      </w:pPr>
      <w:r>
        <w:rPr/>
        <w:t> </w:t>
      </w:r>
    </w:p>
    <w:tbl>
      <w:tblPr>
        <w:tblW w:w="3745" w:type="dxa"/>
        <w:jc w:val="left"/>
        <w:tblInd w:w="0" w:type="dxa"/>
        <w:tblLayout w:type="fixed"/>
        <w:tblCellMar>
          <w:top w:w="0" w:type="dxa"/>
          <w:left w:w="0" w:type="dxa"/>
          <w:bottom w:w="0" w:type="dxa"/>
          <w:right w:w="0" w:type="dxa"/>
        </w:tblCellMar>
      </w:tblPr>
      <w:tblGrid>
        <w:gridCol w:w="2510"/>
        <w:gridCol w:w="1235"/>
      </w:tblGrid>
      <w:tr>
        <w:trPr/>
        <w:tc>
          <w:tcPr>
            <w:tcW w:w="2510" w:type="dxa"/>
            <w:tcBorders/>
            <w:shd w:fill="CCEEFF" w:val="clear"/>
            <w:vAlign w:val="center"/>
          </w:tcPr>
          <w:p>
            <w:pPr>
              <w:pStyle w:val="TableContents"/>
              <w:bidi w:val="0"/>
              <w:spacing w:before="0" w:after="283"/>
              <w:jc w:val="both"/>
              <w:rPr/>
            </w:pPr>
            <w:r>
              <w:rPr/>
              <w:t>FOR</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126,098,528</w:t>
            </w:r>
          </w:p>
        </w:tc>
      </w:tr>
      <w:tr>
        <w:trPr/>
        <w:tc>
          <w:tcPr>
            <w:tcW w:w="2510" w:type="dxa"/>
            <w:tcBorders/>
            <w:vAlign w:val="center"/>
          </w:tcPr>
          <w:p>
            <w:pPr>
              <w:pStyle w:val="TableContents"/>
              <w:bidi w:val="0"/>
              <w:spacing w:before="0" w:after="283"/>
              <w:jc w:val="both"/>
              <w:rPr/>
            </w:pPr>
            <w:r>
              <w:rPr/>
              <w:t>AGAINST</w:t>
            </w:r>
          </w:p>
        </w:tc>
        <w:tc>
          <w:tcPr>
            <w:tcW w:w="1235" w:type="dxa"/>
            <w:tcBorders>
              <w:bottom w:val="single" w:sz="8" w:space="0" w:color="000000"/>
            </w:tcBorders>
            <w:tcMar>
              <w:bottom w:w="28" w:type="dxa"/>
            </w:tcMar>
            <w:vAlign w:val="center"/>
          </w:tcPr>
          <w:p>
            <w:pPr>
              <w:pStyle w:val="TableContents"/>
              <w:bidi w:val="0"/>
              <w:spacing w:before="0" w:after="283"/>
              <w:jc w:val="right"/>
              <w:rPr/>
            </w:pPr>
            <w:r>
              <w:rPr/>
              <w:t>56,797,571</w:t>
            </w:r>
          </w:p>
        </w:tc>
      </w:tr>
      <w:tr>
        <w:trPr/>
        <w:tc>
          <w:tcPr>
            <w:tcW w:w="2510" w:type="dxa"/>
            <w:tcBorders/>
            <w:shd w:fill="CCEEFF" w:val="clear"/>
            <w:vAlign w:val="center"/>
          </w:tcPr>
          <w:p>
            <w:pPr>
              <w:pStyle w:val="TableContents"/>
              <w:bidi w:val="0"/>
              <w:spacing w:before="0" w:after="283"/>
              <w:jc w:val="both"/>
              <w:rPr/>
            </w:pPr>
            <w:r>
              <w:rPr/>
              <w:t>ABSTAIN</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959,367</w:t>
            </w:r>
          </w:p>
        </w:tc>
      </w:tr>
      <w:tr>
        <w:trPr/>
        <w:tc>
          <w:tcPr>
            <w:tcW w:w="2510" w:type="dxa"/>
            <w:tcBorders/>
            <w:vAlign w:val="center"/>
          </w:tcPr>
          <w:p>
            <w:pPr>
              <w:pStyle w:val="TableContents"/>
              <w:bidi w:val="0"/>
              <w:spacing w:before="0" w:after="283"/>
              <w:jc w:val="both"/>
              <w:rPr/>
            </w:pPr>
            <w:r>
              <w:rPr/>
              <w:t>BROKER NON-VOTES</w:t>
            </w:r>
          </w:p>
        </w:tc>
        <w:tc>
          <w:tcPr>
            <w:tcW w:w="1235" w:type="dxa"/>
            <w:tcBorders>
              <w:bottom w:val="single" w:sz="8" w:space="0" w:color="000000"/>
            </w:tcBorders>
            <w:tcMar>
              <w:bottom w:w="28" w:type="dxa"/>
            </w:tcMar>
            <w:vAlign w:val="center"/>
          </w:tcPr>
          <w:p>
            <w:pPr>
              <w:pStyle w:val="TableContents"/>
              <w:bidi w:val="0"/>
              <w:spacing w:before="0" w:after="283"/>
              <w:jc w:val="right"/>
              <w:rPr/>
            </w:pPr>
            <w:r>
              <w:rPr/>
              <w:t>34,037,643</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Incentive Plan Proposal was approved by the following votes:</w:t>
      </w:r>
    </w:p>
    <w:p>
      <w:pPr>
        <w:pStyle w:val="TextBody"/>
        <w:bidi w:val="0"/>
        <w:spacing w:before="0" w:after="0"/>
        <w:ind w:left="0" w:right="0" w:hanging="0"/>
        <w:jc w:val="both"/>
        <w:rPr/>
      </w:pPr>
      <w:r>
        <w:rPr/>
        <w:t> </w:t>
      </w:r>
    </w:p>
    <w:tbl>
      <w:tblPr>
        <w:tblW w:w="3745" w:type="dxa"/>
        <w:jc w:val="left"/>
        <w:tblInd w:w="0" w:type="dxa"/>
        <w:tblLayout w:type="fixed"/>
        <w:tblCellMar>
          <w:top w:w="0" w:type="dxa"/>
          <w:left w:w="0" w:type="dxa"/>
          <w:bottom w:w="0" w:type="dxa"/>
          <w:right w:w="0" w:type="dxa"/>
        </w:tblCellMar>
      </w:tblPr>
      <w:tblGrid>
        <w:gridCol w:w="2510"/>
        <w:gridCol w:w="1235"/>
      </w:tblGrid>
      <w:tr>
        <w:trPr/>
        <w:tc>
          <w:tcPr>
            <w:tcW w:w="2510" w:type="dxa"/>
            <w:tcBorders/>
            <w:shd w:fill="CCEEFF" w:val="clear"/>
            <w:vAlign w:val="center"/>
          </w:tcPr>
          <w:p>
            <w:pPr>
              <w:pStyle w:val="TableContents"/>
              <w:bidi w:val="0"/>
              <w:spacing w:before="0" w:after="283"/>
              <w:jc w:val="both"/>
              <w:rPr/>
            </w:pPr>
            <w:r>
              <w:rPr/>
              <w:t>FOR</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119,765,948</w:t>
            </w:r>
          </w:p>
        </w:tc>
      </w:tr>
      <w:tr>
        <w:trPr/>
        <w:tc>
          <w:tcPr>
            <w:tcW w:w="2510" w:type="dxa"/>
            <w:tcBorders/>
            <w:vAlign w:val="center"/>
          </w:tcPr>
          <w:p>
            <w:pPr>
              <w:pStyle w:val="TableContents"/>
              <w:bidi w:val="0"/>
              <w:spacing w:before="0" w:after="283"/>
              <w:jc w:val="both"/>
              <w:rPr/>
            </w:pPr>
            <w:r>
              <w:rPr/>
              <w:t>AGAINST</w:t>
            </w:r>
          </w:p>
        </w:tc>
        <w:tc>
          <w:tcPr>
            <w:tcW w:w="1235" w:type="dxa"/>
            <w:tcBorders>
              <w:bottom w:val="single" w:sz="8" w:space="0" w:color="000000"/>
            </w:tcBorders>
            <w:tcMar>
              <w:bottom w:w="28" w:type="dxa"/>
            </w:tcMar>
            <w:vAlign w:val="center"/>
          </w:tcPr>
          <w:p>
            <w:pPr>
              <w:pStyle w:val="TableContents"/>
              <w:bidi w:val="0"/>
              <w:spacing w:before="0" w:after="283"/>
              <w:jc w:val="right"/>
              <w:rPr/>
            </w:pPr>
            <w:r>
              <w:rPr/>
              <w:t>63,275,217</w:t>
            </w:r>
          </w:p>
        </w:tc>
      </w:tr>
      <w:tr>
        <w:trPr/>
        <w:tc>
          <w:tcPr>
            <w:tcW w:w="2510" w:type="dxa"/>
            <w:tcBorders/>
            <w:shd w:fill="CCEEFF" w:val="clear"/>
            <w:vAlign w:val="center"/>
          </w:tcPr>
          <w:p>
            <w:pPr>
              <w:pStyle w:val="TableContents"/>
              <w:bidi w:val="0"/>
              <w:spacing w:before="0" w:after="283"/>
              <w:jc w:val="both"/>
              <w:rPr/>
            </w:pPr>
            <w:r>
              <w:rPr/>
              <w:t>ABSTAIN</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814,301</w:t>
            </w:r>
          </w:p>
        </w:tc>
      </w:tr>
      <w:tr>
        <w:trPr/>
        <w:tc>
          <w:tcPr>
            <w:tcW w:w="2510" w:type="dxa"/>
            <w:tcBorders/>
            <w:vAlign w:val="center"/>
          </w:tcPr>
          <w:p>
            <w:pPr>
              <w:pStyle w:val="TableContents"/>
              <w:bidi w:val="0"/>
              <w:spacing w:before="0" w:after="283"/>
              <w:jc w:val="both"/>
              <w:rPr/>
            </w:pPr>
            <w:r>
              <w:rPr/>
              <w:t>BROKER NON-VOTES</w:t>
            </w:r>
          </w:p>
        </w:tc>
        <w:tc>
          <w:tcPr>
            <w:tcW w:w="1235" w:type="dxa"/>
            <w:tcBorders>
              <w:bottom w:val="single" w:sz="8" w:space="0" w:color="000000"/>
            </w:tcBorders>
            <w:tcMar>
              <w:bottom w:w="28" w:type="dxa"/>
            </w:tcMar>
            <w:vAlign w:val="center"/>
          </w:tcPr>
          <w:p>
            <w:pPr>
              <w:pStyle w:val="TableContents"/>
              <w:bidi w:val="0"/>
              <w:spacing w:before="0" w:after="283"/>
              <w:jc w:val="right"/>
              <w:rPr/>
            </w:pPr>
            <w:r>
              <w:rPr/>
              <w:t>34,037,643</w:t>
            </w:r>
          </w:p>
        </w:tc>
      </w:tr>
    </w:tbl>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was no other business voted upon at the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(d) Exhibits.</w:t>
      </w:r>
    </w:p>
    <w:p>
      <w:pPr>
        <w:pStyle w:val="TextBody"/>
        <w:bidi w:val="0"/>
        <w:spacing w:before="0" w:after="0"/>
        <w:ind w:left="0" w:right="0" w:hanging="0"/>
        <w:jc w:val="both"/>
        <w:rPr/>
      </w:pPr>
      <w:r>
        <w:rPr/>
        <w:t> </w:t>
      </w:r>
    </w:p>
    <w:tbl>
      <w:tblPr>
        <w:tblW w:w="2433" w:type="dxa"/>
        <w:jc w:val="left"/>
        <w:tblInd w:w="0" w:type="dxa"/>
        <w:tblLayout w:type="fixed"/>
        <w:tblCellMar>
          <w:top w:w="0" w:type="dxa"/>
          <w:left w:w="0" w:type="dxa"/>
          <w:bottom w:w="0" w:type="dxa"/>
          <w:right w:w="0" w:type="dxa"/>
        </w:tblCellMar>
      </w:tblPr>
      <w:tblGrid>
        <w:gridCol w:w="38"/>
        <w:gridCol w:w="119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b/>
                <w:u w:val="single"/>
              </w:rPr>
            </w:pPr>
            <w:r>
              <w:rPr>
                <w:b/>
                <w:u w:val="single"/>
              </w:rPr>
              <w:t>Exhibit No.</w:t>
            </w:r>
          </w:p>
        </w:tc>
        <w:tc>
          <w:tcPr>
            <w:tcW w:w="1205" w:type="dxa"/>
            <w:tcBorders/>
            <w:vAlign w:val="center"/>
          </w:tcPr>
          <w:p>
            <w:pPr>
              <w:pStyle w:val="TableContents"/>
              <w:bidi w:val="0"/>
              <w:spacing w:before="0" w:after="283"/>
              <w:jc w:val="both"/>
              <w:rPr>
                <w:b/>
                <w:u w:val="single"/>
              </w:rPr>
            </w:pPr>
            <w:r>
              <w:rPr>
                <w:b/>
                <w:u w:val="single"/>
              </w:rPr>
              <w:t>Description</w:t>
            </w:r>
          </w:p>
        </w:tc>
      </w:tr>
    </w:tbl>
    <w:p>
      <w:pPr>
        <w:pStyle w:val="TextBody"/>
        <w:bidi w:val="0"/>
        <w:spacing w:before="0" w:after="0"/>
        <w:ind w:left="0" w:right="0" w:hanging="0"/>
        <w:jc w:val="both"/>
        <w:rPr/>
      </w:pPr>
      <w:r>
        <w:rPr/>
        <w:t> </w:t>
      </w:r>
    </w:p>
    <w:tbl>
      <w:tblPr>
        <w:tblW w:w="9978" w:type="dxa"/>
        <w:jc w:val="left"/>
        <w:tblInd w:w="0" w:type="dxa"/>
        <w:tblLayout w:type="fixed"/>
        <w:tblCellMar>
          <w:top w:w="0" w:type="dxa"/>
          <w:left w:w="0" w:type="dxa"/>
          <w:bottom w:w="0" w:type="dxa"/>
          <w:right w:w="0" w:type="dxa"/>
        </w:tblCellMar>
      </w:tblPr>
      <w:tblGrid>
        <w:gridCol w:w="38"/>
        <w:gridCol w:w="44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exh_101.htm">
              <w:r>
                <w:rPr>
                  <w:rStyle w:val="InternetLink"/>
                </w:rPr>
                <w:t>10.1</w:t>
              </w:r>
            </w:hyperlink>
          </w:p>
        </w:tc>
        <w:tc>
          <w:tcPr>
            <w:tcW w:w="9500" w:type="dxa"/>
            <w:tcBorders/>
            <w:vAlign w:val="center"/>
          </w:tcPr>
          <w:p>
            <w:pPr>
              <w:pStyle w:val="TableContents"/>
              <w:bidi w:val="0"/>
              <w:spacing w:before="0" w:after="283"/>
              <w:jc w:val="both"/>
              <w:rPr/>
            </w:pPr>
            <w:hyperlink w:anchor="exh_101.htm">
              <w:r>
                <w:rPr>
                  <w:rStyle w:val="InternetLink"/>
                </w:rPr>
                <w:t>BioCryst Pharmaceuticals, Inc. Stock Incentive Plan (as amended and restated as of April 20, 2026).</w:t>
              </w:r>
            </w:hyperlink>
          </w:p>
        </w:tc>
      </w:tr>
    </w:tbl>
    <w:p>
      <w:pPr>
        <w:pStyle w:val="TextBody"/>
        <w:bidi w:val="0"/>
        <w:spacing w:before="0" w:after="0"/>
        <w:ind w:left="1440" w:right="0" w:hanging="1440"/>
        <w:jc w:val="both"/>
        <w:rPr/>
      </w:pPr>
      <w:r>
        <w:rPr/>
        <w:t> </w:t>
      </w:r>
    </w:p>
    <w:tbl>
      <w:tblPr>
        <w:tblW w:w="8103" w:type="dxa"/>
        <w:jc w:val="left"/>
        <w:tblInd w:w="0" w:type="dxa"/>
        <w:tblLayout w:type="fixed"/>
        <w:tblCellMar>
          <w:top w:w="0" w:type="dxa"/>
          <w:left w:w="0" w:type="dxa"/>
          <w:bottom w:w="0" w:type="dxa"/>
          <w:right w:w="0" w:type="dxa"/>
        </w:tblCellMar>
      </w:tblPr>
      <w:tblGrid>
        <w:gridCol w:w="38"/>
        <w:gridCol w:w="38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259" w:type="dxa"/>
        <w:jc w:val="left"/>
        <w:tblInd w:w="0" w:type="dxa"/>
        <w:tblLayout w:type="fixed"/>
        <w:tblCellMar>
          <w:top w:w="0" w:type="dxa"/>
          <w:left w:w="0" w:type="dxa"/>
          <w:bottom w:w="0" w:type="dxa"/>
          <w:right w:w="0" w:type="dxa"/>
        </w:tblCellMar>
      </w:tblPr>
      <w:tblGrid>
        <w:gridCol w:w="2000"/>
        <w:gridCol w:w="60"/>
        <w:gridCol w:w="462"/>
        <w:gridCol w:w="2737"/>
      </w:tblGrid>
      <w:tr>
        <w:trPr/>
        <w:tc>
          <w:tcPr>
            <w:tcW w:w="2000" w:type="dxa"/>
            <w:tcBorders/>
            <w:vAlign w:val="center"/>
          </w:tcPr>
          <w:p>
            <w:pPr>
              <w:pStyle w:val="TableContents"/>
              <w:bidi w:val="0"/>
              <w:spacing w:before="0" w:after="283"/>
              <w:jc w:val="both"/>
              <w:rPr/>
            </w:pPr>
            <w:r>
              <w:rPr/>
              <w:t>Date:  June 12, 2026</w:t>
            </w:r>
          </w:p>
        </w:tc>
        <w:tc>
          <w:tcPr>
            <w:tcW w:w="60" w:type="dxa"/>
            <w:tcBorders/>
            <w:vAlign w:val="center"/>
          </w:tcPr>
          <w:p>
            <w:pPr>
              <w:pStyle w:val="TableContents"/>
              <w:bidi w:val="0"/>
              <w:spacing w:before="0" w:after="283"/>
              <w:jc w:val="both"/>
              <w:rPr/>
            </w:pPr>
            <w:r>
              <w:rPr/>
              <w:t> </w:t>
            </w:r>
          </w:p>
        </w:tc>
        <w:tc>
          <w:tcPr>
            <w:tcW w:w="3199" w:type="dxa"/>
            <w:gridSpan w:val="2"/>
            <w:tcBorders/>
            <w:vAlign w:val="center"/>
          </w:tcPr>
          <w:p>
            <w:pPr>
              <w:pStyle w:val="TableContents"/>
              <w:bidi w:val="0"/>
              <w:spacing w:before="0" w:after="283"/>
              <w:jc w:val="both"/>
              <w:rPr>
                <w:b/>
              </w:rPr>
            </w:pPr>
            <w:r>
              <w:rPr>
                <w:b/>
              </w:rPr>
              <w:t>BioCryst Pharmaceuticals, Inc.</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By:</w:t>
            </w:r>
          </w:p>
        </w:tc>
        <w:tc>
          <w:tcPr>
            <w:tcW w:w="2737" w:type="dxa"/>
            <w:tcBorders>
              <w:bottom w:val="single" w:sz="8" w:space="0" w:color="000000"/>
            </w:tcBorders>
            <w:tcMar>
              <w:bottom w:w="28" w:type="dxa"/>
            </w:tcMar>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 </w:t>
            </w:r>
          </w:p>
          <w:p>
            <w:pPr>
              <w:pStyle w:val="TableContents"/>
              <w:bidi w:val="0"/>
              <w:spacing w:before="0" w:after="0"/>
              <w:ind w:left="0" w:right="0" w:hanging="0"/>
              <w:jc w:val="both"/>
              <w:rPr>
                <w:sz w:val="20"/>
              </w:rPr>
            </w:pPr>
            <w:r>
              <w:rPr>
                <w:sz w:val="20"/>
              </w:rPr>
              <w:t>/s/ Alane Barnes</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283"/>
              <w:jc w:val="both"/>
              <w:rPr/>
            </w:pPr>
            <w:r>
              <w:rPr/>
              <w:t> </w:t>
            </w:r>
          </w:p>
        </w:tc>
        <w:tc>
          <w:tcPr>
            <w:tcW w:w="2737" w:type="dxa"/>
            <w:tcBorders/>
            <w:vAlign w:val="center"/>
          </w:tcPr>
          <w:p>
            <w:pPr>
              <w:pStyle w:val="TableContents"/>
              <w:bidi w:val="0"/>
              <w:spacing w:before="0" w:after="283"/>
              <w:jc w:val="both"/>
              <w:rPr/>
            </w:pPr>
            <w:r>
              <w:rPr/>
              <w:t>Alane Barnes</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 w:type="dxa"/>
            <w:tcBorders/>
            <w:vAlign w:val="center"/>
          </w:tcPr>
          <w:p>
            <w:pPr>
              <w:pStyle w:val="TableContents"/>
              <w:bidi w:val="0"/>
              <w:spacing w:before="0" w:after="283"/>
              <w:jc w:val="both"/>
              <w:rPr/>
            </w:pPr>
            <w:r>
              <w:rPr/>
              <w:t> </w:t>
            </w:r>
          </w:p>
        </w:tc>
        <w:tc>
          <w:tcPr>
            <w:tcW w:w="2737" w:type="dxa"/>
            <w:tcBorders/>
            <w:vAlign w:val="center"/>
          </w:tcPr>
          <w:p>
            <w:pPr>
              <w:pStyle w:val="TableContents"/>
              <w:bidi w:val="0"/>
              <w:spacing w:before="0" w:after="283"/>
              <w:jc w:val="both"/>
              <w:rPr/>
            </w:pPr>
            <w:r>
              <w:rPr/>
              <w:t>Chief Legal Officer</w:t>
            </w:r>
          </w:p>
        </w:tc>
      </w:tr>
    </w:tbl>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jc w:val="right"/>
        <w:rPr>
          <w:b/>
        </w:rPr>
      </w:pPr>
      <w:bookmarkStart w:id="23" w:name="exh_101.htm"/>
      <w:bookmarkStart w:id="24" w:name="ksexh_101"/>
      <w:bookmarkEnd w:id="23"/>
      <w:bookmarkEnd w:id="24"/>
      <w:r>
        <w:rPr>
          <w:b/>
        </w:rPr>
        <w:t>Exhibit 10.1</w:t>
      </w:r>
      <w:r>
        <w:br w:type="page"/>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BIOCRYST PHARMACEUTICALS, INC.</w:t>
        <w:br/>
        <w:t>STOCK INCENTIVE PLAN</w:t>
        <w:br/>
        <w:t>(AS AMENDED AND RESTATED AS OF APRIL 20, 2026)</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ARTICLE One</w:t>
      </w:r>
      <w:r>
        <w:rPr>
          <w:b/>
          <w:caps/>
          <w:sz w:val="20"/>
          <w:u w:val="single"/>
        </w:rPr>
        <w:br/>
        <w:t>GENERAL PROVISIONS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126"/>
        <w:gridCol w:w="516"/>
        <w:gridCol w:w="9563"/>
      </w:tblGrid>
      <w:tr>
        <w:trPr/>
        <w:tc>
          <w:tcPr>
            <w:tcW w:w="1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I.</w:t>
            </w:r>
          </w:p>
        </w:tc>
        <w:tc>
          <w:tcPr>
            <w:tcW w:w="9563" w:type="dxa"/>
            <w:tcBorders/>
            <w:vAlign w:val="center"/>
          </w:tcPr>
          <w:p>
            <w:pPr>
              <w:pStyle w:val="TableContents"/>
              <w:bidi w:val="0"/>
              <w:spacing w:before="0" w:after="283"/>
              <w:jc w:val="both"/>
              <w:rPr/>
            </w:pPr>
            <w:r>
              <w:rPr/>
              <w:t>PURPOSES OF THE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This Stock Incentive Plan (the “Plan”), formerly the “BioCryst Pharmaceuticals, Inc. 1991 Stock Option Plan,” is intended to promote the interests of BioCryst Pharmaceuticals, Inc., a Delaware corporation (the “Company”), by providing a method whereby (i) employees (including officers and directors) of the Company (or its parent or subsidiary corporations), (ii) non-employee members of the board of directors of the Company (the “Board”) (or of any parent or subsidiary corporations) and (iii) consultants and other independent contractors who provide valuable services to the Company (or any parent or subsidiary corporations) may be offered the opportunity to acquire a proprietary interest, or otherwise increase their proprietary interest, in the Company as an incentive for them to remain in the service of the Company (or any parent or subsidiary corporations).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For purposes of the Plan, the following provisions shall be applicable in determining the parent and subsidiary corporations of the Company:</w:t>
      </w:r>
    </w:p>
    <w:p>
      <w:pPr>
        <w:pStyle w:val="TextBody"/>
        <w:bidi w:val="0"/>
        <w:spacing w:before="0" w:after="0"/>
        <w:ind w:left="0" w:right="0" w:firstLine="1440"/>
        <w:jc w:val="both"/>
        <w:rPr/>
      </w:pPr>
      <w:r>
        <w:rPr/>
        <w:t> </w:t>
      </w:r>
    </w:p>
    <w:p>
      <w:pPr>
        <w:pStyle w:val="TextBody"/>
        <w:bidi w:val="0"/>
        <w:spacing w:before="0" w:after="0"/>
        <w:ind w:left="0" w:right="0" w:firstLine="2880"/>
        <w:jc w:val="both"/>
        <w:rPr>
          <w:sz w:val="20"/>
        </w:rPr>
      </w:pPr>
      <w:r>
        <w:rPr>
          <w:sz w:val="20"/>
        </w:rPr>
        <w:t xml:space="preserve">(i)                 Any corporation (other than the Company) in an unbroken chain of corporations ending with the Company shall be considered to be a </w:t>
      </w:r>
      <w:r>
        <w:rPr>
          <w:b/>
          <w:sz w:val="20"/>
        </w:rPr>
        <w:t xml:space="preserve">parent </w:t>
      </w:r>
      <w:r>
        <w:rPr>
          <w:sz w:val="20"/>
        </w:rPr>
        <w:t>corporation of the Company, provided each such corporation in the unbroken chain (other than the Company) owns, at the time of the determination, stock possessing fifty percent (50%) or more of the total combined voting power of all classes of stock in one of the other corporations in such chain.</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(ii)              Each corporation (other than the Company) in an unbroken chain of corporations beginning with the Company shall be considered to be a </w:t>
      </w:r>
      <w:r>
        <w:rPr>
          <w:b/>
          <w:sz w:val="20"/>
        </w:rPr>
        <w:t>subsidiary</w:t>
      </w:r>
      <w:r>
        <w:rPr>
          <w:sz w:val="20"/>
        </w:rPr>
        <w:t xml:space="preserve"> of the Company, provided each such corporation (other than the last corporation) in the unbroken chain owns, at the time of the determination, stock possessing fifty percent (50%) or more of the total combined voting power of all classes of stock in one of the other corporations in such chain.</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C.                 The Plan, as amended and restated, was approved and adopted by the Board, effective on April 20, 2026, in order to increase by 7,000,000 the number of shares of the Company’s common stock, par value $0.01 per share (the “Common Stock”), available for issuance under the Plan, subject to approval by the Company’s stockholders at the Company’s Annual Meeting of Stockholders on June 11, 2026, and to make certain other changes.</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15"/>
        <w:gridCol w:w="698"/>
        <w:gridCol w:w="9392"/>
      </w:tblGrid>
      <w:tr>
        <w:trPr/>
        <w:tc>
          <w:tcPr>
            <w:tcW w:w="11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pPr>
            <w:r>
              <w:rPr/>
              <w:t>II.</w:t>
            </w:r>
          </w:p>
        </w:tc>
        <w:tc>
          <w:tcPr>
            <w:tcW w:w="9392" w:type="dxa"/>
            <w:tcBorders/>
            <w:vAlign w:val="center"/>
          </w:tcPr>
          <w:p>
            <w:pPr>
              <w:pStyle w:val="TableContents"/>
              <w:bidi w:val="0"/>
              <w:spacing w:before="0" w:after="283"/>
              <w:jc w:val="both"/>
              <w:rPr/>
            </w:pPr>
            <w:r>
              <w:rPr/>
              <w:t>STRUCTURE OF THE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Plan shall be divided into three separate equity programs:</w:t>
      </w:r>
    </w:p>
    <w:p>
      <w:pPr>
        <w:pStyle w:val="TextBody"/>
        <w:bidi w:val="0"/>
        <w:spacing w:before="0" w:after="0"/>
        <w:ind w:left="0" w:right="0" w:firstLine="1440"/>
        <w:jc w:val="both"/>
        <w:rPr/>
      </w:pPr>
      <w:r>
        <w:rPr/>
        <w:t> </w:t>
      </w:r>
    </w:p>
    <w:p>
      <w:pPr>
        <w:pStyle w:val="TextBody"/>
        <w:bidi w:val="0"/>
        <w:spacing w:before="0" w:after="0"/>
        <w:ind w:left="0" w:right="0" w:firstLine="2880"/>
        <w:jc w:val="both"/>
        <w:rPr>
          <w:sz w:val="20"/>
        </w:rPr>
      </w:pPr>
      <w:r>
        <w:rPr>
          <w:sz w:val="20"/>
        </w:rPr>
        <w:t>(i)                 the Discretionary Option Grant Program specified in Article Two, pursuant to which eligible persons may, at the discretion of the Plan Administrator, be granted options to purchase shares of Common Stock,</w:t>
      </w:r>
    </w:p>
    <w:p>
      <w:pPr>
        <w:pStyle w:val="TextBody"/>
        <w:bidi w:val="0"/>
        <w:spacing w:before="0" w:after="0"/>
        <w:ind w:left="0" w:right="0" w:firstLine="288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(ii)              the Stock Issuance Program specified in Article Three, pursuant to which eligible persons may, at the discretion of the Plan Administrator, be issued shares of Common Stock directly or through the issuance of restricted stock units (“RSUs”) that provide for the issuance of shares of Common Stock if the applicable vesting criteria are satisfied, and</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the Director Grant Program specified in Article Four, pursuant to which non-employee members of the Board may receive grants of awards.</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B.                 Unless the context clearly indicates otherwise, the provisions of Articles One and Five of the Plan shall apply to all equity programs under the Plan and shall accordingly govern the interests of all individuals under the Plan.</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94"/>
        <w:gridCol w:w="756"/>
        <w:gridCol w:w="9355"/>
      </w:tblGrid>
      <w:tr>
        <w:trPr/>
        <w:tc>
          <w:tcPr>
            <w:tcW w:w="9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pPr>
            <w:r>
              <w:rPr/>
              <w:t>III.</w:t>
            </w:r>
          </w:p>
        </w:tc>
        <w:tc>
          <w:tcPr>
            <w:tcW w:w="9355" w:type="dxa"/>
            <w:tcBorders/>
            <w:vAlign w:val="center"/>
          </w:tcPr>
          <w:p>
            <w:pPr>
              <w:pStyle w:val="TableContents"/>
              <w:bidi w:val="0"/>
              <w:spacing w:before="0" w:after="283"/>
              <w:jc w:val="both"/>
              <w:rPr/>
            </w:pPr>
            <w:r>
              <w:rPr/>
              <w:t>ADMINISTRATION OF THE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Plan shall be administered by the Committee who shall be the Compensation Committee of the Board or, in the absence of a Compensation Committee, a properly constituted committee or the Board itself (the administrator is referred to herein as the “Committee” or the “Plan Administrator”). Any power of the Committee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(the “1934 Act”). To the extent that any permitted action taken by the Board conflicts with action taken by the Committee, the Board action shall control. The Committee may by resolution authorize one or more officers of the Company to perform any or all things that the Committee is authorized and empowered to do or perform under the Plan, and for all purposes under this Plan, such officer or officers shall be treated as the Committee;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Compensation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or affiliate, and/or to one or more agents.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Subject to the express provisions of this Plan, the Committee shall be authorized and empowered to do all 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grantees, to which of such grantees, if any, awards shall be granted hereunder and the timing of any such awards; (iii) to grant awards to grantees and determine the terms and conditions thereof, including the number of shares of Common Stock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in Control to the extent permitted hereunder),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grantees under this Plan; (vi) to determine the extent to which adjustments are required pursuant to Article One; (vii) to interpret and construe this Plan, any rules and regulations under this Plan and the terms and conditions of any award granted hereunder, and to make exceptions to any such provisions for the benefit of the Company; (viii) to approve corrections in the documentation or administration of any award; and (ix) to make all other determinations deemed necessary or advisable for the administration of this Plan.</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C.                 All decisions, determinations and interpretations by the Committee regarding the Plan, any rules and regulations under the Plan and the terms and conditions of or operation of any award granted hereunder, shall be final and binding on all grantees,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D.                The Committee may delegate all or a portion of their duties hereunder to one or more individuals or committees. Any reference to the Committee or the Plan Administrator shall refer to such individual(s) or committee(s) to the extent of such delegation.</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211"/>
        <w:gridCol w:w="1865"/>
        <w:gridCol w:w="8129"/>
      </w:tblGrid>
      <w:tr>
        <w:trPr/>
        <w:tc>
          <w:tcPr>
            <w:tcW w:w="21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pPr>
            <w:r>
              <w:rPr/>
              <w:t>IV.</w:t>
            </w:r>
          </w:p>
        </w:tc>
        <w:tc>
          <w:tcPr>
            <w:tcW w:w="8129" w:type="dxa"/>
            <w:tcBorders/>
            <w:vAlign w:val="center"/>
          </w:tcPr>
          <w:p>
            <w:pPr>
              <w:pStyle w:val="TableContents"/>
              <w:bidi w:val="0"/>
              <w:spacing w:before="0" w:after="283"/>
              <w:jc w:val="both"/>
              <w:rPr/>
            </w:pPr>
            <w:r>
              <w:rPr/>
              <w:t>ELIGIBILITY</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persons eligible to participate in the Discretionary Option Grant and Stock Issuance Programs shall be limited to the following:</w:t>
      </w:r>
    </w:p>
    <w:p>
      <w:pPr>
        <w:pStyle w:val="TextBody"/>
        <w:bidi w:val="0"/>
        <w:spacing w:before="0" w:after="0"/>
        <w:ind w:left="0" w:right="0" w:firstLine="1440"/>
        <w:jc w:val="both"/>
        <w:rPr/>
      </w:pPr>
      <w:r>
        <w:rPr/>
        <w:t> </w:t>
      </w:r>
    </w:p>
    <w:p>
      <w:pPr>
        <w:pStyle w:val="TextBody"/>
        <w:bidi w:val="0"/>
        <w:spacing w:before="0" w:after="0"/>
        <w:ind w:left="0" w:right="0" w:firstLine="2880"/>
        <w:jc w:val="both"/>
        <w:rPr>
          <w:sz w:val="20"/>
        </w:rPr>
      </w:pPr>
      <w:r>
        <w:rPr>
          <w:sz w:val="20"/>
        </w:rPr>
        <w:t>(i)                 officers and other employees of the Company (or its parent or subsidiary corporations);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individuals who are consultants or independent advisors and who provide valuable services to the Company (or its parent or subsidiary corporations); and</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non-employee members of the Board (or of the board of directors of parent or subsidiary corporations), subject to the limits set forth in Section II.A. of Article Four.</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B.                 Only Board members who are not employees of the Company (or any parent or subsidiary) shall be eligible to receive grants pursuant to the Director Grant Program specified in Article Four.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The Plan Administrator shall, within the scope of its administrative jurisdiction under the Plan, have full power and authority to determine (i) whether to grant options in accordance with the Discretionary Option Grant Program or to effect stock issuances in accordance with the Stock Issuance Program, (ii) which eligible persons are to receive option grants under the Discretionary Option Grant Program, the time or times when such option grants are to be made, the number of shares to be covered by each such grant, the status of the granted option as either an incentive stock option (“Incentive Option”) which satisfies the requirements of Section 422 of the Internal Revenue Code of 1986, as amended (the “Code”) or a non-statutory option not intended to meet such requirements, the time or times when each such option is to become exercisable, the vesting schedule (if any) applicable to the option shares and the maximum term for which such option is to remain outstanding, and (iii) which eligible persons are to receive stock issuances under the Stock Issuance Program, the time or times when such issuances are to be made, the number of shares to be issued to each grantee, the vesting schedule (if any) applicable to the shares and the consideration for such shares.</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9"/>
        <w:gridCol w:w="686"/>
        <w:gridCol w:w="9420"/>
      </w:tblGrid>
      <w:tr>
        <w:trPr/>
        <w:tc>
          <w:tcPr>
            <w:tcW w:w="9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pPr>
            <w:r>
              <w:rPr/>
              <w:t>V.</w:t>
            </w:r>
          </w:p>
        </w:tc>
        <w:tc>
          <w:tcPr>
            <w:tcW w:w="9420" w:type="dxa"/>
            <w:tcBorders/>
            <w:vAlign w:val="center"/>
          </w:tcPr>
          <w:p>
            <w:pPr>
              <w:pStyle w:val="TableContents"/>
              <w:bidi w:val="0"/>
              <w:spacing w:before="0" w:after="283"/>
              <w:jc w:val="both"/>
              <w:rPr/>
            </w:pPr>
            <w:r>
              <w:rPr/>
              <w:t>STOCK SUBJECT TO THE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Shares of the Company’s Common Stock shall be available for issuance under the Plan and shall be drawn from either the Company’s authorized but unissued shares of Common Stock or from reacquired shares of Common Stock, including shares repurchased by the Company on the open market. The maximum number of shares of Common Stock which may be issued over the term of the Plan, as amended and restated, shall not exceed 88,090,000 shares, subject to adjustment from time to time in accordance with the provisions of this Section V. The total number of shares available under the Plan, as amended and restated, as of April 20, 2026 is 61,000,333. This amount consists of 46,287,133 shares reserved for awards already issued, 7,713,200 shares of Common Stock available for future issuance under the Plan, and the increase of 7,000,000 shares of Common Stock authorized by the Board (subject to approval by the Company’s stockholders at the Annual Meeting of Stockholders on June 11, 2026).</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In no event shall the number of shares of Common Stock for which any one individual participating in the Plan may receive options, separately exercisable stock appreciation rights and direct stock issuances and RSUs exceed 1,500,000 shares of Common Stock in the aggregate in any calendar year. For purposes of such limitation, however, no stock options granted prior to the date the Common Stock was first registered under Section 12 of the 1934 Act (the “Section 12(g) Registration Date”) shall be taken into account.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Should an outstanding option under this Plan expire or terminate for any reason prior to exercise in full, the shares subject to the portion of the option not so exercised shall be available for subsequent option grants or direct stock issuances or RSUs under the Plan. Unvested shares issued under the Plan and subsequently repurchased by the Company, at the original issue price paid per share, pursuant to the Company’s repurchase rights under the Plan, or shares underlying terminated RSUs, shall be added back to the number of shares of Common Stock reserved for issuance under the Plan and shall accordingly be available for reissuance through one or more subsequent option grants or direct stock issuances or RSUs under the Plan. However, shares subject to an award under the Plan may not again be made available for issuance under the Plan if such shares are: (i) shares that were subject to a stock-settled stock appreciation right and were not issued upon the net settlement or net exercise of such stock appreciation right, (ii) shares used to pay the exercise price of an option, (iii) shares delivered to or withheld by the Company to pay the withholding taxes related to an award, or (iv) shares repurchased on the open market with the proceeds of an option exercise. Shares of Common Stock subject to any option surrendered for an appreciation distribution under Section IV of Article Two or Section II.B.1.(iv) of Article Four shall not be available for subsequent issuance under the Plan.</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D.                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made to (i) the maximum number and/or class of securities issuable under the Plan, (ii) the maximum number and/or class of securities for which any one individual participating in the Plan may be granted stock options, separately exercisable stock appreciation rights, and direct stock issuances and RSUs under the Plan from and after the Section 12(g) Registration Date, (iii) the number and/or class of securities and price per share in effect under each outstanding option and stock appreciation right under the Plan, (iv) the number and/or class of securities in effect under each outstanding direct stock issuance and RSU under the Plan, and (v) the number and/or class of securities for which grants are subsequently to be made per non-employee Board member under the Director Grant Program. The purpose of such adjustments shall be to preclude the enlargement or dilution of rights and benefits under the Plan.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                 The fair market value per share of Common Stock on any relevant date under the Plan shall be determined in accordance with the following provisions:</w:t>
      </w:r>
    </w:p>
    <w:p>
      <w:pPr>
        <w:pStyle w:val="TextBody"/>
        <w:bidi w:val="0"/>
        <w:spacing w:before="0" w:after="0"/>
        <w:ind w:left="0" w:right="0" w:firstLine="1440"/>
        <w:jc w:val="both"/>
        <w:rPr/>
      </w:pPr>
      <w:r>
        <w:rPr/>
        <w:t> </w:t>
      </w:r>
    </w:p>
    <w:p>
      <w:pPr>
        <w:pStyle w:val="TextBody"/>
        <w:bidi w:val="0"/>
        <w:spacing w:before="0" w:after="0"/>
        <w:ind w:left="0" w:right="0" w:firstLine="2880"/>
        <w:jc w:val="both"/>
        <w:rPr>
          <w:sz w:val="20"/>
        </w:rPr>
      </w:pPr>
      <w:r>
        <w:rPr>
          <w:sz w:val="20"/>
        </w:rPr>
        <w:t>(i)                 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on the Nasdaq National Market, the Nasdaq Global Select Market or any successor system. If there are no reported bid and asked prices (or closing selling price) for the Common Stock on the date in question, then the mean between the highest bid price and lowest asked price (or the closing selling price) on the last preceding date for which such quotations exist shall be determinative of fair market value.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the exchange on the date in question, then the fair market value shall be the closing selling price on the exchange on the last preceding date for which such quotation exists.</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If the Common Stock is at the time neither listed nor admitted to trading on any securities exchange nor traded in the over-the-counter market, then the fair market value shall be determined by the Plan Administrator after taking into account such factors as the Plan Administrator shall deem appropriate.</w:t>
      </w:r>
    </w:p>
    <w:p>
      <w:pPr>
        <w:pStyle w:val="TextBody"/>
        <w:bidi w:val="0"/>
        <w:spacing w:before="0" w:after="0"/>
        <w:ind w:left="0" w:right="0" w:firstLine="2880"/>
        <w:jc w:val="both"/>
        <w:rPr/>
      </w:pPr>
      <w:r>
        <w:rPr/>
        <w:t> </w:t>
      </w:r>
    </w:p>
    <w:tbl>
      <w:tblPr>
        <w:tblW w:w="5000" w:type="pct"/>
        <w:jc w:val="left"/>
        <w:tblInd w:w="0" w:type="dxa"/>
        <w:tblLayout w:type="fixed"/>
        <w:tblCellMar>
          <w:top w:w="0" w:type="dxa"/>
          <w:left w:w="0" w:type="dxa"/>
          <w:bottom w:w="0" w:type="dxa"/>
          <w:right w:w="0" w:type="dxa"/>
        </w:tblCellMar>
      </w:tblPr>
      <w:tblGrid>
        <w:gridCol w:w="145"/>
        <w:gridCol w:w="1286"/>
        <w:gridCol w:w="8774"/>
      </w:tblGrid>
      <w:tr>
        <w:trPr/>
        <w:tc>
          <w:tcPr>
            <w:tcW w:w="14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pPr>
            <w:r>
              <w:rPr/>
              <w:t>VI.</w:t>
            </w:r>
          </w:p>
        </w:tc>
        <w:tc>
          <w:tcPr>
            <w:tcW w:w="8774" w:type="dxa"/>
            <w:tcBorders/>
            <w:vAlign w:val="center"/>
          </w:tcPr>
          <w:p>
            <w:pPr>
              <w:pStyle w:val="TableContents"/>
              <w:bidi w:val="0"/>
              <w:spacing w:before="0" w:after="283"/>
              <w:jc w:val="both"/>
              <w:rPr/>
            </w:pPr>
            <w:r>
              <w:rPr/>
              <w:t>MINIMUM VESTING</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Notwithstanding any other provision of this Plan to the contrary, in no event shall any award granted pursuant to this Plan vest prior to the twelve (12)-month anniversary of the date of grant, other than in connection with the grantee’s death or permanent disability or, to the extent permitted hereunder, in connection with a Change in Control (provided that this limitation shall not apply with respect to up to five percent (5%) of the shares of Common Stock available for issuance under this Plan following approval of the Plan at the Company’s Annual Meeting of Stockholders on June 11, 2026). The minimum vesting period set forth in this Section VI may not be waived or superseded by any provision in an award or other agreement.</w:t>
      </w:r>
    </w:p>
    <w:p>
      <w:pPr>
        <w:pStyle w:val="TextBody"/>
        <w:bidi w:val="0"/>
        <w:spacing w:before="0" w:after="0"/>
        <w:ind w:left="0" w:right="0" w:firstLine="144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ARTICLE Two</w:t>
      </w:r>
      <w:r>
        <w:rPr>
          <w:b/>
          <w:caps/>
          <w:sz w:val="20"/>
          <w:u w:val="single"/>
        </w:rPr>
        <w:br/>
        <w:t>DISCRETIONARY OPTION GRANT PROGRAM</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82"/>
        <w:gridCol w:w="339"/>
        <w:gridCol w:w="9784"/>
      </w:tblGrid>
      <w:tr>
        <w:trPr/>
        <w:tc>
          <w:tcPr>
            <w:tcW w:w="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I.</w:t>
            </w:r>
          </w:p>
        </w:tc>
        <w:tc>
          <w:tcPr>
            <w:tcW w:w="9784" w:type="dxa"/>
            <w:tcBorders/>
            <w:vAlign w:val="center"/>
          </w:tcPr>
          <w:p>
            <w:pPr>
              <w:pStyle w:val="TableContents"/>
              <w:bidi w:val="0"/>
              <w:spacing w:before="0" w:after="283"/>
              <w:jc w:val="both"/>
              <w:rPr/>
            </w:pPr>
            <w:r>
              <w:rPr/>
              <w:t>TERMS AND CONDITIONS OF OPTIONS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Options granted pursuant to this Article Two shall be authorized by action of the Plan Administrator and may, at the Plan Administrator’s discretion, be either Incentive Options or non-statutory options. Individuals who are not Employees may only be granted non-statutory options under this Article Two. Each option granted shall be evidenced by one or more instruments in the form approved by the Plan Administrator. Each such instrument shall, however, comply with the terms and conditions specified below, and each instrument evidencing an Incentive Option shall, in addition, be subject to the applicable provisions of Section II of this Article Two.</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                </w:t>
      </w:r>
      <w:r>
        <w:rPr>
          <w:b/>
          <w:sz w:val="20"/>
          <w:u w:val="single"/>
        </w:rPr>
        <w:t>Option Price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The option price per share shall be fixed by the Plan Administrator. In no event, however, shall the option price per share be less than one hundred percent (100%) of the fair market value per share of Common Stock on the date of the option grant.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The option price shall become immediately due upon exercise of the option and shall, subject to the provisions of Section IV of this Article Two and the instrument evidencing the grant, be payable through one of the following methods (or a combination thereof):</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(i)                 full payment in cash or check drawn to the Company’s order;</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              full payment in shares of Common Stock held by the optionee for the requisite period necessary to avoid a charge to the Company’s earnings for financial reporting purposes and valued at fair market value on the Exercise Date (as such term is defined below);</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full payment through a “net settlement” procedure pursuant to which the Company shall withhold shares of Common Stock issuable in connection with the exercise of the option with a fair market value equal to the exercise price and, if elected by the optionee, all applicable Federal and State income and employment taxes required to be withheld by the Company in connection with such exercise;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(iv)             full payment through a broker-dealer sale and remittance procedure pursuant to which the optionee (I) shall provide irrevocable written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and State income and employment taxes required to be withheld by the Company in connection with such purchase and (II) shall provide written directives to the Company to deliver the certificates for the purchased shares directly to such brokerage firm in order to complete the sale transaction; or</w:t>
      </w:r>
    </w:p>
    <w:p>
      <w:pPr>
        <w:pStyle w:val="TextBody"/>
        <w:bidi w:val="0"/>
        <w:spacing w:before="0" w:after="0"/>
        <w:ind w:left="0" w:right="0" w:firstLine="288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(v)               such other method as permitted by the Plan Administrator, including any combination of the foregoing.</w:t>
      </w:r>
    </w:p>
    <w:p>
      <w:pPr>
        <w:pStyle w:val="TextBody"/>
        <w:bidi w:val="0"/>
        <w:spacing w:before="0" w:after="0"/>
        <w:ind w:left="0" w:right="0" w:firstLine="2880"/>
        <w:jc w:val="both"/>
        <w:rPr/>
      </w:pPr>
      <w:r>
        <w:rPr/>
        <w:t> </w:t>
      </w:r>
    </w:p>
    <w:p>
      <w:pPr>
        <w:pStyle w:val="TextBody"/>
        <w:bidi w:val="0"/>
        <w:spacing w:before="0" w:after="0"/>
        <w:ind w:left="0" w:right="0" w:firstLine="720"/>
        <w:jc w:val="both"/>
        <w:rPr>
          <w:sz w:val="20"/>
        </w:rPr>
      </w:pPr>
      <w:r>
        <w:rPr>
          <w:sz w:val="20"/>
        </w:rPr>
        <w:t>For purposes of this subparagraph 2, the Exercise Date shall be the date on which written notice of the option exercise is delivered to the Company. Except to the extent the sale and remittance procedure is utilized in connection with the exercise of the option, payment of the option price for the purchased shares must accompany such notice.</w:t>
      </w:r>
    </w:p>
    <w:p>
      <w:pPr>
        <w:pStyle w:val="TextBody"/>
        <w:bidi w:val="0"/>
        <w:spacing w:before="0" w:after="0"/>
        <w:ind w:left="0" w:right="0" w:firstLine="720"/>
        <w:jc w:val="both"/>
        <w:rPr/>
      </w:pPr>
      <w:r>
        <w:rPr/>
        <w:t> </w:t>
      </w:r>
    </w:p>
    <w:p>
      <w:pPr>
        <w:pStyle w:val="TextBody"/>
        <w:bidi w:val="0"/>
        <w:spacing w:before="0" w:after="0"/>
        <w:ind w:left="0" w:right="0" w:firstLine="1440"/>
        <w:jc w:val="both"/>
        <w:rPr>
          <w:sz w:val="20"/>
        </w:rPr>
      </w:pPr>
      <w:r>
        <w:rPr>
          <w:sz w:val="20"/>
        </w:rPr>
        <w:t xml:space="preserve">B.                 </w:t>
      </w:r>
      <w:r>
        <w:rPr>
          <w:b/>
          <w:sz w:val="20"/>
          <w:u w:val="single"/>
        </w:rPr>
        <w:t>Term and Exercise of Options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Each option granted under this Article Two shall be exercisable at such time or times, during such period, and for such number of shares as shall be determined by the Plan Administrator and set forth in the instrument evidencing the option grant. No such option, however, shall have a maximum term in excess of ten (10) years from the grant date. During the lifetime of the optionee, the option, together with any stock appreciation rights pertaining to such option, shall be exercisable only by the optionee and shall not be assignable or transferable by the optionee except for a transfer of the option by will or by the laws of descent and distribution following the optionee’s death and, for the avoidance of doubt, may not be transferred to a third party for cash or other value. However, the Plan Administrator shall have the discretion to provide that a non-statutory option may, in connection with the optionee’s estate plan, be assigned in whole or in part during the optionee’s lifetime either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C.                 </w:t>
      </w:r>
      <w:r>
        <w:rPr>
          <w:b/>
          <w:sz w:val="20"/>
          <w:u w:val="single"/>
        </w:rPr>
        <w:t>Termination of Service</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Except to the extent otherwise provided pursuant to Section V of this Article Two or pursuant to an applicable award agreement, the following provisions shall govern the exercise period applicable to any options held by the optionee at the time of cessation of Service or death.</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(i)                 Should the optionee cease to remain in Service for any reason other than death or permanent disability, then the period for which each outstanding vested option held by such optionee is to remain exercisable shall be limited to the three (3)-month period following the date of such cessation of Service. However, should optionee die during the three (3)-month period following his or her cessation of Service,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pStyle w:val="TextBody"/>
        <w:bidi w:val="0"/>
        <w:spacing w:before="0" w:after="0"/>
        <w:ind w:left="0" w:right="0" w:firstLine="288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(ii)              In the event such Service terminates by reason of permanent disability (as defined in Section 22(e)(3) of the Code), then the period for which each outstanding vested option held by the optionee is to remain exercisable shall be limited to the twelve (12)-month period following the date of such cessation of Service.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Should the optionee, after completing five (5) full years of Service, die while in Service, then the exercisability of each of his or her outstanding options shall automatically accelerate so that each such option shall become fully exercisable with respect to the total number of shares of Common Stock at the time subject to such option and may be exercised for all or any portion of such shares.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(iv)             In the event such Service terminates by reason of death prior to the optionee obtaining five (5) full years of Service, then the period for which each outstanding vested option held by the optionee at the time of death shall be exercisable by the optionee’s estate or the person or persons to whom the option is transferred pursuant to the optionee’s will or in accordance with the laws of descent and distribution shall be limited to the twelve (12)-month period following the date of the optionee’s death.</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               Under no circumstances, however, shall any such option be exercisable after the specified expiration date of the option term.</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             Each such option shall, during such limited exercise period, be exercisable for any or all of the shares for which the option is exercisable on the date of the optionee’s cessation of Service. Upon the expiration of such limited exercise period or (if earlier) upon the expiration of the option term, the option shall terminate and cease to be exercisable. However, each outstanding option shall immediately terminate and cease to remain outstanding, at the time of the optionee’s cessation of Service, with respect to any shares for which the option is not otherwise at that time exercisable or in which the optionee is not otherwise vested.</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(vii)          Should (i) the optionee’s Service be terminated for misconduct (including, but not limited to, any act of dishonesty, willful misconduct, fraud or embezzlement) or (ii) the optionee make any unauthorized use or disclosure of confidential information or trade secrets of the Company or its parent or subsidiary corporations, then in any such event all outstanding options held by the optionee under this Article Two shall terminate immediately and cease to be exercisable.</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2.                  The Plan Administrator shall have complete discretion, exercisable either at the time the option is granted or at any time while the option remains outstanding, to permit one or more options held by the optionee under this Article Two to be exercised, during the limited period of exercisability provided under subparagraph 1 above, not only with respect to the number of shares for which each such option is exercisable at the time of the optionee’s cessation of Service but also with respect to one or more subsequent installments of purchasable shares for which the option would otherwise have become exercisable had such cessation of Service not occurred.</w:t>
      </w:r>
    </w:p>
    <w:p>
      <w:pPr>
        <w:pStyle w:val="TextBody"/>
        <w:bidi w:val="0"/>
        <w:spacing w:before="0" w:after="0"/>
        <w:ind w:left="0" w:right="0" w:firstLine="216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3.                  For purposes of the foregoing provisions of this Section I.C (and for all other purposes under the Plan):</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 xml:space="preserve">(i)                 The optionee shall be deemed to remain in the </w:t>
      </w:r>
      <w:r>
        <w:rPr>
          <w:b/>
          <w:sz w:val="20"/>
        </w:rPr>
        <w:t>Service</w:t>
      </w:r>
      <w:r>
        <w:rPr>
          <w:sz w:val="20"/>
        </w:rPr>
        <w:t xml:space="preserve"> of the Company for so long as such individual renders services on a periodic basis to the Company (or any parent or subsidiary corporation) in the capacity of an Employee, a non-employee member of the board of directors or an independent consultant or advisor, unless the agreement evidencing the applicable option grant specifically states otherwise.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(ii)              The optionee shall be considered to be an </w:t>
      </w:r>
      <w:r>
        <w:rPr>
          <w:b/>
          <w:sz w:val="20"/>
        </w:rPr>
        <w:t xml:space="preserve">Employee </w:t>
      </w:r>
      <w:r>
        <w:rPr>
          <w:sz w:val="20"/>
        </w:rPr>
        <w:t>for so long as such individual remains in the employ of the Company or one or more of its parent or subsidiary corporations, subject to the control and direction of the employer entity not only as to the work to be performed but also as to the manner and method of performance.</w:t>
      </w:r>
    </w:p>
    <w:p>
      <w:pPr>
        <w:pStyle w:val="TextBody"/>
        <w:bidi w:val="0"/>
        <w:spacing w:before="0" w:after="0"/>
        <w:ind w:left="0" w:right="0" w:firstLine="2880"/>
        <w:jc w:val="both"/>
        <w:rPr/>
      </w:pPr>
      <w:r>
        <w:rPr/>
        <w:t> </w:t>
      </w:r>
    </w:p>
    <w:p>
      <w:pPr>
        <w:pStyle w:val="TextBody"/>
        <w:bidi w:val="0"/>
        <w:spacing w:before="0" w:after="0"/>
        <w:ind w:left="0" w:right="0" w:firstLine="1440"/>
        <w:jc w:val="both"/>
        <w:rPr>
          <w:sz w:val="20"/>
        </w:rPr>
      </w:pPr>
      <w:r>
        <w:rPr>
          <w:sz w:val="20"/>
        </w:rPr>
        <w:t xml:space="preserve">D.                </w:t>
      </w:r>
      <w:r>
        <w:rPr>
          <w:b/>
          <w:sz w:val="20"/>
          <w:u w:val="single"/>
        </w:rPr>
        <w:t>Stockholder Rights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An optionee shall have no stockholder rights with respect to any shares covered by the option until such individual shall have exercised the option and paid the option price for the purchased shares. Without limitation, an optionee shall not have any right to receive dividends with respect to an unexercised option.</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E.                 </w:t>
      </w:r>
      <w:r>
        <w:rPr>
          <w:b/>
          <w:sz w:val="20"/>
          <w:u w:val="single"/>
        </w:rPr>
        <w:t>No Repricing</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this Plan) without the approval of the stockholders of the Company.</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 xml:space="preserve">F.                  </w:t>
      </w:r>
      <w:r>
        <w:rPr>
          <w:b/>
          <w:sz w:val="20"/>
          <w:u w:val="single"/>
        </w:rPr>
        <w:t>Repurchase Rights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The shares of Common Stock acquired upon the exercise of options granted under this Article Two may be subject to repurchase by the Company in accordance with the following provisions: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1.                  The Plan Administrator shall have the discretion to grant options which are exercisable for unvested shares of Common Stock under this Article Two. Should the optionee cease Service while holding such unvested shares, the Company shall have the right to repurchase any or all those unvested shares at the option price paid per share. The terms and conditions upon which such repurchase right shall be exercisable (including the period and procedure for exercise and the appropriate vesting schedule for the purchased shares) shall be established by the Plan Administrator and set forth in the instrument evidencing such repurchase right.</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All of the Company’s outstanding repurchase rights shall automatically terminate, and all shares subject to such terminated rights shall immediately vest in full, upon the occurrence of any Corporate Transaction under Section III of this Article Two, except to the extent: (i) any such repurchase right is expressly assigned to the successor corporation (or parent thereof) in connection with the Corporate Transaction or (ii) such termination is precluded by other limitations imposed by the Plan Administrator at the time the repurchase right is issued.</w:t>
      </w:r>
    </w:p>
    <w:p>
      <w:pPr>
        <w:pStyle w:val="TextBody"/>
        <w:bidi w:val="0"/>
        <w:spacing w:before="0" w:after="0"/>
        <w:ind w:left="0" w:right="0" w:firstLine="216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3.                  The Plan Administrator shall have the discretionary authority, exercisable either before or after the optionee’s cessation of Service, to cancel the Company’s outstanding repurchase rights with respect to one or more shares purchased or purchasable by the optionee under this Discretionary Option Grant Program and thereby accelerate the vesting of such shares in whole or in part at any time.</w:t>
      </w:r>
    </w:p>
    <w:p>
      <w:pPr>
        <w:pStyle w:val="TextBody"/>
        <w:bidi w:val="0"/>
        <w:spacing w:before="0" w:after="0"/>
        <w:ind w:left="0" w:right="0" w:firstLine="2160"/>
        <w:jc w:val="both"/>
        <w:rPr/>
      </w:pPr>
      <w:r>
        <w:rPr/>
        <w:t> </w:t>
      </w:r>
    </w:p>
    <w:tbl>
      <w:tblPr>
        <w:tblW w:w="5000" w:type="pct"/>
        <w:jc w:val="left"/>
        <w:tblInd w:w="0" w:type="dxa"/>
        <w:tblLayout w:type="fixed"/>
        <w:tblCellMar>
          <w:top w:w="0" w:type="dxa"/>
          <w:left w:w="0" w:type="dxa"/>
          <w:bottom w:w="0" w:type="dxa"/>
          <w:right w:w="0" w:type="dxa"/>
        </w:tblCellMar>
      </w:tblPr>
      <w:tblGrid>
        <w:gridCol w:w="143"/>
        <w:gridCol w:w="868"/>
        <w:gridCol w:w="9194"/>
      </w:tblGrid>
      <w:tr>
        <w:trPr/>
        <w:tc>
          <w:tcPr>
            <w:tcW w:w="1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II.</w:t>
            </w:r>
          </w:p>
        </w:tc>
        <w:tc>
          <w:tcPr>
            <w:tcW w:w="9194" w:type="dxa"/>
            <w:tcBorders/>
            <w:vAlign w:val="center"/>
          </w:tcPr>
          <w:p>
            <w:pPr>
              <w:pStyle w:val="TableContents"/>
              <w:bidi w:val="0"/>
              <w:spacing w:before="0" w:after="283"/>
              <w:jc w:val="both"/>
              <w:rPr/>
            </w:pPr>
            <w:r>
              <w:rPr/>
              <w:t>INCENTIVE OPTIONS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The terms and conditions specified below shall be applicable to all Incentive Options granted under this Article Two. Incentive Options may only be granted to individuals who are Employees of the Company. Options which are specifically designated as “non-statutory” options when issued under the Plan shall not be subject to such terms and conditions.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                </w:t>
      </w:r>
      <w:r>
        <w:rPr>
          <w:b/>
          <w:sz w:val="20"/>
          <w:u w:val="single"/>
        </w:rPr>
        <w:t>Dollar Limitation</w:t>
      </w:r>
      <w:r>
        <w:rPr>
          <w:sz w:val="20"/>
        </w:rPr>
        <w:t>. The aggregate fair market value (determined as of the respective date or dates of grant) of the Common Stock for which one or more options granted to any Employee under this Plan (or any other option plan of the Company or its parent or subsidiary corporations) may for the first time become exercisable as incentive stock options under the Federal tax laws during any one calendar year shall not exceed the sum of One Hundred Thousand Dollars ($100,000). To the extent the Employee holds two or more such options which become exercisable for the first time in the same calendar year, the foregoing limitation on the exercisability of such options as incentive stock options under the Federal tax laws shall be applied on the basis of the order in which such options are granted. Should the number of shares of Common Stock for which any Incentive Option first becomes exercisable in any calendar year exceed the applicable One Hundred Thousand Dollar ($100,000) limitation, then that option may nevertheless be exercised in such calendar year for the excess number of shares as a non-statutory option under the Federal tax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b/>
          <w:sz w:val="20"/>
          <w:u w:val="single"/>
        </w:rPr>
        <w:t>10% Stockholder</w:t>
      </w:r>
      <w:r>
        <w:rPr>
          <w:sz w:val="20"/>
        </w:rPr>
        <w:t>. If any individual to whom an Incentive Option is granted is the owner of stock (as determined under Section 424(d) of the Code) possessing 10% or more of the total combined voting power of all classes of stock of the Company or any one of its parent or subsidiary corporations, then the option price per share shall not be less than one hundred and ten percent (110%) of the fair market value per share of Common Stock on the grant date, and the option term shall not exceed five (5) years, measured from the grant date.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b/>
          <w:sz w:val="20"/>
          <w:u w:val="single"/>
        </w:rPr>
        <w:t>Termination of Employment</w:t>
      </w:r>
      <w:r>
        <w:rPr>
          <w:sz w:val="20"/>
        </w:rPr>
        <w:t>. Any portion of an Incentive Option that remains outstanding (by reason of the optionee remaining in the Service of the Company, pursuant to the Plan Administrator’s exercise of discretion under Section V of this Article Two, or otherwise) more than 3 months following the date an optionee ceases to be an Employee of the Company shall thereafter be exercisable as a non-statutory option under federal tax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Except as modified by the preceding provisions of this Section II, the provisions of Articles One, Two and Five of the Plan shall apply to all Incentive Options granted hereunder.</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74"/>
        <w:gridCol w:w="9672"/>
      </w:tblGrid>
      <w:tr>
        <w:trPr/>
        <w:tc>
          <w:tcPr>
            <w:tcW w:w="5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III.</w:t>
            </w:r>
          </w:p>
        </w:tc>
        <w:tc>
          <w:tcPr>
            <w:tcW w:w="9672" w:type="dxa"/>
            <w:tcBorders/>
            <w:vAlign w:val="center"/>
          </w:tcPr>
          <w:p>
            <w:pPr>
              <w:pStyle w:val="TableContents"/>
              <w:bidi w:val="0"/>
              <w:spacing w:before="0" w:after="283"/>
              <w:jc w:val="both"/>
              <w:rPr/>
            </w:pPr>
            <w:r>
              <w:rPr/>
              <w:t>CORPORATE TRANSACTIONS/CHANGES IN CONTROL</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For purposes of this Section III (and for all other purposes under the Plan), a Corporate Transaction shall be deemed to occur in the event of:</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a merger or consolidation in which the Company is not the surviving entity, except for a transaction the principal purpose of which is to change the State of the Company’s incorporation,</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the sale, transfer or other disposition of all or substantially all of the assets of the Company in liquidation or dissolution of the Company, or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3.                  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merger.</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B.                 Immediately after the consummation of the Corporate Transaction, all outstanding options under this Article Two shall fully vest, terminate and cease to be outstanding, except to the extent continued or assumed (as applicable) by the Company or the successor corporation or its parent company.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Corporate Transaction, over (B) the aggregate exercise price of the option.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Each outstanding option under this Article Two which is assumed in connection with the Corporate Transaction or is otherwise to continue in effect shall be appropriately adjusted, immediately after such Corporate Transaction, to apply and pertain to the number and class of securities which would have been issued to the option holder, in consummation of such Corporate Transaction, had such person exercised the option immediately prior to such Corporate Transaction. Appropriate adjustments shall also be made to the option price payable per share, </w:t>
      </w:r>
      <w:r>
        <w:rPr>
          <w:sz w:val="20"/>
          <w:u w:val="single"/>
        </w:rPr>
        <w:t>provided</w:t>
      </w:r>
      <w:r>
        <w:rPr>
          <w:sz w:val="20"/>
        </w:rPr>
        <w:t xml:space="preserve"> the aggregate option price payable for such securities shall remain the same. In addition, the class and number of securities available for issuance under the Plan following the consummation of the Corporate Transaction shall be appropriately adjusted. Any such options that are so continued or assumed in connection with a Corporate Transaction shall be treated as follows: if the grantee’s employment is terminated by the Company without Cause or the grantee resigns due to a Constructive Termination, in either case within the ninety (90) day period preceding or the two (2) year period following the Corporate Transaction, the exercisability of such option shall automatically accelerate, and the Company’s outstanding repurchase rights under this Article Two shall immediately terminate; provided, however, that if the Company, the acquiror or successor refuses to continue (or, as applicable, assume) the option in connection with the Corporate Transaction, the exercisability of such option under this Article Two shall automatically accelerate, and the Company’s outstanding repurchase rights under this Article Two shall immediately terminate upon the occurrence of such Corporate Transaction.</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D.                The grant of options under this Article Two shall in no way affect the right of the Company to adjust, reclassify, reorganize or otherwise change its capital or business structure or to merge, consolidate, dissolve, liquidate or sell or transfer all or any part of its business or assets.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E.                 In the event of a Change in Control: if the grantee’s employment is terminated by the Company without Cause or the grantee resigns due to a Constructive Termination, in either case within the ninety (90) day period preceding or the two (2) year period following the Change in Control, the exercisability of the grantee’s options shall automatically accelerate, and the Company’s outstanding repurchase rights under this Article Two shall immediately terminate; provided, however, that if the acquiror or successor refuses to assume the option in connection with the Change in Control, the exercisability of such option under this Article Two shall automatically accelerate, and the Company’s outstanding repurchase rights under this Article Two shall immediately terminate upon the occurrence of such Change in Control. In the event that the acquiror or successor refuses to assume the option in connection with the Change in Control,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Change in Control, over (B) the aggregate exercise price of the option.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F.                  For purposes of this Section III (and for all other purposes under the Plan), a Change in Control shall be deemed to occur in the event: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power of the Company’s outstanding securities pursuant to a tender or exchange offer made directly to the Company’s stockholders; or</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there is a change in the composition of the Board over a period of twenty-four (24) consecutive months or less such that a majority of the Board members (rounded up to the next whole number)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pStyle w:val="TextBody"/>
        <w:bidi w:val="0"/>
        <w:spacing w:before="0" w:after="0"/>
        <w:ind w:left="0" w:right="0" w:firstLine="2160"/>
        <w:jc w:val="both"/>
        <w:rPr/>
      </w:pPr>
      <w:r>
        <w:rPr/>
        <w:t> </w:t>
      </w:r>
    </w:p>
    <w:p>
      <w:pPr>
        <w:pStyle w:val="TextBody"/>
        <w:bidi w:val="0"/>
        <w:spacing w:before="0" w:after="0"/>
        <w:ind w:left="0" w:right="0" w:firstLine="1440"/>
        <w:jc w:val="both"/>
        <w:rPr>
          <w:sz w:val="20"/>
        </w:rPr>
      </w:pPr>
      <w:r>
        <w:rPr>
          <w:sz w:val="20"/>
        </w:rPr>
        <w:t>G.                Unless terminated in accordance with Section III.B of this Article Two above, all options accelerated in connection with the Corporate Transaction or Change in Control (either at the time of the Corporate Transaction or Change in Control or as otherwise provided in this Section III) shall remain fully exercisable until the expiration or sooner termination of the option term.</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H.                The portion of any Incentive Option accelerated under this Section III in connection with a Corporate Transaction or Change in Control shall remain exercisable as an incentive stock option under the Federal tax laws only to the extent the dollar limitation of Section II of this Article Two is not exceeded. To the extent such dollar limitation is exceeded, the accelerated portion of such option shall be exercisable as a non-statutory option under the Federal tax laws.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I.                    For purposes of this Article Two and for purposes of Article Three:</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“Cause” means, unless otherwise provided in the applicable award agreement, the Company’s termination of the grantee’s employment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the grantee’s duties after having received written notice of such failure and at least thirty (30) days to cure such failure; or (vii) misconduct or gross negligence in connection with the performance of the grantee’s duties.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“Constructive Termination” means, unless otherwise provided in the applicable award agreement, the grantee’s resignation of employment with the Company within ninety (90) days of the occurrence of any of the following: (i) a material reduction in the grantee’s responsibilities; (ii) a material reduction in the grantee’s base salary; or (iii) a relocation of the grantee’s principal office to a location more than 50 miles from the location of the grantee’s existing principal office.</w:t>
      </w:r>
    </w:p>
    <w:p>
      <w:pPr>
        <w:pStyle w:val="TextBody"/>
        <w:bidi w:val="0"/>
        <w:spacing w:before="0" w:after="0"/>
        <w:ind w:left="0" w:right="0" w:firstLine="2160"/>
        <w:jc w:val="both"/>
        <w:rPr/>
      </w:pPr>
      <w:r>
        <w:rPr/>
        <w:t> </w:t>
      </w:r>
    </w:p>
    <w:tbl>
      <w:tblPr>
        <w:tblW w:w="5000" w:type="pct"/>
        <w:jc w:val="left"/>
        <w:tblInd w:w="0" w:type="dxa"/>
        <w:tblLayout w:type="fixed"/>
        <w:tblCellMar>
          <w:top w:w="0" w:type="dxa"/>
          <w:left w:w="0" w:type="dxa"/>
          <w:bottom w:w="0" w:type="dxa"/>
          <w:right w:w="0" w:type="dxa"/>
        </w:tblCellMar>
      </w:tblPr>
      <w:tblGrid>
        <w:gridCol w:w="97"/>
        <w:gridCol w:w="856"/>
        <w:gridCol w:w="9252"/>
      </w:tblGrid>
      <w:tr>
        <w:trPr/>
        <w:tc>
          <w:tcPr>
            <w:tcW w:w="9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pPr>
            <w:r>
              <w:rPr/>
              <w:t>IV.</w:t>
            </w:r>
          </w:p>
        </w:tc>
        <w:tc>
          <w:tcPr>
            <w:tcW w:w="9252" w:type="dxa"/>
            <w:tcBorders/>
            <w:vAlign w:val="center"/>
          </w:tcPr>
          <w:p>
            <w:pPr>
              <w:pStyle w:val="TableContents"/>
              <w:bidi w:val="0"/>
              <w:spacing w:before="0" w:after="283"/>
              <w:jc w:val="both"/>
              <w:rPr/>
            </w:pPr>
            <w:r>
              <w:rPr/>
              <w:t>STOCK APPRECIATION RIGHTS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Provided and only if the Plan Administrator determines in its discretion to implement the stock appreciation right provisions of this Section IV, one or more optionees may be granted the right, exercisable upon such terms and conditions as the Plan Administrator may establish, to surrender all or part of an unexercised option granted under this Article Two in exchange for a distribution from the Company in an amount equal to the excess of (i) the fair market value (on the option surrender date) of the number of shares in which the optionee is at the time vested under the surrendered option (or surrendered portion thereof) over (ii) the aggregate option price payable for such vested shares. The distribution may be made in shares of Common Stock valued at fair market value on the option surrender date, in cash, or partly in shares and partly in cash, as the Plan Administrator shall determine in its sole discretion.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The shares of Common Stock subject to any option surrendered for an appreciation distribution pursuant to this Section IV shall not be available for subsequent option grant under the Plan.</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w:t>
      </w:r>
      <w:r>
        <w:rPr>
          <w:b/>
          <w:sz w:val="20"/>
          <w:u w:val="single"/>
        </w:rPr>
        <w:t>Stockholder Rights</w:t>
      </w:r>
      <w:r>
        <w:rPr>
          <w:sz w:val="20"/>
        </w:rPr>
        <w:t>. A stock appreciation right holder shall have no stockholder rights with respect to any shares covered by the stock appreciation right until such individual shall have exercised the stock appreciation right and received the acquired shares. Without limitation, a stock appreciation right holder shall not have any right to receive dividends with respect to a stock appreciation right.</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0"/>
        <w:gridCol w:w="623"/>
        <w:gridCol w:w="9492"/>
      </w:tblGrid>
      <w:tr>
        <w:trPr/>
        <w:tc>
          <w:tcPr>
            <w:tcW w:w="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pPr>
            <w:r>
              <w:rPr/>
              <w:t>V.</w:t>
            </w:r>
          </w:p>
        </w:tc>
        <w:tc>
          <w:tcPr>
            <w:tcW w:w="9492" w:type="dxa"/>
            <w:tcBorders/>
            <w:vAlign w:val="center"/>
          </w:tcPr>
          <w:p>
            <w:pPr>
              <w:pStyle w:val="TableContents"/>
              <w:bidi w:val="0"/>
              <w:spacing w:before="0" w:after="283"/>
              <w:jc w:val="both"/>
              <w:rPr/>
            </w:pPr>
            <w:r>
              <w:rPr/>
              <w:t>EXTENSION OF EXERCISE PERIOD</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 xml:space="preserve">The Plan Administrator shall have full power and authority, exercisable either at the time the option is granted or at any time while the option remains outstanding, to extend the period of time for which any option granted under this Article Two is to remain exercisable following the optionee’s cessation of Service or death from the limited period in effect under Section I.C.1 of Article Two to such greater period of time as the Plan Administrator shall deem appropriate; </w:t>
      </w:r>
      <w:r>
        <w:rPr>
          <w:sz w:val="20"/>
          <w:u w:val="single"/>
        </w:rPr>
        <w:t>provided</w:t>
      </w:r>
      <w:r>
        <w:rPr>
          <w:sz w:val="20"/>
        </w:rPr>
        <w:t>, however, that in no event shall such option be exercisable after the specified expiration date of the option term.</w:t>
      </w:r>
    </w:p>
    <w:p>
      <w:pPr>
        <w:pStyle w:val="TextBody"/>
        <w:bidi w:val="0"/>
        <w:spacing w:before="0" w:after="0"/>
        <w:ind w:left="0" w:right="0" w:firstLine="1440"/>
        <w:jc w:val="both"/>
        <w:rPr/>
      </w:pPr>
      <w:r>
        <w:rPr/>
        <w:t> </w:t>
      </w:r>
    </w:p>
    <w:p>
      <w:pPr>
        <w:pStyle w:val="TextBody"/>
        <w:bidi w:val="0"/>
        <w:spacing w:before="0" w:after="0"/>
        <w:ind w:left="0" w:right="0" w:hanging="0"/>
        <w:jc w:val="center"/>
        <w:rPr>
          <w:b/>
          <w:caps/>
          <w:sz w:val="20"/>
        </w:rPr>
      </w:pPr>
      <w:r>
        <w:rPr>
          <w:b/>
          <w:caps/>
          <w:sz w:val="20"/>
        </w:rPr>
        <w:t>ARTICLE Three</w:t>
      </w:r>
      <w:r>
        <w:rPr>
          <w:b/>
          <w:caps/>
          <w:sz w:val="20"/>
          <w:u w:val="single"/>
        </w:rPr>
        <w:br/>
        <w:t>STOCK ISSUANCE PROGRAM</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122"/>
        <w:gridCol w:w="499"/>
        <w:gridCol w:w="9584"/>
      </w:tblGrid>
      <w:tr>
        <w:trPr/>
        <w:tc>
          <w:tcPr>
            <w:tcW w:w="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I.</w:t>
            </w:r>
          </w:p>
        </w:tc>
        <w:tc>
          <w:tcPr>
            <w:tcW w:w="9584" w:type="dxa"/>
            <w:tcBorders/>
            <w:vAlign w:val="center"/>
          </w:tcPr>
          <w:p>
            <w:pPr>
              <w:pStyle w:val="TableContents"/>
              <w:bidi w:val="0"/>
              <w:spacing w:before="0" w:after="283"/>
              <w:jc w:val="both"/>
              <w:rPr/>
            </w:pPr>
            <w:r>
              <w:rPr/>
              <w:t>STOCK ISSUANCE TERMS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RSUs, which are awards granted to eligible individuals that entitle them to shares of Common Stock (or cash in lieu thereof) in the future following the satisfaction of vesting conditions imposed by the Plan Administrator.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A.                </w:t>
      </w:r>
      <w:r>
        <w:rPr>
          <w:b/>
          <w:sz w:val="20"/>
          <w:u w:val="single"/>
        </w:rPr>
        <w:t>Vesting Provisions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1.                  The Plan Administrator may issue shares of Common Stock under the Stock Issuance Program which are to vest in one or more installments over the grantee’s period of Service or upon attainment of specified performance objectives. Alternatively, the Plan Administrator may issue RSUs under the Stock Issuance Program which shall entitle the recipient to receive a specified number of shares of Common Stock upon the attainment of one or more Service and/or performance goals established by the Plan Administrator. Upon the attainment of such Service and/or performance goals, fully-vested shares of Common Stock shall be issued in satisfaction of those RSUs.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2.                  Any new, substituted or additional securities or other property (including money paid other than as a regular cash dividend) issued by reason of any stock dividend, stock split, recapitalization, combination of shares, exchange of shares or other change affecting the outstanding Common Stock as a class without the Company’s receipt of consideration, shall be issued or set aside with respect to the shares of unvested Common Stock granted to a grantee or subject to a grantee’s RSUs, subject to (i) the same vesting requirements applicable to the grantee’s unvested shares of Common Stock or RSUs, and (ii) such escrow arrangements as the Plan Administrator shall deem appropriate.</w:t>
      </w:r>
    </w:p>
    <w:p>
      <w:pPr>
        <w:pStyle w:val="TextBody"/>
        <w:bidi w:val="0"/>
        <w:spacing w:before="0" w:after="0"/>
        <w:ind w:left="0" w:right="0" w:firstLine="216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sz w:val="20"/>
        </w:rPr>
      </w:pPr>
      <w:r>
        <w:rPr>
          <w:sz w:val="20"/>
        </w:rPr>
        <w:t>3.                  The grantee shall have full stockholder rights with respect to any shares of Common Stock issued to the grantee under the Stock Issuance Program, whether or not the grantee’s interest in those shares is vested, except that the grantee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4.                  The grantee shall not have any stockholder rights with respect to any shares of Common Stock subject to an RSU. However, the Plan Administrator may provide for a grantee to receive one or more dividend equivalents with respect to such shares, entitling the grantee to all regular cash dividends payable on the shares of Common Stock underlying the RSU, which amounts shall be (i) subject to the same vesting requirements applicable to the shares of Common Stock underlying the RSU, and (ii) payable upon issuance of the shares to which such dividend equivalents relate.</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5.                  Should the grantee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Company for cancellation, and the grantee shall have no further stockholder rights with respect to those shares. To the extent the surrendered shares were previously issued to the grantee for consideration paid in cash, the Company shall repay to the grantee the cash consideration paid for the surrendered shares.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6.                  Except as prohibited by the last sentence of Section VI of Article One, the Plan Administrator may in its discretion waive the surrender and cancellation of one or more unvested shares of Common Stock which would otherwise occur upon the cessation of the grantee’s Service or the non-attainment of the performance objectives applicable to those shares. Such waiver shall result in the immediate vesting of the grantee’s interest in the shares of Common Stock as to which the waiver applies. Such waiver may be effected at any time, whether before or after the grantee’s cessation of Service or the attainment or non-attainment of the applicable performance objectives.</w:t>
      </w:r>
    </w:p>
    <w:p>
      <w:pPr>
        <w:pStyle w:val="TextBody"/>
        <w:bidi w:val="0"/>
        <w:spacing w:before="0" w:after="0"/>
        <w:ind w:left="0" w:right="0" w:firstLine="2160"/>
        <w:jc w:val="both"/>
        <w:rPr/>
      </w:pPr>
      <w:r>
        <w:rPr/>
        <w:t> </w:t>
      </w:r>
    </w:p>
    <w:p>
      <w:pPr>
        <w:pStyle w:val="TextBody"/>
        <w:bidi w:val="0"/>
        <w:spacing w:before="0" w:after="0"/>
        <w:ind w:left="0" w:right="0" w:firstLine="2160"/>
        <w:jc w:val="both"/>
        <w:rPr>
          <w:sz w:val="20"/>
        </w:rPr>
      </w:pPr>
      <w:r>
        <w:rPr>
          <w:sz w:val="20"/>
        </w:rPr>
        <w:t>7.                  Outstanding RSUs under the Stock Issuance Program shall automatically terminate, and no shares of Common Stock shall actually be issued in satisfaction of those awards, if the Service and/or performance goals established for such awards are not attained. The Plan Administrator, however, shall, except as prohibited by the last sentence of Section VI of Article One above, have the discretionary authority to issue shares of Common Stock in satisfaction of one or more outstanding RSUs as to which the designated Service and/or performance goals are not attained. Such authority may be exercised at any time, whether before or after the grantee’s cessation of Service or the attainment or non-attainment of the applicable performance objectives.</w:t>
      </w:r>
    </w:p>
    <w:p>
      <w:pPr>
        <w:pStyle w:val="TextBody"/>
        <w:bidi w:val="0"/>
        <w:spacing w:before="0" w:after="0"/>
        <w:ind w:left="0" w:right="0" w:firstLine="216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2"/>
        <w:gridCol w:w="378"/>
        <w:gridCol w:w="9765"/>
      </w:tblGrid>
      <w:tr>
        <w:trPr/>
        <w:tc>
          <w:tcPr>
            <w:tcW w:w="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II.</w:t>
            </w:r>
          </w:p>
        </w:tc>
        <w:tc>
          <w:tcPr>
            <w:tcW w:w="9765" w:type="dxa"/>
            <w:tcBorders/>
            <w:vAlign w:val="center"/>
          </w:tcPr>
          <w:p>
            <w:pPr>
              <w:pStyle w:val="TableContents"/>
              <w:bidi w:val="0"/>
              <w:spacing w:before="0" w:after="283"/>
              <w:jc w:val="both"/>
              <w:rPr/>
            </w:pPr>
            <w:r>
              <w:rPr/>
              <w:t>CORPORATE TRANSACTION/CHANGE IN CONTROL</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All of the Company’s outstanding repurchase rights under the Stock Issuance Program shall terminate automatically, and all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in the Stock Issuance Agreement, unless the Plan Administrator determines to waive such limitations.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Each award which is assigned in connection with (or is otherwise to continue in effect after) a Corporate Transaction shall be appropriately adjusted such that it shall apply and pertain to the number and class of securities issued to the grantee in consummation of the Corporate Transaction with respect to the shares granted to grantee under this Article Three.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In the event of a Change in Control, shares of restricted stock and RSUs shall be treated as follows: if the grantee’s employment is terminated by the Company without Cause or the grantee resigns due to a Constructive Termination, in either case within the ninety (90) day period preceding or the two (2) year period following the Change in Control, the vesting of such restricted stock and RSUs shall automatically accelerate (and all of the shares of Common Stock subject to such RSUs shall be issued to grantees), and the Company’s outstanding repurchase rights under this Article Three shall immediately terminate; provided, however, that if the acquiror or successor refuses to assume the shares of restricted stock or RSUs or substitute an award of equivalent value (as determined by the Committee in its discretion) in connection with the Change in Control, the vesting of such restricted stock or RSUs under this Article Three shall automatically accelerate (and all of the shares of Common Stock subject to such RSUs shall be issued to grantees). To the extent any shares of restricted stock or RSUs vest in whole or in part based on the achievement of performance criteria, the amount that shall vest in accordance with the proviso to the immediately-preceding sentence shall vest based on the higher of actual performance goal attainment through the date of the Change in Control or a prorated amount using target performance and based on the time elapsed in the performance period as of the date of the Change in Control.</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23"/>
        <w:gridCol w:w="992"/>
        <w:gridCol w:w="9090"/>
      </w:tblGrid>
      <w:tr>
        <w:trPr/>
        <w:tc>
          <w:tcPr>
            <w:tcW w:w="1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pPr>
            <w:r>
              <w:rPr/>
              <w:t>III.</w:t>
            </w:r>
          </w:p>
        </w:tc>
        <w:tc>
          <w:tcPr>
            <w:tcW w:w="9090" w:type="dxa"/>
            <w:tcBorders/>
            <w:vAlign w:val="center"/>
          </w:tcPr>
          <w:p>
            <w:pPr>
              <w:pStyle w:val="TableContents"/>
              <w:bidi w:val="0"/>
              <w:spacing w:before="0" w:after="283"/>
              <w:jc w:val="both"/>
              <w:rPr/>
            </w:pPr>
            <w:r>
              <w:rPr/>
              <w:t>STOCKHOLDER RIGHTS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Individuals who are granted shares of Common Stock pursuant to this Article Three shall be the owners of such shares for all purposes while holding such Common Stock, and may exercise full voting rights with respect to those shares at all times while held by the individuals. Individuals who have been granted RSUs shall have no voting rights with respect to Common Stock underlying RSUs unless and until such Common Stock is reflected as issued and outstanding shares on the Company’s stock ledger.</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Individuals who are granted shares of Common Stock pursuant to this Article Three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7"/>
        <w:gridCol w:w="949"/>
        <w:gridCol w:w="9149"/>
      </w:tblGrid>
      <w:tr>
        <w:trPr/>
        <w:tc>
          <w:tcPr>
            <w:tcW w:w="10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pPr>
            <w:r>
              <w:rPr/>
              <w:t>IV.</w:t>
            </w:r>
          </w:p>
        </w:tc>
        <w:tc>
          <w:tcPr>
            <w:tcW w:w="9149" w:type="dxa"/>
            <w:tcBorders/>
            <w:vAlign w:val="center"/>
          </w:tcPr>
          <w:p>
            <w:pPr>
              <w:pStyle w:val="TableContents"/>
              <w:bidi w:val="0"/>
              <w:spacing w:before="0" w:after="283"/>
              <w:jc w:val="both"/>
              <w:rPr/>
            </w:pPr>
            <w:r>
              <w:rPr/>
              <w:t>SHARE ESCROW / LEGENDS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Unvested shares may, in the Plan Administrator’s discretion, be held in escrow by the Company until the grantee’s interest in such shares vests or may be issued directly to the grantee with restrictive legends on the certificates evidencing those unvested shares.</w:t>
      </w:r>
    </w:p>
    <w:p>
      <w:pPr>
        <w:pStyle w:val="TextBody"/>
        <w:bidi w:val="0"/>
        <w:spacing w:before="0" w:after="0"/>
        <w:ind w:left="0" w:right="0" w:firstLine="1440"/>
        <w:jc w:val="both"/>
        <w:rPr/>
      </w:pPr>
      <w:r>
        <w:rPr/>
        <w:t> </w:t>
      </w:r>
    </w:p>
    <w:p>
      <w:pPr>
        <w:pStyle w:val="TextBody"/>
        <w:bidi w:val="0"/>
        <w:spacing w:before="0" w:after="0"/>
        <w:ind w:left="0" w:right="0" w:hanging="0"/>
        <w:jc w:val="center"/>
        <w:rPr>
          <w:b/>
          <w:caps/>
          <w:sz w:val="20"/>
        </w:rPr>
      </w:pPr>
      <w:r>
        <w:rPr>
          <w:b/>
          <w:caps/>
          <w:sz w:val="20"/>
        </w:rPr>
        <w:t>ARTICLE Four</w:t>
      </w:r>
      <w:r>
        <w:rPr>
          <w:b/>
          <w:caps/>
          <w:sz w:val="20"/>
          <w:u w:val="single"/>
        </w:rPr>
        <w:br/>
        <w:t>DIRECTOR GRANT PROGRAM</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34"/>
        <w:gridCol w:w="957"/>
        <w:gridCol w:w="9014"/>
      </w:tblGrid>
      <w:tr>
        <w:trPr/>
        <w:tc>
          <w:tcPr>
            <w:tcW w:w="23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I.</w:t>
            </w:r>
          </w:p>
        </w:tc>
        <w:tc>
          <w:tcPr>
            <w:tcW w:w="9014" w:type="dxa"/>
            <w:tcBorders/>
            <w:vAlign w:val="center"/>
          </w:tcPr>
          <w:p>
            <w:pPr>
              <w:pStyle w:val="TableContents"/>
              <w:bidi w:val="0"/>
              <w:spacing w:before="0" w:after="283"/>
              <w:jc w:val="both"/>
              <w:rPr/>
            </w:pPr>
            <w:r>
              <w:rPr/>
              <w:t>ELIGIBILITY</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The individuals eligible to receive grants pursuant to the provisions of this Article Four shall be (i) those individuals who, after the effective date of this amendment and restatement, first become non-employee Board members, whether through appointment by the Board, election by the Company’s stockholders, or by continuing to serve as a Board member after ceasing to be employed by the Company, and (ii) those individuals already serving as non-employee Board members on the effective date of this amendment and restatement. As used herein, a “non-employee” Board member is any Board member who is not employed by the Company on the date in question.</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64"/>
        <w:gridCol w:w="392"/>
        <w:gridCol w:w="9749"/>
      </w:tblGrid>
      <w:tr>
        <w:trPr/>
        <w:tc>
          <w:tcPr>
            <w:tcW w:w="6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II.</w:t>
            </w:r>
          </w:p>
        </w:tc>
        <w:tc>
          <w:tcPr>
            <w:tcW w:w="9749" w:type="dxa"/>
            <w:tcBorders/>
            <w:vAlign w:val="center"/>
          </w:tcPr>
          <w:p>
            <w:pPr>
              <w:pStyle w:val="TableContents"/>
              <w:bidi w:val="0"/>
              <w:spacing w:before="0" w:after="283"/>
              <w:jc w:val="both"/>
              <w:rPr/>
            </w:pPr>
            <w:r>
              <w:rPr/>
              <w:t>TERMS AND CONDITIONS OF DIRECTOR GRANTS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 xml:space="preserve">A.                </w:t>
      </w:r>
      <w:r>
        <w:rPr>
          <w:b/>
          <w:sz w:val="20"/>
          <w:u w:val="single"/>
        </w:rPr>
        <w:t>Grants</w:t>
      </w:r>
      <w:r>
        <w:rPr>
          <w:sz w:val="20"/>
        </w:rPr>
        <w:t>. Grants under this Article Four shall be made pursuant to a Director Compensation Policy adopted by the Board (the “Director Compensation Policy”) and may be in the form of non-statutory options, RSUs, shares of Common Stock, other awards issuable under the Plan or a combination thereof, as determined by the Committee. In no event shall the aggregate grant date fair value (calculated in accordance with FASB ASC Topic 718) of all awards granted under the Plan during any calendar year to any non-employee Board member (excluding any awards granted at the election of a non-employee Board member in lieu of all or any portion of cash retainers or fees otherwise payable to non-employee Board members in cash), together with the amount of any cash fees or retainers paid to such non-employee Board members during such calendar year with respect to such individual’s service as a non-employee Board member, exceed $750,000 (or, for a non-employee Board member who first joins the Board, $1,000,000).</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B.                 </w:t>
      </w:r>
      <w:r>
        <w:rPr>
          <w:b/>
          <w:sz w:val="20"/>
          <w:u w:val="single"/>
        </w:rPr>
        <w:t>Terms and Conditions of Grants</w:t>
      </w:r>
      <w:r>
        <w:rPr>
          <w:sz w:val="20"/>
        </w:rPr>
        <w:t>.</w:t>
      </w:r>
    </w:p>
    <w:p>
      <w:pPr>
        <w:pStyle w:val="TextBody"/>
        <w:bidi w:val="0"/>
        <w:spacing w:before="0" w:after="0"/>
        <w:ind w:left="0" w:right="0" w:firstLine="1440"/>
        <w:jc w:val="both"/>
        <w:rPr/>
      </w:pPr>
      <w:r>
        <w:rPr/>
        <w:t> </w:t>
      </w:r>
    </w:p>
    <w:p>
      <w:pPr>
        <w:pStyle w:val="TextBody"/>
        <w:bidi w:val="0"/>
        <w:spacing w:before="0" w:after="0"/>
        <w:ind w:left="0" w:right="0" w:firstLine="2160"/>
        <w:jc w:val="both"/>
        <w:rPr>
          <w:sz w:val="20"/>
        </w:rPr>
      </w:pPr>
      <w:r>
        <w:rPr>
          <w:sz w:val="20"/>
        </w:rPr>
        <w:t xml:space="preserve">1.                  </w:t>
      </w:r>
      <w:r>
        <w:rPr>
          <w:b/>
          <w:i/>
          <w:sz w:val="20"/>
          <w:u w:val="single"/>
        </w:rPr>
        <w:t>Options</w:t>
      </w:r>
      <w:r>
        <w:rPr>
          <w:sz w:val="20"/>
        </w:rPr>
        <w:t>.</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 xml:space="preserve">(i)                 </w:t>
      </w:r>
      <w:r>
        <w:rPr>
          <w:sz w:val="20"/>
          <w:u w:val="single"/>
        </w:rPr>
        <w:t>Term</w:t>
      </w:r>
      <w:r>
        <w:rPr>
          <w:sz w:val="20"/>
        </w:rPr>
        <w:t>. Each option granted under this Article Four shall be exercisable at such time or times, during such period, and for such number of shares as shall be set forth in the Director Compensation Policy or as otherwise determined by the Plan Administrator and set forth in the instrument evidencing the option grant. No such option, however, shall have a maximum term in excess of ten (10) years from the grant date.</w:t>
      </w:r>
    </w:p>
    <w:p>
      <w:pPr>
        <w:pStyle w:val="TextBody"/>
        <w:bidi w:val="0"/>
        <w:spacing w:before="0" w:after="0"/>
        <w:ind w:left="0" w:right="0" w:firstLine="288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 xml:space="preserve">(ii)              </w:t>
      </w:r>
      <w:r>
        <w:rPr>
          <w:sz w:val="20"/>
          <w:u w:val="single"/>
        </w:rPr>
        <w:t>Option Price</w:t>
      </w:r>
      <w:r>
        <w:rPr>
          <w:sz w:val="20"/>
        </w:rPr>
        <w:t>. The option price per share shall be fixed by the Plan Administrator. In no event, however, shall the option price per share be less than one hundred percent (100%) of the fair market value per share of Common Stock on the date of the option grant. The option price shall become immediately due upon exercise of the option and shall, subject to Section II.B.1.(iv) of this Article Four and the instrument evidencing the grant, be payable in any manner set forth in Section I.A.2 of Article Two.</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(iii)            </w:t>
      </w:r>
      <w:r>
        <w:rPr>
          <w:sz w:val="20"/>
          <w:u w:val="single"/>
        </w:rPr>
        <w:t>Non-Transferability</w:t>
      </w:r>
      <w:r>
        <w:rPr>
          <w:sz w:val="20"/>
        </w:rPr>
        <w:t>. During the lifetime of the optionee, each option grant, together with any limited stock appreciation right pertaining to such option, shall be exercisable only by the optionee and shall not be assignable or transferable by the optionee, except to the extent such option or the limited stock appreciation right is assigned or transferred (i) by will or by the laws of descent and distribution following the optionee’s death, or (ii) during optionee’s lifetime either (A) as a gift in connection with the optionee’s estate plan to one or more members of optionee’s immediate family, to a trust in which optionee and/or one or more such family members hold more than fifty percent (50%) of the beneficial interest or to an entity in which more than fifty percent (50%) of the voting interests are owned by optionee and/or one or more such family members, or (B) pursuant to a domestic relations order. The portion of any option assigned or transferred during optionee’s lifetime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(iv)             </w:t>
      </w:r>
      <w:r>
        <w:rPr>
          <w:sz w:val="20"/>
          <w:u w:val="single"/>
        </w:rPr>
        <w:t>Stock Appreciation Rights</w:t>
      </w:r>
      <w:r>
        <w:rPr>
          <w:sz w:val="20"/>
        </w:rPr>
        <w:t>. With respect to each option granted under this Article Four, solely to the extent provided by the Plan Administrator in its sole discretion, each optionee shall have the right to surrender all or part of the option (to the extent not then exercised) in exchange for a distribution from the Company in an amount equal to the excess of (i) the fair market value (on the option surrender date) of the number of shares in which the grantee is at the time vested under the surrendered option (or surrendered portion thereof) over (ii) the aggregate option price payable for such vested shares. The distribution shall be made in shares of Common Stock valued at fair market value on the option surrender date.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 xml:space="preserve">(v)               </w:t>
      </w:r>
      <w:r>
        <w:rPr>
          <w:sz w:val="20"/>
          <w:u w:val="single"/>
        </w:rPr>
        <w:t>No Repricing</w:t>
      </w:r>
      <w:r>
        <w:rPr>
          <w:sz w:val="20"/>
        </w:rPr>
        <w:t>. 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this Plan) without the approval of the stockholders of the Company.</w:t>
      </w:r>
    </w:p>
    <w:p>
      <w:pPr>
        <w:pStyle w:val="TextBody"/>
        <w:bidi w:val="0"/>
        <w:spacing w:before="0" w:after="0"/>
        <w:ind w:left="0" w:right="0" w:firstLine="2880"/>
        <w:jc w:val="both"/>
        <w:rPr/>
      </w:pPr>
      <w:r>
        <w:rPr/>
        <w:t> </w:t>
      </w:r>
    </w:p>
    <w:p>
      <w:pPr>
        <w:pStyle w:val="TextBody"/>
        <w:bidi w:val="0"/>
        <w:spacing w:before="0" w:after="0"/>
        <w:ind w:left="0" w:right="0" w:firstLine="2160"/>
        <w:jc w:val="both"/>
        <w:rPr>
          <w:sz w:val="20"/>
        </w:rPr>
      </w:pPr>
      <w:r>
        <w:rPr>
          <w:sz w:val="20"/>
        </w:rPr>
        <w:t xml:space="preserve">2.                  </w:t>
      </w:r>
      <w:r>
        <w:rPr>
          <w:b/>
          <w:i/>
          <w:sz w:val="20"/>
          <w:u w:val="single"/>
        </w:rPr>
        <w:t>Grants Generally</w:t>
      </w:r>
      <w:r>
        <w:rPr>
          <w:sz w:val="20"/>
        </w:rPr>
        <w:t>.</w:t>
      </w:r>
    </w:p>
    <w:p>
      <w:pPr>
        <w:pStyle w:val="TextBody"/>
        <w:bidi w:val="0"/>
        <w:spacing w:before="0" w:after="0"/>
        <w:ind w:left="0" w:right="0" w:firstLine="2160"/>
        <w:jc w:val="both"/>
        <w:rPr/>
      </w:pPr>
      <w:r>
        <w:rPr/>
        <w:t> </w:t>
      </w:r>
    </w:p>
    <w:p>
      <w:pPr>
        <w:pStyle w:val="TextBody"/>
        <w:bidi w:val="0"/>
        <w:spacing w:before="0" w:after="0"/>
        <w:ind w:left="0" w:right="0" w:firstLine="2880"/>
        <w:jc w:val="both"/>
        <w:rPr>
          <w:sz w:val="20"/>
        </w:rPr>
      </w:pPr>
      <w:r>
        <w:rPr>
          <w:sz w:val="20"/>
        </w:rPr>
        <w:t xml:space="preserve">(i)                 </w:t>
      </w:r>
      <w:r>
        <w:rPr>
          <w:sz w:val="20"/>
          <w:u w:val="single"/>
        </w:rPr>
        <w:t>Stockholder Rights</w:t>
      </w:r>
      <w:r>
        <w:rPr>
          <w:sz w:val="20"/>
        </w:rPr>
        <w:t>. The holder of an option grant under this Article Four shall have none of the rights of a stockholder with respect to any shares subject to such option until such individual shall have exercised the option and paid the exercise price for the purchased shares, and the holder of RSUs granted under this Article Four shall have none of the rights of a stockholder with respect to any shares subject to such RSUs until shares have been delivered in settlement thereof. Without limitation, a grantee shall not have any right to receive dividends with respect to an unexercised option or unsettled RSUs.</w:t>
      </w:r>
    </w:p>
    <w:p>
      <w:pPr>
        <w:pStyle w:val="TextBody"/>
        <w:bidi w:val="0"/>
        <w:spacing w:before="0" w:after="0"/>
        <w:ind w:left="0" w:right="0" w:firstLine="288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2880"/>
        <w:jc w:val="both"/>
        <w:rPr>
          <w:sz w:val="20"/>
        </w:rPr>
      </w:pPr>
      <w:r>
        <w:rPr>
          <w:sz w:val="20"/>
        </w:rPr>
        <w:t xml:space="preserve">(ii)              </w:t>
      </w:r>
      <w:r>
        <w:rPr>
          <w:sz w:val="20"/>
          <w:u w:val="single"/>
        </w:rPr>
        <w:t>Corporate Transactions/Changes in Control</w:t>
      </w:r>
      <w:r>
        <w:rPr>
          <w:sz w:val="20"/>
        </w:rPr>
        <w:t>. In connection with a Corporate Transaction or a Change in Control, grants under this Article Four shall be treated in the manner specified in Article Two (with respect to options) or Article Three (with respect to shares of Common Stock and RSUs), as applicable.</w:t>
      </w:r>
    </w:p>
    <w:p>
      <w:pPr>
        <w:pStyle w:val="TextBody"/>
        <w:bidi w:val="0"/>
        <w:spacing w:before="0" w:after="0"/>
        <w:ind w:left="0" w:right="0" w:firstLine="2880"/>
        <w:jc w:val="both"/>
        <w:rPr/>
      </w:pPr>
      <w:r>
        <w:rPr/>
        <w:t> </w:t>
      </w:r>
    </w:p>
    <w:p>
      <w:pPr>
        <w:pStyle w:val="TextBody"/>
        <w:bidi w:val="0"/>
        <w:spacing w:before="0" w:after="0"/>
        <w:ind w:left="0" w:right="0" w:firstLine="2880"/>
        <w:jc w:val="both"/>
        <w:rPr>
          <w:sz w:val="20"/>
        </w:rPr>
      </w:pPr>
      <w:r>
        <w:rPr>
          <w:sz w:val="20"/>
        </w:rPr>
        <w:t>(iii)            Subject to the terms of the Plan, the terms and conditions of the grants under this Article Four shall be determined by the Plan Administrator consistent with the Director Compensation Policy.</w:t>
      </w:r>
    </w:p>
    <w:p>
      <w:pPr>
        <w:pStyle w:val="TextBody"/>
        <w:bidi w:val="0"/>
        <w:spacing w:before="0" w:after="0"/>
        <w:ind w:left="0" w:right="0" w:firstLine="2880"/>
        <w:jc w:val="both"/>
        <w:rPr/>
      </w:pPr>
      <w:r>
        <w:rPr/>
        <w:t> </w:t>
      </w:r>
    </w:p>
    <w:p>
      <w:pPr>
        <w:pStyle w:val="TextBody"/>
        <w:bidi w:val="0"/>
        <w:spacing w:before="0" w:after="0"/>
        <w:ind w:left="0" w:right="0" w:hanging="0"/>
        <w:jc w:val="center"/>
        <w:rPr>
          <w:b/>
          <w:caps/>
          <w:sz w:val="20"/>
        </w:rPr>
      </w:pPr>
      <w:r>
        <w:rPr>
          <w:b/>
          <w:caps/>
          <w:sz w:val="20"/>
        </w:rPr>
        <w:t>ARTICLE Five</w:t>
      </w:r>
      <w:r>
        <w:rPr>
          <w:b/>
          <w:caps/>
          <w:sz w:val="20"/>
          <w:u w:val="single"/>
        </w:rPr>
        <w:br/>
        <w:t>PERFORMANCE GOALS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280"/>
        <w:gridCol w:w="1143"/>
        <w:gridCol w:w="8782"/>
      </w:tblGrid>
      <w:tr>
        <w:trPr/>
        <w:tc>
          <w:tcPr>
            <w:tcW w:w="28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I.</w:t>
            </w:r>
          </w:p>
        </w:tc>
        <w:tc>
          <w:tcPr>
            <w:tcW w:w="8782" w:type="dxa"/>
            <w:tcBorders/>
            <w:vAlign w:val="center"/>
          </w:tcPr>
          <w:p>
            <w:pPr>
              <w:pStyle w:val="TableContents"/>
              <w:bidi w:val="0"/>
              <w:spacing w:before="0" w:after="283"/>
              <w:jc w:val="both"/>
              <w:rPr/>
            </w:pPr>
            <w:r>
              <w:rPr/>
              <w:t>GENERAL</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The Plan Administrator may establish performance criteria and level of achievement versus such criteria that shall determine the number of shares of Common Stock or RSUs to be granted, retained, vested, issued or issuable under or in settlement of or the amount payable pursuant to an award hereunder. In addition, the Plan Administrator may specify that an award or a portion of an award shall be subject to measures based on one or more performance criteria selected by the Committee and specified at the time the award is granted. The Committee shall certify the extent to which any performance criteria have been satisfied, and the amount payable as a result thereof, prior to payment, settlement or vesting of any award subject thereto. Notwithstanding satisfaction of any performance goals, the number of shares of Common Stock issued under or the amount paid under an award may, to the extent specified in the applicable award agreement, be reduced by the Committee on the basis of such further considerations as the Committee in its sole discretion shall determine.</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17"/>
        <w:gridCol w:w="710"/>
        <w:gridCol w:w="9378"/>
      </w:tblGrid>
      <w:tr>
        <w:trPr/>
        <w:tc>
          <w:tcPr>
            <w:tcW w:w="1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II.</w:t>
            </w:r>
          </w:p>
        </w:tc>
        <w:tc>
          <w:tcPr>
            <w:tcW w:w="9378" w:type="dxa"/>
            <w:tcBorders/>
            <w:vAlign w:val="center"/>
          </w:tcPr>
          <w:p>
            <w:pPr>
              <w:pStyle w:val="TableContents"/>
              <w:bidi w:val="0"/>
              <w:spacing w:before="0" w:after="283"/>
              <w:jc w:val="both"/>
              <w:rPr/>
            </w:pPr>
            <w:r>
              <w:rPr/>
              <w:t>PERFORMANCE CRITERIA</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For purposes of this Plan, performance criteria may include any one or more performance criteria, either individually, alternatively or in any combination, applied to either the Company as a whole or to a business unit or subsidiary,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The Committee (A) shall appropriately adjust any evaluation of performance under applicable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applicable performance criteria to exclude any of the following events that occurs during a performance period: (i) asset write-downs; (ii) litigation, claims, judgments or settlements; (iii) the effect of changes in tax law or other such laws or provisions affecting reported results; (iv) the adverse effect of work stoppages or slowdowns; (v) accruals for reorganization and restructuring programs; and (vi) accruals of any amounts for payment under this Plan or any other compensation arrangement maintained by the Company.</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r>
        <w:rPr>
          <w:b/>
          <w:caps/>
          <w:sz w:val="20"/>
        </w:rPr>
        <w:t>ARTICLE Six</w:t>
      </w:r>
      <w:r>
        <w:rPr>
          <w:b/>
          <w:caps/>
          <w:sz w:val="20"/>
          <w:u w:val="single"/>
        </w:rPr>
        <w:br/>
        <w:t>MISCELLANEOUS</w:t>
      </w:r>
    </w:p>
    <w:p>
      <w:pPr>
        <w:pStyle w:val="TextBody"/>
        <w:bidi w:val="0"/>
        <w:spacing w:before="0" w:after="0"/>
        <w:ind w:left="0" w:right="0" w:hanging="0"/>
        <w:jc w:val="center"/>
        <w:rPr>
          <w:caps/>
        </w:rPr>
      </w:pPr>
      <w:r>
        <w:rPr>
          <w:caps/>
        </w:rPr>
        <w:t> </w:t>
      </w:r>
    </w:p>
    <w:tbl>
      <w:tblPr>
        <w:tblW w:w="5000" w:type="pct"/>
        <w:jc w:val="left"/>
        <w:tblInd w:w="0" w:type="dxa"/>
        <w:tblLayout w:type="fixed"/>
        <w:tblCellMar>
          <w:top w:w="0" w:type="dxa"/>
          <w:left w:w="0" w:type="dxa"/>
          <w:bottom w:w="0" w:type="dxa"/>
          <w:right w:w="0" w:type="dxa"/>
        </w:tblCellMar>
      </w:tblPr>
      <w:tblGrid>
        <w:gridCol w:w="112"/>
        <w:gridCol w:w="460"/>
        <w:gridCol w:w="9633"/>
      </w:tblGrid>
      <w:tr>
        <w:trPr/>
        <w:tc>
          <w:tcPr>
            <w:tcW w:w="11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I.</w:t>
            </w:r>
          </w:p>
        </w:tc>
        <w:tc>
          <w:tcPr>
            <w:tcW w:w="9633" w:type="dxa"/>
            <w:tcBorders/>
            <w:vAlign w:val="center"/>
          </w:tcPr>
          <w:p>
            <w:pPr>
              <w:pStyle w:val="TableContents"/>
              <w:bidi w:val="0"/>
              <w:spacing w:before="0" w:after="283"/>
              <w:jc w:val="both"/>
              <w:rPr/>
            </w:pPr>
            <w:r>
              <w:rPr/>
              <w:t>AMENDMENT OF THE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The Board shall have complete and exclusive power and authority to amend or modify the Plan in any or all respects whatsoever. However, no such amendment or modification shall, without the consent of the holders, adversely affect rights and obligations with respect to options at the time outstanding under the Plan. In addition, certain amendments may require stockholder approval pursuant to applicable laws or regulations.</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47"/>
        <w:gridCol w:w="893"/>
        <w:gridCol w:w="9165"/>
      </w:tblGrid>
      <w:tr>
        <w:trPr/>
        <w:tc>
          <w:tcPr>
            <w:tcW w:w="14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pPr>
            <w:r>
              <w:rPr/>
              <w:t>II.</w:t>
            </w:r>
          </w:p>
        </w:tc>
        <w:tc>
          <w:tcPr>
            <w:tcW w:w="9165" w:type="dxa"/>
            <w:tcBorders/>
            <w:vAlign w:val="center"/>
          </w:tcPr>
          <w:p>
            <w:pPr>
              <w:pStyle w:val="TableContents"/>
              <w:bidi w:val="0"/>
              <w:spacing w:before="0" w:after="283"/>
              <w:jc w:val="both"/>
              <w:rPr/>
            </w:pPr>
            <w:r>
              <w:rPr/>
              <w:t>TAX WITHHOLDING</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Company’s obligation to deliver shares or cash upon the exercise of stock options or stock appreciation rights or upon the grant or vesting of direct stock issuances or RSUs under the Plan shall be subject to the satisfaction of all applicable Federal, State, and local income and employment tax withholding requirements.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The Plan Administrator may, in its discretion and upon such terms and conditions as it may deem appropriate, provide any or all holders of outstanding options or stock issuances under the Plan (other than the grants under Article Four) with the election to have the Company withhold, from the shares of Common Stock otherwise issuable upon the exercise or vesting of such awards, a whole number of such shares with an aggregate fair market value equal to the minimum amount necessary (or, if determined by the Plan Administrator in its discretion and to the extent adverse accounting treatment does not result, at the maximum applicable individual statutory tax rates) to satisfy the Federal, State and local income and employment tax withholdings (the “Taxes”) incurred in connection with the acquisition or vesting of such shares. In lieu of such direct withholding, one or more grantees may also be granted the right to deliver whole shares of Common Stock to the Company in satisfaction of such Taxes. Any withheld or delivered shares shall be valued at their fair market value on the applicable determination date for such Taxes.</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80"/>
        <w:gridCol w:w="648"/>
        <w:gridCol w:w="9477"/>
      </w:tblGrid>
      <w:tr>
        <w:trPr/>
        <w:tc>
          <w:tcPr>
            <w:tcW w:w="8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pPr>
            <w:r>
              <w:rPr/>
              <w:t>III.</w:t>
            </w:r>
          </w:p>
        </w:tc>
        <w:tc>
          <w:tcPr>
            <w:tcW w:w="9477" w:type="dxa"/>
            <w:tcBorders/>
            <w:vAlign w:val="center"/>
          </w:tcPr>
          <w:p>
            <w:pPr>
              <w:pStyle w:val="TableContents"/>
              <w:bidi w:val="0"/>
              <w:spacing w:before="0" w:after="283"/>
              <w:jc w:val="both"/>
              <w:rPr/>
            </w:pPr>
            <w:r>
              <w:rPr/>
              <w:t>EFFECTIVE DATE AND TERM OF PLAN</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Plan, as amended and restated, shall be effective on the date specified in the Board of Directors resolution adopting the Plan. Except as provided below, each option issued and outstanding under the Plan immediately prior to such effective date shall continue to be governed solely by the terms and conditions of the agreement evidencing such grant, and nothing in this restatement of the Plan shall be deemed to affect or otherwise modify the rights or obligations of the holders of such options with respect to their acquisition of shares of Common Stock thereunder. The Plan Administrator shall, however, have full power and authority, under such circumstances as the Plan Administrator may deem appropriate (but in accordance with Section I of this Article Five), to extend one or more features of this amendment and restatement to any options outstanding on the effective date.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sz w:val="20"/>
        </w:rPr>
      </w:pPr>
      <w:r>
        <w:rPr>
          <w:sz w:val="20"/>
        </w:rPr>
        <w:t xml:space="preserve">B.                 Unless sooner terminated in accordance with the other provisions of this Plan, the Plan shall terminate upon the </w:t>
      </w:r>
      <w:r>
        <w:rPr>
          <w:sz w:val="20"/>
          <w:u w:val="single"/>
        </w:rPr>
        <w:t>earlier</w:t>
      </w:r>
      <w:r>
        <w:rPr>
          <w:sz w:val="20"/>
        </w:rPr>
        <w:t xml:space="preserve"> of (i) ten (10) years following the date this amendment and restatement of the Plan is approved by the Board or (ii) the date on which all shares available for issuance under the Plan shall have been issued or cancelled pursuant to the exercise, surrender or cash-out of the options granted hereunder. If the date of termination is determined under clause (i) above, then any options or stock issuances outstanding on such date shall continue to have force and effect in accordance with the provisions of the agreements evidencing those awards.</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C.                 Options may be granted with respect to a number of shares of Common Stock in excess of the number of shares at the time available for issuance under the Plan, </w:t>
      </w:r>
      <w:r>
        <w:rPr>
          <w:sz w:val="20"/>
          <w:u w:val="single"/>
        </w:rPr>
        <w:t>provided</w:t>
      </w:r>
      <w:r>
        <w:rPr>
          <w:sz w:val="20"/>
        </w:rPr>
        <w:t xml:space="preserve"> each granted option is not to become exercisable, in whole or in part, at any time prior to stockholder approval of an amendment authorizing a sufficient increase in the number of shares issuable under the Plan.</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50"/>
        <w:gridCol w:w="1332"/>
        <w:gridCol w:w="8723"/>
      </w:tblGrid>
      <w:tr>
        <w:trPr/>
        <w:tc>
          <w:tcPr>
            <w:tcW w:w="15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pPr>
            <w:r>
              <w:rPr/>
              <w:t>IV.</w:t>
            </w:r>
          </w:p>
        </w:tc>
        <w:tc>
          <w:tcPr>
            <w:tcW w:w="8723" w:type="dxa"/>
            <w:tcBorders/>
            <w:vAlign w:val="center"/>
          </w:tcPr>
          <w:p>
            <w:pPr>
              <w:pStyle w:val="TableContents"/>
              <w:bidi w:val="0"/>
              <w:spacing w:before="0" w:after="283"/>
              <w:jc w:val="both"/>
              <w:rPr/>
            </w:pPr>
            <w:r>
              <w:rPr/>
              <w:t>USE OF PROCEEDS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Any cash proceeds received by the Company from the sale of shares pursuant to options or stock issuances granted under the Plan shall be used for general corporate purposes.</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110"/>
        <w:gridCol w:w="755"/>
        <w:gridCol w:w="9340"/>
      </w:tblGrid>
      <w:tr>
        <w:trPr/>
        <w:tc>
          <w:tcPr>
            <w:tcW w:w="11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V.</w:t>
            </w:r>
          </w:p>
        </w:tc>
        <w:tc>
          <w:tcPr>
            <w:tcW w:w="9340" w:type="dxa"/>
            <w:tcBorders/>
            <w:vAlign w:val="center"/>
          </w:tcPr>
          <w:p>
            <w:pPr>
              <w:pStyle w:val="TableContents"/>
              <w:bidi w:val="0"/>
              <w:spacing w:before="0" w:after="283"/>
              <w:jc w:val="both"/>
              <w:rPr/>
            </w:pPr>
            <w:r>
              <w:rPr/>
              <w:t>REGULATORY APPROVALS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The implementation of the Plan, the granting of any option hereunder, and the issuance of stock (i) upon the exercise or surrender of any option or (ii) under the Stock Issuance Program shall be subject to the procurement by the Company of all approvals and permits required by regulatory authorities having jurisdiction over the Plan, the options granted under it and the stock issued pursuant to it.</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No shares of Common Stock or other assets shall be issued or delivered under the Plan unless and until there shall have been compliance with all applicable requirements of Federal and state securities laws, including (to the extent required) the filing and effectiveness of the Form S-8 registration statement for the shares of Common Stock issuable under the Plan, and all applicable listing requirements of any stock exchange (or the Nasdaq National Market, the Nasdaq Global Select Market or any successor system, if applicable) on which the Common Stock is then trading.</w:t>
      </w:r>
    </w:p>
    <w:p>
      <w:pPr>
        <w:pStyle w:val="TextBody"/>
        <w:bidi w:val="0"/>
        <w:spacing w:before="0" w:after="0"/>
        <w:ind w:left="0" w:right="0" w:firstLine="1440"/>
        <w:jc w:val="both"/>
        <w:rPr/>
      </w:pPr>
      <w:r>
        <w:rPr/>
        <w:t> </w:t>
      </w:r>
    </w:p>
    <w:tbl>
      <w:tblPr>
        <w:tblW w:w="5000" w:type="pct"/>
        <w:jc w:val="left"/>
        <w:tblInd w:w="0" w:type="dxa"/>
        <w:tblLayout w:type="fixed"/>
        <w:tblCellMar>
          <w:top w:w="0" w:type="dxa"/>
          <w:left w:w="0" w:type="dxa"/>
          <w:bottom w:w="0" w:type="dxa"/>
          <w:right w:w="0" w:type="dxa"/>
        </w:tblCellMar>
      </w:tblPr>
      <w:tblGrid>
        <w:gridCol w:w="85"/>
        <w:gridCol w:w="751"/>
        <w:gridCol w:w="9369"/>
      </w:tblGrid>
      <w:tr>
        <w:trPr/>
        <w:tc>
          <w:tcPr>
            <w:tcW w:w="8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pPr>
            <w:r>
              <w:rPr/>
              <w:t>VI.</w:t>
            </w:r>
          </w:p>
        </w:tc>
        <w:tc>
          <w:tcPr>
            <w:tcW w:w="9369" w:type="dxa"/>
            <w:tcBorders/>
            <w:vAlign w:val="center"/>
          </w:tcPr>
          <w:p>
            <w:pPr>
              <w:pStyle w:val="TableContents"/>
              <w:bidi w:val="0"/>
              <w:spacing w:before="0" w:after="283"/>
              <w:jc w:val="both"/>
              <w:rPr/>
            </w:pPr>
            <w:r>
              <w:rPr/>
              <w:t>NO EMPLOYMENT/SERVICE RIGHTS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Neither the action of the Company in establishing or restating the Plan, nor any action taken by the Plan Administrator hereunder, nor any provision of the Plan shall be construed so as to grant any individual the right to remain in the employ or service of the Company (or any parent or subsidiary corporation) for any period of specific duration, and the Company (or any parent or subsidiary corporation retaining the services of such individual) may terminate such individual’s employment or service at any time and for any reason, with or without cause.</w:t>
      </w:r>
    </w:p>
    <w:p>
      <w:pPr>
        <w:pStyle w:val="TextBody"/>
        <w:bidi w:val="0"/>
        <w:spacing w:before="0" w:after="0"/>
        <w:ind w:left="0" w:right="0" w:firstLine="144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1040"/>
        <w:gridCol w:w="9069"/>
      </w:tblGrid>
      <w:tr>
        <w:trPr/>
        <w:tc>
          <w:tcPr>
            <w:tcW w:w="9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pPr>
            <w:r>
              <w:rPr/>
              <w:t>VII.</w:t>
            </w:r>
          </w:p>
        </w:tc>
        <w:tc>
          <w:tcPr>
            <w:tcW w:w="9069" w:type="dxa"/>
            <w:tcBorders/>
            <w:vAlign w:val="center"/>
          </w:tcPr>
          <w:p>
            <w:pPr>
              <w:pStyle w:val="TableContents"/>
              <w:bidi w:val="0"/>
              <w:spacing w:before="0" w:after="283"/>
              <w:jc w:val="both"/>
              <w:rPr/>
            </w:pPr>
            <w:r>
              <w:rPr/>
              <w:t>MISCELLANEOUS PROVISIONS</w:t>
            </w:r>
          </w:p>
        </w:tc>
      </w:tr>
    </w:tbl>
    <w:p>
      <w:pPr>
        <w:pStyle w:val="TextBody"/>
        <w:bidi w:val="0"/>
        <w:spacing w:before="0" w:after="0"/>
        <w:jc w:val="left"/>
        <w:rPr/>
      </w:pPr>
      <w:r>
        <w:rPr/>
        <w:t> </w:t>
      </w:r>
    </w:p>
    <w:p>
      <w:pPr>
        <w:pStyle w:val="TextBody"/>
        <w:bidi w:val="0"/>
        <w:spacing w:before="0" w:after="0"/>
        <w:ind w:left="0" w:right="0" w:firstLine="1440"/>
        <w:jc w:val="both"/>
        <w:rPr>
          <w:sz w:val="20"/>
        </w:rPr>
      </w:pPr>
      <w:r>
        <w:rPr>
          <w:sz w:val="20"/>
        </w:rPr>
        <w:t>A.                Except to the extent otherwise expressly provided in the Plan, the right to acquire Common Stock or other awards under the Plan may not be assigned, encumbered or otherwise transferred by any grantee.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B.                 Awards issued under the Plan shall be subject to any clawback policy of the Company as in effect from time-to-time. No recovery of compensation under any such policy will be an event giving rise to a right to resign for “good reason” or be deemed a “constructive termination” (or any similar term) as such terms are used in any agreement between any grantee and the Company.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C.                 The provisions of the Plan relating to the exercise of options and the issuance and/or vesting of shares shall be governed by the laws of the State of Delaware without resort to that state’s conflict-of-laws provisions, as such laws are applied to contracts entered into and performed in such State.</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D.                The Plan is intended to be an unfunded plan. Grantees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pStyle w:val="TextBody"/>
        <w:bidi w:val="0"/>
        <w:spacing w:before="0" w:after="0"/>
        <w:ind w:left="0" w:right="0" w:firstLine="1440"/>
        <w:jc w:val="both"/>
        <w:rPr/>
      </w:pPr>
      <w:r>
        <w:rPr/>
        <w:t> </w:t>
      </w:r>
    </w:p>
    <w:p>
      <w:pPr>
        <w:pStyle w:val="TextBody"/>
        <w:bidi w:val="0"/>
        <w:spacing w:before="0" w:after="0"/>
        <w:ind w:left="0" w:right="0" w:firstLine="1440"/>
        <w:jc w:val="both"/>
        <w:rPr>
          <w:sz w:val="20"/>
        </w:rPr>
      </w:pPr>
      <w:r>
        <w:rPr>
          <w:sz w:val="20"/>
        </w:rPr>
        <w:t xml:space="preserve">E.                 </w:t>
      </w:r>
      <w:r>
        <w:rPr>
          <w:b/>
          <w:sz w:val="20"/>
          <w:u w:val="single"/>
        </w:rPr>
        <w:t>Awards to Non-U.S. Employees</w:t>
      </w:r>
      <w:r>
        <w:rPr>
          <w:sz w:val="20"/>
        </w:rPr>
        <w:t>. The Committee shall have the power and authority to determine which subsidiary corporations shall be covered by this Plan and which employees outside the United States shall be eligible to participate in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or retirement or on termination of employment; available methods of exercise or settlement of an award; payment of income, social insurance contributions and payroll taxes; the withholding procedures and handling of any stock certificates or other indicia of ownership which vary with local requirements. The Committee may also adopt rules, procedures or sub-plans applicable to particular subsidiary corporations or locations.</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ind w:left="0" w:right="0" w:firstLine="1440"/>
        <w:jc w:val="both"/>
        <w:rPr/>
      </w:pPr>
      <w:r>
        <w:rPr/>
        <w:t> </w:t>
      </w:r>
    </w:p>
    <w:p>
      <w:pPr>
        <w:pStyle w:val="TextBody"/>
        <w:bidi w:val="0"/>
        <w:spacing w:before="0" w:after="0"/>
        <w:jc w:val="center"/>
        <w:rPr>
          <w:sz w:val="20"/>
        </w:rPr>
      </w:pPr>
      <w:r>
        <w:rPr>
          <w:sz w:val="20"/>
        </w:rPr>
        <w:t>22</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12349</Words>
  <Characters>64025</Characters>
  <CharactersWithSpaces>78154</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