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right="234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March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right="2360"/>
        <w:spacing w:after="0" w:line="459" w:lineRule="auto"/>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tc>
        <w:tc>
          <w:tcPr>
            <w:tcW w:w="4120" w:type="dxa"/>
            <w:vAlign w:val="bottom"/>
          </w:tcPr>
          <w:p>
            <w:pPr>
              <w:spacing w:after="0"/>
              <w:rPr>
                <w:sz w:val="20"/>
                <w:szCs w:val="20"/>
                <w:color w:val="auto"/>
              </w:rPr>
            </w:pPr>
          </w:p>
        </w:tc>
      </w:tr>
      <w:tr>
        <w:trPr>
          <w:trHeight w:val="373"/>
        </w:trPr>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40" w:type="dxa"/>
            <w:vAlign w:val="bottom"/>
            <w:gridSpan w:val="3"/>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234"/>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6"/>
        </w:trPr>
        <w:tc>
          <w:tcPr>
            <w:tcW w:w="2940" w:type="dxa"/>
            <w:vAlign w:val="bottom"/>
          </w:tcPr>
          <w:p>
            <w:pPr>
              <w:spacing w:after="0"/>
              <w:rPr>
                <w:sz w:val="24"/>
                <w:szCs w:val="24"/>
                <w:color w:val="auto"/>
              </w:rPr>
            </w:pPr>
          </w:p>
        </w:tc>
        <w:tc>
          <w:tcPr>
            <w:tcW w:w="420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20" w:type="dxa"/>
            <w:vAlign w:val="bottom"/>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56"/>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57"/>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7"/>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4120" w:type="dxa"/>
            <w:vAlign w:val="bottom"/>
          </w:tcPr>
          <w:p>
            <w:pPr>
              <w:spacing w:after="0"/>
              <w:rPr>
                <w:sz w:val="24"/>
                <w:szCs w:val="24"/>
                <w:color w:val="auto"/>
              </w:rPr>
            </w:pPr>
          </w:p>
        </w:tc>
      </w:tr>
      <w:tr>
        <w:trPr>
          <w:trHeight w:val="256"/>
        </w:trPr>
        <w:tc>
          <w:tcPr>
            <w:tcW w:w="71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41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27703</w:t>
            </w:r>
          </w:p>
        </w:tc>
      </w:tr>
      <w:tr>
        <w:trPr>
          <w:trHeight w:val="257"/>
        </w:trPr>
        <w:tc>
          <w:tcPr>
            <w:tcW w:w="71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r>
        <w:trPr>
          <w:trHeight w:val="481"/>
        </w:trPr>
        <w:tc>
          <w:tcPr>
            <w:tcW w:w="2940" w:type="dxa"/>
            <w:vAlign w:val="bottom"/>
          </w:tcPr>
          <w:p>
            <w:pPr>
              <w:spacing w:after="0"/>
              <w:rPr>
                <w:sz w:val="24"/>
                <w:szCs w:val="24"/>
                <w:color w:val="auto"/>
              </w:rPr>
            </w:pPr>
          </w:p>
        </w:tc>
        <w:tc>
          <w:tcPr>
            <w:tcW w:w="348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+1-919-859-1302</w:t>
            </w:r>
          </w:p>
        </w:tc>
        <w:tc>
          <w:tcPr>
            <w:tcW w:w="7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40" w:type="dxa"/>
            <w:vAlign w:val="bottom"/>
            <w:gridSpan w:val="3"/>
          </w:tcPr>
          <w:p>
            <w:pPr>
              <w:jc w:val="center"/>
              <w:ind w:right="3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5"/>
        </w:trPr>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20" w:type="dxa"/>
            <w:vAlign w:val="bottom"/>
          </w:tcPr>
          <w:p>
            <w:pPr>
              <w:spacing w:after="0"/>
              <w:rPr>
                <w:sz w:val="24"/>
                <w:szCs w:val="24"/>
                <w:color w:val="auto"/>
              </w:rPr>
            </w:pPr>
          </w:p>
        </w:tc>
      </w:tr>
      <w:tr>
        <w:trPr>
          <w:trHeight w:val="202"/>
        </w:trPr>
        <w:tc>
          <w:tcPr>
            <w:tcW w:w="2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r>
      <w:tr>
        <w:trPr>
          <w:trHeight w:val="244"/>
        </w:trPr>
        <w:tc>
          <w:tcPr>
            <w:tcW w:w="2940" w:type="dxa"/>
            <w:vAlign w:val="bottom"/>
            <w:tcBorders>
              <w:left w:val="single" w:sz="8" w:color="auto"/>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72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940" w:type="dxa"/>
            <w:vAlign w:val="bottom"/>
            <w:tcBorders>
              <w:left w:val="single" w:sz="8" w:color="auto"/>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8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BCRX</w:t>
            </w:r>
          </w:p>
        </w:tc>
        <w:tc>
          <w:tcPr>
            <w:tcW w:w="72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5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x</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03"/>
        </w:trPr>
        <w:tc>
          <w:tcPr>
            <w:tcW w:w="2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spacing w:after="0"/>
              <w:rPr>
                <w:sz w:val="17"/>
                <w:szCs w:val="17"/>
                <w:color w:val="auto"/>
              </w:rPr>
            </w:pPr>
          </w:p>
        </w:tc>
        <w:tc>
          <w:tcPr>
            <w:tcW w:w="5520" w:type="dxa"/>
            <w:vAlign w:val="bottom"/>
          </w:tcPr>
          <w:p>
            <w:pPr>
              <w:ind w:left="1520"/>
              <w:spacing w:after="0" w:line="203" w:lineRule="exact"/>
              <w:rPr>
                <w:sz w:val="20"/>
                <w:szCs w:val="20"/>
                <w:color w:val="auto"/>
              </w:rPr>
            </w:pPr>
            <w:r>
              <w:rPr>
                <w:rFonts w:ascii="Times New Roman" w:cs="Times New Roman" w:eastAsia="Times New Roman" w:hAnsi="Times New Roman"/>
                <w:sz w:val="18"/>
                <w:szCs w:val="18"/>
                <w:color w:val="auto"/>
              </w:rPr>
              <w:t>Smaller reporting company</w:t>
            </w:r>
          </w:p>
        </w:tc>
      </w:tr>
      <w:tr>
        <w:trPr>
          <w:trHeight w:val="198"/>
        </w:trPr>
        <w:tc>
          <w:tcPr>
            <w:tcW w:w="2720" w:type="dxa"/>
            <w:vAlign w:val="bottom"/>
          </w:tcPr>
          <w:p>
            <w:pPr>
              <w:spacing w:after="0"/>
              <w:rPr>
                <w:sz w:val="17"/>
                <w:szCs w:val="17"/>
                <w:color w:val="auto"/>
              </w:rPr>
            </w:pPr>
          </w:p>
        </w:tc>
        <w:tc>
          <w:tcPr>
            <w:tcW w:w="2800" w:type="dxa"/>
            <w:vAlign w:val="bottom"/>
          </w:tcPr>
          <w:p>
            <w:pPr>
              <w:ind w:left="1100"/>
              <w:spacing w:after="0" w:line="198" w:lineRule="exact"/>
              <w:rPr>
                <w:sz w:val="20"/>
                <w:szCs w:val="20"/>
                <w:color w:val="auto"/>
              </w:rPr>
            </w:pPr>
            <w:r>
              <w:rPr>
                <w:rFonts w:ascii="Wingdings" w:cs="Wingdings" w:eastAsia="Wingdings" w:hAnsi="Wingdings"/>
                <w:sz w:val="18"/>
                <w:szCs w:val="18"/>
                <w:b w:val="1"/>
                <w:bCs w:val="1"/>
                <w:color w:val="auto"/>
              </w:rPr>
              <w:t>o</w:t>
            </w: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r>
        <w:trPr>
          <w:trHeight w:val="248"/>
        </w:trPr>
        <w:tc>
          <w:tcPr>
            <w:tcW w:w="27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5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198"/>
        </w:trPr>
        <w:tc>
          <w:tcPr>
            <w:tcW w:w="2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520" w:type="dxa"/>
            <w:vAlign w:val="bottom"/>
          </w:tcPr>
          <w:p>
            <w:pPr>
              <w:ind w:left="5360"/>
              <w:spacing w:after="0" w:line="198" w:lineRule="exact"/>
              <w:rPr>
                <w:sz w:val="20"/>
                <w:szCs w:val="20"/>
                <w:color w:val="auto"/>
              </w:rPr>
            </w:pPr>
            <w:r>
              <w:rPr>
                <w:rFonts w:ascii="Wingdings" w:cs="Wingdings" w:eastAsia="Wingdings" w:hAnsi="Wingdings"/>
                <w:sz w:val="18"/>
                <w:szCs w:val="18"/>
                <w:b w:val="1"/>
                <w:bCs w:val="1"/>
                <w:color w:val="auto"/>
                <w:w w:val="86"/>
              </w:rPr>
              <w:t>o</w:t>
            </w:r>
          </w:p>
        </w:tc>
      </w:tr>
    </w:tbl>
    <w:p>
      <w:pPr>
        <w:spacing w:after="0" w:line="297" w:lineRule="exact"/>
        <w:rPr>
          <w:sz w:val="24"/>
          <w:szCs w:val="24"/>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2025, the registrant had 209,250,274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300" w:type="dxa"/>
            <w:vAlign w:val="bottom"/>
            <w:gridSpan w:val="9"/>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6"/>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59"/>
        </w:trPr>
        <w:tc>
          <w:tcPr>
            <w:tcW w:w="20" w:type="dxa"/>
            <w:vAlign w:val="bottom"/>
          </w:tcPr>
          <w:p>
            <w:pPr>
              <w:spacing w:after="0"/>
              <w:rPr>
                <w:sz w:val="24"/>
                <w:szCs w:val="24"/>
                <w:color w:val="auto"/>
              </w:rPr>
            </w:pPr>
          </w:p>
        </w:tc>
        <w:tc>
          <w:tcPr>
            <w:tcW w:w="4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16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237"/>
        </w:trPr>
        <w:tc>
          <w:tcPr>
            <w:tcW w:w="20" w:type="dxa"/>
            <w:vAlign w:val="bottom"/>
          </w:tcPr>
          <w:p>
            <w:pPr>
              <w:spacing w:after="0"/>
              <w:rPr>
                <w:sz w:val="20"/>
                <w:szCs w:val="20"/>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Months Ended March 31, 2025 and 2024</w:t>
            </w:r>
          </w:p>
        </w:tc>
        <w:tc>
          <w:tcPr>
            <w:tcW w:w="10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0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for the Three Months Ended March 31, 2025 and 2024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6320" w:type="dxa"/>
            <w:vAlign w:val="bottom"/>
            <w:gridSpan w:val="8"/>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00" w:type="dxa"/>
            <w:vAlign w:val="bottom"/>
            <w:gridSpan w:val="4"/>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00" w:type="dxa"/>
            <w:vAlign w:val="bottom"/>
            <w:gridSpan w:val="6"/>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000" w:type="dxa"/>
            <w:vAlign w:val="bottom"/>
            <w:gridSpan w:val="10"/>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420" w:type="dxa"/>
            <w:vAlign w:val="bottom"/>
            <w:gridSpan w:val="12"/>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720" w:type="dxa"/>
            <w:vAlign w:val="bottom"/>
            <w:gridSpan w:val="15"/>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440" w:type="dxa"/>
            <w:vAlign w:val="bottom"/>
            <w:gridSpan w:val="13"/>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160" w:type="dxa"/>
            <w:vAlign w:val="bottom"/>
            <w:gridSpan w:val="17"/>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20"/>
                <w:szCs w:val="20"/>
                <w:color w:val="auto"/>
              </w:rPr>
            </w:pPr>
          </w:p>
        </w:tc>
      </w:tr>
      <w:tr>
        <w:trPr>
          <w:trHeight w:val="2673"/>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within the meaning of Section 21E of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“Exchange Act”), which are subject to the “safe harbor” created in Section 21E. In particular, statements about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beliefs, plans, objectives or assumptions of future events or performance are contained or incorporated by reference in this report.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other than statements of historical facts contained herein are forward-looking statements. These forward-looking statements can generally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by the use of words such as “may,” “will,” “intends,” “plans,” “believes,” “anticipates,” “expects,” “estimates,” “predicts,” “potential,”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of these words or similar expressions. Statements that describe our future plans, strategies, intentions, expectations, objectives, goals or prospects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also forward-looking statements. Discussions containing these forward-looking statements are principally contained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sections of this report, as well as any amendments we make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sections in filings with the U.S. Securities and Exchange Commission (“SEC”). These forward-looking statements include, but are not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about:</w:t>
      </w:r>
    </w:p>
    <w:p>
      <w:pPr>
        <w:spacing w:after="0" w:line="166" w:lineRule="exact"/>
        <w:rPr>
          <w:sz w:val="20"/>
          <w:szCs w:val="20"/>
          <w:color w:val="auto"/>
        </w:rPr>
      </w:pPr>
    </w:p>
    <w:p>
      <w:pPr>
        <w:ind w:left="820" w:right="8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development, clinical development, commercialization, or post-marketing studies of our products and product candidates, including ORLADEYO® (berotralstat), BCX17725, avoralstat, and early-stage discovery programs (including our complement inhibitors), and our plans and anticipated timing regarding the same;</w:t>
      </w:r>
    </w:p>
    <w:p>
      <w:pPr>
        <w:spacing w:after="0" w:line="14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and commercialization of best-in-class and first-in-class medicines;</w:t>
      </w:r>
    </w:p>
    <w:p>
      <w:pPr>
        <w:spacing w:after="0" w:line="184"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21"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government stockpiling orders of our products and product candidates, including the timing or likelihood of entering into any U.S. Government stockpile order, the likelihood of the U.S. Government exercising any options under our current procurement contract, and our ability to execute any such order;</w:t>
      </w:r>
    </w:p>
    <w:p>
      <w:pPr>
        <w:spacing w:after="0" w:line="14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198"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21"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the Pharmakon Loan Agreement (as defined below) and to comply with the covenants as set forth in the agreements governing our debt obligations;</w:t>
      </w:r>
    </w:p>
    <w:p>
      <w:pPr>
        <w:spacing w:after="0" w:line="12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3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revenues, expenses, capital requirements, annual cash utilization, and our needs for additional capital or financing;</w:t>
      </w:r>
    </w:p>
    <w:p>
      <w:pPr>
        <w:spacing w:after="0" w:line="184"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(including with respect to the ORLADEYO pediatric program) or regulatory agreements, deferrals, approvals, and other decisions;</w:t>
      </w:r>
    </w:p>
    <w:p>
      <w:pPr>
        <w:spacing w:after="0" w:line="13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to fund our operations or repay our recourse debt obligations;</w:t>
      </w:r>
    </w:p>
    <w:p>
      <w:pPr>
        <w:spacing w:after="0" w:line="18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 projections regarding financial goals, including timing for achieving profitability or positive cash flow; and</w:t>
      </w:r>
    </w:p>
    <w:p>
      <w:pPr>
        <w:spacing w:after="0" w:line="1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18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some of which are summarized in the “</w:t>
      </w:r>
      <w:r>
        <w:rPr>
          <w:rFonts w:ascii="Times New Roman" w:cs="Times New Roman" w:eastAsia="Times New Roman" w:hAnsi="Times New Roman"/>
          <w:sz w:val="18"/>
          <w:szCs w:val="18"/>
          <w:i w:val="1"/>
          <w:iCs w:val="1"/>
          <w:color w:val="auto"/>
        </w:rPr>
        <w:t>Risk Factor Summary</w:t>
      </w:r>
      <w:r>
        <w:rPr>
          <w:rFonts w:ascii="Times New Roman" w:cs="Times New Roman" w:eastAsia="Times New Roman" w:hAnsi="Times New Roman"/>
          <w:sz w:val="18"/>
          <w:szCs w:val="18"/>
          <w:color w:val="auto"/>
        </w:rPr>
        <w:t>”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39" w:lineRule="exact"/>
        <w:rPr>
          <w:sz w:val="20"/>
          <w:szCs w:val="20"/>
          <w:color w:val="auto"/>
        </w:rPr>
      </w:pPr>
    </w:p>
    <w:p>
      <w:pPr>
        <w:ind w:left="820" w:right="26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sustained profitability, and we may need to raise additional capital in the future. If we are unable to raise capital if and when needed, we may need to adjust our operations.</w:t>
      </w:r>
    </w:p>
    <w:p>
      <w:pPr>
        <w:spacing w:after="0" w:line="121" w:lineRule="exact"/>
        <w:rPr>
          <w:rFonts w:ascii="Times New Roman" w:cs="Times New Roman" w:eastAsia="Times New Roman" w:hAnsi="Times New Roman"/>
          <w:sz w:val="18"/>
          <w:szCs w:val="18"/>
          <w:color w:val="auto"/>
        </w:rPr>
      </w:pPr>
    </w:p>
    <w:p>
      <w:pPr>
        <w:ind w:left="820" w:hanging="326"/>
        <w:spacing w:after="0" w:line="255" w:lineRule="auto"/>
        <w:tabs>
          <w:tab w:leader="none" w:pos="8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61" w:lineRule="exact"/>
        <w:rPr>
          <w:rFonts w:ascii="Times New Roman" w:cs="Times New Roman" w:eastAsia="Times New Roman" w:hAnsi="Times New Roman"/>
          <w:sz w:val="18"/>
          <w:szCs w:val="18"/>
          <w:i w:val="1"/>
          <w:iCs w:val="1"/>
          <w:color w:val="auto"/>
        </w:rPr>
      </w:pPr>
    </w:p>
    <w:p>
      <w:pPr>
        <w:ind w:left="820" w:right="80" w:hanging="326"/>
        <w:spacing w:after="0" w:line="258"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42"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21"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 Food and Drug Administration or comparable foreign regulatory authorities approve generic versions of any of our products that receive marketing approval, the sales of our products could be adversely affected.</w:t>
      </w:r>
    </w:p>
    <w:p>
      <w:pPr>
        <w:spacing w:after="0" w:line="134"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spacing w:after="0" w:line="135"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4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spacing w:after="0" w:line="134" w:lineRule="exact"/>
        <w:rPr>
          <w:rFonts w:ascii="Times New Roman" w:cs="Times New Roman" w:eastAsia="Times New Roman" w:hAnsi="Times New Roman"/>
          <w:sz w:val="18"/>
          <w:szCs w:val="18"/>
          <w:color w:val="auto"/>
        </w:rPr>
      </w:pPr>
    </w:p>
    <w:p>
      <w:pPr>
        <w:ind w:left="820" w:right="9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21" w:lineRule="exact"/>
        <w:rPr>
          <w:rFonts w:ascii="Times New Roman" w:cs="Times New Roman" w:eastAsia="Times New Roman" w:hAnsi="Times New Roman"/>
          <w:sz w:val="18"/>
          <w:szCs w:val="18"/>
          <w:color w:val="auto"/>
        </w:rPr>
      </w:pPr>
    </w:p>
    <w:p>
      <w:pPr>
        <w:ind w:left="820" w:right="20" w:hanging="326"/>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spacing w:after="0" w:line="139" w:lineRule="exact"/>
        <w:rPr>
          <w:rFonts w:ascii="Times New Roman" w:cs="Times New Roman" w:eastAsia="Times New Roman" w:hAnsi="Times New Roman"/>
          <w:sz w:val="18"/>
          <w:szCs w:val="18"/>
          <w:color w:val="auto"/>
        </w:rPr>
      </w:pPr>
    </w:p>
    <w:p>
      <w:pPr>
        <w:ind w:left="820" w:right="40" w:hanging="326"/>
        <w:spacing w:after="0" w:line="266"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time-consuming, and unsuccessful. If we fail to secure the rights to patents of others, this could adversely affect our business.</w:t>
      </w:r>
    </w:p>
    <w:p>
      <w:pPr>
        <w:spacing w:after="0" w:line="148"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21"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21" w:lineRule="exact"/>
        <w:rPr>
          <w:rFonts w:ascii="Times New Roman" w:cs="Times New Roman" w:eastAsia="Times New Roman" w:hAnsi="Times New Roman"/>
          <w:sz w:val="18"/>
          <w:szCs w:val="18"/>
          <w:color w:val="auto"/>
        </w:rPr>
      </w:pPr>
    </w:p>
    <w:p>
      <w:pPr>
        <w:ind w:left="820" w:right="60" w:hanging="326"/>
        <w:spacing w:after="0" w:line="261"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Pharmakon Loan Agreement (as defined below)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but not limited to, a material adverse change with respect to us, which could have a material adverse effect on our business.</w:t>
      </w:r>
    </w:p>
    <w:p>
      <w:pPr>
        <w:spacing w:after="0" w:line="152" w:lineRule="exact"/>
        <w:rPr>
          <w:rFonts w:ascii="Times New Roman" w:cs="Times New Roman" w:eastAsia="Times New Roman" w:hAnsi="Times New Roman"/>
          <w:sz w:val="18"/>
          <w:szCs w:val="18"/>
          <w:color w:val="auto"/>
        </w:rPr>
      </w:pPr>
    </w:p>
    <w:p>
      <w:pPr>
        <w:ind w:left="820" w:right="200" w:hanging="326"/>
        <w:spacing w:after="0" w:line="258"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42"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or the facilities of our third-party vendors, incur damage or power is lost for a significant length of time, our operations will be disrupted, which will adversely affect our business.</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incidents and related disruptions in our or our third-party vendors’ information technology systems, as well as challenges with properly managing artificial intelligence, could adversely affect our business.</w:t>
      </w:r>
    </w:p>
    <w:p>
      <w:pPr>
        <w:spacing w:after="0" w:line="134"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alliances, or divestitures could fail to meet our expectations and/or adversely affect our operating results and financial condition.</w:t>
      </w:r>
    </w:p>
    <w:p>
      <w:pPr>
        <w:spacing w:after="0" w:line="134"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21"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hanging="326"/>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spacing w:after="0" w:line="148" w:lineRule="exact"/>
        <w:rPr>
          <w:rFonts w:ascii="Times New Roman" w:cs="Times New Roman" w:eastAsia="Times New Roman" w:hAnsi="Times New Roman"/>
          <w:sz w:val="18"/>
          <w:szCs w:val="18"/>
          <w:color w:val="auto"/>
        </w:rPr>
      </w:pPr>
    </w:p>
    <w:p>
      <w:pPr>
        <w:ind w:left="820" w:hanging="326"/>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3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which could harm our reputation or result in other losses or unexpected expenditure of time and resources.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104,713</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Short-term investments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216,137</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Trade receivables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79,069</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Inventory, net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8,087</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409,977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421,968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inventory,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23,187</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20,323</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12,008</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5,157</w:t>
            </w: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11,644</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113,292</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35"/>
        </w:trPr>
        <w:tc>
          <w:tcPr>
            <w:tcW w:w="8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Royalty financing obligations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139,855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160,384</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7,924</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Royalty financing obligations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466,613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481,053</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Secured term loan</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315,413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314,869</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931,974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966,354</w:t>
            </w: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Preferred stock, $0.01 par value; shares authorized - 5,000; no shares issued and outstanding at March 31, 2025 and</w:t>
            </w: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1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stock, $0.01 par value; shares authorized - 450,000; shares issued and outstanding – 209,208 at March 31,</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2,085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 and 208,543 at December 31, 2024</w:t>
            </w: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1,314,857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1,291,100</w:t>
            </w:r>
          </w:p>
        </w:tc>
        <w:tc>
          <w:tcPr>
            <w:tcW w:w="0" w:type="dxa"/>
            <w:vAlign w:val="bottom"/>
          </w:tcPr>
          <w:p>
            <w:pPr>
              <w:spacing w:after="0"/>
              <w:rPr>
                <w:sz w:val="1"/>
                <w:szCs w:val="1"/>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(1,770,008)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(1,770,040)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(451,927)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(475,934)</w:t>
            </w: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88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88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 Unaudited)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92,761</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3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46,493</w:t>
            </w:r>
          </w:p>
        </w:tc>
      </w:tr>
      <w:tr>
        <w:trPr>
          <w:trHeight w:val="229"/>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59,491</w:t>
            </w:r>
          </w:p>
        </w:tc>
      </w:tr>
      <w:tr>
        <w:trPr>
          <w:trHeight w:val="223"/>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107,249</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50"/>
        </w:trPr>
        <w:tc>
          <w:tcPr>
            <w:tcW w:w="128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29"/>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(24,506)</w:t>
            </w:r>
          </w:p>
        </w:tc>
      </w:tr>
      <w:tr>
        <w:trPr>
          <w:trHeight w:val="230"/>
        </w:trPr>
        <w:tc>
          <w:tcPr>
            <w:tcW w:w="81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gains (losses),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r>
      <w:tr>
        <w:trPr>
          <w:trHeight w:val="250"/>
        </w:trPr>
        <w:tc>
          <w:tcPr>
            <w:tcW w:w="128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(35,014)</w:t>
            </w:r>
          </w:p>
        </w:tc>
      </w:tr>
      <w:tr>
        <w:trPr>
          <w:trHeight w:val="229"/>
        </w:trPr>
        <w:tc>
          <w:tcPr>
            <w:tcW w:w="81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48"/>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(35,379)</w:t>
            </w:r>
          </w:p>
        </w:tc>
      </w:tr>
      <w:tr>
        <w:trPr>
          <w:trHeight w:val="20"/>
        </w:trPr>
        <w:tc>
          <w:tcPr>
            <w:tcW w:w="8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available for sale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48"/>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(35,945)</w:t>
            </w:r>
          </w:p>
        </w:tc>
      </w:tr>
      <w:tr>
        <w:trPr>
          <w:trHeight w:val="20"/>
        </w:trPr>
        <w:tc>
          <w:tcPr>
            <w:tcW w:w="8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5"/>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r>
      <w:tr>
        <w:trPr>
          <w:trHeight w:val="20"/>
        </w:trPr>
        <w:tc>
          <w:tcPr>
            <w:tcW w:w="8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of common stock outstanding: basic</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208,882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206,064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r>
      <w:tr>
        <w:trPr>
          <w:trHeight w:val="20"/>
        </w:trPr>
        <w:tc>
          <w:tcPr>
            <w:tcW w:w="8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of common stock outstanding: diluted</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215,261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206,064</w:t>
            </w:r>
          </w:p>
        </w:tc>
      </w:tr>
      <w:tr>
        <w:trPr>
          <w:trHeight w:val="20"/>
        </w:trPr>
        <w:tc>
          <w:tcPr>
            <w:tcW w:w="12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(35,379)</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Inventory obsolescence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interest expense on royalty financing obligations and secured term loan and amortization of debt issuance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discount on investments,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(47,143)</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(44,569)</w:t>
            </w: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(27,517)</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(53,684)</w:t>
            </w:r>
          </w:p>
        </w:tc>
      </w:tr>
      <w:tr>
        <w:trPr>
          <w:trHeight w:val="189"/>
        </w:trPr>
        <w:tc>
          <w:tcPr>
            <w:tcW w:w="8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 of property and equipment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(88,009)</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117,000</w:t>
            </w: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27,095</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28,756</w:t>
            </w:r>
          </w:p>
        </w:tc>
      </w:tr>
      <w:tr>
        <w:trPr>
          <w:trHeight w:val="189"/>
        </w:trPr>
        <w:tc>
          <w:tcPr>
            <w:tcW w:w="8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proceeds from common stock issued under stock-based compensation plans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issued to directors in lieu of cash retainer</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 taxes paid on stock-based awards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finance lease liabilities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189"/>
        </w:trPr>
        <w:tc>
          <w:tcPr>
            <w:tcW w:w="8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(26,316)</w:t>
            </w:r>
          </w:p>
        </w:tc>
      </w:tr>
      <w:tr>
        <w:trPr>
          <w:trHeight w:val="189"/>
        </w:trPr>
        <w:tc>
          <w:tcPr>
            <w:tcW w:w="8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2"/>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Beginning of period</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106,323</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112,447</w:t>
            </w: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End of period</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106,881</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86,131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0"/>
        </w:trPr>
        <w:tc>
          <w:tcPr>
            <w:tcW w:w="8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84,333</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20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in other assets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106,881</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86,131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0"/>
        </w:trPr>
        <w:tc>
          <w:tcPr>
            <w:tcW w:w="8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taxes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withheld on stock-based awards included in accrued expenses</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r>
      <w:tr>
        <w:trPr>
          <w:trHeight w:val="23"/>
        </w:trPr>
        <w:tc>
          <w:tcPr>
            <w:tcW w:w="8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380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2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DEFICIT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 Unaudited)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continue"/>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208,543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1,291,100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(1,770,040)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(475,934)</w:t>
            </w: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5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 for vesting of</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5"/>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209,208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1,314,857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(1,770,008)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(451,927)</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4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7"/>
                <w:szCs w:val="17"/>
                <w:b w:val="1"/>
                <w:bCs w:val="1"/>
                <w:color w:val="auto"/>
              </w:rPr>
              <w:t>Paid-In</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280" w:type="dxa"/>
            <w:vAlign w:val="bottom"/>
            <w:gridSpan w:val="3"/>
            <w:vMerge w:val="continue"/>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1,222,236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(1,681,159)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(455,528)</w:t>
            </w: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withheld for taxes for vesting of</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5"/>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shares to directors in lieu of cash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1,237,537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(1,716,538)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(476,167)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BIOCRYST PHARMACEUTICALS, INC. NOTES TO CONDENSED CONSOLIDATED FINANCIAL STATEMENTS (In thousands, except per share amounts) (Unaudited)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BioCryst Pharmaceuticals, Inc. (the “Company”) is a global biotechnology company with a deep commitment to improving the lives of people living with hereditary angioedema (“HAE”) and other rare diseases. The Company leverages its expertise in structure-guided drug design with the goal of developing first-in-class or best-in-class oral small-molecule and injectable protein therapeutics to target difficult-to-treat rare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w:t>
      </w:r>
    </w:p>
    <w:p>
      <w:pPr>
        <w:spacing w:after="0" w:line="16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w:t>
      </w:r>
    </w:p>
    <w:p>
      <w:pPr>
        <w:spacing w:after="0" w:line="14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Based on the Company’s expectations for revenue and operating expenses, the Company believes its financial resources available at March 31, 2025 will be sufficient to fund its operations for at least the next 12 months.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among the consolidated entities have been eliminated from the condensed consolidated financial statements. The Company operates and manages its business as one reportable and operating segment (see “</w:t>
      </w:r>
      <w:r>
        <w:rPr>
          <w:rFonts w:ascii="Times New Roman" w:cs="Times New Roman" w:eastAsia="Times New Roman" w:hAnsi="Times New Roman"/>
          <w:sz w:val="18"/>
          <w:szCs w:val="18"/>
          <w:i w:val="1"/>
          <w:iCs w:val="1"/>
          <w:color w:val="auto"/>
        </w:rPr>
        <w:t>Note 12—Segment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w:t>
      </w:r>
    </w:p>
    <w:p>
      <w:pPr>
        <w:spacing w:after="0" w:line="14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financial statements for the fiscal year ended December 31, 2024 and the notes thereto included in the Company’s 2024 Annual Report on Form 10-K as filed with the SEC on February 25, 2025. Interim operating results are not necessarily indicative of operating results for the full fiscal year. The condensed consolidated balance sheet as of December 31, 2024 was derived from the audited consolidated financial statements included in the Company’s most recent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been made relative to the calculation of net product sales,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months ended March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89,272</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Collaborative and other revenues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56"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and sales of peramivir (RAPIVAB/RAPIACTA/PERAMIFLU) to the Company’s licensing partners and to the U.S. Department of Health and Human Services (“HHS”). In the United States, the Company generally ships ORLADEYO directly to patients through a single specialty pharmacy, which is considered its customer. Outside the United States, the Company sells ORLADEYO to specialty distributors and to hospitals and pharmacies, which collectively are considered its customers.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recognizes revenue for sales when the customer obtains control of the product, which generally occurs upon delivery.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reserves for variable consideration such as</w:t>
      </w:r>
    </w:p>
    <w:p>
      <w:pPr>
        <w:spacing w:after="0" w:line="27"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government rebates, such as Medicaid and Medicare Part D reimbursements, and estimated managed care rebates, (ii) estimated chargebacks,</w:t>
      </w:r>
    </w:p>
    <w:p>
      <w:pPr>
        <w:spacing w:after="0" w:line="9" w:lineRule="exact"/>
        <w:rPr>
          <w:rFonts w:ascii="Times New Roman" w:cs="Times New Roman" w:eastAsia="Times New Roman" w:hAnsi="Times New Roman"/>
          <w:sz w:val="18"/>
          <w:szCs w:val="18"/>
          <w:color w:val="auto"/>
        </w:rPr>
      </w:pPr>
    </w:p>
    <w:p>
      <w:pPr>
        <w:ind w:firstLine="8"/>
        <w:spacing w:after="0" w:line="253"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costs of co-payment 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accounts receivable if no payments are required of the Company or a current liability if a payment is required of the Company. Actual amounts of consideration may differ from the Company’s estimates. If actual results vary from estimates, these estimates are adjusted, which would affect net product revenue and earnings in the period such variances become known.</w:t>
      </w:r>
    </w:p>
    <w:p>
      <w:pPr>
        <w:spacing w:after="0" w:line="14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contracts with these third-party payors, (ii) the government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mandated discounts applicable to government-funded programs, and (iii) product distribution information obtained from the Company’s specialty pharmacy regarding payor mix.</w:t>
      </w:r>
    </w:p>
    <w:p>
      <w:pPr>
        <w:spacing w:after="0" w:line="133"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spacing w:after="0" w:line="14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42"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187"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The Company’s primary sources of revenue from these collaborative and other research and development arrangements are license, service and royalty revenues.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4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5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Total restricted cash was $1,691 and $1,610 as of March 31, 2025 and December 31, 2024, respectively, and primarily consisted of $1,400 as of March 31, 2025 and December 31, 2024, for a letter of credit the Company is required to maintain associated with its Birmingham lease. The letter of credit associated with the Birmingham lease of $1,400 is reflected within other assets on the Condensed Consolidated Balance Sheets as of March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spacing w:after="0" w:line="15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Condensed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41" w:lineRule="exact"/>
        <w:rPr>
          <w:sz w:val="20"/>
          <w:szCs w:val="20"/>
          <w:color w:val="auto"/>
        </w:rPr>
      </w:pPr>
    </w:p>
    <w:p>
      <w:pPr>
        <w:jc w:val="both"/>
        <w:ind w:right="80" w:firstLine="486"/>
        <w:spacing w:after="0" w:line="267" w:lineRule="auto"/>
        <w:rPr>
          <w:sz w:val="20"/>
          <w:szCs w:val="20"/>
          <w:color w:val="auto"/>
        </w:rPr>
      </w:pPr>
      <w:r>
        <w:rPr>
          <w:rFonts w:ascii="Times New Roman" w:cs="Times New Roman" w:eastAsia="Times New Roman" w:hAnsi="Times New Roman"/>
          <w:sz w:val="18"/>
          <w:szCs w:val="18"/>
          <w:color w:val="auto"/>
        </w:rPr>
        <w:t>Assets measured at fair value on a recurring basis include investments (See “</w:t>
      </w:r>
      <w:r>
        <w:rPr>
          <w:rFonts w:ascii="Times New Roman" w:cs="Times New Roman" w:eastAsia="Times New Roman" w:hAnsi="Times New Roman"/>
          <w:sz w:val="18"/>
          <w:szCs w:val="18"/>
          <w:i w:val="1"/>
          <w:iCs w:val="1"/>
          <w:color w:val="auto"/>
        </w:rPr>
        <w:t>Note 3—Investments</w:t>
      </w:r>
      <w:r>
        <w:rPr>
          <w:rFonts w:ascii="Times New Roman" w:cs="Times New Roman" w:eastAsia="Times New Roman" w:hAnsi="Times New Roman"/>
          <w:sz w:val="18"/>
          <w:szCs w:val="18"/>
          <w:color w:val="auto"/>
        </w:rPr>
        <w:t>”). There were no liabilities measured at fair value on a recurring basis as of March 31, 2025 and December 31, 2024. The carrying amounts reflected in the Condensed Consolidated Balance Sheets for cash and cash equivalents, trade receivables, prepaid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current assets, accounts payable and accrued expenses approximate their fair values due to the short-term nature of these assets and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royalty receivables from the Company’s partners, including Shionogi &amp; Co., Ltd., Green Cross, and Torii (See “</w:t>
      </w:r>
      <w:r>
        <w:rPr>
          <w:rFonts w:ascii="Times New Roman" w:cs="Times New Roman" w:eastAsia="Times New Roman" w:hAnsi="Times New Roman"/>
          <w:sz w:val="18"/>
          <w:szCs w:val="18"/>
          <w:i w:val="1"/>
          <w:iCs w:val="1"/>
          <w:color w:val="auto"/>
        </w:rPr>
        <w:t>Note 11—Collaborative and Other Relationships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primarily relates to ORLADEYO. Additionally, the Company’s inventory includes peramivir.</w:t>
      </w:r>
    </w:p>
    <w:p>
      <w:pPr>
        <w:spacing w:after="0" w:line="19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inventory at the lower of cost or estimated net realizable value. The Company determines the cost of its inventory on a first-in, first-out (FIFO) basis. Raw materials and work-in-process include all inventory costs prior to packaging and labeling, including raw material, active product ingredient, and the drug product. Finished goods include packaged and labeled products. The Company classifies inventory as long-term when consumption or sale of the inventory is not expected to occur within 12 months from the balance sheet date.</w:t>
      </w:r>
    </w:p>
    <w:p>
      <w:pPr>
        <w:spacing w:after="0" w:line="13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Company’s inventory is subject to expiration dating. At each reporting date, the Company evaluates the carrying value of its inventory and provides valuation reserves for any estimated excess,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 Additionally, the Company’s inventory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product in the Condensed Consolidated Statements of Comprehensive Income (Loss).</w:t>
      </w:r>
    </w:p>
    <w:p>
      <w:pPr>
        <w:spacing w:after="0" w:line="14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the Company expenses costs relating to production of pre-launch inventory as research and development expense in its Condensed Consolidated Statements of Comprehensive Income (Loss) in the period incurred. After regulatory approval has been received, the Company capitalizes inventory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spacing w:after="0" w:line="13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written down to their estimated fair values. Property and equipment to be disposed of are reported at the lower of carrying amount or fair value less cost to sell.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8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4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The Company accrues costs for clinical trial activities based upon estimates of the actual work completed in accordance with agreements established with third-party vendors. If the Company underestimates or overestimates the level of these costs, actual expenses could differ from such estimates. As of March 31, 2025 and December 31, 2024, the carrying value of accrued expenses approximates their fair value due to their short-term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8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includes the cost of producing inventory that is related to product revenue during the respective period, including freight. Cost of product sales may also include costs related to excess or obsolete inventory adjustment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future research and development activities are deferred and capitalized. Such amounts are recognized as expense when the related goods are delivered or the related services are performed.</w:t>
      </w:r>
    </w:p>
    <w:p>
      <w:pPr>
        <w:spacing w:after="0" w:line="14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w:t>
      </w:r>
    </w:p>
    <w:p>
      <w:pPr>
        <w:spacing w:after="0" w:line="14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Indirect costs of the Company’s clinical programs include lab supplies and services, facility expenses, depreciation of development equipment and an allocation of its general and administrative overhead costs that support the Company’s research and development efforts.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Industrial Research, Ltd., and the University of Alabama at Birmingham (“UAB”), which require fees related to sublicense agreements. The Company accrues sublicense expenses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35"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All patent related costs are expensed to selling, general and administrative expenses when incurred as recoverability of such expenditures is uncertain.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and finance leases, which consist of real estate leases, laboratory equipment leases and office equipment leases as of March 31, 2025. The Company determines whether a contract is, or contains, a lease at inception.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leases. The Company elected the practical expedient that exempts leases with an initial lease term of twelve months or less, as well as the practical expedient that allows companies to select, by class of underlying asset, not to separate lease and non-lease components.</w:t>
      </w:r>
    </w:p>
    <w:p>
      <w:pPr>
        <w:spacing w:after="0" w:line="143"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Condensed Consolidated Balance Sheets represent payments over the lease term, which include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60" w:lineRule="exact"/>
        <w:rPr>
          <w:sz w:val="20"/>
          <w:szCs w:val="20"/>
          <w:color w:val="auto"/>
        </w:rPr>
      </w:pPr>
    </w:p>
    <w:p>
      <w:pPr>
        <w:ind w:right="60" w:firstLine="486"/>
        <w:spacing w:after="0" w:line="312" w:lineRule="auto"/>
        <w:rPr>
          <w:sz w:val="20"/>
          <w:szCs w:val="20"/>
          <w:color w:val="auto"/>
        </w:rPr>
      </w:pPr>
      <w:r>
        <w:rPr>
          <w:rFonts w:ascii="Times New Roman" w:cs="Times New Roman" w:eastAsia="Times New Roman" w:hAnsi="Times New Roman"/>
          <w:sz w:val="17"/>
          <w:szCs w:val="17"/>
          <w:color w:val="auto"/>
        </w:rPr>
        <w:t>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w:t>
      </w:r>
    </w:p>
    <w:p>
      <w:pPr>
        <w:spacing w:after="0" w:line="9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leases; therefore, the Company has no corresponding liability recorded on its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to value its stock option awards and recognize compensation expense on a straight-line basis over the requisite service period.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restricted stock unit awards for which no compensation expense is recognized until it is probable that the performance condition will be achieved. Actual results, and future changes in estimates, may differ substantially from the Company’s current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Deferred Financing Costs and Royalty Financing Obligations</w:t>
      </w:r>
    </w:p>
    <w:p>
      <w:pPr>
        <w:spacing w:after="0" w:line="187"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color w:val="auto"/>
        </w:rPr>
        <w:t>Interest expense primarily relates to the royalty financing obligations (see “</w:t>
      </w:r>
      <w:r>
        <w:rPr>
          <w:rFonts w:ascii="Times New Roman" w:cs="Times New Roman" w:eastAsia="Times New Roman" w:hAnsi="Times New Roman"/>
          <w:sz w:val="18"/>
          <w:szCs w:val="18"/>
          <w:i w:val="1"/>
          <w:iCs w:val="1"/>
          <w:color w:val="auto"/>
        </w:rPr>
        <w:t>Note 6—Royalty Financing Obligations</w:t>
      </w:r>
      <w:r>
        <w:rPr>
          <w:rFonts w:ascii="Times New Roman" w:cs="Times New Roman" w:eastAsia="Times New Roman" w:hAnsi="Times New Roman"/>
          <w:sz w:val="18"/>
          <w:szCs w:val="18"/>
          <w:color w:val="auto"/>
        </w:rPr>
        <w:t>”) and the term loan borrowings under the Pharmakon Loan Agreement (see “</w:t>
      </w:r>
      <w:r>
        <w:rPr>
          <w:rFonts w:ascii="Times New Roman" w:cs="Times New Roman" w:eastAsia="Times New Roman" w:hAnsi="Times New Roman"/>
          <w:sz w:val="18"/>
          <w:szCs w:val="18"/>
          <w:i w:val="1"/>
          <w:iCs w:val="1"/>
          <w:color w:val="auto"/>
        </w:rPr>
        <w:t>Note 7—Deb</w:t>
      </w:r>
      <w:r>
        <w:rPr>
          <w:rFonts w:ascii="Times New Roman" w:cs="Times New Roman" w:eastAsia="Times New Roman" w:hAnsi="Times New Roman"/>
          <w:sz w:val="18"/>
          <w:szCs w:val="18"/>
          <w:color w:val="auto"/>
        </w:rPr>
        <w:t>t”) during the three months ended March 31, 2025 and 2024.</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Costs directly associated with the borrowings have been capitalized and are netted against the corresponding debt liabilities on the Condensed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4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future earnings in each of the jurisdictions in which the Company operates and the period over which its deferred tax assets will be recoverable.</w:t>
      </w:r>
    </w:p>
    <w:p>
      <w:pPr>
        <w:spacing w:after="0" w:line="143"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U.S. GAAP. Uncertain tax positions are recorded based upon certain recognition and measurement criteria. The Company re-evaluates uncertain tax positions and considers various factors, including, but not limited to, changes in tax law and the measurement of tax positions taken or expected to be taken in tax returns. The Company adjusts the amount of the liability to reflect any subsequent changes in the relevant facts and circumstances surrounding the uncertain tax positions. The Company recognizes interest and penalties related to income tax matters in income tax expense.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in fiscal year 2021, the Company began accruing for U.S. state taxes and foreign income taxes as a result of increased nexus in both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foreign jurisdictions where historically the Company had no presence and where no net operating losses had historically been established.</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five-year period for activities performed within the U.S. or a 15-year period for activities performed outside the U.S. The new amortization period begins with the midpoint of any taxable year that IRC Section 174 costs are first incurred, regardless of whether the expenditures were made prior to or after July 1, and runs until the midpoint of year six for activities conducted in the U.S. or year sixteen in the case of development conducted on foreign soil.</w:t>
      </w:r>
    </w:p>
    <w:p>
      <w:pPr>
        <w:spacing w:after="0" w:line="14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Certain countries in which the Company has operations have adopted legislation influenced by the Organization for Economic Cooperation and Development (“OECD”) Pillar Two rules, including a minimum tax rate of 15%. It is uncertain whether the U.S. will enact legislation to adopt the Pillar Two framework. While the Company is currently not within the scope of the rules, it is continuing to review and evaluate additional guidance released by the OECD, along with the pending legislative adoption by additional individual countries where the Company operates.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The functional currency of each of the Company’s foreign subsidiaries is primarily the local currency of the country in which the subsidiary operates. The Company’s asset and liability accounts are translated at the current exchange rate as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gains (losses), net, within the Condensed Consolidated Statement of Comprehensive Income (Loss).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Basic net income (loss) per share is based upon the weighted average number of common shares outstanding during the period. Diluted net income (loss) per share is based upon the weighted average number of common shares outstanding and potentially dilutive common shares during the period as determined by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0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Income (Loss). There were no realized gains or losses reclassified out of accumulated other comprehensive income for the three months ended March 31, 2025 and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primary sources of revenue and cash flow are the sales of ORLADEYO in the United States.</w:t>
      </w:r>
    </w:p>
    <w:p>
      <w:pPr>
        <w:spacing w:after="0" w:line="18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 Revenue where the specialty pharmacy is considered the customer was approximately 84% and 87% of total net revenues for the three months ended March 31, 2025 and 2024, respectively.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distributing ORLADEYO in other global markets directly or through other parties.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18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spacing w:after="0" w:line="13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right="1600" w:firstLine="486"/>
        <w:spacing w:after="0" w:line="453" w:lineRule="auto"/>
        <w:rPr>
          <w:sz w:val="20"/>
          <w:szCs w:val="20"/>
          <w:color w:val="auto"/>
        </w:rPr>
      </w:pPr>
      <w:r>
        <w:rPr>
          <w:rFonts w:ascii="Times New Roman" w:cs="Times New Roman" w:eastAsia="Times New Roman" w:hAnsi="Times New Roman"/>
          <w:sz w:val="18"/>
          <w:szCs w:val="18"/>
          <w:color w:val="auto"/>
        </w:rPr>
        <w:t xml:space="preserve">There have been no new accounting pronouncements adopted by the Company during the three months ended March 31, 2025. </w:t>
      </w:r>
      <w:r>
        <w:rPr>
          <w:rFonts w:ascii="Times New Roman" w:cs="Times New Roman" w:eastAsia="Times New Roman" w:hAnsi="Times New Roman"/>
          <w:sz w:val="18"/>
          <w:szCs w:val="18"/>
          <w:b w:val="1"/>
          <w:bCs w:val="1"/>
          <w:i w:val="1"/>
          <w:iCs w:val="1"/>
          <w:color w:val="auto"/>
        </w:rPr>
        <w:t>New Accounting Pronouncements Not Yet Adopted</w:t>
      </w:r>
    </w:p>
    <w:p>
      <w:pPr>
        <w:spacing w:after="0" w:line="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expects adoption of this ASU will result in additional disclosures but does not expect it will have a material effect on the Company’s consolidated balance sheet, statement of comprehensive income (loss), or statement of cash flows.</w:t>
      </w:r>
    </w:p>
    <w:p>
      <w:pPr>
        <w:spacing w:after="0" w:line="1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evaluating the impact of adopting ASU 2024-03.</w:t>
      </w:r>
    </w:p>
    <w:p>
      <w:pPr>
        <w:spacing w:after="0" w:line="143" w:lineRule="exact"/>
        <w:rPr>
          <w:sz w:val="20"/>
          <w:szCs w:val="20"/>
          <w:color w:val="auto"/>
        </w:rPr>
      </w:pPr>
    </w:p>
    <w:p>
      <w:pPr>
        <w:ind w:right="340" w:firstLine="486"/>
        <w:spacing w:after="0" w:line="461" w:lineRule="auto"/>
        <w:rPr>
          <w:sz w:val="20"/>
          <w:szCs w:val="20"/>
          <w:color w:val="auto"/>
        </w:rPr>
      </w:pPr>
      <w:r>
        <w:rPr>
          <w:rFonts w:ascii="Times New Roman" w:cs="Times New Roman" w:eastAsia="Times New Roman" w:hAnsi="Times New Roman"/>
          <w:sz w:val="18"/>
          <w:szCs w:val="18"/>
          <w:color w:val="auto"/>
        </w:rPr>
        <w:t xml:space="preserve">The Company does not expect any other recently issued accounting standards to have a material impact to its financial statements or disclosures. </w:t>
      </w: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months ended March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ORLADEYO:</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79,966</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of U.S.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ORLADEYO</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92,761</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ORLADEYO revenues represent total revenues from product sales, collaborative revenues, and royalties. Other revenues primarily relate to the Company’s product sales and royalties for peramivir.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individual country outside of the U.S. exceeded 10% of total revenues for the three months ended March 31, 2025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5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fixed income investments. These valuations are based on observable direct and indirect inputs, primarily quoted prices of similar, but not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identical, instruments in active markets or quoted prices for identical or similar instruments in markets that are not active. These fair values are obtained from independent pricing services.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3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and its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210,450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210,450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210,450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Quoted Price in</w:t>
            </w:r>
          </w:p>
        </w:tc>
        <w:tc>
          <w:tcPr>
            <w:tcW w:w="140" w:type="dxa"/>
            <w:vAlign w:val="bottom"/>
          </w:tcPr>
          <w:p>
            <w:pPr>
              <w:spacing w:after="0"/>
              <w:rPr>
                <w:sz w:val="14"/>
                <w:szCs w:val="14"/>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3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and its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236,460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236,460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two securities with a total estimated fair value of $19,738 in an unrealized loss position. The Company believes the individual unrealized losses represent temporary declines primarily resulting from interest rate changes. The Company does not have an intent to sell these investments, and it is more likely than not that the investments will be held until recovery of their amortized cost basis. As such, no allowance was recognized.</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8"/>
        </w:trPr>
        <w:tc>
          <w:tcPr>
            <w:tcW w:w="35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209,203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4"/>
                <w:szCs w:val="14"/>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5"/>
                <w:szCs w:val="15"/>
                <w:color w:val="auto"/>
              </w:rPr>
            </w:pPr>
          </w:p>
        </w:tc>
        <w:tc>
          <w:tcPr>
            <w:tcW w:w="13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58"/>
        </w:trPr>
        <w:tc>
          <w:tcPr>
            <w:tcW w:w="35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234,902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March 31, 2025 and December 31, 2024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8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peramivir. At March 31, 2025 and December 31, 2024, receivables, net of reserves, related to sales of ORLADEYO were $90,487 and $76,282, respectively. At March 31, 2025 and December 31, 2024, receivables related to sales of peramivir were $1,202 and $564,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0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receivables from collaborations related to receivables from the Company’s royalty partners and were $1,705 and $2,223,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1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 Company’s inventory primarily related to ORLADEYO. Inventory also included peramivir, which is primarily manufactured for the Company’s partners.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inventories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Financing Obligations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spacing w:after="0" w:line="14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60"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spacing w:after="0" w:line="14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spacing w:after="0" w:line="16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4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19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Pharmakon Loan Agreement (as defined in Note 7 herein), as applicable. See “</w:t>
      </w:r>
      <w:r>
        <w:rPr>
          <w:rFonts w:ascii="Times New Roman" w:cs="Times New Roman" w:eastAsia="Times New Roman" w:hAnsi="Times New Roman"/>
          <w:sz w:val="18"/>
          <w:szCs w:val="18"/>
          <w:i w:val="1"/>
          <w:iCs w:val="1"/>
          <w:color w:val="auto"/>
        </w:rPr>
        <w:t>Note 7—Debt</w:t>
      </w:r>
      <w:r>
        <w:rPr>
          <w:rFonts w:ascii="Times New Roman" w:cs="Times New Roman" w:eastAsia="Times New Roman" w:hAnsi="Times New Roman"/>
          <w:sz w:val="18"/>
          <w:szCs w:val="18"/>
          <w:color w:val="auto"/>
        </w:rPr>
        <w: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As of March 31, 2025 and December 31, 2024, the carrying value of the royalty financing obligations under the Royalty Purchase Agreements approximated fair value and was measured based on the Company’s current estimates of future payments to RPI and OMERS over the lives of the agreements, which are considered Level 3 inputs. The Company utilizes the prospective method to account for subsequent changes in the estimated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internal projections of future net product sales, which are based on key assumptions, including paid patients and price.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In such case of excess payments relative to interest accretion for the next twelve months, the excess payments are considered to be a short-term liability and classified within current liabilities on the Company’s Condensed Consolidated Balance Sheets.</w:t>
      </w:r>
    </w:p>
    <w:p>
      <w:pPr>
        <w:spacing w:after="0" w:line="16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significant changes to the amount and timing of expected royalties under the Royalty Purchase Agreements based on the Company’s latest forecasts related to ORLADEYO sales.</w:t>
      </w:r>
    </w:p>
    <w:p>
      <w:pPr>
        <w:spacing w:after="0" w:line="12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royalty financing obligations activity for the three months ended March 31, 2025 (in thousands) as well as the effective interest rate as of March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2020 RPI</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2021 RPI</w:t>
            </w: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OMERS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5"/>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40" w:type="dxa"/>
            <w:vAlign w:val="bottom"/>
          </w:tcPr>
          <w:p>
            <w:pPr>
              <w:spacing w:after="0"/>
              <w:rPr>
                <w:sz w:val="23"/>
                <w:szCs w:val="2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3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180,413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181,140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152,176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513,729</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Royalty financing obligations</w:t>
            </w: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revenues paid and payable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(13,486)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178,351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180,119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142,448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500,918</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47"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Cash paid for interest on the royalty financing obligations was $14,549 and $15,612 for the three months ended March 31, 2025 and 2024, respectively.</w:t>
      </w:r>
    </w:p>
    <w:p>
      <w:pPr>
        <w:spacing w:after="0" w:line="135"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Royalty financing obligations liabilities and the associated deferred issuance costs are amortized using the effective interest method over the term of the arrangement.</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Pharmakon Loan Agreement</w:t>
      </w:r>
    </w:p>
    <w:p>
      <w:pPr>
        <w:spacing w:after="0" w:line="18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“Tranche A Loan”) funded on April 17, 2023 (the “Tranche A Closing Date”). The Company used a portion of the proceeds from the Tranche A Loan to repay the $241,787 of outstanding indebtedness (principal and interest due as of April 17, 2023) under the then-existing credit facility with Athyrium Opportunities III Co-Invest 1 LP (the “Athyrium Credit Agreement”) and to pay associated transaction costs and fees, and used the remaining net proceeds of $25,805 for other general corporate purposes.</w:t>
      </w:r>
    </w:p>
    <w:p>
      <w:pPr>
        <w:spacing w:after="0" w:line="15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Pharmakon Loan Agreement also provided for three additional term loan tranches, at the Company’s option, in principal amounts of $50,000 each (each a “Subsequent Tranche Loan” and, collectively with the Tranche A Loan, the “Pharmakon Term Loans” and each, a “Pharmakon Term Loan”), which could have been requested on or prior to September 30, 2024. The Company chose not to request any Subsequent Tranche Loans and the options have since expired. The maturity date of the Pharmakon Loan Agreement is April 17, 2028 (the “Maturity Date”), the fifth anniversary of the Tranche A Closing Date.</w:t>
      </w:r>
    </w:p>
    <w:p>
      <w:pPr>
        <w:spacing w:after="0" w:line="143"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bear interest at a rate equal to the three-month Secured Overnight Financing Rate (“SOFR”), which shall be no less than 1.75%, plus 7.00%, per annum or, for each interest period in which a Pharmakon PIK Interest Payment was made, with respect to the Tranche A Loan, SOFR plus 7.25%, per annum.</w:t>
      </w:r>
    </w:p>
    <w:p>
      <w:pPr>
        <w:spacing w:after="0" w:line="13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Tranche A Loan accrued interest at an effective interest rate of 12.31% and 13.34% for the three months ended March 31, 2025 and 2024, respectively.</w:t>
      </w:r>
    </w:p>
    <w:p>
      <w:pPr>
        <w:spacing w:after="0" w:line="13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if the Company had requested any Subsequent Tranche Loans, certain funding fees would have been required to be paid.</w:t>
      </w:r>
    </w:p>
    <w:p>
      <w:pPr>
        <w:spacing w:after="0" w:line="14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spacing w:after="0" w:line="14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spacing w:after="0" w:line="14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Pharmakon Loan Agreement are secured by a security interest in, subject to certain exceptions, substantially all of the Company’s assets.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total borrowings of $300,000 under the Pharmakon Loan Agreement. Interest expense on the Tranche A Loan for the three months ended March 31, 2025 was $9,153, all of which was paid at the end of the quarterly period. As of March 31, 2025, borrowings, including the prior period Pharmakon PIK Interest Payments, totaled $323,704.</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total borrowings of $300,000 under the Pharmakon Loan Agreement. Interest expense on the Tranche A Loan for the three months ended March 31, 2024 was $9,974. As allowable under the Pharmakon Loan Agreement, the Company designated and accounted for 50% of the quarterly interest payment for the three months ended March 31, 2024 as a Pharmakon PIK Interest Payment and the total amount of $4,987 was added to the outstanding principal balance of the borrowing. The remaining 50% of the total quarterly interest payment of $4,987 was paid at the end of the quarterly period. As of March 31, 2024, borrowings, including the Pharmakon PIK Interest Payments, totaled $318,650.</w:t>
      </w:r>
    </w:p>
    <w:p>
      <w:pPr>
        <w:spacing w:after="0" w:line="15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debt approximates its carrying value based on prevailing interest rates as of the balance sheet date and is considered as Level 2 in the fair value hierarchy.</w:t>
      </w:r>
    </w:p>
    <w:p>
      <w:pPr>
        <w:spacing w:after="0" w:line="12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Incurred debt fees and issuance costs associated with the Tranche A Loan under the Pharmakon Loan Agreement totaled $11,147 and have been deferred and are being amortized as interest expense on an effective interest rate method over the remaining term of the Tranche A Loan. Deferred financing amortization of $544 and $266 was recognized for the three months ended March 31, 2025 and 2024, respectively.</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On April 18, 2025, the Company made a prepayment on the Pharmakon Term Loan. See </w:t>
      </w:r>
      <w:r>
        <w:rPr>
          <w:rFonts w:ascii="Times New Roman" w:cs="Times New Roman" w:eastAsia="Times New Roman" w:hAnsi="Times New Roman"/>
          <w:sz w:val="18"/>
          <w:szCs w:val="18"/>
          <w:i w:val="1"/>
          <w:iCs w:val="1"/>
          <w:color w:val="auto"/>
        </w:rPr>
        <w:t>“Note 15—Subsequent Events”</w:t>
      </w:r>
      <w:r>
        <w:rPr>
          <w:rFonts w:ascii="Times New Roman" w:cs="Times New Roman" w:eastAsia="Times New Roman" w:hAnsi="Times New Roman"/>
          <w:sz w:val="18"/>
          <w:szCs w:val="18"/>
          <w:color w:val="auto"/>
        </w:rPr>
        <w:t xml:space="preserve">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18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assets under operating leases, which primarily consist of real estate leases, and finance leases, which generally consist of laboratory equipment leases and office equipment leases, as of March 31, 2025. The Company’s real estate agreements expire at various times between 2025 through 2030 and include renewal options that are three years in length.</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under operating and finance leases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0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5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tc>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34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7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8.9 years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years</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2.7 years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0" w:type="dxa"/>
            <w:vAlign w:val="bottom"/>
          </w:tcPr>
          <w:p>
            <w:pPr>
              <w:spacing w:after="0"/>
              <w:rPr>
                <w:sz w:val="1"/>
                <w:szCs w:val="1"/>
                <w:color w:val="auto"/>
              </w:rPr>
            </w:pPr>
          </w:p>
        </w:tc>
      </w:tr>
      <w:tr>
        <w:trPr>
          <w:trHeight w:val="234"/>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0" w:type="dxa"/>
            <w:vAlign w:val="bottom"/>
          </w:tcPr>
          <w:p>
            <w:pPr>
              <w:spacing w:after="0"/>
              <w:rPr>
                <w:sz w:val="1"/>
                <w:szCs w:val="1"/>
                <w:color w:val="auto"/>
              </w:rPr>
            </w:pPr>
          </w:p>
        </w:tc>
      </w:tr>
      <w:tr>
        <w:trPr>
          <w:trHeight w:val="900"/>
        </w:trPr>
        <w:tc>
          <w:tcPr>
            <w:tcW w:w="5340" w:type="dxa"/>
            <w:vAlign w:val="bottom"/>
          </w:tcPr>
          <w:p>
            <w:pPr>
              <w:spacing w:after="0"/>
              <w:rPr>
                <w:sz w:val="24"/>
                <w:szCs w:val="24"/>
                <w:color w:val="auto"/>
              </w:rPr>
            </w:pPr>
          </w:p>
        </w:tc>
        <w:tc>
          <w:tcPr>
            <w:tcW w:w="258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4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operating leases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50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5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5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Right of 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63"/>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lease liabilities –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0" w:type="dxa"/>
            <w:vAlign w:val="bottom"/>
          </w:tcPr>
          <w:p>
            <w:pPr>
              <w:spacing w:after="0"/>
              <w:rPr>
                <w:sz w:val="1"/>
                <w:szCs w:val="1"/>
                <w:color w:val="auto"/>
              </w:rPr>
            </w:pPr>
          </w:p>
        </w:tc>
      </w:tr>
      <w:tr>
        <w:trPr>
          <w:trHeight w:val="244"/>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0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Condensed Consolidated Balance Sheets of the Company’s finance leases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5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5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Right of 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63"/>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Finance lease liabilities –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4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Operating lease assets are recorded net of accumulated amortization of $2,504 and $6,065 as of March 31, 2025 and December 31, 2024, respectively. Finance lease assets are recorded net of accumulated amortization of $4,445 and $4,059 as of March 31, 2025 and December 31, 2024, respectively.</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March 31, 2025 are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CCEEFF"/>
            </w:tcBorders>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51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6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5"/>
        </w:trPr>
        <w:tc>
          <w:tcPr>
            <w:tcW w:w="8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0"/>
        </w:trPr>
        <w:tc>
          <w:tcPr>
            <w:tcW w:w="8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 obtained in exchange for finance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increase to operating lease assets due to remeasurement of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18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February 27, 2024,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ectPr>
          <w:pgSz w:w="11900" w:h="16838" w:orient="portrait"/>
          <w:cols w:equalWidth="0" w:num="1">
            <w:col w:w="11240"/>
          </w:cols>
          <w:pgMar w:left="320" w:top="121" w:right="339" w:bottom="144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 of Common Stock</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Stock Incentive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Inducement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future issuance under the Employee Stock Purchase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580" w:type="dxa"/>
            <w:vAlign w:val="bottom"/>
            <w:gridSpan w:val="2"/>
            <w:vMerge w:val="continue"/>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7"/>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0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21, 2025, subject to stockholder approval at the Company’s annual meeting of stockholders to be held on June 12, 2025. The Inducement Plan was most recently amended and restated by the Company’s Board of Directors on October 26, 2023. The ESPP was most recently amended and restated by the Company’s Board of Directors on July 7, 2023.</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Incentive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ESPP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Incentive Plan:</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1"/>
                <w:szCs w:val="21"/>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1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52"/>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Vested</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19,232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16"/>
                <w:szCs w:val="16"/>
                <w:color w:val="auto"/>
              </w:rPr>
            </w:pPr>
          </w:p>
        </w:tc>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0"/>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695"/>
        </w:trPr>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513"/>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28,844</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0" w:type="dxa"/>
            <w:vAlign w:val="bottom"/>
          </w:tcPr>
          <w:p>
            <w:pPr>
              <w:spacing w:after="0"/>
              <w:rPr>
                <w:sz w:val="1"/>
                <w:szCs w:val="1"/>
                <w:color w:val="auto"/>
              </w:rPr>
            </w:pPr>
          </w:p>
        </w:tc>
      </w:tr>
      <w:tr>
        <w:trPr>
          <w:trHeight w:val="869"/>
        </w:trPr>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8"/>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4"/>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100"/>
            <w:col w:w="3060"/>
          </w:cols>
          <w:pgMar w:left="320" w:top="121" w:right="339" w:bottom="1440" w:gutter="0" w:footer="0" w:header="0"/>
        </w:sectPr>
      </w:pPr>
    </w:p>
    <w:p>
      <w:pPr>
        <w:spacing w:after="0" w:line="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Incentive Plan, the fair value of the awards is determined based on the market value of the Company’s shares on the grant date. The weighted average grant date fair value of these awards granted during the first three months of 2025 and 2024 was $8.96 and $5.30, respectively. The fair value of the restricted stock unit awards is amortized to expense over the vesting periods using a straight-line expense attribution method.</w:t>
      </w:r>
    </w:p>
    <w:p>
      <w:pPr>
        <w:spacing w:after="0" w:line="15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unvested restricted stock unit awards granted under the Incentive Plan was $49,129, which is expected to be recognized over a weighted average period of 1.6 years.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Inducement Plan:</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16"/>
                <w:szCs w:val="16"/>
                <w:color w:val="auto"/>
              </w:rPr>
            </w:pPr>
          </w:p>
        </w:tc>
        <w:tc>
          <w:tcPr>
            <w:tcW w:w="13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00" w:type="dxa"/>
            <w:vAlign w:val="bottom"/>
          </w:tcPr>
          <w:p>
            <w:pPr>
              <w:spacing w:after="0"/>
              <w:rPr>
                <w:sz w:val="19"/>
                <w:szCs w:val="19"/>
                <w:color w:val="auto"/>
              </w:rPr>
            </w:pPr>
          </w:p>
        </w:tc>
        <w:tc>
          <w:tcPr>
            <w:tcW w:w="10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5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ind w:left="124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7.92</w:t>
            </w:r>
          </w:p>
        </w:tc>
        <w:tc>
          <w:tcPr>
            <w:tcW w:w="1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486"/>
        </w:trPr>
        <w:tc>
          <w:tcPr>
            <w:tcW w:w="7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Inducement Plan: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2025</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restricted stock unit awards granted under the Inducement Plan, the fair value of the awards is determined based on the market value of the Company’s shares on the grant date. The weighted average grant date fair value of these awards granted during the first three months of 2025 and 2024 was $8.35 and $5.25, respectively. The fair value of the restricted stock unit awards is amortized to expense over the vesting periods using a straight-line expense attribution method.</w:t>
      </w:r>
    </w:p>
    <w:p>
      <w:pPr>
        <w:spacing w:after="0" w:line="15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unvested restricted stock unit awards granted under the Inducement Plan was $4,802, which is expected to be recognized over a weighted average period of 1.6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Assumptions for Stock Option Awards Granted to Employees and Directors under the Incentive and Inducement Plans</w:t>
      </w:r>
    </w:p>
    <w:p>
      <w:pPr>
        <w:spacing w:after="0" w:line="1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Incentive Plan during the three months ended March 31, 2025. There were no stock option awards granted under the Incentive Plan during the three months ended March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2"/>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6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r>
      <w:tr>
        <w:trPr>
          <w:trHeight w:val="26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6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r>
    </w:tbl>
    <w:p>
      <w:pPr>
        <w:spacing w:after="0" w:line="25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unvested stock option awards granted under the Incentive Plan was $51,515, which is expected to be recognized over a weighted average period of 1.4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Equity Incentive Plan</w:t>
      </w:r>
    </w:p>
    <w:p>
      <w:pPr>
        <w:spacing w:after="0" w:line="187"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the Inducement Plan during the three months ended March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r>
    </w:tbl>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unvested stock option awards granted under the Inducement Plan was $7,117, which is expected to be recognized over a weighted average period of 1.3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87"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reserved a total of 7,975 shares of common stock to be purchased under the ESPP, of which 4,841 shares remain available for purchase as of March 31, 2025. During the three months ended March 31, 2025 and March 31, 2024, the Company issued 202 and 251 shares under the ESPP,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ORLADEYO</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Torii Pharmaceutical Co.,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(“Torii”)</w:t>
      </w:r>
    </w:p>
    <w:p>
      <w:pPr>
        <w:spacing w:after="0" w:line="20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w:t>
      </w:r>
    </w:p>
    <w:p>
      <w:pPr>
        <w:spacing w:after="0" w:line="148"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Company identified performance obligations under the Original Torii Agreement related to (i) the license to develop and commercialize ORLADEYO, (ii) regulatory approval support, and (iii) reimbursement pricing approval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5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spacing w:after="0" w:line="143"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Torii’s updated royalty payment obligations commenced on November 30, 2023 and expire upon the later of (i) the tenth anniversary of the date of first commercial sale of ORLADEYO in Japan, (ii) the expiration of the Company’s patents covering ORLADEYO, and (iii) the expiration of regulatory exclusivity for ORLADEYO in Japan.</w:t>
      </w:r>
    </w:p>
    <w:p>
      <w:pPr>
        <w:spacing w:after="0" w:line="135"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Peramivir Injection (RAPIVAB, RAPIACTA, PERAMIFLU)</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U.S. Department of Health and Human Services (“HHS”)</w:t>
      </w:r>
    </w:p>
    <w:p>
      <w:pPr>
        <w:spacing w:after="0" w:line="18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September 2024, the HHS awarded the Company up to a $69,388 contract for the procurement of up to 95.6 thousand doses over a five-year period of RAPIVAB (peramivir injection) for the treatment of influenza. The contract, awarded by the HHS Office of the Administration for Strategic Preparedness and Response (“ASPR”), will supply the Center for the Strategic National Stockpile, the nation’s largest supply of life-saving pharmaceuticals and medical supplies for use in a public health emergency. The contract is structured with a 12-month base ordering period and four optional 12-month ordering periods, which the government can exercise on an annual basis. ASPR executed the first ordering period for $13,878 and the Company plans to supply 19.1 thousand doses to fulfill this option by September 29, 2025. The Company delivered 8.3 thousand doses of peramivir under this contract in the first quarter of 2025 and recorded revenue of $5,997 for the three months ended March 31, 2025. As the contract was entered into in September 2024, there were no doses delivered and no revenue recorded for the three months ended March 31, 2024.</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Shionogi &amp; Co., Ltd. (“Shionogi”)</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owes sublicense payments to UAB on any future milestone payments and/or royalties received by the Company from Shionogi.</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Green Cross Corporation (“Green Cross”)</w:t>
      </w:r>
    </w:p>
    <w:p>
      <w:pPr>
        <w:spacing w:after="0" w:line="20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Collaborations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Clearside Biomedical, Inc. (“Clearside”)</w:t>
      </w:r>
    </w:p>
    <w:p>
      <w:pPr>
        <w:spacing w:after="0" w:line="20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w:t>
      </w:r>
    </w:p>
    <w:p>
      <w:pPr>
        <w:spacing w:after="0" w:line="13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Under the Clearside Agreement, Clearside received a $5,000 upfront license fee from the Company, which was recognized in research and development expenses during the year ended December 31, 2023.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centered around its commercialized product, ORLADEYO, and its pipeline with the goal of developing first-in-class or best-in-class oral small-molecule and injectable protein therapeutics to target difficult-to-treat rare diseases. The determination of a single segment is consistent with the 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spacing w:after="0" w:line="14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consolidated net income (loss). This measure is used to monitor budget versus actual results to evaluate the performance of the segment. The CODM uses consolidated cash, cash equivalents and investments as the measure of segment assets. As of March 31, 2025 and December 31, 2024, the Company’s cash, cash equivalents, and investments were $315,640 and $341,173, respectively.</w:t>
      </w:r>
    </w:p>
    <w:p>
      <w:pPr>
        <w:spacing w:after="0" w:line="13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illustrates information about segment revenues, significant segment expenses, and segment net income (loss) for the three months ended March 31, 2025 and 2024 (in thousands):</w:t>
      </w: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28575</wp:posOffset>
            </wp:positionV>
            <wp:extent cx="1945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Less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Cost of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Berotralstat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 D Program</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BCX17725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Other research, preclinical and development costs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(gains) losses, net</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 (loss)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92,761</w:t>
            </w:r>
          </w:p>
        </w:tc>
      </w:tr>
      <w:tr>
        <w:trPr>
          <w:trHeight w:val="756"/>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486"/>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w:t>
            </w:r>
          </w:p>
        </w:tc>
      </w:tr>
      <w:tr>
        <w:trPr>
          <w:trHeight w:val="256"/>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57"/>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r>
      <w:tr>
        <w:trPr>
          <w:trHeight w:val="257"/>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w:t>
            </w:r>
          </w:p>
        </w:tc>
      </w:tr>
      <w:tr>
        <w:trPr>
          <w:trHeight w:val="257"/>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59,491</w:t>
            </w:r>
          </w:p>
        </w:tc>
      </w:tr>
      <w:tr>
        <w:trPr>
          <w:trHeight w:val="257"/>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6"/>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57"/>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r>
      <w:tr>
        <w:trPr>
          <w:trHeight w:val="263"/>
        </w:trPr>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50"/>
        </w:trPr>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(35,379)</w:t>
            </w: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 or loss:</w:t>
            </w: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660" w:type="dxa"/>
            <w:vAlign w:val="bottom"/>
          </w:tcPr>
          <w:p>
            <w:pPr>
              <w:spacing w:after="0"/>
              <w:rPr>
                <w:sz w:val="22"/>
                <w:szCs w:val="22"/>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 (loss)</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00" w:hanging="74"/>
        <w:spacing w:after="0"/>
        <w:tabs>
          <w:tab w:leader="none" w:pos="10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CODM.</w:t>
      </w:r>
    </w:p>
    <w:p>
      <w:pPr>
        <w:spacing w:after="0" w:line="80"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color w:val="auto"/>
        </w:rPr>
        <w:t>All material long-lived assets of the Company reside in the U.S. For geographic information about the Company’s product revenues,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w:t>
      </w:r>
    </w:p>
    <w:p>
      <w:pPr>
        <w:spacing w:after="0" w:line="216"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In January 2025, the Company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w:t>
      </w:r>
    </w:p>
    <w:p>
      <w:pPr>
        <w:spacing w:after="0" w:line="181"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On March 10, 2025, the Company filed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Net Income (Loss) Per Share</w:t>
      </w:r>
    </w:p>
    <w:p>
      <w:pPr>
        <w:spacing w:after="0" w:line="20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for the three months ended March 31, 2025 and 2024 were calculated as follows (in thousands,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206,064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issuable under the employee stock purchase plan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diluted</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securities include outstanding stock options, unvested restricted stock units and shares issuable under the employee stock purchase plan for the three months ended March 31, 2025 and 2024.</w:t>
      </w:r>
    </w:p>
    <w:p>
      <w:pPr>
        <w:spacing w:after="0" w:line="12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outstanding stock options, restricted stock units and shares issuable under the employee stock purchase plan, were assumed to be used to purchase outstanding common stock at the average price during the period. The net share impact of dilutive securities was added to the weighted average basic common shares outstanding to calculate weighted average diluted shares outstanding.</w:t>
      </w:r>
    </w:p>
    <w:p>
      <w:pPr>
        <w:spacing w:after="0" w:line="16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during which the Company recorded a net loss, all potentially dilutive securities have been excluded from the computation of diluted net loss per share as the effect would be to reduce the net loss per share, and thus they are considered “anti-dilutive.” For this period, the weighted average number of shares of common stock outstanding used to calculate both basic and diluted net loss per share of common stock is the same.</w:t>
      </w:r>
    </w:p>
    <w:p>
      <w:pPr>
        <w:spacing w:after="0" w:line="139" w:lineRule="exact"/>
        <w:rPr>
          <w:sz w:val="20"/>
          <w:szCs w:val="20"/>
          <w:color w:val="auto"/>
        </w:rPr>
      </w:pPr>
    </w:p>
    <w:p>
      <w:pPr>
        <w:ind w:right="60" w:firstLine="486"/>
        <w:spacing w:after="0" w:line="264"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as of March 31, 2025 and March 31, 2024, from the computation of diluted net income (loss) per share attributable to common stockholders for the three months ended March 31, 2025 and 2024 because including them would have had an anti-dilutive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89"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On April 18, 2025, as allowable under the Pharmakon Loan Agreement, the Company made a $75,000 partial prepayment on the outstanding principal amount under the Pharmakon Term Loan. In conjunction with the partial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the Company incurred a $2,250 prepayment premium and paid $424 of interest accrued through the payment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II, Item 1A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a global biotechnology company with a deep commitment to improving the lives of people living with hereditary angioedema (“HAE”) and other rare diseases. We leverage our expertise in structure-guided drug design with the goal of developing first-in-class or best-in-class oral small-molecule and injectable protein therapeutics to target difficult-to-treat rare diseases. In addition to our discovery and development efforts, our business strategy includes the successful commercialization of these drugs, as well as self-funding all of these efforts by achieving and increasing profitability. By focusing primarily on rare disease markets, we believe that we can more effectively control the costs of, and our strategic allocation of financial resources toward, post-approval commercialization.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ORLADEYO is an oral capsule, once-daily therapy discovered and developed by us for the prevention of HAE attacks. ORLADEYO is approved in the United States and other global markets for the prevention of HAE attacks in adults and pediatric patients 12 years and older. In addition, the ongoing APeX-P clinical trial, which is complete through the primary endpoint, is continuing to assess an oral granule formulation of ORLADEYO in pediatric patients who are 2 to 11 years of age.</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built out our U.S. commercial infrastructure to support the launch and continued commercialization of ORLADEYO 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continuing to build our commercial infrastructure to support launches in other markets. Based on proprietary analyses of HAE prevalence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research studies with HAE patients, physicians, and payors in the United States and Europe, and four full years of commercialization 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ORLADEYO, we anticipate that the global commercial market for ORLADEYO has the potential to reach a global peak of $1 billion in annual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ORLADEYO revenues. We expect approximately 80 percent of our revenue at peak to come from the United States. These expectations are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numerous risks and uncertainties that may cause our actual results, performance, or achievements to be materially different. There can be no assurance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commercialization methods and strategies will succeed, or that the market for ORLADEYO will develop in line with our current expectations.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Factors—Risks Relating to Our Business—Risks Relating to Drug Development and Commercialization—There can be no assurance that our 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 commercialization efforts, methods, and strategies for our products or technologies will succeed, and our future revenue generation is uncertain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 II, Item 1A of this report for further discussion of these risks.</w:t>
      </w:r>
    </w:p>
    <w:p>
      <w:pPr>
        <w:spacing w:after="0" w:line="16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Revenue from sales of ORLADEYO for the three months ended March 31, 2025 is discussed under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and market trends. We monitor and analyze this data on an ongoing basis as we continue to commercialize ORLADEYO. For example, during the three months ended March 31, 2025, we converted ORLADEYO patients from free product to paid during the prescription reauthorization period at a much faster rate than expected, on top of continued strong patient demand, generating higher than expected ORLADEYO revenue that we expect will continue through the full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BCX17725 (Netherton syndrome)</w:t>
      </w:r>
    </w:p>
    <w:p>
      <w:pPr>
        <w:spacing w:after="0" w:line="200"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BCX17725 is a potent and selective investigational protein therapeutic KLK5 inhibitor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3"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We are developing our investigational plasma kallikrein inhibitor, avoralstat, with Clearside Biomedical, Inc.’s SCS Microinjector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deliver avoralstat to the back of the eye through the suprachoroidal space to treat patients with diabetic macular edema (“DME”).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long-lasting exposure to the retinal vessels, which could result in less frequent injections and a reduced burden on patients and the healthcare system.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 Program</w:t>
      </w:r>
    </w:p>
    <w:p>
      <w:pPr>
        <w:spacing w:after="0" w:line="20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goal of our overall complement program is to advance first-in-class and/or best-in-class compounds across multiple pathways in the complement system to treat complement-mediated diseases. We are pursuing oral medicines and protein therapeutics directed at targets across the classical, lectin, terminal, and alternative pathways of the complement system, including the therapies listed below.</w:t>
      </w:r>
    </w:p>
    <w:p>
      <w:pPr>
        <w:spacing w:after="0" w:line="133"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Oral C5 Inhibitor. </w:t>
      </w:r>
      <w:r>
        <w:rPr>
          <w:rFonts w:ascii="Times New Roman" w:cs="Times New Roman" w:eastAsia="Times New Roman" w:hAnsi="Times New Roman"/>
          <w:sz w:val="18"/>
          <w:szCs w:val="18"/>
          <w:color w:val="auto"/>
        </w:rPr>
        <w:t>We are developing an oral C5 inhibitor that could be the first targeted oral therapy with competitive efficacy to currently-approved injected and infused anti-C5 therapies, such as eculizumab and ravulizumab. A drug with this profile could enable patients to switch from infused therapy and address their disease earlier in the treatment paradigm.</w:t>
      </w:r>
    </w:p>
    <w:p>
      <w:pPr>
        <w:spacing w:after="0" w:line="133"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Oral C2 Inhibitor</w:t>
      </w:r>
      <w:r>
        <w:rPr>
          <w:rFonts w:ascii="Times New Roman" w:cs="Times New Roman" w:eastAsia="Times New Roman" w:hAnsi="Times New Roman"/>
          <w:sz w:val="18"/>
          <w:szCs w:val="18"/>
          <w:color w:val="auto"/>
        </w:rPr>
        <w:t>. We are developing a classical and lectin pathway complement inhibitor. An oral C2 inhibitor developed by us could be first-in-class and allow patients to switch from infused therapy and address their disease earlier in the treatment paradigm.</w:t>
      </w:r>
    </w:p>
    <w:p>
      <w:pPr>
        <w:spacing w:after="0" w:line="131"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Bifunctional Complement Inhibitor</w:t>
      </w:r>
      <w:r>
        <w:rPr>
          <w:rFonts w:ascii="Times New Roman" w:cs="Times New Roman" w:eastAsia="Times New Roman" w:hAnsi="Times New Roman"/>
          <w:sz w:val="18"/>
          <w:szCs w:val="18"/>
          <w:color w:val="auto"/>
        </w:rPr>
        <w:t>. We are developing a bifunctional complement inhibitor anti-C2 monoclonal antibody that could be a first-in-class combined inhibitor of the classical, lectin and alternative pathways of the complement system to treat complex complement-mediated diseases that are influenced by multiple complement pathways.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RAPIVAB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/RAPIACTA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/PERAMIFLU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(peramivir injection)</w:t>
      </w:r>
    </w:p>
    <w:p>
      <w:pPr>
        <w:spacing w:after="0" w:line="187" w:lineRule="exact"/>
        <w:rPr>
          <w:sz w:val="20"/>
          <w:szCs w:val="20"/>
          <w:color w:val="auto"/>
        </w:rPr>
      </w:pPr>
    </w:p>
    <w:p>
      <w:pPr>
        <w:ind w:right="260" w:firstLine="486"/>
        <w:spacing w:after="0" w:line="289" w:lineRule="auto"/>
        <w:rPr>
          <w:sz w:val="20"/>
          <w:szCs w:val="20"/>
          <w:color w:val="auto"/>
        </w:rPr>
      </w:pPr>
      <w:r>
        <w:rPr>
          <w:rFonts w:ascii="Times New Roman" w:cs="Times New Roman" w:eastAsia="Times New Roman" w:hAnsi="Times New Roman"/>
          <w:sz w:val="17"/>
          <w:szCs w:val="17"/>
          <w:color w:val="auto"/>
        </w:rPr>
        <w:t>RAPIVAB (peramivir injection) is approved in the United States for the treatment of acute uncomplicated influenza for patients six months and older. Since the 2009 H1N1 pandemic, RAPIVAB has been an important component of the U.S. Government’s influenza preparedness efforts. Peramivir injection is also approved in Canada (RAPIVAB), Australia (RAPIVAB), Japan (RAPIACTA), Taiwan (RAPIACTA), and Korea (PERAMIFLU).</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18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44"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Part II, Item 1A of this report. Management may be able to control the timing and level of research and development and selling, general and administrative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many of these expenditures will occur irrespective of our actions due to contractually committed activities and/or payments.</w:t>
      </w:r>
    </w:p>
    <w:p>
      <w:pPr>
        <w:spacing w:after="0" w:line="19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ORLADEYO (berotralstat)</w:t>
      </w:r>
    </w:p>
    <w:p>
      <w:pPr>
        <w:spacing w:after="0" w:line="20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February 12, 2025, we announced that Infarmed in Portugal has recommended ORLADEYO for the routine prevention of recurrent attacks of HAE in eligible patients 12 years and older. With this recommendation, ORLADEYO is now reimbursed in all major countries in Western Europe, except the Netherlands, which is expected in the first half of 2025.</w:t>
      </w:r>
    </w:p>
    <w:p>
      <w:pPr>
        <w:spacing w:after="0" w:line="203"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On February 24, 2025, we announced that a new market tracking survey of 60 HAE treaters showed that 97 percent are considering prescribing ORLADEYO and 59 percent (up from 26 percent 18 months prior) of current prescribers indicate they are extremely likely to prescribe for more of their patients. In addition, we announced that additional real-world studies with ORLADEYO show statistically significant HAE attack rate reductions experienced by patients with C1-inhibitor deficiency and normal C1-inhibitor levels and function. Patient-reported outcomes also showed willingness to change long-term prophylaxis and improved treatment satisfaction across varying levels of attack frequency and severity after ORLADEYO initiation.</w:t>
      </w:r>
    </w:p>
    <w:p>
      <w:pPr>
        <w:spacing w:after="0" w:line="21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February 24, 2025, we also announced that we are on track to submit a new drug application (“NDA”) in 2025 to the U.S. Food and Drug Administration (“FDA”) to expand the ORLADEYO label to children with HAE aged 2 to 11 using an oral granule formulation. In addition, we announced positive results from an interim analysis of the ongoing APeX-P clinical trial evaluating an oral granule formulation of ORLADEYO in pediatric patients with HAE aged 2 to 11.</w:t>
      </w:r>
    </w:p>
    <w:p>
      <w:pPr>
        <w:spacing w:after="0" w:line="20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On May 5, 2025, we announced that the percentage of U.S. HAE patients who describe a strong preference for an oral prophylaxis therapy increased to 70 percent, up from 50 percent in 2023, in our latest market survey of HAE patients.</w:t>
      </w:r>
    </w:p>
    <w:p>
      <w:pPr>
        <w:spacing w:after="0" w:line="18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On May 5, 2025, we announced that we have submitted an NDA to the FDA to expand the ORLADEYO label to children with HAE aged 2 to 11 using an oral granule formulation. We also expect to submit regulatory filings in 2025 in global territories, including Europe, Japan and Canada. ORLADEYO would be the first targeted oral prophylactic therapy for children with HAE.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BCX17725 (Netherton syndrome)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24, 2025, we reaffirmed that BCX17725 has advanced into clinical trials and that we expect initial data from the program in 2025.</w:t>
      </w:r>
    </w:p>
    <w:p>
      <w:pPr>
        <w:spacing w:after="0" w:line="198"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On May 5, 2025, we announced that the FDA has cleared our investigational new drug application, which will enable our clinical trial of BCX17725 to enroll patients in the United States. This phase 1 trial is also open in Australia. We also reaffirmed that we expect initial data from the program in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Avoralstat</w:t>
      </w:r>
    </w:p>
    <w:p>
      <w:pPr>
        <w:spacing w:after="0" w:line="18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On February 24, 2025, we reaffirmed our expectation to advance avoralstat into a clinical trial of patients with DME in 2025 and announced that initial clinical data from the avoralstat program is targeted by the end of 2025.</w:t>
      </w:r>
    </w:p>
    <w:p>
      <w:pPr>
        <w:spacing w:after="0" w:line="1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May 5, 2025, we announced that the first clinical trial with suprachoroidal delivery of avoralstat has been granted authorization to proceed in Australia. We also reaffirmed that we expect initial data from patients with DME in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Pharmakon Loan Agreement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18, 2025, we made a partial prepayment of $75.0 million of the outstanding principal amount under the Pharmakon Loan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March 31, 2025 compared to the three months ended March 31, 2024)</w:t>
      </w:r>
    </w:p>
    <w:p>
      <w:pPr>
        <w:spacing w:after="0" w:line="20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total revenues were $145.5 million compared to $92.8 million for the three months ended March 31, 2024. The increase in total revenues was due to a $45.4 million increase in ORLADEYO net revenue, excluding royalties, primarily due to an increase in direct sales of ORLADEYO due to both an increase in volume, driven by strong patient demand and an increase in the rate of paid shipments, and an increase in price. The increase in total revenues was also due to an increase in other revenues of $7.3 million, primarily due to an increase in direct sales of peramivir.</w:t>
      </w:r>
    </w:p>
    <w:p>
      <w:pPr>
        <w:spacing w:after="0" w:line="14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Cost of product sales for the three months ended March 31, 2025 and 2024 was $4.6 million and $1.3 million, respectively. The increase in cost of product sales was primarily due to the increase in peramivir and ORLADEYO sales.</w:t>
      </w:r>
    </w:p>
    <w:p>
      <w:pPr>
        <w:spacing w:after="0" w:line="121"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periods indicated (in thousands). Certain prior period amounts have been reclassified for consistency with the current year presentation. These reclassifications had no effect on the total research and development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by program: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Berotralstat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Factor D Program</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29"/>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BCX17725</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37,270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46,493</w:t>
            </w:r>
          </w:p>
        </w:tc>
      </w:tr>
      <w:tr>
        <w:trPr>
          <w:trHeight w:val="21"/>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to $37.3 million for the three months ended March 31, 2025 from $46.5 million for the three months ended March 31, 2024, primarily due to decreased expenses driven by the discontinuation and close-out of the Factor D programs, BCX10013 and BCX9930, the completion of the majority of Berotralstat clinical development activities in 2024, and a change in general and administrative expense allocations. These decreases were partially offset by an increase in other research, preclinical and development costs, comprised of avoralstat and other early-phase pipeline programs, primarily due to investigational new drug application-enabling activities. Further, there was an increase in stock-based compensation expense as a result of the retirement policy adopted in July 2024 and an increase in restricted stock unit awards outstanding.</w:t>
      </w:r>
    </w:p>
    <w:p>
      <w:pPr>
        <w:spacing w:after="0" w:line="14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spacing w:after="0" w:line="148"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2025 were $82.5 million compared to $59.5 million for the three months ended March 31, 2024. This increase was primarily driven by an increase in commercial expenses to support our growing ORLADEYO revenue, our newly launched regions and expanded international operations, and global commercial support activities across finance, human resources, information technology, and supply chain. Further, there was an increase in stock-based compensation expense as a result of the retirement policy adopted in July 2024 and an increase in restricted stock unit awards outstanding, and an increase in general and administrative expenses resulting from a change in general and administrative expense allocations.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March 31, 2025 was $23.5 million compared to $24.5 million for the three months ended March 31, 2024. Interest expense is primarily comprised of non-cash interest expense due to the amortization of interest associated with the royalty financing obligations and interest expense associated with the borrowings under the Pharmakon Loan Agreement (as defined below), including the amortization of the deferred financing costs, associated with the borrowings under the Pharmakon Loan. The decrease in interest expense was primarily due to the decrease in the effective interest rate related to the Pharmakon Loan Agreement.</w:t>
      </w:r>
    </w:p>
    <w:p>
      <w:pPr>
        <w:spacing w:after="0" w:line="156"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interest income was $3.0 million compared to $4.0 million for the three months ended March 31, 2024. Net foreign currency gains were less than $0.1 million for the three months ended March 31, 2025 compared to losses of $0.1 million for the three months ended March 31, 2024.</w:t>
      </w:r>
    </w:p>
    <w:p>
      <w:pPr>
        <w:spacing w:after="0" w:line="135"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income tax expense was $0.7 million compared to $0.4 million for the three months ended March 31, 2024. The increase in income tax expense was primarily driven by the increase in net income for the three months ended March 31, 2025 compared to the net loss incurred in the three months ended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 funding from other sources, including other collaborative and other research and development agreements, government grants, research grants, and interest income on our investments.</w:t>
      </w:r>
    </w:p>
    <w:p>
      <w:pPr>
        <w:spacing w:after="0" w:line="13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provided for three additional term loan tranches in principal amounts of $50.0 million each, which we could have requested, at our option, on or prior to September 30, 2024. We chose not to request any of the additional term loan tranches and the options have now expired. The maturity date of the Pharmakon Loan Agreement is April 17, 2028. On April 18, 2025, we made a partial prepayment of $75.0 million of the outstanding principal amount under the Pharmakon Loan Agreement.</w:t>
      </w:r>
    </w:p>
    <w:p>
      <w:pPr>
        <w:spacing w:after="0" w:line="16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Pharmakon Loan Agreement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March 31, 2025, we were in compliance with the negative covenants under the Pharmakon Loan Agreement. See “</w:t>
      </w:r>
      <w:r>
        <w:rPr>
          <w:rFonts w:ascii="Times New Roman" w:cs="Times New Roman" w:eastAsia="Times New Roman" w:hAnsi="Times New Roman"/>
          <w:sz w:val="18"/>
          <w:szCs w:val="18"/>
          <w:i w:val="1"/>
          <w:iCs w:val="1"/>
          <w:color w:val="auto"/>
        </w:rPr>
        <w:t>Note 7—Debt</w:t>
      </w:r>
      <w:r>
        <w:rPr>
          <w:rFonts w:ascii="Times New Roman" w:cs="Times New Roman" w:eastAsia="Times New Roman" w:hAnsi="Times New Roman"/>
          <w:sz w:val="18"/>
          <w:szCs w:val="18"/>
          <w:color w:val="auto"/>
        </w:rPr>
        <w:t>” in the Notes to Condensed Consolidated Financial Statements in Part I, Item 1 of this report for additional information about our obligations under the Pharmakon Loan Agreement.</w:t>
      </w:r>
    </w:p>
    <w:p>
      <w:pPr>
        <w:spacing w:after="0" w:line="15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2020 and 2021, we entered into the Royalty Purchase Agreements (as defined in “</w:t>
      </w:r>
      <w:r>
        <w:rPr>
          <w:rFonts w:ascii="Times New Roman" w:cs="Times New Roman" w:eastAsia="Times New Roman" w:hAnsi="Times New Roman"/>
          <w:sz w:val="18"/>
          <w:szCs w:val="18"/>
          <w:i w:val="1"/>
          <w:iCs w:val="1"/>
          <w:color w:val="auto"/>
        </w:rPr>
        <w:t>Note 6—Royalty Financing Obligations</w:t>
      </w:r>
      <w:r>
        <w:rPr>
          <w:rFonts w:ascii="Times New Roman" w:cs="Times New Roman" w:eastAsia="Times New Roman" w:hAnsi="Times New Roman"/>
          <w:sz w:val="18"/>
          <w:szCs w:val="18"/>
          <w:color w:val="auto"/>
        </w:rPr>
        <w:t>” in the Notes to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calendar quarter beginning October 1, 2023. See “</w:t>
      </w:r>
      <w:r>
        <w:rPr>
          <w:rFonts w:ascii="Times New Roman" w:cs="Times New Roman" w:eastAsia="Times New Roman" w:hAnsi="Times New Roman"/>
          <w:sz w:val="18"/>
          <w:szCs w:val="18"/>
          <w:i w:val="1"/>
          <w:iCs w:val="1"/>
          <w:color w:val="auto"/>
        </w:rPr>
        <w:t>Note 6—Royalty Financing Obligations</w:t>
      </w:r>
      <w:r>
        <w:rPr>
          <w:rFonts w:ascii="Times New Roman" w:cs="Times New Roman" w:eastAsia="Times New Roman" w:hAnsi="Times New Roman"/>
          <w:sz w:val="18"/>
          <w:szCs w:val="18"/>
          <w:color w:val="auto"/>
        </w:rPr>
        <w:t>” in the Notes to Condensed Consolidated Financial Statements in Part I, Item 1 of this report for additional information about these financing transactions.</w:t>
      </w:r>
    </w:p>
    <w:p>
      <w:pPr>
        <w:spacing w:after="0" w:line="133"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at March 31, 2025 were approximately $105.2 million in cash and cash equivalents and approximately $210.5 million in available-for-sale investments.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period presented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8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(26,316)</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of $27.5 million consisted primarily of $62.1 million of changes in operating assets and liabilities, primarily due to a decrease in accounts payable and accrued expenses and an increase in receivables, partially offset by $34.6 million of non-cash items, including $14.1 million of non-cash interest expense and $21.4 million of stock-based compensation expense.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of $53.7 million consisted primarily of a net loss of</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$35.4 million and $48.5 million of changes in operating assets and liabilities, primarily due to a decrease in accounts payable and accrued expenses and an increase in accounts receivable, partially offset by $30.2 million of non-cash items, including $19.4 million of non-cash interest expense and $13.7 million of stock-based compensation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of $27.1 million primarily related to maturities of investment securities, partially offset by purchases of investment securities.</w:t>
      </w:r>
    </w:p>
    <w:p>
      <w:pPr>
        <w:spacing w:after="0" w:line="12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investing activities of $28.8 million primarily related to maturities of investment securities, partially offset by purchases of investment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of $0.5 million primarily consisted of net proceeds from common stock issued under stock-based compensation plans, partially offset by withholding taxes paid on stock-based awards and principal payments on finance lease liabilities.</w:t>
      </w:r>
    </w:p>
    <w:p>
      <w:pPr>
        <w:spacing w:after="0" w:line="13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of $1.0 million consisted of withholding taxes paid on stock-based awards and principal payments on finance lease liabilities, partially offset by net proceeds from common stock issued under stock-based compensation plans.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8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and contracting with other parties to conduct certain research and development projects. We may incur additional expenses, potentially resulting in significant losses, as we continue to pursue our research and development activities, commercialize ORLADEYO, and hire additional personnel. We may incur additional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future, we may finance our needs principally from the following:</w:t>
      </w:r>
    </w:p>
    <w:p>
      <w:pPr>
        <w:spacing w:after="0" w:line="185" w:lineRule="exact"/>
        <w:rPr>
          <w:sz w:val="20"/>
          <w:szCs w:val="20"/>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equity and/or debt financing.</w:t>
      </w:r>
    </w:p>
    <w:p>
      <w:pPr>
        <w:spacing w:after="0" w:line="16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w:t>
      </w:r>
    </w:p>
    <w:p>
      <w:pPr>
        <w:spacing w:after="0" w:line="14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amount and timing of funding we receive, if any, from U.S. Government contracts,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w:t>
      </w:r>
    </w:p>
    <w:p>
      <w:pPr>
        <w:spacing w:after="0" w:line="14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Based on our expectations for revenue and operating expenses, we believe our financial resources will be sufficient to fund our operations for at least the next 12 months. We have no immediate need to access the capital markets, and we did not draw down the additional debt available to us under the Pharmakon Loan Agreement. Our liquidity needs will be largely determined by the success of operations in regard to the successful commercialization of our products and the future progression of our product candidates. From time to time, we evaluate other opportunities to fund future operations, including:</w:t>
      </w:r>
    </w:p>
    <w:p>
      <w:pPr>
        <w:spacing w:after="0" w:line="3" w:lineRule="exact"/>
        <w:rPr>
          <w:sz w:val="20"/>
          <w:szCs w:val="20"/>
          <w:color w:val="auto"/>
        </w:rPr>
      </w:pPr>
    </w:p>
    <w:p>
      <w:pPr>
        <w:ind w:right="60" w:firstLine="8"/>
        <w:spacing w:after="0" w:line="251"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will depend upon many factors, including:</w:t>
      </w:r>
    </w:p>
    <w:p>
      <w:pPr>
        <w:spacing w:after="0" w:line="198" w:lineRule="exact"/>
        <w:rPr>
          <w:sz w:val="20"/>
          <w:szCs w:val="20"/>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under any government contracts and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w:t>
      </w:r>
    </w:p>
    <w:p>
      <w:pPr>
        <w:spacing w:after="0" w:line="9" w:lineRule="exact"/>
        <w:rPr>
          <w:rFonts w:ascii="Times New Roman" w:cs="Times New Roman" w:eastAsia="Times New Roman" w:hAnsi="Times New Roman"/>
          <w:sz w:val="18"/>
          <w:szCs w:val="18"/>
          <w:color w:val="auto"/>
        </w:rPr>
      </w:pPr>
    </w:p>
    <w:p>
      <w:pPr>
        <w:ind w:left="1140" w:right="220" w:hanging="322"/>
        <w:spacing w:after="0" w:line="250"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1140" w:right="180" w:hanging="322"/>
        <w:spacing w:after="0" w:line="250"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will share in the costs associated with the development of our programs or run the development programs themselves;</w:t>
      </w:r>
    </w:p>
    <w:p>
      <w:pPr>
        <w:ind w:left="1140" w:hanging="32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1140" w:right="180" w:hanging="322"/>
        <w:spacing w:after="0" w:line="25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NDA filings;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peramivir,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1140" w:right="860" w:hanging="322"/>
        <w:spacing w:after="0" w:line="260"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4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Relating to Our Business—Financial and Liquidity Risks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rFonts w:ascii="Times New Roman" w:cs="Times New Roman" w:eastAsia="Times New Roman" w:hAnsi="Times New Roman"/>
          <w:sz w:val="18"/>
          <w:szCs w:val="18"/>
          <w:color w:val="auto"/>
        </w:rPr>
        <w:t>” in Part II, Item 1A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for further discussion of the risks related to obtaining additional capital.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condensed consolidated financial statements. Certain accounting policies involve significant judgments and assumptions by management that have or are reasonably likely to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4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w:t>
      </w:r>
      <w:r>
        <w:rPr>
          <w:rFonts w:ascii="Times New Roman" w:cs="Times New Roman" w:eastAsia="Times New Roman" w:hAnsi="Times New Roman"/>
          <w:sz w:val="18"/>
          <w:szCs w:val="18"/>
          <w:i w:val="1"/>
          <w:iCs w:val="1"/>
          <w:color w:val="auto"/>
        </w:rPr>
        <w:t>Note 1—Significant Accounting Policies and Concentrations of Risk</w:t>
      </w:r>
      <w:r>
        <w:rPr>
          <w:rFonts w:ascii="Times New Roman" w:cs="Times New Roman" w:eastAsia="Times New Roman" w:hAnsi="Times New Roman"/>
          <w:sz w:val="18"/>
          <w:szCs w:val="18"/>
          <w:color w:val="auto"/>
        </w:rPr>
        <w:t>” 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and sales of peramivir. In the United States, we generally ship ORLADEYO directly to patients through a single specialty pharmacy, which is considered our customer. Outside the United States, we sell ORLADEYO to specialty distributors and to hospitals and pharmacies, which collectively are considered our customers.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 revenue for sales when the customer obtains control of the product, which generally occurs upon delivery.</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Net revenue from sales of ORLADEYO is recorded at net selling price (transaction price), which includes reserves for variable consideration such as</w:t>
      </w:r>
    </w:p>
    <w:p>
      <w:pPr>
        <w:spacing w:after="0" w:line="39"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government rebates, such as Medicaid and Medicare Part D reimbursements, and estimated managed care rebates, (ii) estimated chargebacks,</w:t>
      </w:r>
    </w:p>
    <w:p>
      <w:pPr>
        <w:spacing w:after="0" w:line="9" w:lineRule="exact"/>
        <w:rPr>
          <w:rFonts w:ascii="Times New Roman" w:cs="Times New Roman" w:eastAsia="Times New Roman" w:hAnsi="Times New Roman"/>
          <w:sz w:val="18"/>
          <w:szCs w:val="18"/>
          <w:color w:val="auto"/>
        </w:rPr>
      </w:pPr>
    </w:p>
    <w:p>
      <w:pPr>
        <w:ind w:right="160" w:firstLine="8"/>
        <w:spacing w:after="0" w:line="253"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spacing w:after="0" w:line="144"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We contract with government agencies and managed care organizations or, collectively,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and (iii) product distribution information obtained from our specialty pharmacy regarding payor mix.</w:t>
      </w:r>
    </w:p>
    <w:p>
      <w:pPr>
        <w:spacing w:after="0" w:line="14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 under contracts negotiated between them and our specialty pharmacy. The specialty pharmacy, in turn, charges back to us the difference between the price that the specialty pharmacy paid and the negotiated price paid by the contracted customers, which may be higher or lower than the specialty pharmacy’s purchase price with us. We estimate chargebacks and adjust gross product revenues and establish a current liability at the time revenues are recognized.</w:t>
      </w:r>
    </w:p>
    <w:p>
      <w:pPr>
        <w:spacing w:after="0" w:line="156"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estimate the co-payment assistance amounts, which are recorded in the same period in which the related revenue is recognized, resulting in a reduction of product revenue and establishment of a current liability.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4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Revenues</w:t>
      </w:r>
    </w:p>
    <w:p>
      <w:pPr>
        <w:spacing w:after="0" w:line="20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Our primary sources of revenue from these collaborative and other research and development arrangements are license, service and royalty revenues.</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3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0"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inventory primarily relates to ORLADEYO. Additionally, our inventory includes peramivir.</w:t>
      </w:r>
    </w:p>
    <w:p>
      <w:pPr>
        <w:spacing w:after="0" w:line="19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inventory at the lower of cost or estimated net realizable value. We determine the cost of our inventory on a first-in, first-out (FIFO) basis. Raw materials and work-in-process include all inventory costs prior to packaging and labeling, including raw material, active product ingredient, and the drug product. Finished goods include packaged and labeled products. We classify inventory as long-term when consumption or sale of the inventory is not expected to occur within 12 months from the balance sheet date.</w:t>
      </w:r>
    </w:p>
    <w:p>
      <w:pPr>
        <w:spacing w:after="0" w:line="139" w:lineRule="exact"/>
        <w:rPr>
          <w:sz w:val="20"/>
          <w:szCs w:val="20"/>
          <w:color w:val="auto"/>
        </w:rPr>
      </w:pPr>
    </w:p>
    <w:p>
      <w:pPr>
        <w:jc w:val="both"/>
        <w:ind w:right="100" w:firstLine="486"/>
        <w:spacing w:after="0" w:line="272" w:lineRule="auto"/>
        <w:rPr>
          <w:sz w:val="20"/>
          <w:szCs w:val="20"/>
          <w:color w:val="auto"/>
        </w:rPr>
      </w:pPr>
      <w:r>
        <w:rPr>
          <w:rFonts w:ascii="Times New Roman" w:cs="Times New Roman" w:eastAsia="Times New Roman" w:hAnsi="Times New Roman"/>
          <w:sz w:val="17"/>
          <w:szCs w:val="17"/>
          <w:color w:val="auto"/>
        </w:rPr>
        <w:t>Our inventory is subject to expiration dating. At each reporting date, we evaluate the carrying value of our inventory and provide valuation reserves for any estimated excess, obsolete, short-dated or unmarketable inventory. In addition, we may experience spoilage of our raw materials and supplies. Our determination that a valuation reserve might be required, in addition to the quantification of such reserve, requires us to utilize significant judgment.</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Additionally, our inventory is subject to strict quality control and monitoring that is performed throughout the manufacturing process, including release of work-in-process to finished goods. In the event that certain batches or units of product do not meet quality specifications, we will record a write-down of any potential unmarketable inventory to its estimated net realizable value and record the expense as cost of product in the Condensed Consolidated Statements of Comprehensive Income (Loss).</w:t>
      </w:r>
    </w:p>
    <w:p>
      <w:pPr>
        <w:spacing w:after="0" w:line="14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Prior to obtaining initial regulatory approval for an investigational product candidate, we expense costs relating to production of pre-launch inventory as research and development expense in our Condensed Consolidated Statements of Comprehensive Income (Loss) in the period incurred. After regulatory approval has been received, we capitalize inventory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Accruals</w:t>
      </w:r>
    </w:p>
    <w:p>
      <w:pPr>
        <w:spacing w:after="0" w:line="18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among other items, personnel costs, including salaries and benefits, manufacturing costs, clinical, regulatory, and toxicology services performed by clinical research organizations (“CROs”),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w:t>
      </w:r>
    </w:p>
    <w:p>
      <w:pPr>
        <w:spacing w:after="0" w:line="15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Industrial Research, Ltd., and the University of Alabama at Birmingham (“UAB”), which require fees related to sublicense agreements. We accrue sublicense expenses as incurred.</w:t>
      </w:r>
    </w:p>
    <w:p>
      <w:pPr>
        <w:spacing w:after="0" w:line="135"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We group our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our discovery research efforts.</w:t>
      </w:r>
    </w:p>
    <w:p>
      <w:pPr>
        <w:spacing w:after="0" w:line="14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6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We utilize the Black-Scholes option-pricing model to value our stock option awards and recognize compensation expense on a straight-line basis over the requisite service period.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restricted stock unit awards for which no compensation expense is recognized until it is probable that the performance condition will be achieved. Actual results, and future changes in estimates, may differ substantially from our current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18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Interest expense is accrued using the effective interest rate method over the estimated period each of the related liabilities will be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3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spacing w:after="0" w:line="156"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We recognize interest and penalties related to income tax matters in income tax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1—Significant Accounting Policies and Concentrations of Risk</w:t>
      </w:r>
      <w:r>
        <w:rPr>
          <w:rFonts w:ascii="Times New Roman" w:cs="Times New Roman" w:eastAsia="Times New Roman" w:hAnsi="Times New Roman"/>
          <w:sz w:val="18"/>
          <w:szCs w:val="18"/>
          <w:color w:val="auto"/>
        </w:rPr>
        <w:t>” in the Notes to Condensed Consolidated Financial Statements included in Part I, Item 1 of this report discusses accounting pronouncements recently issued or proposed but not yet required to be adopted.</w:t>
      </w:r>
    </w:p>
    <w:p>
      <w:pPr>
        <w:spacing w:after="0" w:line="1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(as defined in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Condensed Consolidated Financial Statements included in Part I, Item 1 of this report) was made, SOFR plus 7.25%.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increases in interest rates will increase the associated interest payments that we are required to make on the Tranche A Loan. For the three months ended March 31, 2025, interest was accrued at an effective rate of 12.31% on the $300.0 million borrowing under the Pharmakon Loan Agreement.</w:t>
      </w:r>
    </w:p>
    <w:p>
      <w:pPr>
        <w:spacing w:after="0" w:line="16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4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61" w:lineRule="exact"/>
        <w:rPr>
          <w:sz w:val="20"/>
          <w:szCs w:val="20"/>
          <w:color w:val="auto"/>
        </w:rPr>
      </w:pPr>
    </w:p>
    <w:p>
      <w:pPr>
        <w:ind w:right="220" w:firstLine="486"/>
        <w:spacing w:after="0" w:line="312" w:lineRule="auto"/>
        <w:rPr>
          <w:sz w:val="20"/>
          <w:szCs w:val="20"/>
          <w:color w:val="auto"/>
        </w:rPr>
      </w:pPr>
      <w:r>
        <w:rPr>
          <w:rFonts w:ascii="Times New Roman" w:cs="Times New Roman" w:eastAsia="Times New Roman" w:hAnsi="Times New Roman"/>
          <w:sz w:val="17"/>
          <w:szCs w:val="17"/>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89"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three months ended March 31, 2025,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spacing w:after="0" w:line="141"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three months ended March 31, 2025; however, we may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Interim Chief Financial Officer, of the effectiveness of the design and operation of our disclosure controls and procedures. Based upon that evaluation, the Chief Executive Officer and Interim Chief Financial Officer concluded that, as of March 31, 2025,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Interim Chief Financial Officer of the Company, as appropriate to allow timely decisions regarding required disclosure.</w:t>
      </w:r>
    </w:p>
    <w:p>
      <w:pPr>
        <w:spacing w:after="0" w:line="14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As previously disclosed, in January 2025, we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w:t>
      </w:r>
    </w:p>
    <w:p>
      <w:pPr>
        <w:spacing w:after="0" w:line="189" w:lineRule="exact"/>
        <w:rPr>
          <w:sz w:val="20"/>
          <w:szCs w:val="20"/>
          <w:color w:val="auto"/>
        </w:rPr>
      </w:pPr>
    </w:p>
    <w:p>
      <w:pPr>
        <w:ind w:right="260" w:firstLine="486"/>
        <w:spacing w:after="0" w:line="276" w:lineRule="auto"/>
        <w:rPr>
          <w:sz w:val="20"/>
          <w:szCs w:val="20"/>
          <w:color w:val="auto"/>
        </w:rPr>
      </w:pPr>
      <w:r>
        <w:rPr>
          <w:rFonts w:ascii="Times New Roman" w:cs="Times New Roman" w:eastAsia="Times New Roman" w:hAnsi="Times New Roman"/>
          <w:sz w:val="17"/>
          <w:szCs w:val="17"/>
          <w:color w:val="auto"/>
        </w:rPr>
        <w:t>On March 10, 2025, we filed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We are seeking, among other remedies, equitable relief enjoining the Defendants from infringing the Challenged Patents, as well as an order that the e</w:t>
      </w:r>
      <w:r>
        <w:rPr>
          <w:rFonts w:ascii="Arial" w:cs="Arial" w:eastAsia="Arial" w:hAnsi="Arial"/>
          <w:sz w:val="17"/>
          <w:szCs w:val="17"/>
          <w:color w:val="auto"/>
        </w:rPr>
        <w:t>ﬀ</w:t>
      </w:r>
      <w:r>
        <w:rPr>
          <w:rFonts w:ascii="Times New Roman" w:cs="Times New Roman" w:eastAsia="Times New Roman" w:hAnsi="Times New Roman"/>
          <w:sz w:val="17"/>
          <w:szCs w:val="17"/>
          <w:color w:val="auto"/>
        </w:rPr>
        <w:t>ective date of any FDA approval of the ANDA would be a date no earlier than the expiration of the Challenged Patents (including any regulatory extensions). We intend to vigorously defend our intellectual property rights protecting ORLADEYO.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sustained profitability.</w:t>
      </w:r>
    </w:p>
    <w:p>
      <w:pPr>
        <w:spacing w:after="0" w:line="202" w:lineRule="exact"/>
        <w:rPr>
          <w:sz w:val="20"/>
          <w:szCs w:val="20"/>
          <w:color w:val="auto"/>
        </w:rPr>
      </w:pPr>
    </w:p>
    <w:p>
      <w:pPr>
        <w:ind w:right="220" w:firstLine="486"/>
        <w:spacing w:after="0" w:line="253"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Our expectations as to when we may achieve sustained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and maintain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 w:cs="Times New Roman" w:eastAsia="Times New Roman" w:hAnsi="Times New Roman"/>
          <w:sz w:val="18"/>
          <w:szCs w:val="18"/>
          <w:i w:val="1"/>
          <w:iCs w:val="1"/>
          <w:color w:val="auto"/>
        </w:rPr>
        <w:t>Note 6— Royalty Financing Obligations</w:t>
      </w:r>
      <w:r>
        <w:rPr>
          <w:rFonts w:ascii="Times New Roman" w:cs="Times New Roman" w:eastAsia="Times New Roman" w:hAnsi="Times New Roman"/>
          <w:sz w:val="18"/>
          <w:szCs w:val="18"/>
          <w:color w:val="auto"/>
        </w:rPr>
        <w:t>” in the Notes to Condensed Consolidated Financial Statements in Part I, Item 1 of this report), may reduce the profitability of such products.</w:t>
      </w:r>
    </w:p>
    <w:p>
      <w:pPr>
        <w:spacing w:after="0" w:line="15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on our anticipated timeline, or at all, the market value of our common stock will likely decline.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if and when needed, we may need to adjust our operations.</w:t>
      </w:r>
    </w:p>
    <w:p>
      <w:pPr>
        <w:spacing w:after="0" w:line="202"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Even if we are able to achieve sustained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w:t>
      </w:r>
      <w:r>
        <w:rPr>
          <w:rFonts w:ascii="Times New Roman" w:cs="Times New Roman" w:eastAsia="Times New Roman" w:hAnsi="Times New Roman"/>
          <w:sz w:val="18"/>
          <w:szCs w:val="18"/>
          <w:i w:val="1"/>
          <w:iCs w:val="1"/>
          <w:color w:val="auto"/>
        </w:rPr>
        <w:t>Risks Relating to Our Business—Risks Relating to Drug Development and Commercialization—If we fail to obtain additional financing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acceptable partnership arrangements if and when needed, we may be unable to complete the development and commercialization of our products and product candidates or continue operations</w:t>
      </w:r>
      <w:r>
        <w:rPr>
          <w:rFonts w:ascii="Times New Roman" w:cs="Times New Roman" w:eastAsia="Times New Roman" w:hAnsi="Times New Roman"/>
          <w:sz w:val="18"/>
          <w:szCs w:val="18"/>
          <w:color w:val="auto"/>
        </w:rPr>
        <w:t>” in this section for further discussion of the capital requirements for our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w:t>
      </w:r>
    </w:p>
    <w:p>
      <w:pPr>
        <w:spacing w:after="0" w:line="155"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color w:val="auto"/>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w:t>
      </w:r>
      <w:r>
        <w:rPr>
          <w:rFonts w:ascii="Times New Roman" w:cs="Times New Roman" w:eastAsia="Times New Roman" w:hAnsi="Times New Roman"/>
          <w:sz w:val="17"/>
          <w:szCs w:val="17"/>
          <w:i w:val="1"/>
          <w:iCs w:val="1"/>
          <w:color w:val="auto"/>
        </w:rPr>
        <w:t>Management’s Discussion and Analysis of Financial Condition and Results of Operations—Liquidity and Capital Resources</w:t>
      </w:r>
      <w:r>
        <w:rPr>
          <w:rFonts w:ascii="Times New Roman" w:cs="Times New Roman" w:eastAsia="Times New Roman" w:hAnsi="Times New Roman"/>
          <w:sz w:val="17"/>
          <w:szCs w:val="17"/>
          <w:color w:val="auto"/>
        </w:rPr>
        <w:t>” in Part I, Item 2 of this report for additional information about our liquidity needs, capital requirements, potential funding alternatives, and adequacy of available funds.</w:t>
      </w:r>
    </w:p>
    <w:p>
      <w:pPr>
        <w:spacing w:after="0" w:line="127"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18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118"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spacing w:after="0" w:line="16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development plans or at all. The outcome of preclinical testing and early clinical trials may not be predictive of the success of later clinical trials, and interim results of a clinical trial do not necessarily predict final results. For example, any successful results of our preclinical and early clinical work for avoralstat, BCX17725 and our early-stage discovery programs do not guarantee the success of later clinical trials.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6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the therapies in our pipeline described 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Overview—Products and Product Candidates</w:t>
      </w:r>
      <w:r>
        <w:rPr>
          <w:rFonts w:ascii="Times New Roman" w:cs="Times New Roman" w:eastAsia="Times New Roman" w:hAnsi="Times New Roman"/>
          <w:sz w:val="18"/>
          <w:szCs w:val="18"/>
          <w:color w:val="auto"/>
        </w:rPr>
        <w:t>” in Part I, Item 2 of this report), has in the past, and could again in the future, result in delays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w:t>
      </w:r>
    </w:p>
    <w:p>
      <w:pPr>
        <w:spacing w:after="0" w:line="15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w:t>
      </w:r>
    </w:p>
    <w:p>
      <w:pPr>
        <w:spacing w:after="0" w:line="13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European Medicines Agency (“EMA”), the Ministry of Health, Labor and Welfare (“MHLW”) in Japan,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complete the clinical development process successfully is dependent upon many factors, including, but not limited to:</w:t>
      </w:r>
    </w:p>
    <w:p>
      <w:pPr>
        <w:spacing w:after="0" w:line="185" w:lineRule="exact"/>
        <w:rPr>
          <w:sz w:val="20"/>
          <w:szCs w:val="20"/>
          <w:color w:val="auto"/>
        </w:rPr>
      </w:pPr>
    </w:p>
    <w:p>
      <w:pPr>
        <w:ind w:left="1140" w:right="120" w:hanging="322"/>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1140" w:right="54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protocols or maintain contact with investigators to provide complete data during and after treatment;</w:t>
      </w:r>
    </w:p>
    <w:p>
      <w:pPr>
        <w:ind w:left="1140" w:right="380" w:hanging="322"/>
        <w:spacing w:after="0" w:line="250"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for our targeted indications, or at all, or may produce unfavorable or inconclusive results;</w:t>
      </w:r>
    </w:p>
    <w:p>
      <w:pPr>
        <w:ind w:left="1140" w:right="120" w:hanging="322"/>
        <w:spacing w:after="0" w:line="253"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320" w:hanging="322"/>
        <w:spacing w:after="0" w:line="26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1140" w:right="900" w:hanging="322"/>
        <w:spacing w:after="0" w:line="250"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1140" w:right="160" w:hanging="322"/>
        <w:spacing w:after="0" w:line="265" w:lineRule="auto"/>
        <w:tabs>
          <w:tab w:leader="none" w:pos="11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1140" w:right="360" w:hanging="322"/>
        <w:spacing w:after="0" w:line="250"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9" w:lineRule="exact"/>
        <w:rPr>
          <w:rFonts w:ascii="Times New Roman" w:cs="Times New Roman" w:eastAsia="Times New Roman" w:hAnsi="Times New Roman"/>
          <w:sz w:val="18"/>
          <w:szCs w:val="18"/>
          <w:color w:val="auto"/>
        </w:rPr>
      </w:pPr>
    </w:p>
    <w:p>
      <w:pPr>
        <w:ind w:left="1140" w:right="120" w:hanging="322"/>
        <w:spacing w:after="0" w:line="250"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pandemic, such as COVID-19, on one or more of the foregoing factors.</w:t>
      </w:r>
    </w:p>
    <w:p>
      <w:pPr>
        <w:spacing w:after="0" w:line="16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185" w:lineRule="exact"/>
        <w:rPr>
          <w:sz w:val="20"/>
          <w:szCs w:val="20"/>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1140" w:right="340" w:hanging="322"/>
        <w:spacing w:after="0" w:line="250"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6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if and when needed, we may be unable to complete the development and commercialization of our products and product candidates or continue operations.</w:t>
      </w:r>
    </w:p>
    <w:p>
      <w:pPr>
        <w:spacing w:after="0" w:line="11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sustained market acceptance of our products, including ORLADEYO; our ability to raise additional capital if needed;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order to continue future operations, progress our drug discovery and development programs, and commercialize our current products and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we may be required to raise additional capital. Our ability to raise additional capital if and when needed may be limited and may greatly depend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our sustained success in commercializing and achieving market acceptance of ORLADEYO and the success of our current drug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including the progress, timeline and ultimate outcome of the development programs (including, but not limited to, formulation progress,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human safety studies, clinical trial investigations, and carcinogenicity, drug-drug interaction, toxicity, or other required studies)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Operations—Overview—Products and Product Candidates</w:t>
      </w:r>
      <w:r>
        <w:rPr>
          <w:rFonts w:ascii="Times New Roman" w:cs="Times New Roman" w:eastAsia="Times New Roman" w:hAnsi="Times New Roman"/>
          <w:sz w:val="18"/>
          <w:szCs w:val="18"/>
          <w:color w:val="auto"/>
        </w:rPr>
        <w:t>” in Part I,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this report, as well as any post-approval studies for our products. In addition, constriction and volatility in the equity and debt markets, including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impacts of inflation, increased interest rates, disruption or instability in the banking industry, geopolitical instability, or public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emergencies such as the COVID-19 pandemic, may restrict our future flexibility to raise capital if and when such needs arise. See “</w:t>
      </w:r>
      <w:r>
        <w:rPr>
          <w:rFonts w:ascii="Times New Roman" w:cs="Times New Roman" w:eastAsia="Times New Roman" w:hAnsi="Times New Roman"/>
          <w:sz w:val="18"/>
          <w:szCs w:val="18"/>
          <w:i w:val="1"/>
          <w:iCs w:val="1"/>
          <w:color w:val="auto"/>
        </w:rPr>
        <w:t>Risks Relating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Business—Financial and Liquidity Risks—We may need to raise additional capital in the future. If we are unable to raise capital if and when needed,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need to adjust our operations</w:t>
      </w:r>
      <w:r>
        <w:rPr>
          <w:rFonts w:ascii="Times New Roman" w:cs="Times New Roman" w:eastAsia="Times New Roman" w:hAnsi="Times New Roman"/>
          <w:sz w:val="18"/>
          <w:szCs w:val="18"/>
          <w:color w:val="auto"/>
        </w:rPr>
        <w:t>” in this section and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 Item 2 of this report for additional information about our liquidity risks and capital requirements.</w:t>
      </w:r>
    </w:p>
    <w:p>
      <w:pPr>
        <w:spacing w:after="0" w:line="180" w:lineRule="exact"/>
        <w:rPr>
          <w:sz w:val="20"/>
          <w:szCs w:val="20"/>
          <w:color w:val="auto"/>
        </w:rPr>
      </w:pPr>
    </w:p>
    <w:p>
      <w:pPr>
        <w:ind w:right="80" w:firstLine="486"/>
        <w:spacing w:after="0" w:line="270" w:lineRule="auto"/>
        <w:rPr>
          <w:sz w:val="20"/>
          <w:szCs w:val="20"/>
          <w:color w:val="auto"/>
        </w:rPr>
      </w:pPr>
      <w:r>
        <w:rPr>
          <w:rFonts w:ascii="Times New Roman" w:cs="Times New Roman" w:eastAsia="Times New Roman" w:hAnsi="Times New Roman"/>
          <w:sz w:val="17"/>
          <w:szCs w:val="17"/>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potential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4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3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 w:cs="Times New Roman" w:eastAsia="Times New Roman" w:hAnsi="Times New Roman"/>
          <w:sz w:val="18"/>
          <w:szCs w:val="18"/>
          <w:i w:val="1"/>
          <w:iCs w:val="1"/>
          <w:color w:val="auto"/>
        </w:rPr>
        <w:t>Risk Factors—Risks Relating to Our Business—Risks Relating to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 w:cs="Times New Roman" w:eastAsia="Times New Roman" w:hAnsi="Times New Roman"/>
          <w:sz w:val="18"/>
          <w:szCs w:val="18"/>
          <w:color w:val="auto"/>
        </w:rPr>
        <w:t>,” we and our partners have experienced, and may again in the future experience, any number of unfavorable outcomes during 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preclinical studies and clinical trials that could delay or prevent regulatory approval of our product candidates, or negatively impact our management’s credibility, our value and our operating results.</w:t>
      </w:r>
    </w:p>
    <w:p>
      <w:pPr>
        <w:spacing w:after="0" w:line="15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 w:cs="Times New Roman" w:eastAsia="Times New Roman" w:hAnsi="Times New Roman"/>
          <w:sz w:val="18"/>
          <w:szCs w:val="18"/>
          <w:i w:val="1"/>
          <w:iCs w:val="1"/>
          <w:color w:val="auto"/>
        </w:rPr>
        <w:t>Risk Factors—Risks Relating to Our Business—Legal and Regulatory Risks—We are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various laws and regulations related to our products and product candidates, and if we or our partners do not comply with these laws and regulations, we could face substantial penalties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focus primarily on rare diseases, which may create additional risks and challenges, including that the target patient populations of our products and product candidates may be small.</w:t>
      </w:r>
    </w:p>
    <w:p>
      <w:pPr>
        <w:spacing w:after="0" w:line="11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w:t>
      </w:r>
      <w:r>
        <w:rPr>
          <w:rFonts w:ascii="Times New Roman" w:cs="Times New Roman" w:eastAsia="Times New Roman" w:hAnsi="Times New Roman"/>
          <w:sz w:val="18"/>
          <w:szCs w:val="18"/>
          <w:i w:val="1"/>
          <w:iCs w:val="1"/>
          <w:color w:val="auto"/>
        </w:rPr>
        <w:t>Business—Government Regulation—FDA Regulation—Orphan Drugs</w:t>
      </w:r>
      <w:r>
        <w:rPr>
          <w:rFonts w:ascii="Times New Roman" w:cs="Times New Roman" w:eastAsia="Times New Roman" w:hAnsi="Times New Roman"/>
          <w:sz w:val="18"/>
          <w:szCs w:val="18"/>
          <w:color w:val="auto"/>
        </w:rPr>
        <w:t>” in Part I, Item 1 of our most recent Annual Report on Form 10-K.</w:t>
      </w:r>
    </w:p>
    <w:p>
      <w:pPr>
        <w:spacing w:after="0" w:line="16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4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it is important to our ability to grow and become profitable that we continue to successfully identify patients with these rare diseases. Our projections of both</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spacing w:after="0" w:line="16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spacing w:after="0" w:line="134"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 w:cs="Times New Roman" w:eastAsia="Times New Roman" w:hAnsi="Times New Roman"/>
          <w:sz w:val="18"/>
          <w:szCs w:val="18"/>
          <w:i w:val="1"/>
          <w:iCs w:val="1"/>
          <w:color w:val="auto"/>
        </w:rPr>
        <w:t>Business—Government Regulation—FDA Regulation—Abbreviated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Drug Applications for Generic Drugs</w:t>
      </w:r>
      <w:r>
        <w:rPr>
          <w:rFonts w:ascii="Times New Roman" w:cs="Times New Roman" w:eastAsia="Times New Roman" w:hAnsi="Times New Roman"/>
          <w:sz w:val="18"/>
          <w:szCs w:val="18"/>
          <w:color w:val="auto"/>
        </w:rPr>
        <w:t>” in Part I, Item 1 of our most recent Annual Report on Form 10-K. Generic drugs may be significantly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4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as described in “</w:t>
      </w:r>
      <w:r>
        <w:rPr>
          <w:rFonts w:ascii="Times New Roman" w:cs="Times New Roman" w:eastAsia="Times New Roman" w:hAnsi="Times New Roman"/>
          <w:sz w:val="18"/>
          <w:szCs w:val="18"/>
          <w:i w:val="1"/>
          <w:iCs w:val="1"/>
          <w:color w:val="auto"/>
        </w:rPr>
        <w:t>Business—Government Regulation—FDA Regulation—Abbreviated New Drug Applications for Generic Drugs</w:t>
      </w:r>
      <w:r>
        <w:rPr>
          <w:rFonts w:ascii="Times New Roman" w:cs="Times New Roman" w:eastAsia="Times New Roman" w:hAnsi="Times New Roman"/>
          <w:sz w:val="18"/>
          <w:szCs w:val="18"/>
          <w:color w:val="auto"/>
        </w:rPr>
        <w:t>” 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w:t>
      </w:r>
    </w:p>
    <w:p>
      <w:pPr>
        <w:spacing w:after="0" w:line="16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spacing w:after="0" w:line="13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spacing w:after="0" w:line="118"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spacing w:after="0" w:line="135" w:lineRule="exact"/>
        <w:rPr>
          <w:sz w:val="20"/>
          <w:szCs w:val="20"/>
          <w:color w:val="auto"/>
        </w:rPr>
      </w:pPr>
    </w:p>
    <w:p>
      <w:pPr>
        <w:ind w:left="1140" w:right="180" w:hanging="322"/>
        <w:spacing w:after="0" w:line="261"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1140" w:hanging="322"/>
        <w:spacing w:after="0" w:line="250"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6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it may not generate significant revenues. The occurrence of any of the foregoing could have a material and adverse impact on our business.</w:t>
      </w:r>
    </w:p>
    <w:p>
      <w:pPr>
        <w:spacing w:after="0" w:line="19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3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35" w:lineRule="exact"/>
        <w:rPr>
          <w:sz w:val="20"/>
          <w:szCs w:val="20"/>
          <w:color w:val="auto"/>
        </w:rPr>
      </w:pPr>
    </w:p>
    <w:p>
      <w:pPr>
        <w:ind w:right="680" w:firstLine="486"/>
        <w:spacing w:after="0" w:line="266" w:lineRule="auto"/>
        <w:rPr>
          <w:sz w:val="20"/>
          <w:szCs w:val="20"/>
          <w:color w:val="auto"/>
        </w:rPr>
      </w:pPr>
      <w:r>
        <w:rPr>
          <w:rFonts w:ascii="Times New Roman" w:cs="Times New Roman" w:eastAsia="Times New Roman" w:hAnsi="Times New Roman"/>
          <w:sz w:val="18"/>
          <w:szCs w:val="18"/>
          <w:color w:val="auto"/>
        </w:rPr>
        <w:t>Currently, we have established collaborative relationships with third-party distributors for ORLADEYO in certain markets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49" w:lineRule="exact"/>
        <w:rPr>
          <w:sz w:val="20"/>
          <w:szCs w:val="20"/>
          <w:color w:val="auto"/>
        </w:rPr>
      </w:pPr>
    </w:p>
    <w:p>
      <w:pPr>
        <w:ind w:left="1140" w:right="280" w:hanging="322"/>
        <w:spacing w:after="0" w:line="26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9" w:lineRule="exact"/>
        <w:rPr>
          <w:rFonts w:ascii="Times New Roman" w:cs="Times New Roman" w:eastAsia="Times New Roman" w:hAnsi="Times New Roman"/>
          <w:sz w:val="18"/>
          <w:szCs w:val="18"/>
          <w:color w:val="auto"/>
        </w:rPr>
      </w:pPr>
    </w:p>
    <w:p>
      <w:pPr>
        <w:ind w:left="1140" w:right="460" w:hanging="322"/>
        <w:spacing w:after="0" w:line="250"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9" w:lineRule="exact"/>
        <w:rPr>
          <w:rFonts w:ascii="Times New Roman" w:cs="Times New Roman" w:eastAsia="Times New Roman" w:hAnsi="Times New Roman"/>
          <w:sz w:val="18"/>
          <w:szCs w:val="18"/>
          <w:color w:val="auto"/>
        </w:rPr>
      </w:pPr>
    </w:p>
    <w:p>
      <w:pPr>
        <w:ind w:left="1140" w:right="100" w:hanging="322"/>
        <w:spacing w:after="0" w:line="250"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1140" w:right="40" w:hanging="322"/>
        <w:spacing w:after="0" w:line="250"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ind w:left="1140" w:right="20" w:hanging="322"/>
        <w:spacing w:after="0" w:line="250"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16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20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have a partnership agreement with Torii for ORLADEYO in Japan. Under our agreement with Torii,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3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35" w:lineRule="exact"/>
        <w:rPr>
          <w:sz w:val="20"/>
          <w:szCs w:val="20"/>
          <w:color w:val="auto"/>
        </w:rPr>
      </w:pPr>
    </w:p>
    <w:p>
      <w:pPr>
        <w:ind w:left="1140" w:right="20" w:hanging="322"/>
        <w:spacing w:after="0" w:line="261"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complete clinical trials successfully, or satisfy post-marketing commitments, sufficient to obtain and maintain regulatory agency marketing approval;</w:t>
      </w:r>
    </w:p>
    <w:p>
      <w:pPr>
        <w:ind w:left="1140" w:right="260" w:hanging="322"/>
        <w:spacing w:after="0" w:line="250"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1140" w:right="260" w:hanging="322"/>
        <w:spacing w:after="0" w:line="250"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1140" w:right="220" w:hanging="322"/>
        <w:spacing w:after="0" w:line="250"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ind w:left="1140" w:right="340" w:hanging="322"/>
        <w:spacing w:after="0" w:line="250"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depends on our ability to obtain and maintain favorable pricing;</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9" w:lineRule="exact"/>
        <w:rPr>
          <w:rFonts w:ascii="Times New Roman" w:cs="Times New Roman" w:eastAsia="Times New Roman" w:hAnsi="Times New Roman"/>
          <w:sz w:val="18"/>
          <w:szCs w:val="18"/>
          <w:color w:val="auto"/>
        </w:rPr>
      </w:pPr>
    </w:p>
    <w:p>
      <w:pPr>
        <w:ind w:left="1140" w:right="420" w:hanging="322"/>
        <w:spacing w:after="0" w:line="243"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will depend on our ability to successfully complete clinical studies, obtain regulatory approvals, and manufacture, market, distribute and commercialize our approved drugs; and</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emergencies or the outbreak of disease, such as the COVID-19 pandemic, on us or our partners.</w:t>
      </w:r>
    </w:p>
    <w:p>
      <w:pPr>
        <w:spacing w:after="0" w:line="16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spacing w:after="0" w:line="14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spacing w:after="0" w:line="13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4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48" w:lineRule="exact"/>
        <w:rPr>
          <w:sz w:val="20"/>
          <w:szCs w:val="20"/>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9" w:lineRule="exact"/>
        <w:rPr>
          <w:rFonts w:ascii="Times New Roman" w:cs="Times New Roman" w:eastAsia="Times New Roman" w:hAnsi="Times New Roman"/>
          <w:sz w:val="18"/>
          <w:szCs w:val="18"/>
          <w:color w:val="auto"/>
        </w:rPr>
      </w:pPr>
    </w:p>
    <w:p>
      <w:pPr>
        <w:ind w:left="1140" w:right="1180" w:hanging="322"/>
        <w:spacing w:after="0" w:line="25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9" w:lineRule="exact"/>
        <w:rPr>
          <w:rFonts w:ascii="Times New Roman" w:cs="Times New Roman" w:eastAsia="Times New Roman" w:hAnsi="Times New Roman"/>
          <w:sz w:val="18"/>
          <w:szCs w:val="18"/>
          <w:color w:val="auto"/>
        </w:rPr>
      </w:pPr>
    </w:p>
    <w:p>
      <w:pPr>
        <w:ind w:left="1140" w:right="60" w:hanging="322"/>
        <w:spacing w:after="0" w:line="25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inventory, the number of patients who are using our products, or serious adverse events and/or product complaints regarding our products;</w:t>
      </w: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material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1140" w:right="80" w:hanging="322"/>
        <w:spacing w:after="0" w:line="260"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w:t>
      </w:r>
    </w:p>
    <w:p>
      <w:pPr>
        <w:spacing w:after="0" w:line="14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16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action, civil actions or penalties, any of which could be costly to us and could result in a delay or shortage of product.</w:t>
      </w:r>
    </w:p>
    <w:p>
      <w:pPr>
        <w:spacing w:after="0" w:line="19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31"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0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35" w:lineRule="exact"/>
        <w:rPr>
          <w:sz w:val="20"/>
          <w:szCs w:val="20"/>
          <w:color w:val="auto"/>
        </w:rPr>
      </w:pPr>
    </w:p>
    <w:p>
      <w:pPr>
        <w:ind w:left="1140" w:right="360" w:hanging="322"/>
        <w:spacing w:after="0" w:line="261"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ind w:left="1140" w:right="520" w:hanging="322"/>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9" w:lineRule="exact"/>
        <w:rPr>
          <w:rFonts w:ascii="Times New Roman" w:cs="Times New Roman" w:eastAsia="Times New Roman" w:hAnsi="Times New Roman"/>
          <w:sz w:val="18"/>
          <w:szCs w:val="18"/>
          <w:color w:val="auto"/>
        </w:rPr>
      </w:pPr>
    </w:p>
    <w:p>
      <w:pPr>
        <w:ind w:left="1140" w:right="160" w:hanging="322"/>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1140" w:right="220" w:hanging="322"/>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1140" w:right="580" w:hanging="322"/>
        <w:spacing w:after="0" w:line="250"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reimbursement strategy may not be effective;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legislative or regulatory proposals may influence our pricing and reimbursement strategy, which could impact product revenues;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56" w:lineRule="exact"/>
        <w:rPr>
          <w:sz w:val="20"/>
          <w:szCs w:val="20"/>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received FDA approval of ORLADEYO, an oral, once-daily therapy for the prevention of HAE attacks in adults and pediatric patients aged 12 years and older, in December 2020, and subsequently received regulatory approvals for ORLADEYO in other global markets. In addition, the ongoing APeX-P clinical trial, which is complete through the primary endpoint, is continuing to assess an oral granule formulation of ORLADEYO in pediatric patients who are 2 to 11 years of age. We are also performing research on or developing products for the treatment of several other rare or difficult-to-treat diseases, including Netherton syndrome, DME, and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in Part I, Item 1 of our most recent Annual Report on Form 10-K for further discussion of our competitors, competitive products or programs, and the competitive conditions in these and other therapeutic areas.</w:t>
      </w:r>
    </w:p>
    <w:p>
      <w:pPr>
        <w:spacing w:after="0" w:line="16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185"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18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1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3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3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operations and financial condition. Similar responsibilities would apply upon regulatory approval of any of our other product candidates currently under development.</w:t>
      </w:r>
    </w:p>
    <w:p>
      <w:pPr>
        <w:spacing w:after="0" w:line="135"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spacing w:after="0" w:line="15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48"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spacing w:after="0" w:line="16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spacing w:after="0" w:line="14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47"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in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in Part I, Item 1 of our most recent Annual Report on Form 10-K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4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likelihood, nature or extent of government regulation or other measures that may arise from future legislation or administrative or executive action, either in the United States or abroad.</w:t>
      </w:r>
    </w:p>
    <w:p>
      <w:pPr>
        <w:spacing w:after="0" w:line="186"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18"/>
          <w:szCs w:val="18"/>
          <w:color w:val="auto"/>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or otherwise adversely affect our business.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In addition, significant tariffs or other restrictions imposed and related countermeasures taken by impacted foreign countries could adversely affect our operations and financial results. We cannot predict the likelihood, nature or extent of government regulation or other measures that may arise from future legislation or administrative or executive action, either in the United States or abroad.</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18"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market our products or develop our product candidates.</w:t>
      </w:r>
    </w:p>
    <w:p>
      <w:pPr>
        <w:spacing w:after="0" w:line="13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5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4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reduced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w:t>
      </w:r>
    </w:p>
    <w:p>
      <w:pPr>
        <w:spacing w:after="0" w:line="14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additional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spacing w:after="0" w:line="14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5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data privacy and security risks, and our actual or perceived failure to comply with regulations and other legal obligations related to privacy and data protection could harm our business.</w:t>
      </w:r>
    </w:p>
    <w:p>
      <w:pPr>
        <w:spacing w:after="0" w:line="11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may be subject to legal obligations at the federal, state, and local level related to privacy and data protection, as described in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Regulation—Data Privacy and Security Laws</w:t>
      </w:r>
      <w:r>
        <w:rPr>
          <w:rFonts w:ascii="Times New Roman" w:cs="Times New Roman" w:eastAsia="Times New Roman" w:hAnsi="Times New Roman"/>
          <w:sz w:val="18"/>
          <w:szCs w:val="18"/>
          <w:color w:val="auto"/>
        </w:rPr>
        <w:t>” in Part I, Item 1 of our most recent Annual Report on Form 10-K. Compliance with stringent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spacing w:after="0" w:line="150"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also may be subject to the General Data Protection Regulation (“GDPR”) in the European Economic Area (“EEA”) and similar legislation in the United Kingdom and Switzerland. See “</w:t>
      </w:r>
      <w:r>
        <w:rPr>
          <w:rFonts w:ascii="Times New Roman" w:cs="Times New Roman" w:eastAsia="Times New Roman" w:hAnsi="Times New Roman"/>
          <w:sz w:val="18"/>
          <w:szCs w:val="18"/>
          <w:i w:val="1"/>
          <w:iCs w:val="1"/>
          <w:color w:val="auto"/>
        </w:rPr>
        <w:t>Business—Government Regulation—Data</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Privacy and Security Laws</w:t>
      </w:r>
      <w:r>
        <w:rPr>
          <w:rFonts w:ascii="Times New Roman" w:cs="Times New Roman" w:eastAsia="Times New Roman" w:hAnsi="Times New Roman"/>
          <w:sz w:val="18"/>
          <w:szCs w:val="18"/>
          <w:color w:val="auto"/>
        </w:rPr>
        <w:t>” in Part I, Item 1 of our most recent Annual Report on Form 10-K and “</w:t>
      </w:r>
      <w:r>
        <w:rPr>
          <w:rFonts w:ascii="Times New Roman" w:cs="Times New Roman" w:eastAsia="Times New Roman" w:hAnsi="Times New Roman"/>
          <w:sz w:val="18"/>
          <w:szCs w:val="18"/>
          <w:i w:val="1"/>
          <w:iCs w:val="1"/>
          <w:color w:val="auto"/>
        </w:rPr>
        <w:t>Risks Relating to Our Business—Risks Relating to International Operations—Our actual or perceived failure to comply with European governmental laws and regulations and other legal obligations related to privacy, data protection and information security could harm our business</w:t>
      </w:r>
      <w:r>
        <w:rPr>
          <w:rFonts w:ascii="Times New Roman" w:cs="Times New Roman" w:eastAsia="Times New Roman" w:hAnsi="Times New Roman"/>
          <w:sz w:val="18"/>
          <w:szCs w:val="18"/>
          <w:color w:val="auto"/>
        </w:rPr>
        <w:t>” in this section for additional discussion of privacy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to comply with these laws and regulations could result in government enforcement actions, private litigation, or harm to our reputation and our business.</w:t>
      </w:r>
    </w:p>
    <w:p>
      <w:pPr>
        <w:spacing w:after="0" w:line="15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3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1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1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1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7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3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time-consuming and unsuccessful.</w:t>
      </w:r>
    </w:p>
    <w:p>
      <w:pPr>
        <w:spacing w:after="0" w:line="118"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as described under “</w:t>
      </w:r>
      <w:r>
        <w:rPr>
          <w:rFonts w:ascii="Times New Roman" w:cs="Times New Roman" w:eastAsia="Times New Roman" w:hAnsi="Times New Roman"/>
          <w:sz w:val="18"/>
          <w:szCs w:val="18"/>
          <w:i w:val="1"/>
          <w:iCs w:val="1"/>
          <w:color w:val="auto"/>
        </w:rPr>
        <w:t>Business—Government Regulation—FDA Regulation—Abbreviated New Drug Applications for Generic Drugs</w:t>
      </w:r>
      <w:r>
        <w:rPr>
          <w:rFonts w:ascii="Times New Roman" w:cs="Times New Roman" w:eastAsia="Times New Roman" w:hAnsi="Times New Roman"/>
          <w:sz w:val="18"/>
          <w:szCs w:val="18"/>
          <w:color w:val="auto"/>
        </w:rPr>
        <w:t>” in Part I, Item 1 of our most recent Annual Report on Form 10-K,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As the NCE-1 date for ORLADEYO was in December 2024, we anticipate that third parties will challenge our applicable patents, which may result in our initiation of patent infringement litigation in response to such challenge. For example, in January 2025, we received a Paragraph IV notice of certification from Annora advising that Annora has submitted an ANDA to the FDA seeking approval to manufacture, use or sell a generic version of ORLADEYO in the United States prior to the expiration of three patents listed in the FDA’s Orange Book, which expire in 2039. On March 10, 2025, we filed a patent infringement lawsuit in the United States District Court for the District of Delaware against the Defendants (as defined above) asserting infringement of the challenged patents arising from Annora’s ANDA filing with the FDA. For further information, see the section titled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included in Part II, Item 1 of this report and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Notes to Condensed Consolidated Financial Statements in Part I, Item 1 of this report. We intend to vigorously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 our intellectual property rights protecting ORLADEYO.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spacing w:after="0" w:line="14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48"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1140" w:right="760" w:hanging="322"/>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66"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5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diversified our pipeline to include the development of protein therapeutics, which may create additional risks and challenges.</w:t>
      </w:r>
    </w:p>
    <w:p>
      <w:pPr>
        <w:spacing w:after="0" w:line="18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have diversified our pipeline beyond small-molecule medicines to develop protein therapeutics. The development of protein therapeutics may create additional risks and challenges, including, among others:</w:t>
      </w:r>
    </w:p>
    <w:p>
      <w:pPr>
        <w:spacing w:after="0" w:line="135" w:lineRule="exact"/>
        <w:rPr>
          <w:sz w:val="20"/>
          <w:szCs w:val="20"/>
          <w:color w:val="auto"/>
        </w:rPr>
      </w:pPr>
    </w:p>
    <w:p>
      <w:pPr>
        <w:jc w:val="both"/>
        <w:ind w:left="1140" w:right="440" w:hanging="322"/>
        <w:spacing w:after="0" w:line="257"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spacing w:after="0" w:line="1"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issues with our protein therapeutic candidates may require redevelopment of the formulation, which may be time-consuming or unsuccessful;</w:t>
      </w:r>
    </w:p>
    <w:p>
      <w:pPr>
        <w:ind w:left="1140" w:right="780" w:hanging="322"/>
        <w:spacing w:after="0" w:line="250"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protein therapeutic candidates in the United States or in other countries;</w:t>
      </w: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be able to more easily develop and seek patent protection on similar protein therapeutic candidates; and</w:t>
      </w:r>
    </w:p>
    <w:p>
      <w:pPr>
        <w:spacing w:after="0" w:line="9" w:lineRule="exact"/>
        <w:rPr>
          <w:rFonts w:ascii="Times New Roman" w:cs="Times New Roman" w:eastAsia="Times New Roman" w:hAnsi="Times New Roman"/>
          <w:sz w:val="18"/>
          <w:szCs w:val="18"/>
          <w:color w:val="auto"/>
        </w:rPr>
      </w:pPr>
    </w:p>
    <w:p>
      <w:pPr>
        <w:jc w:val="both"/>
        <w:ind w:left="1140" w:hanging="322"/>
        <w:spacing w:after="0" w:line="255"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8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4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2"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18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1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6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47" w:lineRule="exact"/>
        <w:rPr>
          <w:sz w:val="20"/>
          <w:szCs w:val="20"/>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our product liability insurance rates or the inability to maintain insurance coverage in the future on acceptable terms, or at all;</w:t>
      </w:r>
    </w:p>
    <w:p>
      <w:pPr>
        <w:spacing w:after="0" w:line="20"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U.S. Government contracts, which may create a disadvantage and additional risks to us.</w:t>
      </w:r>
    </w:p>
    <w:p>
      <w:pPr>
        <w:spacing w:after="0" w:line="18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September 2024, we entered into a contract with ASPR for the procurement of up to 95,625 doses over a five-year period of RAPIVAB for the treatment of influenza. The contract is structured with a 12-month base ordering period and four optional 12-month ordering periods, which the U.S. Government can exercise on an annual basis. While ASPR executed the first ordering period, there is no guarantee that the U.S. Government will exercise any additional ordering periods. In addition, changes in U.S. Government budgets and agendas may result in the reduction, delay or elimination of funding or in a decreased emphasis on the procurement of RAPIVAB. Even if any optional ordering period is exercised, there can be no assurance that we or our manufacturers will be able to fully meet the demand for RAPIVAB with respect to this or any future arrangement.</w:t>
      </w:r>
    </w:p>
    <w:p>
      <w:pPr>
        <w:spacing w:after="0" w:line="14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our U.S. Government contracts pending final close out of these contracts.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have U.S. Government contracts. As a U.S. Government contractor, we are subject to an increased risk of investigations, criminal prosecution, civil fraud, whistleblower lawsuits and other legal actions and liabilities as compared to private sector commercial companies, and we could suffer serious harm to our reputation if allegations of impropriety were made against us. We could be subject to severe penalties, including legal actions and liabilities, in the event that we are unable to comply with delivery requirements or any other provision of a U.S. Government contract.</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1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13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49"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7"/>
          <w:szCs w:val="17"/>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spacing w:after="0" w:line="132"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While Royalty Sub continues to pay the holders of the PhaRMA Notes any royalty payments received from Shionogi, which are immaterial, we wrote off the balance due under the PhaRMA Notes to other income as a debt extinguishment as of December 31, 2021.</w:t>
      </w:r>
    </w:p>
    <w:p>
      <w:pPr>
        <w:spacing w:after="0" w:line="131"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event of default occurs, including a material adverse change with respect to us, which could have a material adverse effect on our business.</w:t>
      </w:r>
    </w:p>
    <w:p>
      <w:pPr>
        <w:spacing w:after="0" w:line="20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March 31, 2025, we had an outstanding principal balance under the Pharmakon Loan Agreement of $323.7 million, inclusive of the Pharmakon PIK Interest Payments (as defined in “</w:t>
      </w:r>
      <w:r>
        <w:rPr>
          <w:rFonts w:ascii="Times New Roman" w:cs="Times New Roman" w:eastAsia="Times New Roman" w:hAnsi="Times New Roman"/>
          <w:sz w:val="18"/>
          <w:szCs w:val="18"/>
          <w:i w:val="1"/>
          <w:iCs w:val="1"/>
          <w:color w:val="auto"/>
        </w:rPr>
        <w:t>Note 7—Debt</w:t>
      </w:r>
      <w:r>
        <w:rPr>
          <w:rFonts w:ascii="Times New Roman" w:cs="Times New Roman" w:eastAsia="Times New Roman" w:hAnsi="Times New Roman"/>
          <w:sz w:val="18"/>
          <w:szCs w:val="18"/>
          <w:color w:val="auto"/>
        </w:rPr>
        <w:t>” in the Notes to the Condensed Consolidated Financial Statements included in Part I, Item 1 of this report). Under the Pharmakon Loan 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 For example, on April 18, 2025, we made a partial prepayment of $75.0 million of the outstanding principal amount under the Pharmakon Loan Agreement, in addition to a prepayment premium and certain other fees and expenses.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185" w:lineRule="exact"/>
        <w:rPr>
          <w:sz w:val="20"/>
          <w:szCs w:val="20"/>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1140" w:right="300" w:hanging="322"/>
        <w:spacing w:after="0" w:line="250"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spacing w:after="0" w:line="13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and economic risks.</w:t>
      </w:r>
    </w:p>
    <w:p>
      <w:pPr>
        <w:spacing w:after="0" w:line="18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spacing w:after="0" w:line="135" w:lineRule="exact"/>
        <w:rPr>
          <w:sz w:val="20"/>
          <w:szCs w:val="20"/>
          <w:color w:val="auto"/>
        </w:rPr>
      </w:pPr>
    </w:p>
    <w:p>
      <w:pPr>
        <w:ind w:left="1140" w:right="20" w:hanging="322"/>
        <w:spacing w:after="0" w:line="261"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9" w:lineRule="exact"/>
        <w:rPr>
          <w:rFonts w:ascii="Times New Roman" w:cs="Times New Roman" w:eastAsia="Times New Roman" w:hAnsi="Times New Roman"/>
          <w:sz w:val="18"/>
          <w:szCs w:val="18"/>
          <w:color w:val="auto"/>
        </w:rPr>
      </w:pPr>
    </w:p>
    <w:p>
      <w:pPr>
        <w:ind w:left="1140" w:right="20" w:hanging="322"/>
        <w:spacing w:after="0" w:line="250"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1" w:lineRule="exact"/>
        <w:rPr>
          <w:rFonts w:ascii="Times New Roman" w:cs="Times New Roman" w:eastAsia="Times New Roman" w:hAnsi="Times New Roman"/>
          <w:sz w:val="18"/>
          <w:szCs w:val="18"/>
          <w:color w:val="auto"/>
        </w:rPr>
      </w:pPr>
    </w:p>
    <w:p>
      <w:pPr>
        <w:ind w:left="1140" w:right="120" w:hanging="322"/>
        <w:spacing w:after="0" w:line="250"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ind w:left="1140" w:hanging="322"/>
        <w:spacing w:after="0" w:line="250"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Times New Roman" w:cs="Times New Roman" w:eastAsia="Times New Roman" w:hAnsi="Times New Roman"/>
          <w:sz w:val="18"/>
          <w:szCs w:val="18"/>
          <w:color w:val="auto"/>
        </w:rPr>
      </w:pPr>
    </w:p>
    <w:p>
      <w:pPr>
        <w:ind w:left="1140" w:right="80" w:hanging="322"/>
        <w:spacing w:after="0" w:line="260"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factors could significantly harm our international expansion of operations and adversely affect our business and results of operations.</w:t>
      </w:r>
    </w:p>
    <w:p>
      <w:pPr>
        <w:spacing w:after="0" w:line="18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an adverse impact on our results of operations, financial position, and cash flows.</w:t>
      </w:r>
    </w:p>
    <w:p>
      <w:pPr>
        <w:spacing w:after="0" w:line="202"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foreign currency transaction gains or losses may become more significant. See “</w:t>
      </w:r>
      <w:r>
        <w:rPr>
          <w:rFonts w:ascii="Times New Roman" w:cs="Times New Roman" w:eastAsia="Times New Roman" w:hAnsi="Times New Roman"/>
          <w:sz w:val="18"/>
          <w:szCs w:val="18"/>
          <w:i w:val="1"/>
          <w:iCs w:val="1"/>
          <w:color w:val="auto"/>
        </w:rPr>
        <w:t>Quantitative and Qualitative Disclosures about Market Risk—Foreign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 Risk</w:t>
      </w:r>
      <w:r>
        <w:rPr>
          <w:rFonts w:ascii="Times New Roman" w:cs="Times New Roman" w:eastAsia="Times New Roman" w:hAnsi="Times New Roman"/>
          <w:sz w:val="18"/>
          <w:szCs w:val="18"/>
          <w:color w:val="auto"/>
        </w:rPr>
        <w:t>” in Part I, Item 3 of this report for additional information about our foreign currency risk.</w:t>
      </w:r>
    </w:p>
    <w:p>
      <w:pPr>
        <w:spacing w:after="0" w:line="12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1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w:t>
      </w:r>
      <w:r>
        <w:rPr>
          <w:rFonts w:ascii="Times New Roman" w:cs="Times New Roman" w:eastAsia="Times New Roman" w:hAnsi="Times New Roman"/>
          <w:sz w:val="18"/>
          <w:szCs w:val="18"/>
          <w:i w:val="1"/>
          <w:iCs w:val="1"/>
          <w:color w:val="auto"/>
        </w:rPr>
        <w:t>Business—Government Regulation—Data 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Laws</w:t>
      </w:r>
      <w:r>
        <w:rPr>
          <w:rFonts w:ascii="Times New Roman" w:cs="Times New Roman" w:eastAsia="Times New Roman" w:hAnsi="Times New Roman"/>
          <w:sz w:val="18"/>
          <w:szCs w:val="18"/>
          <w:color w:val="auto"/>
        </w:rPr>
        <w:t>” in Part I, Item 1 of our most recent Annual Report on Form 10-K. Failure to comply with the requirements of these laws may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fines. For example, the GDPR or related national data protection laws, which may deviate from the GDPR, may result in significant fines of up to 4% of global revenues, or €20.0 million, whichever is greater.</w:t>
      </w:r>
    </w:p>
    <w:p>
      <w:pPr>
        <w:spacing w:after="0" w:line="14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6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4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spacing w:after="0" w:line="144"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United Kingdom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0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5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4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3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incidents and related disruptions in our or our third-party vendors’ information technology systems could adversely affect our business.</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in February 2024). Such cybersecurity events which materially disrupt the healthcare system upon which our business relies could adversely affect our business if such disruption is widespread and continues for an extended period of time.</w:t>
      </w:r>
    </w:p>
    <w:p>
      <w:pPr>
        <w:spacing w:after="0" w:line="14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become unavailable, we may incur substantial costs to repair or replace them, and we may experience loss of critical data and interruptions or delays in our ability to perform critical functions, which could adversely affect our business, financial condition or results of operations.</w:t>
      </w:r>
    </w:p>
    <w:p>
      <w:pPr>
        <w:spacing w:after="0" w:line="13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spacing w:after="0" w:line="13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cybersecurity threats and incidents, which to date have not had a material impact on our reputation, business, financial condition, or operations; however; there is no assurance that such impacts will not be material in the future.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use artificial intelligence in our business, and challenges with properly managing its use could adversely affect our business.</w:t>
      </w:r>
    </w:p>
    <w:p>
      <w:pPr>
        <w:spacing w:after="0" w:line="256"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The increasing use of AI and machine learning technology in the biopharmaceutical industry, combined with an uncertain regulatory environment, presents new risks and challenges. From time to time, we adopt and integrate AI solutions into our systems for specific use cases reviewed by legal and information security, and applications of AI may become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Operational Risks</w:t>
      </w:r>
    </w:p>
    <w:p>
      <w:pPr>
        <w:spacing w:after="0" w:line="18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spacing w:after="0" w:line="148"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A health epidemic or pandemic, such as the COVID-19 pandemic, and related government orders or evolving business policies and procedures, could cause disruptions to our business, operations, and clinical development or commercialization plans and timelines, as well as the business and operations of third parties with whom we conduct business.</w:t>
      </w:r>
    </w:p>
    <w:p>
      <w:pPr>
        <w:spacing w:after="0" w:line="135" w:lineRule="exact"/>
        <w:rPr>
          <w:sz w:val="20"/>
          <w:szCs w:val="20"/>
          <w:color w:val="auto"/>
        </w:rPr>
      </w:pPr>
    </w:p>
    <w:p>
      <w:pPr>
        <w:ind w:right="480" w:firstLine="486"/>
        <w:spacing w:after="0" w:line="258"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commercially reasonable terms or in a timely manner. Such delays could adversely impact our ability to meet our desired clinical development and any commercialization timelines.</w:t>
      </w:r>
    </w:p>
    <w:p>
      <w:pPr>
        <w:spacing w:after="0" w:line="135" w:lineRule="exact"/>
        <w:rPr>
          <w:sz w:val="20"/>
          <w:szCs w:val="20"/>
          <w:color w:val="auto"/>
        </w:rPr>
      </w:pPr>
    </w:p>
    <w:p>
      <w:pPr>
        <w:ind w:right="480" w:firstLine="486"/>
        <w:spacing w:after="0" w:line="261" w:lineRule="auto"/>
        <w:rPr>
          <w:sz w:val="20"/>
          <w:szCs w:val="20"/>
          <w:color w:val="auto"/>
        </w:rPr>
      </w:pPr>
      <w:r>
        <w:rPr>
          <w:rFonts w:ascii="Times New Roman" w:cs="Times New Roman" w:eastAsia="Times New Roman" w:hAnsi="Times New Roman"/>
          <w:sz w:val="18"/>
          <w:szCs w:val="18"/>
          <w:color w:val="auto"/>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 including as we continue to expand internationally and bring ORLADEYO to additional global markets.</w:t>
      </w:r>
    </w:p>
    <w:p>
      <w:pPr>
        <w:spacing w:after="0" w:line="13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32"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potential U.S. Government shutdowns, instability in connection with changes in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13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18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4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3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important functions of our business.</w:t>
      </w:r>
    </w:p>
    <w:p>
      <w:pPr>
        <w:spacing w:after="0" w:line="13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risk management committee and other compliance methods are not effective, our business, financial condition and operating results may be adversely affected.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spacing w:after="0" w:line="161"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spacing w:after="0" w:line="13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spacing w:after="0" w:line="16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spacing w:after="0" w:line="14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stockholder activism or hostile bids, which could cause us to incur significant expense, hinder execution of our business strategy and impact our stock price.</w:t>
      </w:r>
    </w:p>
    <w:p>
      <w:pPr>
        <w:spacing w:after="0" w:line="118"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19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stockholders own greater than 5% of our outstanding common stock. Our top ten stockholders own approximately 45%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3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March 31, 2025, the 52-week range of the market price of our stock was from $4.03 to $9.50 per share. The following factors, in addition to other risk factors described in this section, may have, and in some cases have had, a significant impact on the market price of our common stock:</w:t>
      </w:r>
    </w:p>
    <w:p>
      <w:pPr>
        <w:spacing w:after="0" w:line="139" w:lineRule="exact"/>
        <w:rPr>
          <w:sz w:val="20"/>
          <w:szCs w:val="20"/>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 and the comparison of such estimates to our actual results;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automated financial platforms’ treatment or classification of our financial information;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public guidance;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1140" w:right="380" w:hanging="322"/>
        <w:spacing w:after="0" w:line="250"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other monetization transactions;</w:t>
      </w: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6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4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spacing w:after="0" w:line="13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effective internal control over financial reporting (as described in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in Part I, Item 4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Securities Exchange Act of 1934, as amended (the “Exchange Act”), is a deficiency, or combination of deficiencies, in internal control over financial reporting such that there is a reasonable possibility that a material misstatement of annual or interim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spacing w:after="0" w:line="203" w:lineRule="exact"/>
        <w:rPr>
          <w:sz w:val="20"/>
          <w:szCs w:val="20"/>
          <w:color w:val="auto"/>
        </w:rPr>
      </w:pPr>
    </w:p>
    <w:p>
      <w:pPr>
        <w:ind w:right="400" w:firstLine="486"/>
        <w:spacing w:after="0" w:line="258" w:lineRule="auto"/>
        <w:rPr>
          <w:sz w:val="20"/>
          <w:szCs w:val="20"/>
          <w:color w:val="auto"/>
        </w:rPr>
      </w:pPr>
      <w:r>
        <w:rPr>
          <w:rFonts w:ascii="Times New Roman" w:cs="Times New Roman" w:eastAsia="Times New Roman" w:hAnsi="Times New Roman"/>
          <w:sz w:val="18"/>
          <w:szCs w:val="18"/>
          <w:color w:val="auto"/>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18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April 30, 2025, there were 209,250,274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3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of April 30, 2025, there were 46,840,842 stock options and restricted stock units outstanding and 13,242,654 shares available for issuance under our Amended and Restated Stock Incentive Plan (inclusive of the 11,000,000 shares that are subject to stockholder approval at our annual meeting of stockholders to be held on June 12, 2025), 5,794,692 stock options and restricted stock units outstanding and 1,724,932 shares available for issuance under our Amended and Restated Inducement Equity Incentive Plan, and 4,841,013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189"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5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such disputes with us or our directors, officers or employees.</w:t>
      </w:r>
    </w:p>
    <w:p>
      <w:pPr>
        <w:spacing w:after="0" w:line="14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spacing w:after="0" w:line="15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1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 w:cs="Times New Roman" w:eastAsia="Times New Roman" w:hAnsi="Times New Roman"/>
          <w:sz w:val="18"/>
          <w:szCs w:val="18"/>
          <w:i w:val="1"/>
          <w:iCs w:val="1"/>
          <w:color w:val="auto"/>
        </w:rPr>
        <w:t>Risk Factors—Risks Relating to Our Business—Other Operational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Risks—Our business, operations, clinical development or commercialization plans and timelines, and access to capital could be adversely affected by unpredictable and unstable market and economic conditions</w:t>
      </w:r>
      <w:r>
        <w:rPr>
          <w:rFonts w:ascii="Times New Roman" w:cs="Times New Roman" w:eastAsia="Times New Roman" w:hAnsi="Times New Roman"/>
          <w:sz w:val="18"/>
          <w:szCs w:val="18"/>
          <w:color w:val="auto"/>
        </w:rPr>
        <w:t>.” In addition, other events, such as the Ukraine-Russia and Middle East conflicts, or 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202"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officers adopted or terminated a “Rule 10b5-1 trading arrangement” or “non-Rule 10b5-1 trading arrangement” (as each of those terms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1" w:right="11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8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4"/>
                <w:szCs w:val="24"/>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7"/>
                <w:szCs w:val="17"/>
                <w:color w:val="auto"/>
              </w:rPr>
            </w:pPr>
          </w:p>
        </w:tc>
        <w:tc>
          <w:tcPr>
            <w:tcW w:w="7500" w:type="dxa"/>
            <w:vAlign w:val="bottom"/>
            <w:tcBorders>
              <w:bottom w:val="single" w:sz="8" w:color="0000FF"/>
            </w:tcBorders>
            <w:gridSpan w:val="16"/>
          </w:tcPr>
          <w:p>
            <w:pPr>
              <w:spacing w:after="0" w:line="202"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Third Restated Certificate of Incorporation of Registrant. Incorporated by reference to Exhibit 3.1 to the</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Company’s Form 8-K filed December 22, 2006.</w:t>
              </w:r>
            </w:hyperlink>
          </w:p>
        </w:tc>
        <w:tc>
          <w:tcPr>
            <w:tcW w:w="4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4"/>
                <w:szCs w:val="24"/>
                <w:color w:val="auto"/>
              </w:rPr>
            </w:pPr>
          </w:p>
        </w:tc>
        <w:tc>
          <w:tcPr>
            <w:tcW w:w="7720" w:type="dxa"/>
            <w:vAlign w:val="bottom"/>
            <w:gridSpan w:val="2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Certificate of Amendment to the Third Restated Certificate of Incorporation of Registrant. Incorporated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reference to Exhibit 3.1 to the Company’s Form 8-K filed July 24, 2007.</w:t>
              </w:r>
            </w:hyperlink>
          </w:p>
        </w:tc>
        <w:tc>
          <w:tcPr>
            <w:tcW w:w="2460" w:type="dxa"/>
            <w:vAlign w:val="bottom"/>
            <w:tcBorders>
              <w:top w:val="single" w:sz="8" w:color="0000FF"/>
            </w:tcBorders>
            <w:gridSpan w:val="1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4"/>
                <w:szCs w:val="24"/>
                <w:color w:val="auto"/>
              </w:rPr>
            </w:pPr>
          </w:p>
        </w:tc>
        <w:tc>
          <w:tcPr>
            <w:tcW w:w="7720" w:type="dxa"/>
            <w:vAlign w:val="bottom"/>
            <w:gridSpan w:val="2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Certificate of Amendment to the Third Restated Certificate of Incorporation of Registrant. Incorporated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reference to Exhibit 3.1 to the Company’s Form 8-K filed May 7, 2014.</w:t>
              </w:r>
            </w:hyperlink>
          </w:p>
        </w:tc>
        <w:tc>
          <w:tcPr>
            <w:tcW w:w="2520" w:type="dxa"/>
            <w:vAlign w:val="bottom"/>
            <w:tcBorders>
              <w:top w:val="single" w:sz="8" w:color="0000FF"/>
            </w:tcBorders>
            <w:gridSpan w:val="1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24"/>
                <w:szCs w:val="24"/>
                <w:color w:val="auto"/>
              </w:rPr>
            </w:pPr>
          </w:p>
        </w:tc>
        <w:tc>
          <w:tcPr>
            <w:tcW w:w="7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Certificate of Elimination of the Series B Junior Participating Preferred Stock.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gridSpan w:val="21"/>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3.1 to the Company’s Form 8-K filed May 13, 2020.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4"/>
                <w:szCs w:val="24"/>
                <w:color w:val="auto"/>
              </w:rPr>
            </w:pPr>
          </w:p>
        </w:tc>
        <w:tc>
          <w:tcPr>
            <w:tcW w:w="7720" w:type="dxa"/>
            <w:vAlign w:val="bottom"/>
            <w:gridSpan w:val="21"/>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Certificate of Amendment to the Third Restated Certificate of Incorporation of Registrant. Incorporated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 to Exhibit 3.2 to the Company’s Form 8-K filed May 13, 2020.</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24"/>
                <w:szCs w:val="24"/>
                <w:color w:val="auto"/>
              </w:rPr>
            </w:pPr>
          </w:p>
        </w:tc>
        <w:tc>
          <w:tcPr>
            <w:tcW w:w="69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Amended and Restated By-Laws of BioCryst Pharmaceuticals, Inc., effective January 16, 2024.</w:t>
              </w:r>
            </w:hyperlink>
          </w:p>
        </w:tc>
        <w:tc>
          <w:tcPr>
            <w:tcW w:w="8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gridSpan w:val="21"/>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by reference to Exhibit 3.1 to the Company’s Form 8-K filed January 18, 2024.</w:t>
              </w:r>
            </w:hyperlink>
          </w:p>
        </w:tc>
        <w:tc>
          <w:tcPr>
            <w:tcW w:w="0" w:type="dxa"/>
            <w:vAlign w:val="bottom"/>
          </w:tcPr>
          <w:p>
            <w:pPr>
              <w:spacing w:after="0"/>
              <w:rPr>
                <w:sz w:val="1"/>
                <w:szCs w:val="1"/>
                <w:color w:val="auto"/>
              </w:rPr>
            </w:pPr>
          </w:p>
        </w:tc>
      </w:tr>
      <w:tr>
        <w:trPr>
          <w:trHeight w:val="20"/>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6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Consulting Agreement, dated April 9, 2025, by and between BioCryst Pharmaceuticals, Inc. and Anthony</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Doyle.</w:t>
            </w:r>
          </w:p>
        </w:tc>
        <w:tc>
          <w:tcPr>
            <w:tcW w:w="0" w:type="dxa"/>
            <w:vAlign w:val="bottom"/>
          </w:tcPr>
          <w:p>
            <w:pPr>
              <w:spacing w:after="0"/>
              <w:rPr>
                <w:sz w:val="1"/>
                <w:szCs w:val="1"/>
                <w:color w:val="auto"/>
              </w:rPr>
            </w:pPr>
          </w:p>
        </w:tc>
      </w:tr>
      <w:tr>
        <w:trPr>
          <w:trHeight w:val="20"/>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of Notice of Grant of Stock Option and Standard Stock Option Agreement under the BioCryst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Pharmaceuticals, Inc. Stock Incentive Plan.</w:t>
            </w:r>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BioCryst Pharmaceuticals, Inc. Amended and Restated Non-Employee Director Compensation Policy,</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effective April 21, 2025.</w:t>
            </w:r>
          </w:p>
        </w:tc>
        <w:tc>
          <w:tcPr>
            <w:tcW w:w="5580" w:type="dxa"/>
            <w:vAlign w:val="bottom"/>
            <w:tcBorders>
              <w:top w:val="single" w:sz="8" w:color="0000FF"/>
            </w:tcBorders>
            <w:gridSpan w:val="13"/>
          </w:tcPr>
          <w:p>
            <w:pPr>
              <w:spacing w:after="0"/>
              <w:rPr>
                <w:sz w:val="17"/>
                <w:szCs w:val="17"/>
                <w:color w:val="auto"/>
              </w:rPr>
            </w:pPr>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76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and Principal Financial Officer Pursuant to Rule 13a-14(a)</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and Rule 15d-14(a) of the Securities Exchange Act of 1934, as Amended, as Adopted Pursuant to Section</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4720" w:type="dxa"/>
            <w:vAlign w:val="bottom"/>
            <w:tcBorders>
              <w:top w:val="single" w:sz="8" w:color="0000FF"/>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7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and Principal Financial Officer Pursuant to 18 U.S.C.</w:t>
            </w:r>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 Act of 2002.</w:t>
            </w:r>
          </w:p>
        </w:tc>
        <w:tc>
          <w:tcPr>
            <w:tcW w:w="1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160" w:right="1259" w:hanging="1134"/>
        <w:spacing w:after="0" w:line="256"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BioCryst Pharmaceuticals, Inc. for the three months ended March 31, 2025, formatted in Inline XBRL: (i) Condensed Consolidated Balance Sheets, (ii) Condensed Consolidated Statements of Comprehensive Income (Loss), (iii) Condensed Consolidated Statements of Cash Flows, (iv) Condensed Consolidated Statements of Stockholders’ Deficit, and (v) Notes to Condensed Consolidated Financial Statements, tagged as blocks of text and including detailed tags.</w:t>
      </w:r>
    </w:p>
    <w:p>
      <w:pPr>
        <w:spacing w:after="0" w:line="295" w:lineRule="exact"/>
        <w:rPr>
          <w:sz w:val="20"/>
          <w:szCs w:val="20"/>
          <w:color w:val="auto"/>
        </w:rPr>
      </w:pPr>
    </w:p>
    <w:p>
      <w:pPr>
        <w:ind w:left="1160" w:hanging="1134"/>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0"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Filed herewith.</w:t>
      </w:r>
    </w:p>
    <w:p>
      <w:pPr>
        <w:spacing w:after="0" w:line="77" w:lineRule="exact"/>
        <w:rPr>
          <w:sz w:val="20"/>
          <w:szCs w:val="20"/>
          <w:color w:val="auto"/>
        </w:rPr>
      </w:pPr>
    </w:p>
    <w:p>
      <w:pPr>
        <w:ind w:left="1160" w:hanging="113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140" w:right="1439" w:hanging="111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6th day of May, 2025.</w:t>
      </w:r>
    </w:p>
    <w:p>
      <w:pPr>
        <w:spacing w:after="0" w:line="17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26035</wp:posOffset>
            </wp:positionV>
            <wp:extent cx="44405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4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Interim Chief Financial Officer</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Executive Officer, Interim Principal Financial Officer and Interim Principal</w:t>
      </w:r>
    </w:p>
    <w:p>
      <w:pPr>
        <w:spacing w:after="0" w:line="1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40"/>
          </w:cols>
          <w:pgMar w:left="320" w:top="121" w:right="10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CONSULTING AGREEMENT</w:t>
      </w: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CONSULTING AGREEMENT</w:t>
      </w:r>
      <w:r>
        <w:rPr>
          <w:rFonts w:ascii="Times New Roman" w:cs="Times New Roman" w:eastAsia="Times New Roman" w:hAnsi="Times New Roman"/>
          <w:sz w:val="20"/>
          <w:szCs w:val="20"/>
          <w:color w:val="auto"/>
        </w:rPr>
        <w:t xml:space="preserve"> (the “Agreement”) is hereby entered into by and between Anthony Doyle (“Consultant”) with</w:t>
      </w:r>
    </w:p>
    <w:p>
      <w:pPr>
        <w:spacing w:after="0" w:line="1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an address at 317 Cypress Falls Drive, Cary, NC 27513 and BioCryst Pharmaceuticals, Inc. (together with its Affiliates, “BioCryst”) a Delaware corporation, with offices at 4505 Emperor Boulevard, Suite 200, Durham, North Carolina 27703 and shall be effective as of April 9, 2025 (the “Effective Date”). With respect to either party, “Affiliate” means any entity or organization controlling, controlled</w:t>
      </w:r>
    </w:p>
    <w:p>
      <w:pPr>
        <w:jc w:val="both"/>
        <w:spacing w:after="0" w:line="215" w:lineRule="auto"/>
        <w:rPr>
          <w:sz w:val="20"/>
          <w:szCs w:val="20"/>
          <w:color w:val="auto"/>
        </w:rPr>
      </w:pPr>
      <w:r>
        <w:rPr>
          <w:rFonts w:ascii="Times New Roman" w:cs="Times New Roman" w:eastAsia="Times New Roman" w:hAnsi="Times New Roman"/>
          <w:sz w:val="21"/>
          <w:szCs w:val="21"/>
          <w:color w:val="auto"/>
        </w:rPr>
        <w:t>by or under common control with such party. For the purposes of this definition “control” means the possession, direct or indirect, of the power to direct or cause the direction of the management and policies of an organization or entity, whether the ownership of voting securities, by contract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06" w:lineRule="exact"/>
        <w:rPr>
          <w:sz w:val="20"/>
          <w:szCs w:val="20"/>
          <w:color w:val="auto"/>
        </w:rPr>
      </w:pPr>
    </w:p>
    <w:p>
      <w:pPr>
        <w:jc w:val="both"/>
        <w:ind w:right="20" w:firstLine="220"/>
        <w:spacing w:after="0" w:line="234" w:lineRule="auto"/>
        <w:rPr>
          <w:sz w:val="20"/>
          <w:szCs w:val="20"/>
          <w:color w:val="auto"/>
        </w:rPr>
      </w:pPr>
      <w:r>
        <w:rPr>
          <w:rFonts w:ascii="Times New Roman" w:cs="Times New Roman" w:eastAsia="Times New Roman" w:hAnsi="Times New Roman"/>
          <w:sz w:val="21"/>
          <w:szCs w:val="21"/>
          <w:color w:val="auto"/>
        </w:rPr>
        <w:t>In consideration of the services rendered by Consultant to BioCryst, the compensation to be paid to Consultant by BioCryst, and the mutual promises and agreements hereinafter set forth, the parties hereto agree as follows:</w:t>
      </w:r>
    </w:p>
    <w:p>
      <w:pPr>
        <w:spacing w:after="0" w:line="162" w:lineRule="exact"/>
        <w:rPr>
          <w:sz w:val="20"/>
          <w:szCs w:val="20"/>
          <w:color w:val="auto"/>
        </w:rPr>
      </w:pPr>
    </w:p>
    <w:p>
      <w:pPr>
        <w:ind w:left="340" w:hanging="332"/>
        <w:spacing w:after="0" w:line="235" w:lineRule="auto"/>
        <w:tabs>
          <w:tab w:leader="none" w:pos="33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This Agreement will commence on the Effective Date and continue in effect through May 31, 2025 (the “Initial Term”).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Initial Term may be extended by mutual written agreement of the parties.</w:t>
      </w:r>
    </w:p>
    <w:p>
      <w:pPr>
        <w:spacing w:after="0" w:line="148" w:lineRule="exact"/>
        <w:rPr>
          <w:rFonts w:ascii="Times New Roman" w:cs="Times New Roman" w:eastAsia="Times New Roman" w:hAnsi="Times New Roman"/>
          <w:sz w:val="21"/>
          <w:szCs w:val="21"/>
          <w:color w:val="auto"/>
        </w:rPr>
      </w:pPr>
    </w:p>
    <w:p>
      <w:pPr>
        <w:jc w:val="both"/>
        <w:ind w:left="340" w:hanging="332"/>
        <w:spacing w:after="0" w:line="213" w:lineRule="auto"/>
        <w:tabs>
          <w:tab w:leader="none" w:pos="33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Services</w:t>
      </w:r>
      <w:r>
        <w:rPr>
          <w:rFonts w:ascii="Times New Roman" w:cs="Times New Roman" w:eastAsia="Times New Roman" w:hAnsi="Times New Roman"/>
          <w:sz w:val="21"/>
          <w:szCs w:val="21"/>
          <w:color w:val="auto"/>
        </w:rPr>
        <w:t>. Consultant agrees to render the requested services (“Services”) to BioCryst using Consultant’s knowledge, experience,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skill and judgement. The Services shall include those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as agreed by the parties in writing from time to time. Consultant shall deliver to BioCryst, and BioCryst shall be the sole owner of, the Results of Consultant’s work under this Agreement. The term “Results” means the work product resulting from Consultant's performance of Services under this Agreement and, includes, without limitation, all deliverables described in such exhibits and all documentation of work performed under this Agreement. Consultant shall report directly to Jon Stonehouse and shall provide his services in accordance with such reasonable instructions. Consultant agrees to keep complete, accurate and authentic accounts, notes, data and records of all Results made by Consultant in the course of this Agreement, and in the manner and form requested by BioCryst. Consultant shall not utilize any third party in the performance of the Services without the prior written consent of BioCryst.</w:t>
      </w:r>
    </w:p>
    <w:p>
      <w:pPr>
        <w:spacing w:after="0" w:line="140" w:lineRule="exact"/>
        <w:rPr>
          <w:rFonts w:ascii="Times New Roman" w:cs="Times New Roman" w:eastAsia="Times New Roman" w:hAnsi="Times New Roman"/>
          <w:sz w:val="21"/>
          <w:szCs w:val="21"/>
          <w:color w:val="auto"/>
        </w:rPr>
      </w:pPr>
    </w:p>
    <w:p>
      <w:pPr>
        <w:jc w:val="both"/>
        <w:ind w:left="34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The Services rendered under this Agreement constitute services in accordance with the terms of the BioCryst Stock Incentive Plan (the “Incentive Plan”) and the BioCryst Inducement Equity Incentive Plan (the “Inducement Plan” and together with the Incentive Plan, the “Plans”), and therefore, Consultant’s equity awards received while in the employment of BioCryst will continue to vest during the term of the Agreement in accordance with the provisions of the applicable Plans and any related award agreements. Without limiting the foregoing, the parties agree that there has not been and will not be any lapse of “Services” rendered to BioCryst with respect to the transition of Consultant from an Employee of BioCryst immediately prior to the effectiveness of this Agreement, and the existing outstanding equity awards heretofore granted Consultant shall remain in full force and effect, notwithstanding the transition of Consultant from Employee status to Consultant or independent contractor status.</w:t>
      </w:r>
    </w:p>
    <w:p>
      <w:pPr>
        <w:spacing w:after="0" w:line="185" w:lineRule="exact"/>
        <w:rPr>
          <w:rFonts w:ascii="Times New Roman" w:cs="Times New Roman" w:eastAsia="Times New Roman" w:hAnsi="Times New Roman"/>
          <w:sz w:val="21"/>
          <w:szCs w:val="21"/>
          <w:color w:val="auto"/>
        </w:rPr>
      </w:pPr>
    </w:p>
    <w:p>
      <w:pPr>
        <w:jc w:val="both"/>
        <w:ind w:left="340" w:hanging="332"/>
        <w:spacing w:after="0" w:line="214" w:lineRule="auto"/>
        <w:tabs>
          <w:tab w:leader="none" w:pos="33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Payment and Expenses</w:t>
      </w:r>
      <w:r>
        <w:rPr>
          <w:rFonts w:ascii="Times New Roman" w:cs="Times New Roman" w:eastAsia="Times New Roman" w:hAnsi="Times New Roman"/>
          <w:sz w:val="21"/>
          <w:szCs w:val="21"/>
          <w:color w:val="auto"/>
        </w:rPr>
        <w:t>. Consultant shall be compensated for Consulting services in accordance with and as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as amended from time to time by the parties in writing. In addition, BioCryst shall reimburse Consultant for actual and reasonable out-of-pocket expenses approved by BioCryst in advance and incurred in the performance of the Services. The foregoing compensation and expense reimbursements are Consultant’s sole compensation for rendering Services to BioCryst. Consultant shall submit expense reports via an invoice and will not be reimbursed for individual expenses exceeding $ 25.00 without a corresponding receipt. Approved expenses invoiced shall be paid within thirty (30) days of receipt by BioCryst. BioCryst shall not be responsible for paying amounts which are not billed within three (3) months of performing such service or incurring expenses.</w:t>
      </w:r>
    </w:p>
    <w:p>
      <w:pPr>
        <w:sectPr>
          <w:pgSz w:w="11900" w:h="16838" w:orient="portrait"/>
          <w:cols w:equalWidth="0" w:num="1">
            <w:col w:w="11240"/>
          </w:cols>
          <w:pgMar w:left="320" w:top="104" w:right="339" w:bottom="1440" w:gutter="0" w:footer="0" w:header="0"/>
        </w:sectPr>
      </w:pPr>
    </w:p>
    <w:bookmarkStart w:id="84" w:name="page85"/>
    <w:bookmarkEnd w:id="84"/>
    <w:p>
      <w:pPr>
        <w:jc w:val="both"/>
        <w:ind w:left="340" w:hanging="332"/>
        <w:spacing w:after="0" w:line="228" w:lineRule="auto"/>
        <w:tabs>
          <w:tab w:leader="none" w:pos="33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Proprietary Information and Inventions</w:t>
      </w:r>
      <w:r>
        <w:rPr>
          <w:rFonts w:ascii="Times New Roman" w:cs="Times New Roman" w:eastAsia="Times New Roman" w:hAnsi="Times New Roman"/>
          <w:sz w:val="21"/>
          <w:szCs w:val="21"/>
          <w:color w:val="auto"/>
        </w:rPr>
        <w:t>. The Proprietary Information and Inventions Agreement previously entered into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dated April 14, 2020 (the “PIIA”) is hereby incorporated by reference and made a part hereof to the same extent and with the same force as if fully set forth herein and shall remain in effect for the term of this Agreement.</w:t>
      </w:r>
    </w:p>
    <w:p>
      <w:pPr>
        <w:spacing w:after="0" w:line="148" w:lineRule="exact"/>
        <w:rPr>
          <w:rFonts w:ascii="Times New Roman" w:cs="Times New Roman" w:eastAsia="Times New Roman" w:hAnsi="Times New Roman"/>
          <w:sz w:val="21"/>
          <w:szCs w:val="21"/>
          <w:color w:val="auto"/>
        </w:rPr>
      </w:pPr>
    </w:p>
    <w:p>
      <w:pPr>
        <w:jc w:val="both"/>
        <w:ind w:left="340" w:hanging="332"/>
        <w:spacing w:after="0" w:line="217" w:lineRule="auto"/>
        <w:tabs>
          <w:tab w:leader="none" w:pos="33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Non-Solicitation and Non-Competition</w:t>
      </w:r>
      <w:r>
        <w:rPr>
          <w:rFonts w:ascii="Times New Roman" w:cs="Times New Roman" w:eastAsia="Times New Roman" w:hAnsi="Times New Roman"/>
          <w:sz w:val="21"/>
          <w:szCs w:val="21"/>
          <w:color w:val="auto"/>
        </w:rPr>
        <w:t>. The Non-Competition and Non-Solicitation Agreement as entered into by Consultant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BioCryst dated March 29, 2020 (the “Non-Compete and Non-Solicitation”) is hereby incorporated by reference and made a part hereof to the same extent and with the same force as if fully set forth herein. For purposes of clarification, the parties agree that the non-compete and non-solicitation obligations in the Non-Compete and Non-Solicitation shall apply for one (1) year past the termination of this Agreement.</w:t>
      </w:r>
    </w:p>
    <w:p>
      <w:pPr>
        <w:spacing w:after="0" w:line="16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 Consultant represents and warrants that:</w:t>
      </w:r>
    </w:p>
    <w:p>
      <w:pPr>
        <w:spacing w:after="0" w:line="177" w:lineRule="exact"/>
        <w:rPr>
          <w:rFonts w:ascii="Times New Roman" w:cs="Times New Roman" w:eastAsia="Times New Roman" w:hAnsi="Times New Roman"/>
          <w:sz w:val="21"/>
          <w:szCs w:val="21"/>
          <w:color w:val="auto"/>
        </w:rPr>
      </w:pPr>
    </w:p>
    <w:p>
      <w:pPr>
        <w:jc w:val="both"/>
        <w:ind w:left="660" w:hanging="4"/>
        <w:spacing w:after="0" w:line="218" w:lineRule="auto"/>
        <w:tabs>
          <w:tab w:leader="none" w:pos="129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b w:val="1"/>
          <w:bCs w:val="1"/>
          <w:u w:val="single" w:color="auto"/>
          <w:color w:val="auto"/>
        </w:rPr>
        <w:t>Non-disclosure of Third-party’s Confidential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performance of all the terms of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breach any agreement to keep in confidence proprietary information acquired by Consultant in confidence or in trust prior to the execution of this Agreement, and Consultant has not entered into, and Consultant agrees not to enter into, any agreement, either written or oral, that conflicts or might conflict with Consultant’s performance of the Services and other obligations under this Agreement.</w:t>
      </w:r>
    </w:p>
    <w:p>
      <w:pPr>
        <w:spacing w:after="0" w:line="2" w:lineRule="exact"/>
        <w:rPr>
          <w:rFonts w:ascii="Times New Roman" w:cs="Times New Roman" w:eastAsia="Times New Roman" w:hAnsi="Times New Roman"/>
          <w:sz w:val="22"/>
          <w:szCs w:val="22"/>
          <w:color w:val="auto"/>
        </w:rPr>
      </w:pPr>
    </w:p>
    <w:p>
      <w:pPr>
        <w:ind w:left="660" w:right="200" w:hanging="4"/>
        <w:spacing w:after="0" w:line="235" w:lineRule="auto"/>
        <w:tabs>
          <w:tab w:leader="none" w:pos="130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u w:val="single" w:color="auto"/>
          <w:color w:val="auto"/>
        </w:rPr>
        <w:t>Compliance with Law</w:t>
      </w:r>
      <w:r>
        <w:rPr>
          <w:rFonts w:ascii="Times New Roman" w:cs="Times New Roman" w:eastAsia="Times New Roman" w:hAnsi="Times New Roman"/>
          <w:sz w:val="20"/>
          <w:szCs w:val="20"/>
          <w:color w:val="auto"/>
        </w:rPr>
        <w:t>. Consultant will comply with all applicable federal, state and local laws,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professional standards, and industry codes, ordinances and orders, as amended from time to time. In addition, Consultant will materially comply with all reasonable and applicable BioCryst policies and procedures as provided in writing to Consultant.</w:t>
      </w:r>
    </w:p>
    <w:p>
      <w:pPr>
        <w:spacing w:after="0" w:line="174" w:lineRule="exact"/>
        <w:rPr>
          <w:rFonts w:ascii="Times New Roman" w:cs="Times New Roman" w:eastAsia="Times New Roman" w:hAnsi="Times New Roman"/>
          <w:sz w:val="21"/>
          <w:szCs w:val="21"/>
          <w:color w:val="auto"/>
        </w:rPr>
      </w:pPr>
    </w:p>
    <w:p>
      <w:pPr>
        <w:jc w:val="both"/>
        <w:ind w:left="340" w:hanging="332"/>
        <w:spacing w:after="0" w:line="221" w:lineRule="auto"/>
        <w:tabs>
          <w:tab w:leader="none" w:pos="33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 of Liability</w:t>
      </w:r>
      <w:r>
        <w:rPr>
          <w:rFonts w:ascii="Times New Roman" w:cs="Times New Roman" w:eastAsia="Times New Roman" w:hAnsi="Times New Roman"/>
          <w:sz w:val="21"/>
          <w:szCs w:val="21"/>
          <w:color w:val="auto"/>
        </w:rPr>
        <w:t>. NEITHER PARTY SHALL BE LIABLE WITH RESPECT TO ANY SUBJECT MATTER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UNDER ANY CONTRACT, NEGLIGENCE, STRICT LIABILITY OR OTHER THEORY FOR ANY INDIRECT, INCIDENTAL, SPECIAL, EXEMPLARY OR CONSEQUENTIAL DAMAGES, INCLUDING WITHOUT LIMITATION, ANY LOSS OR REVENUES OR PROFITS.</w:t>
      </w:r>
    </w:p>
    <w:p>
      <w:pPr>
        <w:spacing w:after="0" w:line="150" w:lineRule="exact"/>
        <w:rPr>
          <w:rFonts w:ascii="Times New Roman" w:cs="Times New Roman" w:eastAsia="Times New Roman" w:hAnsi="Times New Roman"/>
          <w:sz w:val="21"/>
          <w:szCs w:val="21"/>
          <w:color w:val="auto"/>
        </w:rPr>
      </w:pPr>
    </w:p>
    <w:p>
      <w:pPr>
        <w:jc w:val="both"/>
        <w:ind w:left="340" w:hanging="332"/>
        <w:spacing w:after="0" w:line="217" w:lineRule="auto"/>
        <w:tabs>
          <w:tab w:leader="none" w:pos="33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color w:val="auto"/>
        </w:rPr>
        <w:t>. This Agreement may be terminated by either BioCryst or the Consultant at any time, for any reason, with or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 by giving written notice to the other party; termination to be effective upon the other party’s receipt of notice. Upon receipt of notice of termination, the receiving party shall cease performing services, unless otherwise notified. The parties will cooperate to ensure a smooth transition of the projects and Services in process at the time of Termination. Termination of this Agreement under the provisions of this section 8 shall not release either party from any obligation and payment becoming due prior to the effective date of termination, if such termination is not caused by the default of either party.</w:t>
      </w:r>
    </w:p>
    <w:p>
      <w:pPr>
        <w:spacing w:after="0" w:line="147" w:lineRule="exact"/>
        <w:rPr>
          <w:rFonts w:ascii="Times New Roman" w:cs="Times New Roman" w:eastAsia="Times New Roman" w:hAnsi="Times New Roman"/>
          <w:sz w:val="21"/>
          <w:szCs w:val="21"/>
          <w:color w:val="auto"/>
        </w:rPr>
      </w:pPr>
    </w:p>
    <w:p>
      <w:pPr>
        <w:jc w:val="both"/>
        <w:ind w:left="340" w:hanging="332"/>
        <w:spacing w:after="0" w:line="220" w:lineRule="auto"/>
        <w:tabs>
          <w:tab w:leader="none" w:pos="33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Independent Contractor</w:t>
      </w:r>
      <w:r>
        <w:rPr>
          <w:rFonts w:ascii="Times New Roman" w:cs="Times New Roman" w:eastAsia="Times New Roman" w:hAnsi="Times New Roman"/>
          <w:sz w:val="21"/>
          <w:szCs w:val="21"/>
          <w:color w:val="auto"/>
        </w:rPr>
        <w:t>. Nothing herein contained shall be deemed to create an agency, joint venture, partnership or franchise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relationship between the parties hereto. Consultant acknowledges that he is an independent contractor, is not an agent or employee of BioCryst, is not entitled to any BioCryst employment rights or benefits and is not authorized to act on behalf of BioCryst. Consultant shall be solely responsible for any and all tax obligations of Consultant, including but not limited to, all city, state and federal income taxes, social security tax and other self-employment taxes incurred by Consultant.</w:t>
      </w:r>
    </w:p>
    <w:p>
      <w:pPr>
        <w:spacing w:after="0" w:line="148" w:lineRule="exact"/>
        <w:rPr>
          <w:rFonts w:ascii="Times New Roman" w:cs="Times New Roman" w:eastAsia="Times New Roman" w:hAnsi="Times New Roman"/>
          <w:sz w:val="21"/>
          <w:szCs w:val="21"/>
          <w:color w:val="auto"/>
        </w:rPr>
      </w:pPr>
    </w:p>
    <w:p>
      <w:pPr>
        <w:jc w:val="both"/>
        <w:ind w:left="340" w:hanging="332"/>
        <w:spacing w:after="0" w:line="221" w:lineRule="auto"/>
        <w:tabs>
          <w:tab w:leader="none" w:pos="32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Performance</w:t>
      </w:r>
      <w:r>
        <w:rPr>
          <w:rFonts w:ascii="Times New Roman" w:cs="Times New Roman" w:eastAsia="Times New Roman" w:hAnsi="Times New Roman"/>
          <w:sz w:val="21"/>
          <w:szCs w:val="21"/>
          <w:color w:val="auto"/>
        </w:rPr>
        <w:t>. Consultant’s performance under this Agreement shall be conducted with due diligence and in full compliance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highest professional standards of practice in the industry. Consultant shall comply with all applicable laws and BioCryst safety rules in the course of performing the Services. If Consultant’s work requires a license, Consultant has obtained that license and the license is in full force and effect.</w:t>
      </w:r>
    </w:p>
    <w:p>
      <w:pPr>
        <w:spacing w:after="0" w:line="150" w:lineRule="exact"/>
        <w:rPr>
          <w:rFonts w:ascii="Times New Roman" w:cs="Times New Roman" w:eastAsia="Times New Roman" w:hAnsi="Times New Roman"/>
          <w:sz w:val="21"/>
          <w:szCs w:val="21"/>
          <w:color w:val="auto"/>
        </w:rPr>
      </w:pPr>
    </w:p>
    <w:p>
      <w:pPr>
        <w:ind w:left="340" w:right="20" w:hanging="332"/>
        <w:spacing w:after="0" w:line="235" w:lineRule="auto"/>
        <w:tabs>
          <w:tab w:leader="none" w:pos="32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Publicity/Material Non-Public Information</w:t>
      </w:r>
      <w:r>
        <w:rPr>
          <w:rFonts w:ascii="Times New Roman" w:cs="Times New Roman" w:eastAsia="Times New Roman" w:hAnsi="Times New Roman"/>
          <w:sz w:val="21"/>
          <w:szCs w:val="21"/>
          <w:color w:val="auto"/>
        </w:rPr>
        <w:t>. Consultant shall not utilize or publicize the name “BioCryst Pharmaceuticals,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ticker symbol “BCRX” or any trademarks of BioCryst,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1" w:right="339" w:bottom="1440" w:gutter="0" w:footer="0" w:header="0"/>
        </w:sectPr>
      </w:pPr>
    </w:p>
    <w:bookmarkStart w:id="85" w:name="page86"/>
    <w:bookmarkEnd w:id="85"/>
    <w:p>
      <w:pPr>
        <w:ind w:left="340"/>
        <w:spacing w:after="0" w:line="234" w:lineRule="auto"/>
        <w:rPr>
          <w:sz w:val="20"/>
          <w:szCs w:val="20"/>
          <w:color w:val="auto"/>
        </w:rPr>
      </w:pPr>
      <w:r>
        <w:rPr>
          <w:rFonts w:ascii="Times New Roman" w:cs="Times New Roman" w:eastAsia="Times New Roman" w:hAnsi="Times New Roman"/>
          <w:sz w:val="21"/>
          <w:szCs w:val="21"/>
          <w:color w:val="auto"/>
        </w:rPr>
        <w:t>express written consent of BioCryst. Consultant acknowledges that it is aware that the United States securities laws prohibit it or them from purchasing or selling securities of BioCryst while in possession of such material, non-public information.</w:t>
      </w:r>
    </w:p>
    <w:p>
      <w:pPr>
        <w:spacing w:after="0" w:line="162" w:lineRule="exact"/>
        <w:rPr>
          <w:sz w:val="20"/>
          <w:szCs w:val="20"/>
          <w:color w:val="auto"/>
        </w:rPr>
      </w:pPr>
    </w:p>
    <w:p>
      <w:pPr>
        <w:jc w:val="both"/>
        <w:ind w:left="340" w:hanging="332"/>
        <w:spacing w:after="0" w:line="215" w:lineRule="auto"/>
        <w:tabs>
          <w:tab w:leader="none" w:pos="3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Privileged Communications</w:t>
      </w:r>
      <w:r>
        <w:rPr>
          <w:rFonts w:ascii="Times New Roman" w:cs="Times New Roman" w:eastAsia="Times New Roman" w:hAnsi="Times New Roman"/>
          <w:sz w:val="21"/>
          <w:szCs w:val="21"/>
          <w:color w:val="auto"/>
        </w:rPr>
        <w:t>. It is expected that, in furtherance of this Agreement, the parties will, from time to time, disclose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one another privileged communications with counsel, including opinions, memoranda, letters, and other written, electronic, and verbal communications. Such disclosures are made with the understanding that they shall remain privileged and confidential and that they are made in connection with the shared community of legal interests existing between the Parties, including the community of legal interests in avoiding infringement of any valid, enforceable third-party patents and in obtaining patent protection for Sponsored Research IP.</w:t>
      </w:r>
    </w:p>
    <w:p>
      <w:pPr>
        <w:spacing w:after="0" w:line="160" w:lineRule="exact"/>
        <w:rPr>
          <w:rFonts w:ascii="Times New Roman" w:cs="Times New Roman" w:eastAsia="Times New Roman" w:hAnsi="Times New Roman"/>
          <w:sz w:val="21"/>
          <w:szCs w:val="21"/>
          <w:color w:val="auto"/>
        </w:rPr>
      </w:pPr>
    </w:p>
    <w:p>
      <w:pPr>
        <w:ind w:left="340" w:hanging="332"/>
        <w:spacing w:after="0" w:line="235"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Survival</w:t>
      </w:r>
      <w:r>
        <w:rPr>
          <w:rFonts w:ascii="Times New Roman" w:cs="Times New Roman" w:eastAsia="Times New Roman" w:hAnsi="Times New Roman"/>
          <w:sz w:val="21"/>
          <w:szCs w:val="21"/>
          <w:color w:val="auto"/>
        </w:rPr>
        <w:t>. Consultant agrees that obligations under Sections 4-6, 11-20 of this Agreement, and any sections which by their nature,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continue in effect after termination of this Agreement.</w:t>
      </w:r>
    </w:p>
    <w:p>
      <w:pPr>
        <w:spacing w:after="0" w:line="148" w:lineRule="exact"/>
        <w:rPr>
          <w:rFonts w:ascii="Times New Roman" w:cs="Times New Roman" w:eastAsia="Times New Roman" w:hAnsi="Times New Roman"/>
          <w:sz w:val="21"/>
          <w:szCs w:val="21"/>
          <w:color w:val="auto"/>
        </w:rPr>
      </w:pPr>
    </w:p>
    <w:p>
      <w:pPr>
        <w:ind w:left="340" w:hanging="332"/>
        <w:spacing w:after="0" w:line="245"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one or more provisions of this Agreement are held to be unenforceable under applicable law, such provisions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modified to the minimum extent necessary to comply with applicable law and the intent of the parties.</w:t>
      </w:r>
    </w:p>
    <w:p>
      <w:pPr>
        <w:spacing w:after="0" w:line="141" w:lineRule="exact"/>
        <w:rPr>
          <w:rFonts w:ascii="Times New Roman" w:cs="Times New Roman" w:eastAsia="Times New Roman" w:hAnsi="Times New Roman"/>
          <w:sz w:val="21"/>
          <w:szCs w:val="21"/>
          <w:color w:val="auto"/>
        </w:rPr>
      </w:pPr>
    </w:p>
    <w:p>
      <w:pPr>
        <w:jc w:val="both"/>
        <w:ind w:left="340" w:hanging="332"/>
        <w:spacing w:after="0" w:line="228"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Consultant agrees that any dispute in the meaning, effect or validity of this Agreement shall be resolved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laws of the State of North Carolina without regard to the conflict of laws provisions thereof, and Consultant submits to the exclusive jurisdiction and venue of the federal and state courts located in Wake County, North Carolina.</w:t>
      </w:r>
    </w:p>
    <w:p>
      <w:pPr>
        <w:spacing w:after="0" w:line="148" w:lineRule="exact"/>
        <w:rPr>
          <w:rFonts w:ascii="Times New Roman" w:cs="Times New Roman" w:eastAsia="Times New Roman" w:hAnsi="Times New Roman"/>
          <w:sz w:val="21"/>
          <w:szCs w:val="21"/>
          <w:color w:val="auto"/>
        </w:rPr>
      </w:pPr>
    </w:p>
    <w:p>
      <w:pPr>
        <w:jc w:val="both"/>
        <w:ind w:left="340" w:hanging="332"/>
        <w:spacing w:after="0" w:line="217"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Nature; Assignment</w:t>
      </w:r>
      <w:r>
        <w:rPr>
          <w:rFonts w:ascii="Times New Roman" w:cs="Times New Roman" w:eastAsia="Times New Roman" w:hAnsi="Times New Roman"/>
          <w:sz w:val="21"/>
          <w:szCs w:val="21"/>
          <w:color w:val="auto"/>
        </w:rPr>
        <w:t>. This Agreement shall inure to the benefit of and be binding upon the successors and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assigns of the parties hereto. Notwithstanding the foregoing, this Agreement may not be assigned, in whole or in part, by either party without the prior written consent of the other party. However, BioCryst may transfer or assign this Agreement, in whole or in part, without prior notice to or consent of Consultant, to an Affiliate of BioCryst or in connection with a merger, consolidation, or a sale or transfer of all or substantially all of the assets to which this Agreement relates, provided that all obligations of BioCryst are assumed by the assignee.</w:t>
      </w:r>
    </w:p>
    <w:p>
      <w:pPr>
        <w:spacing w:after="0" w:line="147" w:lineRule="exact"/>
        <w:rPr>
          <w:rFonts w:ascii="Times New Roman" w:cs="Times New Roman" w:eastAsia="Times New Roman" w:hAnsi="Times New Roman"/>
          <w:sz w:val="21"/>
          <w:szCs w:val="21"/>
          <w:color w:val="auto"/>
        </w:rPr>
      </w:pPr>
    </w:p>
    <w:p>
      <w:pPr>
        <w:jc w:val="both"/>
        <w:ind w:left="340" w:hanging="332"/>
        <w:spacing w:after="0" w:line="221"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together with all Exhibits hereto contains the entire understanding of the parties regarding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matter and supersedes all prior negotiations, understandings and agreements between the parties, whether oral or in writing, with respect to the subject matter hereof, and can only be modified by a subsequent written agreement executed by an authorized signatory of BioCryst.</w:t>
      </w:r>
    </w:p>
    <w:p>
      <w:pPr>
        <w:spacing w:after="0" w:line="150"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 The section headings in this Agreement are for purposes of reference only.</w:t>
      </w:r>
    </w:p>
    <w:p>
      <w:pPr>
        <w:spacing w:after="0" w:line="190" w:lineRule="exact"/>
        <w:rPr>
          <w:rFonts w:ascii="Times New Roman" w:cs="Times New Roman" w:eastAsia="Times New Roman" w:hAnsi="Times New Roman"/>
          <w:sz w:val="21"/>
          <w:szCs w:val="21"/>
          <w:color w:val="auto"/>
        </w:rPr>
      </w:pPr>
    </w:p>
    <w:p>
      <w:pPr>
        <w:ind w:left="340" w:hanging="332"/>
        <w:spacing w:after="0" w:line="235" w:lineRule="auto"/>
        <w:tabs>
          <w:tab w:leader="none" w:pos="3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Facsimile and Counterparts</w:t>
      </w:r>
      <w:r>
        <w:rPr>
          <w:rFonts w:ascii="Times New Roman" w:cs="Times New Roman" w:eastAsia="Times New Roman" w:hAnsi="Times New Roman"/>
          <w:sz w:val="21"/>
          <w:szCs w:val="21"/>
          <w:color w:val="auto"/>
        </w:rPr>
        <w:t>. This Agreement may be executed via facsimile and in counterparts, each of which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an original but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3" w:right="339" w:bottom="1440" w:gutter="0" w:footer="0" w:header="0"/>
        </w:sectPr>
      </w:pPr>
    </w:p>
    <w:bookmarkStart w:id="86" w:name="page87"/>
    <w:bookmarkEnd w:id="86"/>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283325" cy="2220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283325" cy="2220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2"/>
        </w:trPr>
        <w:tc>
          <w:tcPr>
            <w:tcW w:w="29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Consultant</w:t>
            </w:r>
          </w:p>
        </w:tc>
        <w:tc>
          <w:tcPr>
            <w:tcW w:w="4740" w:type="dxa"/>
            <w:vAlign w:val="bottom"/>
          </w:tcPr>
          <w:p>
            <w:pPr>
              <w:ind w:left="2000"/>
              <w:spacing w:after="0"/>
              <w:rPr>
                <w:sz w:val="20"/>
                <w:szCs w:val="20"/>
                <w:color w:val="auto"/>
              </w:rPr>
            </w:pPr>
            <w:r>
              <w:rPr>
                <w:rFonts w:ascii="Times New Roman" w:cs="Times New Roman" w:eastAsia="Times New Roman" w:hAnsi="Times New Roman"/>
                <w:sz w:val="21"/>
                <w:szCs w:val="21"/>
                <w:b w:val="1"/>
                <w:bCs w:val="1"/>
                <w:color w:val="auto"/>
                <w:w w:val="97"/>
              </w:rPr>
              <w:t>BioCryst Pharmaceuticals, Inc.</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8"/>
              </w:rPr>
              <w:t>Signature: /s/ Anthony Doyle</w:t>
            </w:r>
          </w:p>
        </w:tc>
        <w:tc>
          <w:tcPr>
            <w:tcW w:w="5460" w:type="dxa"/>
            <w:vAlign w:val="bottom"/>
            <w:gridSpan w:val="2"/>
          </w:tcPr>
          <w:p>
            <w:pPr>
              <w:ind w:left="2520"/>
              <w:spacing w:after="0"/>
              <w:rPr>
                <w:sz w:val="20"/>
                <w:szCs w:val="20"/>
                <w:color w:val="auto"/>
              </w:rPr>
            </w:pPr>
            <w:r>
              <w:rPr>
                <w:rFonts w:ascii="Times New Roman" w:cs="Times New Roman" w:eastAsia="Times New Roman" w:hAnsi="Times New Roman"/>
                <w:sz w:val="21"/>
                <w:szCs w:val="21"/>
                <w:color w:val="auto"/>
                <w:w w:val="97"/>
              </w:rPr>
              <w:t>Signature: /s/ Alane Phillips Barnes</w:t>
            </w:r>
          </w:p>
        </w:tc>
      </w:tr>
      <w:tr>
        <w:trPr>
          <w:trHeight w:val="20"/>
        </w:trPr>
        <w:tc>
          <w:tcPr>
            <w:tcW w:w="9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8"/>
              </w:rPr>
              <w:t>Name: Anthony Doyle</w:t>
            </w:r>
          </w:p>
        </w:tc>
        <w:tc>
          <w:tcPr>
            <w:tcW w:w="5460" w:type="dxa"/>
            <w:vAlign w:val="bottom"/>
            <w:gridSpan w:val="2"/>
          </w:tcPr>
          <w:p>
            <w:pPr>
              <w:ind w:left="3060"/>
              <w:spacing w:after="0"/>
              <w:rPr>
                <w:sz w:val="20"/>
                <w:szCs w:val="20"/>
                <w:color w:val="auto"/>
              </w:rPr>
            </w:pPr>
            <w:r>
              <w:rPr>
                <w:rFonts w:ascii="Times New Roman" w:cs="Times New Roman" w:eastAsia="Times New Roman" w:hAnsi="Times New Roman"/>
                <w:sz w:val="21"/>
                <w:szCs w:val="21"/>
                <w:color w:val="auto"/>
                <w:w w:val="97"/>
              </w:rPr>
              <w:t>Name: Alane Phillips Barnes</w:t>
            </w:r>
          </w:p>
        </w:tc>
      </w:tr>
      <w:tr>
        <w:trPr>
          <w:trHeight w:val="20"/>
        </w:trPr>
        <w:tc>
          <w:tcPr>
            <w:tcW w:w="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7"/>
              </w:rPr>
              <w:t>Title: Consultant</w:t>
            </w:r>
          </w:p>
        </w:tc>
        <w:tc>
          <w:tcPr>
            <w:tcW w:w="5680" w:type="dxa"/>
            <w:vAlign w:val="bottom"/>
            <w:gridSpan w:val="2"/>
          </w:tcPr>
          <w:p>
            <w:pPr>
              <w:ind w:left="3560"/>
              <w:spacing w:after="0"/>
              <w:rPr>
                <w:sz w:val="20"/>
                <w:szCs w:val="20"/>
                <w:color w:val="auto"/>
              </w:rPr>
            </w:pPr>
            <w:r>
              <w:rPr>
                <w:rFonts w:ascii="Times New Roman" w:cs="Times New Roman" w:eastAsia="Times New Roman" w:hAnsi="Times New Roman"/>
                <w:sz w:val="21"/>
                <w:szCs w:val="21"/>
                <w:color w:val="auto"/>
                <w:w w:val="97"/>
              </w:rPr>
              <w:t>Title: Chief Legal Officer</w:t>
            </w:r>
          </w:p>
        </w:tc>
      </w:tr>
      <w:tr>
        <w:trPr>
          <w:trHeight w:val="20"/>
        </w:trPr>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059"/>
          </w:cols>
          <w:pgMar w:left="400" w:top="1440"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NOTICE OF GRANT OF STOCK OPTION</w:t>
      </w:r>
    </w:p>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Notice is hereby given of the following stock option grant (the “Option”) to purchase shares of the Common Stock of BioCryst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ectPr>
          <w:pgSz w:w="11900" w:h="16838" w:orient="portrait"/>
          <w:cols w:equalWidth="0" w:num="1">
            <w:col w:w="11240"/>
          </w:cols>
          <w:pgMar w:left="320" w:top="117" w:right="339" w:bottom="1440" w:gutter="0" w:footer="0" w:header="0"/>
        </w:sectPr>
      </w:pPr>
    </w:p>
    <w:p>
      <w:pPr>
        <w:spacing w:after="0" w:line="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Number of Optioned Shares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Type of Option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____</w:t>
      </w:r>
      <w:r>
        <w:rPr>
          <w:rFonts w:ascii="Times New Roman" w:cs="Times New Roman" w:eastAsia="Times New Roman" w:hAnsi="Times New Roman"/>
          <w:sz w:val="18"/>
          <w:szCs w:val="18"/>
          <w:color w:val="auto"/>
        </w:rPr>
        <w:t xml:space="preserve">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-299085</wp:posOffset>
            </wp:positionV>
            <wp:extent cx="36175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-470535</wp:posOffset>
            </wp:positionV>
            <wp:extent cx="36175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-641985</wp:posOffset>
            </wp:positionV>
            <wp:extent cx="36175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-813435</wp:posOffset>
            </wp:positionV>
            <wp:extent cx="36175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-984885</wp:posOffset>
            </wp:positionV>
            <wp:extent cx="36175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7" w:lineRule="exact"/>
        <w:rPr>
          <w:sz w:val="20"/>
          <w:szCs w:val="20"/>
          <w:color w:val="auto"/>
        </w:rPr>
      </w:pPr>
    </w:p>
    <w:p>
      <w:pPr>
        <w:ind w:right="1960"/>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up to tax code limits – the portion of the option covering Option Shares in excess of tax 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limits shall be accounted for as a non-qualified stock option)</w:t>
      </w:r>
    </w:p>
    <w:p>
      <w:pPr>
        <w:spacing w:after="0" w:line="200" w:lineRule="exact"/>
        <w:rPr>
          <w:sz w:val="20"/>
          <w:szCs w:val="20"/>
          <w:color w:val="auto"/>
        </w:rPr>
      </w:pPr>
    </w:p>
    <w:p>
      <w:pPr>
        <w:sectPr>
          <w:pgSz w:w="11900" w:h="16838" w:orient="portrait"/>
          <w:cols w:equalWidth="0" w:num="2">
            <w:col w:w="3140" w:space="720"/>
            <w:col w:w="7380"/>
          </w:cols>
          <w:pgMar w:left="320" w:top="117" w:right="339" w:bottom="1440" w:gutter="0" w:footer="0" w:header="0"/>
          <w:type w:val="continuous"/>
        </w:sectPr>
      </w:pPr>
    </w:p>
    <w:p>
      <w:pPr>
        <w:spacing w:after="0" w:line="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____</w:t>
      </w:r>
      <w:r>
        <w:rPr>
          <w:rFonts w:ascii="Times New Roman" w:cs="Times New Roman" w:eastAsia="Times New Roman" w:hAnsi="Times New Roman"/>
          <w:sz w:val="18"/>
          <w:szCs w:val="18"/>
          <w:color w:val="auto"/>
        </w:rPr>
        <w:t xml:space="preserve">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266065</wp:posOffset>
            </wp:positionV>
            <wp:extent cx="5477510" cy="874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5477510" cy="8743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740" w:right="20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Exercise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will initially become exercisable for 25% of the Optioned Shares upon Optionee’s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twelve (12) months of Service (as defined in the Standard Stock Option Agreement) measured from the Grant Date and will become exercisable for the balance of the Optioned Shares at the rate of 25% of the Optioned Shares upon Optionee’s completion of each additional year of Service measured from the first anniversary of the Grant Date for the following three years until fully vested on the fourth anniversary of the grant. The Option shall not become exercisable for any additional Optioned Shares following the Optionee’s cessation of Service.</w:t>
      </w:r>
    </w:p>
    <w:p>
      <w:pPr>
        <w:spacing w:after="0" w:line="3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Optionee understands that the Option is granted subject to and in accordance with the express terms and conditions of the BioCryst Pharmaceuticals, Inc. Stock Incentive Plan (the “Plan”) and agrees to be bound by and conform to the terms and conditions of the Plan, the Plan Prospectus, this Notice of Grant of Stock Option and its accompanying Standard Stock Option Agreement. Optionee acknowledges that notwithstanding anything to the contrary in any written employment agreement between Optionee and the Company, the exercisability of the Option shall not accelerate upon a Change in Control (or any equivalent term as set forth in any applicable written employment agreement) except to the extent provided in the Plan. Optionee acknowledges that copies of the Plan, the Plan Prospectus, and the Standard Stock Option Agreement are available to Optionee on the Company’s intranet and have been made available to Optionee.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No Employment or Service Contract</w:t>
      </w:r>
      <w:r>
        <w:rPr>
          <w:rFonts w:ascii="Times New Roman" w:cs="Times New Roman" w:eastAsia="Times New Roman" w:hAnsi="Times New Roman"/>
          <w:sz w:val="18"/>
          <w:szCs w:val="18"/>
          <w:color w:val="auto"/>
        </w:rPr>
        <w:t>: Nothing in the Standard Stock Option Agreement or the Plan shall confer upon the Optionee the right to continue in the Service of the Company (or any parent or subsidiary corporation of the Company employing or retaining Optionee) for any period of specific duration or interfere with or otherwise restrict in any way the rights of the Company or the Optionee, which rights are hereby expressly reserved by each, to terminate Optionee’s Service at any time for any reason whatsoever, with or without cause.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my signature below, I hereby acknowledge receipt of this Option granted on the date shown above, which has been issued to me under the terms and conditions of the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OPTIONEE</w:t>
            </w:r>
          </w:p>
        </w:tc>
        <w:tc>
          <w:tcPr>
            <w:tcW w:w="520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tcPr>
          <w:p>
            <w:pPr>
              <w:spacing w:after="0"/>
              <w:rPr>
                <w:sz w:val="18"/>
                <w:szCs w:val="18"/>
                <w:color w:val="auto"/>
              </w:rPr>
            </w:pPr>
          </w:p>
        </w:tc>
        <w:tc>
          <w:tcPr>
            <w:tcW w:w="520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color w:val="auto"/>
              </w:rPr>
              <w:t>Jon P. Stonehouse</w:t>
            </w:r>
          </w:p>
        </w:tc>
        <w:tc>
          <w:tcPr>
            <w:tcW w:w="0" w:type="dxa"/>
            <w:vAlign w:val="bottom"/>
          </w:tcPr>
          <w:p>
            <w:pPr>
              <w:spacing w:after="0"/>
              <w:rPr>
                <w:sz w:val="1"/>
                <w:szCs w:val="1"/>
                <w:color w:val="auto"/>
              </w:rPr>
            </w:pPr>
          </w:p>
        </w:tc>
      </w:tr>
      <w:tr>
        <w:trPr>
          <w:trHeight w:val="205"/>
        </w:trPr>
        <w:tc>
          <w:tcPr>
            <w:tcW w:w="36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Signature</w:t>
            </w:r>
          </w:p>
        </w:tc>
        <w:tc>
          <w:tcPr>
            <w:tcW w:w="5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52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President &amp; CEO</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tcPr>
          <w:p>
            <w:pPr>
              <w:spacing w:after="0"/>
              <w:rPr>
                <w:sz w:val="21"/>
                <w:szCs w:val="21"/>
                <w:color w:val="auto"/>
              </w:rPr>
            </w:pPr>
          </w:p>
        </w:tc>
        <w:tc>
          <w:tcPr>
            <w:tcW w:w="5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Signed</w:t>
            </w:r>
          </w:p>
        </w:tc>
        <w:tc>
          <w:tcPr>
            <w:tcW w:w="5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line="200" w:lineRule="exact"/>
        <w:rPr>
          <w:sz w:val="20"/>
          <w:szCs w:val="20"/>
          <w:color w:val="auto"/>
        </w:rPr>
      </w:pPr>
    </w:p>
    <w:p>
      <w:pPr>
        <w:spacing w:after="0" w:line="20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BIOCRYST PHARMACEUTICALS, INC.</w:t>
      </w:r>
    </w:p>
    <w:p>
      <w:pPr>
        <w:spacing w:after="0" w:line="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u w:val="single" w:color="auto"/>
          <w:color w:val="auto"/>
        </w:rPr>
        <w:t>STANDARD STOCK OPTION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WITNESSETH</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06" w:lineRule="exact"/>
        <w:rPr>
          <w:sz w:val="20"/>
          <w:szCs w:val="20"/>
          <w:color w:val="auto"/>
        </w:rPr>
      </w:pPr>
    </w:p>
    <w:p>
      <w:pPr>
        <w:jc w:val="both"/>
        <w:ind w:firstLine="656"/>
        <w:spacing w:after="0" w:line="244" w:lineRule="auto"/>
        <w:tabs>
          <w:tab w:leader="none" w:pos="128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has adopted the Company’s Stock Incentive Plan (the “Plan”) for the purpose of attracting and retaining the services of selected key employees (including officers and directors), non-employee Board members and consultants and other independent contractors who contribute to the financial success of the Company or its parent or subsidiary corporations.</w:t>
      </w:r>
    </w:p>
    <w:p>
      <w:pPr>
        <w:spacing w:after="0" w:line="143" w:lineRule="exact"/>
        <w:rPr>
          <w:rFonts w:ascii="Times New Roman" w:cs="Times New Roman" w:eastAsia="Times New Roman" w:hAnsi="Times New Roman"/>
          <w:sz w:val="19"/>
          <w:szCs w:val="19"/>
          <w:color w:val="auto"/>
        </w:rPr>
      </w:pPr>
    </w:p>
    <w:p>
      <w:pPr>
        <w:jc w:val="both"/>
        <w:ind w:firstLine="656"/>
        <w:spacing w:after="0" w:line="230" w:lineRule="auto"/>
        <w:tabs>
          <w:tab w:leader="none" w:pos="12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is an individual who is to render valuable services to the Company or its parent or subsidiary corporations, and this Agreement is executed pursuant to, and is intended to carry out the purposes of, the Plan in connection with the Company’s grant of a stock option to Optionee.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it is hereby agreed as follows:</w:t>
      </w:r>
    </w:p>
    <w:p>
      <w:pPr>
        <w:spacing w:after="0" w:line="212" w:lineRule="exact"/>
        <w:rPr>
          <w:sz w:val="20"/>
          <w:szCs w:val="20"/>
          <w:color w:val="auto"/>
        </w:rPr>
      </w:pPr>
    </w:p>
    <w:p>
      <w:pPr>
        <w:jc w:val="both"/>
        <w:ind w:firstLine="656"/>
        <w:spacing w:after="0" w:line="220" w:lineRule="auto"/>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Subject to and upon the terms and conditions set forth in this Agreement, the Company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as of the grant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specified in the accompanying Notice of Grant of Stock Option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a stock option to purchase up to that number of shares of the Company’s Common Stock (the “</w:t>
      </w:r>
      <w:r>
        <w:rPr>
          <w:rFonts w:ascii="Times New Roman" w:cs="Times New Roman" w:eastAsia="Times New Roman" w:hAnsi="Times New Roman"/>
          <w:sz w:val="20"/>
          <w:szCs w:val="20"/>
          <w:u w:val="single" w:color="auto"/>
          <w:color w:val="auto"/>
        </w:rPr>
        <w:t>Optioned Shares</w:t>
      </w:r>
      <w:r>
        <w:rPr>
          <w:rFonts w:ascii="Times New Roman" w:cs="Times New Roman" w:eastAsia="Times New Roman" w:hAnsi="Times New Roman"/>
          <w:sz w:val="20"/>
          <w:szCs w:val="20"/>
          <w:color w:val="auto"/>
        </w:rPr>
        <w:t>”) specified in the Grant Notice. The Optioned Shares shall be purchasable from time to time during the option term at the option price per share (the “</w:t>
      </w:r>
      <w:r>
        <w:rPr>
          <w:rFonts w:ascii="Times New Roman" w:cs="Times New Roman" w:eastAsia="Times New Roman" w:hAnsi="Times New Roman"/>
          <w:sz w:val="20"/>
          <w:szCs w:val="20"/>
          <w:u w:val="single" w:color="auto"/>
          <w:color w:val="auto"/>
        </w:rPr>
        <w:t>Option Price</w:t>
      </w:r>
      <w:r>
        <w:rPr>
          <w:rFonts w:ascii="Times New Roman" w:cs="Times New Roman" w:eastAsia="Times New Roman" w:hAnsi="Times New Roman"/>
          <w:sz w:val="20"/>
          <w:szCs w:val="20"/>
          <w:color w:val="auto"/>
        </w:rPr>
        <w:t>”) specified in the Grant Notice.</w:t>
      </w:r>
    </w:p>
    <w:p>
      <w:pPr>
        <w:spacing w:after="0" w:line="147" w:lineRule="exact"/>
        <w:rPr>
          <w:rFonts w:ascii="Times New Roman" w:cs="Times New Roman" w:eastAsia="Times New Roman" w:hAnsi="Times New Roman"/>
          <w:sz w:val="20"/>
          <w:szCs w:val="20"/>
          <w:color w:val="auto"/>
        </w:rPr>
      </w:pPr>
    </w:p>
    <w:p>
      <w:pPr>
        <w:ind w:firstLine="656"/>
        <w:spacing w:after="0" w:line="245" w:lineRule="auto"/>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Option Term</w:t>
      </w:r>
      <w:r>
        <w:rPr>
          <w:rFonts w:ascii="Times New Roman" w:cs="Times New Roman" w:eastAsia="Times New Roman" w:hAnsi="Times New Roman"/>
          <w:sz w:val="20"/>
          <w:szCs w:val="20"/>
          <w:color w:val="auto"/>
        </w:rPr>
        <w:t>. This option shall expire at the close of business on the Expiration Date specified in the Grant Notice,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sooner terminated in accordance with Paragraph 5, 6 or 19 of this Agreement.</w:t>
      </w:r>
    </w:p>
    <w:p>
      <w:pPr>
        <w:spacing w:after="0" w:line="151"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Limited Transferability</w:t>
      </w:r>
      <w:r>
        <w:rPr>
          <w:rFonts w:ascii="Times New Roman" w:cs="Times New Roman" w:eastAsia="Times New Roman" w:hAnsi="Times New Roman"/>
          <w:sz w:val="20"/>
          <w:szCs w:val="20"/>
          <w:color w:val="auto"/>
        </w:rPr>
        <w:t>. During the lifetime of the Optionee, this option (together with its tandem stock appreciation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exercisable only by the Optionee and shall not be assignable or transferable by the Optionee except for a transfer by will or by the laws of descent and distribution following the Optionee’s death. Notwithstanding the foregoing, this option may, to the extent it is a non-statutory stock option, in connection with the Optionee’s estate plan, be assigned in whole or in part during the during Optionee’s lifetime either as (i) as a gift to one or more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spacing w:after="0" w:line="165" w:lineRule="exact"/>
        <w:rPr>
          <w:rFonts w:ascii="Times New Roman" w:cs="Times New Roman" w:eastAsia="Times New Roman" w:hAnsi="Times New Roman"/>
          <w:sz w:val="20"/>
          <w:szCs w:val="20"/>
          <w:color w:val="auto"/>
        </w:rPr>
      </w:pPr>
    </w:p>
    <w:p>
      <w:pPr>
        <w:jc w:val="both"/>
        <w:ind w:firstLine="656"/>
        <w:spacing w:after="0" w:line="227" w:lineRule="auto"/>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Exercisability</w:t>
      </w:r>
      <w:r>
        <w:rPr>
          <w:rFonts w:ascii="Times New Roman" w:cs="Times New Roman" w:eastAsia="Times New Roman" w:hAnsi="Times New Roman"/>
          <w:sz w:val="20"/>
          <w:szCs w:val="20"/>
          <w:color w:val="auto"/>
        </w:rPr>
        <w:t>. This option shall become exercisable for the Optioned Shares in installments as is specified in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As the option becomes exercisable for one or more installments, the installments shall accumulate and the option shall remain exercisable for the accumulated installments until the Expiration Date or the sooner termination of the option term under this Agreement.</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Acceleration; Termination</w:t>
      </w:r>
      <w:r>
        <w:rPr>
          <w:rFonts w:ascii="Times New Roman" w:cs="Times New Roman" w:eastAsia="Times New Roman" w:hAnsi="Times New Roman"/>
          <w:sz w:val="20"/>
          <w:szCs w:val="20"/>
          <w:color w:val="auto"/>
        </w:rPr>
        <w:t>. The option term specified in Paragraph 2 shall terminate (and this option shall cease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exercisable) prior to the Expiration Date should one of the following provisions become applicable:</w:t>
      </w:r>
    </w:p>
    <w:p>
      <w:pPr>
        <w:spacing w:after="0" w:line="141"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provided in subparagraphs (ii) through (v) below, should optionee cease to remain in Service at any time during the option term, then the period for exercising this option shall be reduced to a three (3)-month period commencing with the date of such cessation of Service, but in no event shall this option be exercisable at any time after the Expiration Date. Upon the expiration of such three (3) month period or (if earlier) upon the Expiration Date, this option shall terminate and cease to be outstanding. However, should Optionee die during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(3)-month period following his or her cessation of Service, the personal representative of the Optionee’s estate or the person or</w:t>
      </w:r>
    </w:p>
    <w:p>
      <w:pPr>
        <w:spacing w:after="0" w:line="204" w:lineRule="auto"/>
        <w:rPr>
          <w:sz w:val="20"/>
          <w:szCs w:val="20"/>
          <w:color w:val="auto"/>
        </w:rPr>
      </w:pPr>
      <w:r>
        <w:rPr>
          <w:rFonts w:ascii="Times New Roman" w:cs="Times New Roman" w:eastAsia="Times New Roman" w:hAnsi="Times New Roman"/>
          <w:sz w:val="20"/>
          <w:szCs w:val="20"/>
          <w:color w:val="auto"/>
        </w:rPr>
        <w:t>persons to whom this option is transferred pursuant to the Optionee’s will or in accordance with the laws of descent or distribution shall have a twelve (12)-month period following the date of the Optionee’s death during which to exercise this Option, but in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 shall this option be exercisable at any time after the Expiration Date.</w:t>
      </w:r>
    </w:p>
    <w:p>
      <w:pPr>
        <w:spacing w:after="0" w:line="167" w:lineRule="exact"/>
        <w:rPr>
          <w:sz w:val="20"/>
          <w:szCs w:val="20"/>
          <w:color w:val="auto"/>
        </w:rPr>
      </w:pPr>
    </w:p>
    <w:p>
      <w:pPr>
        <w:jc w:val="both"/>
        <w:ind w:firstLine="644"/>
        <w:spacing w:after="0" w:line="215" w:lineRule="auto"/>
        <w:tabs>
          <w:tab w:leader="none" w:pos="1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Optionee, after completing five (5) full years of Service, die while in Service, then the exercisability of each of his or her outstanding options shall automatically accelerate so that each such option shall become fully exercisable with respect to the total number of Optioned Shares at the time subject to such option and may be exercised for all or any portion of such shares. The personal representative of the Optionee’s estate or the person or persons to whom this option is transferred pursuant to the Optionee’s will or in accordance with the laws of descent and distribution shall have a twelve (12)-month period following the date of the Optionee’s death during which to exercise this option, but in no event shall this option be exercisable at any time after the Expiration Date.</w:t>
      </w:r>
    </w:p>
    <w:p>
      <w:pPr>
        <w:spacing w:after="0" w:line="150"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Optionee die while in Service prior to completing five (5) full years of Service, then the period for which each outstanding vested option held by the Optionee at the time of death shall be exercisable by the Optionee’s estate or the person or persons to whom the option is transferred pursuant to the Optionee’s will shall be limited to the twelve (12)-month period following the date of the Optionee’s death, but in no event shall this option be exercisable at any time after the Expiration Date.</w:t>
      </w:r>
    </w:p>
    <w:p>
      <w:pPr>
        <w:spacing w:after="0" w:line="161" w:lineRule="exact"/>
        <w:rPr>
          <w:rFonts w:ascii="Times New Roman" w:cs="Times New Roman" w:eastAsia="Times New Roman" w:hAnsi="Times New Roman"/>
          <w:sz w:val="20"/>
          <w:szCs w:val="20"/>
          <w:color w:val="auto"/>
        </w:rPr>
      </w:pPr>
    </w:p>
    <w:p>
      <w:pPr>
        <w:jc w:val="both"/>
        <w:ind w:firstLine="644"/>
        <w:spacing w:after="0" w:line="217" w:lineRule="auto"/>
        <w:tabs>
          <w:tab w:leader="none" w:pos="1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Optionee become permanently disabled (as defined in Section 22(e)(3) of the Internal Revenue Code) and cease by reason thereof to remain in Service at any time during the option term, then the period for exercising this option shall be reduced to a twelve (12)-month period commencing with the date of such cessation of Service, but in no event shall this option be exercisable at any time after the Expiration Date. Upon the expiration of such twelve (12)-month period or (if earlier) upon the Expiration Date, this option shall terminate and cease to be outstanding.</w:t>
      </w:r>
    </w:p>
    <w:p>
      <w:pPr>
        <w:spacing w:after="0" w:line="161"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(A) the Optionee’s Service be terminated for misconduct (including, but not limited to, any act of dishonesty, willful misconduct, fraud or embezzlement) or (B) the Optionee make any unauthorized use or disclosure of confidential information or trade secrets of the Company or its parent or subsidiary corporations, then in any such event this option (vested and unvested) shall terminate immediately and cease to be exercisable.</w:t>
      </w:r>
    </w:p>
    <w:p>
      <w:pPr>
        <w:spacing w:after="0" w:line="161" w:lineRule="exact"/>
        <w:rPr>
          <w:rFonts w:ascii="Times New Roman" w:cs="Times New Roman" w:eastAsia="Times New Roman" w:hAnsi="Times New Roman"/>
          <w:sz w:val="20"/>
          <w:szCs w:val="20"/>
          <w:color w:val="auto"/>
        </w:rPr>
      </w:pPr>
    </w:p>
    <w:p>
      <w:pPr>
        <w:jc w:val="both"/>
        <w:ind w:firstLine="644"/>
        <w:spacing w:after="0" w:line="222" w:lineRule="auto"/>
        <w:tabs>
          <w:tab w:leader="none" w:pos="12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limited period of exercisability applicable in accordance with subparagraphs (i) through (iv) above, this option may not be exercised for more than the number of the Optioned Shares (if any) for which this option is, at the time of the Optionee’s cessation of Service, exercisable in accordance with the exercise provisions specified in this Agreement and the Grant Notice.</w:t>
      </w:r>
    </w:p>
    <w:p>
      <w:pPr>
        <w:spacing w:after="0" w:line="148" w:lineRule="exact"/>
        <w:rPr>
          <w:rFonts w:ascii="Times New Roman" w:cs="Times New Roman" w:eastAsia="Times New Roman" w:hAnsi="Times New Roman"/>
          <w:sz w:val="20"/>
          <w:szCs w:val="20"/>
          <w:color w:val="auto"/>
        </w:rPr>
      </w:pPr>
    </w:p>
    <w:p>
      <w:pPr>
        <w:ind w:right="20" w:firstLine="644"/>
        <w:spacing w:after="0"/>
        <w:tabs>
          <w:tab w:leader="none" w:pos="1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5 and for all other purposes under this Agreement, the following definitional provisions shall be in effect:</w:t>
      </w:r>
    </w:p>
    <w:p>
      <w:pPr>
        <w:spacing w:after="0" w:line="161" w:lineRule="exact"/>
        <w:rPr>
          <w:rFonts w:ascii="Times New Roman" w:cs="Times New Roman" w:eastAsia="Times New Roman" w:hAnsi="Times New Roman"/>
          <w:sz w:val="20"/>
          <w:szCs w:val="20"/>
          <w:color w:val="auto"/>
        </w:rPr>
      </w:pPr>
    </w:p>
    <w:p>
      <w:pPr>
        <w:jc w:val="both"/>
        <w:ind w:left="640" w:firstLine="652"/>
        <w:spacing w:after="0" w:line="226" w:lineRule="auto"/>
        <w:tabs>
          <w:tab w:leader="none" w:pos="193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shall be deemed to remain in Service for so long as the Optionee continues to render periodic services to the Company or any parent or subsidiary corporation, whether as an Employee, a non-employee member of the Company’s Board of Directors or an independent consultant or advisor.</w:t>
      </w:r>
    </w:p>
    <w:p>
      <w:pPr>
        <w:spacing w:after="0" w:line="160" w:lineRule="exact"/>
        <w:rPr>
          <w:rFonts w:ascii="Times New Roman" w:cs="Times New Roman" w:eastAsia="Times New Roman" w:hAnsi="Times New Roman"/>
          <w:sz w:val="20"/>
          <w:szCs w:val="20"/>
          <w:color w:val="auto"/>
        </w:rPr>
      </w:pPr>
    </w:p>
    <w:p>
      <w:pPr>
        <w:jc w:val="both"/>
        <w:ind w:left="640" w:firstLine="652"/>
        <w:spacing w:after="0" w:line="237" w:lineRule="auto"/>
        <w:tabs>
          <w:tab w:leader="none" w:pos="1935"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shall be deemed to be an Employee and to continue in the Company’s employ for so long as the Optionee remains in the employ of the Company or one or more of its parent or subsidiary corporations, subject to the control and direction of the employer entity as to both the work to be performed and the manner and method of performance.</w:t>
      </w:r>
    </w:p>
    <w:p>
      <w:pPr>
        <w:spacing w:after="0" w:line="162" w:lineRule="exact"/>
        <w:rPr>
          <w:rFonts w:ascii="Times New Roman" w:cs="Times New Roman" w:eastAsia="Times New Roman" w:hAnsi="Times New Roman"/>
          <w:sz w:val="19"/>
          <w:szCs w:val="19"/>
          <w:color w:val="auto"/>
        </w:rPr>
      </w:pPr>
    </w:p>
    <w:p>
      <w:pPr>
        <w:jc w:val="both"/>
        <w:ind w:left="640" w:firstLine="652"/>
        <w:spacing w:after="0" w:line="226" w:lineRule="auto"/>
        <w:tabs>
          <w:tab w:leader="none" w:pos="193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shall be considered to be a subsidiary corporation of the Company if it is a member of an unbroken chain of corporations beginning with the Company, provided each such corporation in the chain (other than the last corporation)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0"/>
          </w:cols>
          <w:pgMar w:left="980" w:top="1367"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20"/>
          <w:szCs w:val="20"/>
          <w:color w:val="auto"/>
        </w:rPr>
        <w:t>at the time of determination, stock possessing 50% or more of the total combined voting power of all classes of stock in one of the other corporations in such chain.</w:t>
      </w:r>
    </w:p>
    <w:p>
      <w:pPr>
        <w:spacing w:after="0" w:line="148" w:lineRule="exact"/>
        <w:rPr>
          <w:sz w:val="20"/>
          <w:szCs w:val="20"/>
          <w:color w:val="auto"/>
        </w:rPr>
      </w:pPr>
    </w:p>
    <w:p>
      <w:pPr>
        <w:jc w:val="both"/>
        <w:ind w:left="1300" w:firstLine="652"/>
        <w:spacing w:after="0" w:line="222" w:lineRule="auto"/>
        <w:tabs>
          <w:tab w:leader="none" w:pos="2585"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shall be considered to be a parent corporation of the Company if it is a member of an unbroken chain ending with the Company, provided each such corporation in the chain (other than the Company) owns, at the time of determination, stock possessing 50% or more of the total combined voting power of all classes of stock in one of the other corporations in such chain.</w:t>
      </w:r>
    </w:p>
    <w:p>
      <w:pPr>
        <w:spacing w:after="0" w:line="15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Corporate Transactions and Change in Control</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660" w:firstLine="644"/>
        <w:spacing w:after="0" w:line="233" w:lineRule="auto"/>
        <w:tabs>
          <w:tab w:leader="none" w:pos="194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Corporate Transaction or Change in Control (each as defined in the Plan), this option shall be treated as set forth in Article Two, Section III of the Plan.</w:t>
      </w:r>
    </w:p>
    <w:p>
      <w:pPr>
        <w:spacing w:after="0" w:line="160" w:lineRule="exact"/>
        <w:rPr>
          <w:rFonts w:ascii="Times New Roman" w:cs="Times New Roman" w:eastAsia="Times New Roman" w:hAnsi="Times New Roman"/>
          <w:sz w:val="20"/>
          <w:szCs w:val="20"/>
          <w:color w:val="auto"/>
        </w:rPr>
      </w:pPr>
    </w:p>
    <w:p>
      <w:pPr>
        <w:jc w:val="both"/>
        <w:ind w:left="660" w:right="20" w:firstLine="644"/>
        <w:spacing w:after="0" w:line="226" w:lineRule="auto"/>
        <w:tabs>
          <w:tab w:leader="none" w:pos="194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in any way affect the right of the Company to adjust, reclassify, reorganize or otherwise make changes in its capital or business structure or to merge, consolidate, dissolve, liquidate or sell or transfer all or any part of its business or assets.</w:t>
      </w:r>
    </w:p>
    <w:p>
      <w:pPr>
        <w:spacing w:after="0" w:line="1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Adjustment in Optioned Shares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change is made to the Common Stock issuable under the Plan by reason of any stock split, stock dividend, recapitalization, combination of shares, exchange of shares, or other change affecting the outstanding Common Stock as a class without receipt of consideration, then appropriate adjustments shall be made to (i) the total number and/or class of Optioned Shares subject to this option and (ii) the Option Price payable per share in order to reflect such change and thereby preclude a dilution or enlargement of benefits hereunder.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option is to be assumed or is otherwise to remain outstanding after a Corporate Transaction, then this option shall be appropriately adjusted to apply and pertain to the number and class of securities which would have been issuable to the Optionee in the consummation of such Corporate Transaction had the option been exercised immediately prior to such Corporate Transaction, and appropriate adjustments shall also be made to the Option Price payable per share,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aggregate Option Price payable hereunder shall remain the same.</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Privilege of Stock Ownership</w:t>
      </w:r>
      <w:r>
        <w:rPr>
          <w:rFonts w:ascii="Times New Roman" w:cs="Times New Roman" w:eastAsia="Times New Roman" w:hAnsi="Times New Roman"/>
          <w:sz w:val="20"/>
          <w:szCs w:val="20"/>
          <w:color w:val="auto"/>
        </w:rPr>
        <w:t>. The holder of this option shall not have any shareholder rights with respect to the Optioned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until such individual shall have exercised the option and paid the Option Price.</w:t>
      </w:r>
    </w:p>
    <w:p>
      <w:pPr>
        <w:spacing w:after="0" w:line="13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Manner of Exercising Option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exercise this option with respect to all or any part of the Optioned Shares for which this option is at the time exercisable, Optionee (or in the case of exercise after Optionee’s death, the Optionee’s executor, administrator, heir or legatee, as the case may be) must take the following actions:</w:t>
      </w:r>
    </w:p>
    <w:p>
      <w:pPr>
        <w:spacing w:after="0" w:line="160" w:lineRule="exact"/>
        <w:rPr>
          <w:rFonts w:ascii="Times New Roman" w:cs="Times New Roman" w:eastAsia="Times New Roman" w:hAnsi="Times New Roman"/>
          <w:sz w:val="20"/>
          <w:szCs w:val="20"/>
          <w:color w:val="auto"/>
        </w:rPr>
      </w:pPr>
    </w:p>
    <w:p>
      <w:pPr>
        <w:ind w:left="1300" w:firstLine="652"/>
        <w:spacing w:after="0"/>
        <w:tabs>
          <w:tab w:leader="none" w:pos="2594"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the Plan Administrator (or its designee) with written notice of the option exercise (the “Exercise Notice”) specifying the number of Optioned Shares for which the option is being exercised.</w:t>
      </w:r>
    </w:p>
    <w:p>
      <w:pPr>
        <w:spacing w:after="0" w:line="14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aggregate Option Price for the purchased shares in one of the following alternative forms:</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in cash or check payable to the Company’s order; or</w:t>
      </w:r>
    </w:p>
    <w:p>
      <w:pPr>
        <w:spacing w:after="0" w:line="188" w:lineRule="exact"/>
        <w:rPr>
          <w:rFonts w:ascii="Times New Roman" w:cs="Times New Roman" w:eastAsia="Times New Roman" w:hAnsi="Times New Roman"/>
          <w:sz w:val="20"/>
          <w:szCs w:val="20"/>
          <w:color w:val="auto"/>
        </w:rPr>
      </w:pPr>
    </w:p>
    <w:p>
      <w:pPr>
        <w:ind w:left="1960" w:firstLine="640"/>
        <w:spacing w:after="0" w:line="233" w:lineRule="auto"/>
        <w:tabs>
          <w:tab w:leader="none" w:pos="3250"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in shares of Common Stock held by Optionee for the requisite period necessary to avoid a charge to the Company’s reported earnings and valued at Fair Market Value on the Exercise Date; or</w:t>
      </w:r>
    </w:p>
    <w:p>
      <w:pPr>
        <w:spacing w:after="0" w:line="160" w:lineRule="exact"/>
        <w:rPr>
          <w:rFonts w:ascii="Times New Roman" w:cs="Times New Roman" w:eastAsia="Times New Roman" w:hAnsi="Times New Roman"/>
          <w:sz w:val="20"/>
          <w:szCs w:val="20"/>
          <w:color w:val="auto"/>
        </w:rPr>
      </w:pPr>
    </w:p>
    <w:p>
      <w:pPr>
        <w:ind w:left="1960" w:firstLine="640"/>
        <w:spacing w:after="0"/>
        <w:tabs>
          <w:tab w:leader="none" w:pos="3250"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in a combination of shares of Common Stock held for the requisite period necessary to avoid a charge to the Company’s earnings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7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color w:val="auto"/>
        </w:rPr>
        <w:t>valued at Fair Market Value on the Exercise Date and cash or check drawn to the Company’s order; or</w:t>
      </w:r>
    </w:p>
    <w:p>
      <w:pPr>
        <w:spacing w:after="0" w:line="189" w:lineRule="exact"/>
        <w:rPr>
          <w:sz w:val="20"/>
          <w:szCs w:val="20"/>
          <w:color w:val="auto"/>
        </w:rPr>
      </w:pPr>
    </w:p>
    <w:p>
      <w:pPr>
        <w:jc w:val="both"/>
        <w:ind w:left="1200" w:firstLine="640"/>
        <w:spacing w:after="0" w:line="213" w:lineRule="auto"/>
        <w:tabs>
          <w:tab w:leader="none" w:pos="2487"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Company’s outstanding Common Stock is registered under Section 12(g) of the Securities Exchange Act of 1934, as amended (the “1934 Act”), at the time this option is exercised, then payment of the Option Price may also be effected through a broker-dealer sale and remittance procedure pursuant to which Optionee (i) shall provide irrevocable written instructions to a designated brokerage firm to effect the immediate sale of the purchased shares and remit to the Company, out of the sale proceeds available on the settlement date, sufficient funds to cover the aggregate Option Price payable for the purchased shares plus all applicable Federal and state income and employment taxes required to be withheld by the Company by reason of such purchase and (ii) shall provide written directives to the Company to deliver the certificates for the purchased shares directly to such brokerage firm in order to complete the sale.</w:t>
      </w:r>
    </w:p>
    <w:p>
      <w:pPr>
        <w:spacing w:after="0" w:line="161" w:lineRule="exact"/>
        <w:rPr>
          <w:rFonts w:ascii="Times New Roman" w:cs="Times New Roman" w:eastAsia="Times New Roman" w:hAnsi="Times New Roman"/>
          <w:sz w:val="20"/>
          <w:szCs w:val="20"/>
          <w:color w:val="auto"/>
        </w:rPr>
      </w:pPr>
    </w:p>
    <w:p>
      <w:pPr>
        <w:ind w:left="540" w:firstLine="652"/>
        <w:spacing w:after="0" w:line="233" w:lineRule="auto"/>
        <w:tabs>
          <w:tab w:leader="none" w:pos="183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Company appropriate documentation that the person or persons exercising the option (if other than Optionee) have the right to exercise this option.</w:t>
      </w:r>
    </w:p>
    <w:p>
      <w:pPr>
        <w:spacing w:after="0" w:line="160" w:lineRule="exact"/>
        <w:rPr>
          <w:rFonts w:ascii="Times New Roman" w:cs="Times New Roman" w:eastAsia="Times New Roman" w:hAnsi="Times New Roman"/>
          <w:sz w:val="20"/>
          <w:szCs w:val="20"/>
          <w:color w:val="auto"/>
        </w:rPr>
      </w:pPr>
    </w:p>
    <w:p>
      <w:pPr>
        <w:ind w:left="-100" w:right="20" w:firstLine="644"/>
        <w:spacing w:after="0"/>
        <w:tabs>
          <w:tab w:leader="none" w:pos="11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subparagraph (a) above and for all other valuation purposes under this Agreement, the Fair Market Value per share of Common Stock on any relevant date shall be determined in accordance with the following provisions:</w:t>
      </w:r>
    </w:p>
    <w:p>
      <w:pPr>
        <w:spacing w:after="0" w:line="147" w:lineRule="exact"/>
        <w:rPr>
          <w:rFonts w:ascii="Times New Roman" w:cs="Times New Roman" w:eastAsia="Times New Roman" w:hAnsi="Times New Roman"/>
          <w:sz w:val="20"/>
          <w:szCs w:val="20"/>
          <w:color w:val="auto"/>
        </w:rPr>
      </w:pPr>
    </w:p>
    <w:p>
      <w:pPr>
        <w:jc w:val="both"/>
        <w:ind w:left="540" w:firstLine="652"/>
        <w:spacing w:after="0" w:line="215" w:lineRule="auto"/>
        <w:tabs>
          <w:tab w:leader="none" w:pos="183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not at the time listed or admitted to trading on any national securities exchange but is traded in the over-the-counter market, the Fair Market Value shall be the mean between the highest bid and lowest asked prices (or, if such information is available, the closing selling price) per share of Common Stock on the date in question in the over-the-counter market, as such prices are reported by the National Association of Securities Dealers through the Nasdaq system or any successor system. If there are no reported bid and asked prices (or closing selling price) for the Common Stock on the date in question, then the mean between the highest bid price and lowest asked price (or the closing selling price) on the last preceding date for which such quotations exist shall be determinative of Fair Market Value.</w:t>
      </w:r>
    </w:p>
    <w:p>
      <w:pPr>
        <w:spacing w:after="0" w:line="164" w:lineRule="exact"/>
        <w:rPr>
          <w:sz w:val="20"/>
          <w:szCs w:val="20"/>
          <w:color w:val="auto"/>
        </w:rPr>
      </w:pPr>
    </w:p>
    <w:p>
      <w:pPr>
        <w:jc w:val="both"/>
        <w:ind w:left="540" w:firstLine="652"/>
        <w:spacing w:after="0" w:line="216" w:lineRule="auto"/>
        <w:tabs>
          <w:tab w:leader="none" w:pos="183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at the time listed or admitted to trading on any national securities exchange, then the Fair Market Value shall be the closing selling price per share of Common Stock on the date in question on the securities exchange determined by the Plan Administrator to be the primary market for the Common Stock, as such price is officially quoted in the composite tape of transactions on such exchange. If there is no reported sale of Common Stock on such exchange on the date in question, then the Fair Market Value shall be the closing selling price on the exchange on the last preceding date for which such quotation exists.</w:t>
      </w:r>
    </w:p>
    <w:p>
      <w:pPr>
        <w:spacing w:after="0" w:line="162" w:lineRule="exact"/>
        <w:rPr>
          <w:rFonts w:ascii="Times New Roman" w:cs="Times New Roman" w:eastAsia="Times New Roman" w:hAnsi="Times New Roman"/>
          <w:sz w:val="20"/>
          <w:szCs w:val="20"/>
          <w:color w:val="auto"/>
        </w:rPr>
      </w:pPr>
    </w:p>
    <w:p>
      <w:pPr>
        <w:jc w:val="both"/>
        <w:ind w:left="540" w:firstLine="652"/>
        <w:spacing w:after="0" w:line="226" w:lineRule="auto"/>
        <w:tabs>
          <w:tab w:leader="none" w:pos="183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on the date in question neither listed or admitted to trading on any stock exchange nor traded in the over-the-counter market, then the fair market value shall be determined by the Plan Administrator after taking into account such factors as the Plan Administrator shall deem appropriate.</w:t>
      </w:r>
    </w:p>
    <w:p>
      <w:pPr>
        <w:spacing w:after="0" w:line="160" w:lineRule="exact"/>
        <w:rPr>
          <w:rFonts w:ascii="Times New Roman" w:cs="Times New Roman" w:eastAsia="Times New Roman" w:hAnsi="Times New Roman"/>
          <w:sz w:val="20"/>
          <w:szCs w:val="20"/>
          <w:color w:val="auto"/>
        </w:rPr>
      </w:pPr>
    </w:p>
    <w:p>
      <w:pPr>
        <w:jc w:val="both"/>
        <w:ind w:left="-100" w:firstLine="644"/>
        <w:spacing w:after="0" w:line="226" w:lineRule="auto"/>
        <w:tabs>
          <w:tab w:leader="none" w:pos="11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Date shall be the date on which the Exercise Notice is delivered to the Plan Administrator. Except to the extent the sale and remittance procedure specified above is utilized for the exercise of the option, payment of the Option Price for the purchased shares must accompany such notice.</w:t>
      </w:r>
    </w:p>
    <w:p>
      <w:pPr>
        <w:spacing w:after="0" w:line="160" w:lineRule="exact"/>
        <w:rPr>
          <w:rFonts w:ascii="Times New Roman" w:cs="Times New Roman" w:eastAsia="Times New Roman" w:hAnsi="Times New Roman"/>
          <w:sz w:val="20"/>
          <w:szCs w:val="20"/>
          <w:color w:val="auto"/>
        </w:rPr>
      </w:pPr>
    </w:p>
    <w:p>
      <w:pPr>
        <w:jc w:val="both"/>
        <w:ind w:left="-100" w:firstLine="644"/>
        <w:spacing w:after="0" w:line="226" w:lineRule="auto"/>
        <w:tabs>
          <w:tab w:leader="none" w:pos="11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practical after the Exercise Date, the Company shall issue to or on behalf of Optionee (or other person or persons exercising this option) the Purchased Options Shares via electronic means or through delivery of a certificate or certificates representing the purchased Optioned Shares.</w:t>
      </w:r>
    </w:p>
    <w:p>
      <w:pPr>
        <w:spacing w:after="0" w:line="160" w:lineRule="exact"/>
        <w:rPr>
          <w:rFonts w:ascii="Times New Roman" w:cs="Times New Roman" w:eastAsia="Times New Roman" w:hAnsi="Times New Roman"/>
          <w:sz w:val="20"/>
          <w:szCs w:val="20"/>
          <w:color w:val="auto"/>
        </w:rPr>
      </w:pPr>
    </w:p>
    <w:p>
      <w:pPr>
        <w:ind w:left="1180" w:hanging="636"/>
        <w:spacing w:after="0"/>
        <w:tabs>
          <w:tab w:leader="none" w:pos="11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may this option be exercised for any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480"/>
          </w:cols>
          <w:pgMar w:left="1080" w:top="1372" w:right="339" w:bottom="1440" w:gutter="0" w:footer="0" w:header="0"/>
        </w:sectPr>
      </w:pPr>
    </w:p>
    <w:bookmarkStart w:id="92" w:name="page93"/>
    <w:bookmarkEnd w:id="92"/>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Compliance with Laws and Regulations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this option (or of its tandem stock appreciation right) and the issuance of Common Stock hereunder shall be subject to compliance by the Company and the Optionee with all applicable requirements of law relating thereto and with all applicable regulations of any stock exchange or over-the-counter market on which shares of the Company’s Common Stock may be listed or traded at the time of such exercise and issuance.</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exercise of this option (or its tandem stock appreciation right), Optionee shall execute and deliver to the Company such representations in writing as may be requested by the Company in order for it to comply with the applicable requirements of federal and state securities laws.</w:t>
      </w:r>
    </w:p>
    <w:p>
      <w:pPr>
        <w:spacing w:after="0" w:line="144" w:lineRule="exact"/>
        <w:rPr>
          <w:rFonts w:ascii="Times New Roman" w:cs="Times New Roman" w:eastAsia="Times New Roman" w:hAnsi="Times New Roman"/>
          <w:sz w:val="20"/>
          <w:szCs w:val="20"/>
          <w:color w:val="auto"/>
        </w:rPr>
      </w:pPr>
    </w:p>
    <w:p>
      <w:pPr>
        <w:jc w:val="both"/>
        <w:ind w:firstLine="656"/>
        <w:spacing w:after="0" w:line="232" w:lineRule="auto"/>
        <w:tabs>
          <w:tab w:leader="none" w:pos="127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Except to the extent otherwise provided in Paragraph 3 or 6, the provisions of this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inure to the benefit of, and be binding upon, the successors, administrators, heirs, legal representatives and assigns of Optionee and the successors and assigns of the Company.</w:t>
      </w:r>
    </w:p>
    <w:p>
      <w:pPr>
        <w:spacing w:after="0" w:line="14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Liability of Company</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Optioned Shares covered by this Agreement exceed, as of the Grant Date, the number of shares of Common Stock which may without shareholder approval be issued under the Plan, then this option shall be void with respect to such excess shares unless shareholder approval of an amendment sufficiently increasing the number of shares of Common Stock issuable under the Plan is obtained in accordance with the provisions of the Plan.</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spacing w:after="0" w:line="159"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Employment or Service Contract</w:t>
      </w:r>
      <w:r>
        <w:rPr>
          <w:rFonts w:ascii="Times New Roman" w:cs="Times New Roman" w:eastAsia="Times New Roman" w:hAnsi="Times New Roman"/>
          <w:sz w:val="20"/>
          <w:szCs w:val="20"/>
          <w:color w:val="auto"/>
        </w:rPr>
        <w:t>. Nothing in this Agreement or in the Plan shall confer upon the Optionee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in the Service of the Company (or any parent or subsidiary corporation of the Company employing or retaining Optionee) for any period of time or interfere with or otherwise restrict in any way the rights of the Company (or any parent or subsidiary corporation of the Company employing or retaining Optionee) or the Optionee, which rights are hereby expressly reserved by each, to terminate the Optionee’s Service at any time for any reason whatsoever, with or without cause.</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Any notice required to be given or delivered to the Company under the terms of this Agreement shall be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addressed to the Company in care of the Corporate Secretary at its principal corporate offices. Any notice required to be given or delivered to Optionee shall be in writing and addressed to Optionee at the address indicated below Optionee’s signature line on the Grant Notice. All notices shall be deemed to have been given or delivered upon personal delivery or upon deposit in the U.S. mail, postage prepaid and properly addressed to the party to be notified</w:t>
      </w:r>
      <w:r>
        <w:rPr>
          <w:rFonts w:ascii="Times New Roman" w:cs="Times New Roman" w:eastAsia="Times New Roman" w:hAnsi="Times New Roman"/>
          <w:sz w:val="20"/>
          <w:szCs w:val="20"/>
          <w:b w:val="1"/>
          <w:bCs w:val="1"/>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Construction</w:t>
      </w:r>
      <w:r>
        <w:rPr>
          <w:rFonts w:ascii="Times New Roman" w:cs="Times New Roman" w:eastAsia="Times New Roman" w:hAnsi="Times New Roman"/>
          <w:sz w:val="20"/>
          <w:szCs w:val="20"/>
          <w:color w:val="auto"/>
        </w:rPr>
        <w:t>. This Agreement and the option evidenced hereby are made and granted pursuant to the Plan and are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respects limited by and subject to the express terms and provisions of the Plan. All decisions of the Plan Administrator with respect to any question or issue arising under the Plan or this Agreement shall be conclusive and binding on all persons having an interest in this option.</w:t>
      </w:r>
    </w:p>
    <w:p>
      <w:pPr>
        <w:spacing w:after="0" w:line="157" w:lineRule="exact"/>
        <w:rPr>
          <w:rFonts w:ascii="Times New Roman" w:cs="Times New Roman" w:eastAsia="Times New Roman" w:hAnsi="Times New Roman"/>
          <w:sz w:val="20"/>
          <w:szCs w:val="20"/>
          <w:color w:val="auto"/>
        </w:rPr>
      </w:pPr>
    </w:p>
    <w:p>
      <w:pPr>
        <w:ind w:firstLine="656"/>
        <w:spacing w:after="0" w:line="235" w:lineRule="auto"/>
        <w:tabs>
          <w:tab w:leader="none" w:pos="12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The interpretation, performance, and enforcement of this Agreement shall be governed by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resort to that State’s conflict-of-laws rules.</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Terms Applicable to an Incentive Stock Option</w:t>
      </w:r>
      <w:r>
        <w:rPr>
          <w:rFonts w:ascii="Times New Roman" w:cs="Times New Roman" w:eastAsia="Times New Roman" w:hAnsi="Times New Roman"/>
          <w:sz w:val="20"/>
          <w:szCs w:val="20"/>
          <w:color w:val="auto"/>
        </w:rPr>
        <w:t>. In the event this option is designated as an incentive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in the Grant Notice, the following terms and conditions shall also apply to the grant:</w:t>
      </w:r>
    </w:p>
    <w:p>
      <w:pPr>
        <w:spacing w:after="0" w:line="141"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shall cease to qualify for favorable tax treatment as an incentive stock option under the federal tax laws if (and to the extent) this option is exercised for one or more Optioned Shares: (i) more than three (3) months after the date the Optionee ceases to be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68" w:right="339" w:bottom="1440" w:gutter="0" w:footer="0" w:header="0"/>
        </w:sectPr>
      </w:pPr>
    </w:p>
    <w:bookmarkStart w:id="93" w:name="page94"/>
    <w:bookmarkEnd w:id="93"/>
    <w:p>
      <w:pPr>
        <w:ind w:left="660" w:right="20"/>
        <w:spacing w:after="0"/>
        <w:rPr>
          <w:sz w:val="20"/>
          <w:szCs w:val="20"/>
          <w:color w:val="auto"/>
        </w:rPr>
      </w:pPr>
      <w:r>
        <w:rPr>
          <w:rFonts w:ascii="Times New Roman" w:cs="Times New Roman" w:eastAsia="Times New Roman" w:hAnsi="Times New Roman"/>
          <w:sz w:val="20"/>
          <w:szCs w:val="20"/>
          <w:color w:val="auto"/>
        </w:rPr>
        <w:t>for any reason other than death or permanent disability (as defined in Paragraph 5) or (ii) more than one (1) year after the date the Optionee ceases to be an Employee by reason of permanent disability.</w:t>
      </w:r>
    </w:p>
    <w:p>
      <w:pPr>
        <w:spacing w:after="0" w:line="148" w:lineRule="exact"/>
        <w:rPr>
          <w:sz w:val="20"/>
          <w:szCs w:val="20"/>
          <w:color w:val="auto"/>
        </w:rPr>
      </w:pPr>
    </w:p>
    <w:p>
      <w:pPr>
        <w:jc w:val="both"/>
        <w:ind w:left="660" w:firstLine="644"/>
        <w:spacing w:after="0" w:line="215" w:lineRule="auto"/>
        <w:tabs>
          <w:tab w:leader="none" w:pos="194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installment under this option (whether annual or monthly) shall qualify for favorable tax treatment as an incentive stock option under the Federal tax laws if (and to the extent) the aggregate fair market value (determined at the Grant Date) of the Common Stock for which such installment first becomes exercisable hereunder will, when added to the aggregate fair market value (determined as of the respective date or dates of grant) of any earlier installments of Common Stock for which this option or one or more other incentive stock options granted to the Optionee prior to the Grant Date (whether under the Plan or any other option plan of the Company or any Parent or Subsidiary corporations) first become exercisable during the same calendar year, exceed One Hundred Thousand Dollars ($100,000) in the aggregate.</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exercisability of this option be accelerated upon a Corporate Transaction or a Change in Control, then this option shall quality for favorable tax treatment as an incentive stock option under the Federal tax laws only to the extent the aggregate Fair Market Value (determined at the Grant Date) of the Common Stock for which this option first becomes exercisable in the calendar year in which the Corporate Transaction or Change in Control occurs does not, when added to the aggregate Fair Market Value (determined as of the respective date or dates of grant) of any earlier installments of Common Stock for which this option or one or more other incentive stock options granted to the Optionee prior to the Grant Date (whether under the Plan or any other option plan of the Company or any Parent or Subsidiary corporations) first become exercisable during the same calendar year, exceed One Hundred Thousand Dollars ($100,000) in the aggregate.</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this option should fail to qualify as an incentive stock option under the Federal tax laws, the Optionee will recognize compensation income in connection with the acquisition of one or more Optioned Shares hereunder, and the Optionee must make appropriate arrangements for the satisfaction of all Federal, State or local income tax withholding requirements and Federal social security employee tax requirements applicable to such compensation income.</w:t>
      </w:r>
    </w:p>
    <w:p>
      <w:pPr>
        <w:spacing w:after="0" w:line="157"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Terms Applicable to a Non-Statutory Stock Option</w:t>
      </w:r>
      <w:r>
        <w:rPr>
          <w:rFonts w:ascii="Times New Roman" w:cs="Times New Roman" w:eastAsia="Times New Roman" w:hAnsi="Times New Roman"/>
          <w:sz w:val="20"/>
          <w:szCs w:val="20"/>
          <w:color w:val="auto"/>
        </w:rPr>
        <w:t>. In the event this option is designated as a non-statutory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option in the Grant Notice, Optionee hereby agrees to make appropriate arrangements with the Company or parent or subsidiary corporation employing Optionee for the satisfaction of any federal, state or local income tax withholding requirements and federal social security employee tax requirements applicable to the exercise of this option.</w:t>
      </w:r>
    </w:p>
    <w:p>
      <w:pPr>
        <w:spacing w:after="0" w:line="144"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on Optioned Shares</w:t>
      </w:r>
      <w:r>
        <w:rPr>
          <w:rFonts w:ascii="Times New Roman" w:cs="Times New Roman" w:eastAsia="Times New Roman" w:hAnsi="Times New Roman"/>
          <w:sz w:val="20"/>
          <w:szCs w:val="20"/>
          <w:color w:val="auto"/>
        </w:rPr>
        <w:t>. The Company may impose such restrictions, conditions or limitations as it determines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as to the timing and manner of any resales by Optionee or other subsequent transfers by Optionee of any Optioned Shares, including without limitation (a) restrictions under an insider trading policy, (b) restrictions designed to delay and/or coordinate the timing and manner of sales by Optionee and other optionees and (c) restrictions as to the use of a specified brokerage firm for such resales or other transfers.</w:t>
      </w:r>
    </w:p>
    <w:p>
      <w:pPr>
        <w:spacing w:after="0" w:line="14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Conflict with Plan</w:t>
      </w:r>
      <w:r>
        <w:rPr>
          <w:rFonts w:ascii="Times New Roman" w:cs="Times New Roman" w:eastAsia="Times New Roman" w:hAnsi="Times New Roman"/>
          <w:sz w:val="20"/>
          <w:szCs w:val="20"/>
          <w:color w:val="auto"/>
        </w:rPr>
        <w:t>. In the event of a conflict between the terms and conditions of this Agreement and the Plan, the Plan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controls.</w:t>
      </w:r>
    </w:p>
    <w:p>
      <w:pPr>
        <w:spacing w:after="0" w:line="162"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w:t>
      </w:r>
      <w:r>
        <w:rPr>
          <w:rFonts w:ascii="Times New Roman" w:cs="Times New Roman" w:eastAsia="Times New Roman" w:hAnsi="Times New Roman"/>
          <w:sz w:val="20"/>
          <w:szCs w:val="20"/>
          <w:color w:val="auto"/>
        </w:rPr>
        <w:t>. Optionee hereby consents to the delivery of information (including, without limitation,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be delivered to Recipient pursuant to applicable securities laws) regarding the Company and its subsidiaries and affiliates, the Plan, and the option via Company web site or other electronic delivery.</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preceding the text of the sections hereof are inserted solely for convenience of reference,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constitute a part of this Agreement, nor shall they affect its meaning, construction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72" w:right="339" w:bottom="1440" w:gutter="0" w:footer="0" w:header="0"/>
        </w:sectPr>
      </w:pPr>
    </w:p>
    <w:bookmarkStart w:id="94" w:name="page95"/>
    <w:bookmarkEnd w:id="94"/>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BIOCRYST PHARMACEUTICALS,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April 21, 2025</w:t>
      </w:r>
    </w:p>
    <w:p>
      <w:pPr>
        <w:spacing w:after="0" w:line="200" w:lineRule="exact"/>
        <w:rPr>
          <w:sz w:val="20"/>
          <w:szCs w:val="20"/>
          <w:color w:val="auto"/>
        </w:rPr>
      </w:pPr>
    </w:p>
    <w:p>
      <w:pPr>
        <w:spacing w:after="0" w:line="2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BioCryst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who is not also serving as an employee of the Company or any of its subsidiaries (each a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will, automatically and without further action by the Board or the Compensation Committee of the Board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receive the compensation described in this Non-Employee Director Compensation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 Director may decline all or any portion of his or her compensation by giving notice to the Company prior to the date cash is to be paid or equity awards are to be granted, as the case may be. This Policy may be amended at any time in the sole discretion of the Board, or by the Compensation Committee at the recommendation of the Board.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Retainer</w:t>
      </w:r>
    </w:p>
    <w:p>
      <w:pPr>
        <w:spacing w:after="0" w:line="24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20"/>
          <w:szCs w:val="20"/>
          <w:color w:val="auto"/>
        </w:rPr>
        <w:t>Each Director will automatically, and without further action by the Board or Compensation Committee, receive cash compensation solely in the form of annual retainers, as set forth in the table below. The annual retainer amounts are payable in four equal installment payments paid in arrears on a quarterly basis. The annual retainer amount will be pro-rated for a Director who joins the Board or a committee other than at the beginning of the applicable quarter.</w:t>
      </w:r>
    </w:p>
    <w:p>
      <w:pPr>
        <w:spacing w:after="0" w:line="209" w:lineRule="exact"/>
        <w:rPr>
          <w:sz w:val="20"/>
          <w:szCs w:val="20"/>
          <w:color w:val="auto"/>
        </w:rPr>
      </w:pPr>
    </w:p>
    <w:tbl>
      <w:tblPr>
        <w:tblLayout w:type="fixed"/>
        <w:tblInd w:w="1340" w:type="dxa"/>
        <w:tblCellMar>
          <w:top w:w="0" w:type="dxa"/>
          <w:left w:w="0" w:type="dxa"/>
          <w:bottom w:w="0" w:type="dxa"/>
          <w:right w:w="0" w:type="dxa"/>
        </w:tblCellMar>
      </w:tblPr>
      <w:tr>
        <w:trPr>
          <w:trHeight w:val="26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Board Retainers</w:t>
            </w:r>
          </w:p>
        </w:tc>
        <w:tc>
          <w:tcPr>
            <w:tcW w:w="1300" w:type="dxa"/>
            <w:vAlign w:val="bottom"/>
          </w:tcPr>
          <w:p>
            <w:pPr>
              <w:spacing w:after="0"/>
              <w:rPr>
                <w:sz w:val="22"/>
                <w:szCs w:val="22"/>
                <w:color w:val="auto"/>
              </w:rPr>
            </w:pP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Annual Retainer</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w:t>
            </w:r>
          </w:p>
        </w:tc>
      </w:tr>
      <w:tr>
        <w:trPr>
          <w:trHeight w:val="258"/>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Additional Retainer for Board Chair</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w:t>
            </w:r>
          </w:p>
        </w:tc>
      </w:tr>
      <w:tr>
        <w:trPr>
          <w:trHeight w:val="67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Additional Retainers - Committee Chairs</w:t>
            </w:r>
          </w:p>
        </w:tc>
        <w:tc>
          <w:tcPr>
            <w:tcW w:w="1300" w:type="dxa"/>
            <w:vAlign w:val="bottom"/>
          </w:tcPr>
          <w:p>
            <w:pPr>
              <w:spacing w:after="0"/>
              <w:rPr>
                <w:sz w:val="24"/>
                <w:szCs w:val="24"/>
                <w:color w:val="auto"/>
              </w:rPr>
            </w:pP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Commercialization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25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Corporate Governance and Nominating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5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Finance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258"/>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Science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67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Additional Retainers – Committee Members (Non-Chair)</w:t>
            </w:r>
          </w:p>
        </w:tc>
        <w:tc>
          <w:tcPr>
            <w:tcW w:w="1300" w:type="dxa"/>
            <w:vAlign w:val="bottom"/>
          </w:tcPr>
          <w:p>
            <w:pPr>
              <w:spacing w:after="0"/>
              <w:rPr>
                <w:sz w:val="24"/>
                <w:szCs w:val="24"/>
                <w:color w:val="auto"/>
              </w:rPr>
            </w:pPr>
          </w:p>
        </w:tc>
      </w:tr>
      <w:tr>
        <w:trPr>
          <w:trHeight w:val="25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Commercialization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r>
      <w:tr>
        <w:trPr>
          <w:trHeight w:val="25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Corporate Governance and Nominating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Finance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r>
      <w:tr>
        <w:trPr>
          <w:trHeight w:val="258"/>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Science Committee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95" w:name="page96"/>
    <w:bookmarkEnd w:id="95"/>
    <w:p>
      <w:pPr>
        <w:spacing w:after="0" w:line="21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Each Director will be given the opportunity to elect to receive, in lieu of cash retainers, a number of shares of the Company’s common stock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equivalent in value to the retainer earned by such Director (excluding any committee retainers). Each Director may elect to receive either 50% or 100% of his or her cash retainer(s) (excluding any committee retainers) in the form of Common Stock. These shares will be distributed four times a year, in line with the quarterly cash retainer payments. The number of shares to be distributed will be determined using the closing price of Common Stock on the last business day of the applicable three-month period. Elections to receive shares of Common Stock in lieu of cash retainers for a year shall be made as of the date of each annual meeting of the Company’s stockholders, effective until the subsequent annual meeting.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20"/>
          <w:szCs w:val="20"/>
          <w:color w:val="auto"/>
        </w:rPr>
        <w:t>The equity compensation set forth below will be granted under the BioCryst Pharmaceuticals, Inc. Stock Incentive Plan, as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Capitalized terms not defined herein have the meaning specified in the Plan. All stock options granted under this Policy will be non-statutory stock options, with an exercise price per share equal to 100% of the fair market value per share of the Common Stock on the Grant Date, and a term of 10 years from the date of grant (subject to earlier termination in connection with a termination of service as provided in the award agreement).</w:t>
      </w:r>
    </w:p>
    <w:p>
      <w:pPr>
        <w:spacing w:after="0" w:line="219" w:lineRule="exact"/>
        <w:rPr>
          <w:sz w:val="20"/>
          <w:szCs w:val="20"/>
          <w:color w:val="auto"/>
        </w:rPr>
      </w:pPr>
    </w:p>
    <w:p>
      <w:pPr>
        <w:jc w:val="both"/>
        <w:ind w:left="980" w:hanging="324"/>
        <w:spacing w:after="0" w:line="250" w:lineRule="auto"/>
        <w:tabs>
          <w:tab w:leader="none" w:pos="9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Grant</w:t>
      </w:r>
      <w:r>
        <w:rPr>
          <w:rFonts w:ascii="Times New Roman" w:cs="Times New Roman" w:eastAsia="Times New Roman" w:hAnsi="Times New Roman"/>
          <w:sz w:val="20"/>
          <w:szCs w:val="20"/>
          <w:color w:val="auto"/>
        </w:rPr>
        <w:t>: Each individual who first becomes a Director on or after the effective date of this Policy shall be granted on the date of initial election or appointment awards with an aggregate dollar value (based on the aggregate accounting value on the date of grant) of up to the product of (i) $500,000 and (ii) a fraction, the numerator of which is the number of months (rounded to the nearest whole number) remaining between the date such Board member first became a non-employee Board member and the Company’s next scheduled Annual Stockholders Meeting (or the one year anniversary of the most recent Annual Stockholders Meeting if the next Annual Stockholders Meeting has not yet been scheduled), and the denominator of which is 12. Such award shall be made 60% in the form of non-statutory options and 40% in restricted stock units (“RSUs”). Subject to the proviso in Section VI of Article One of the Plan, (i) such option grant shall vest and become exercisable for the option shares in 36 equal monthly installments over a 3-year period measured from the grant date, and (ii) such RSUs shall vest in three equal annual installments beginning on the twelve (12)-month anniversary of the grant date.</w:t>
      </w:r>
    </w:p>
    <w:p>
      <w:pPr>
        <w:spacing w:after="0" w:line="223" w:lineRule="exact"/>
        <w:rPr>
          <w:rFonts w:ascii="Times New Roman" w:cs="Times New Roman" w:eastAsia="Times New Roman" w:hAnsi="Times New Roman"/>
          <w:sz w:val="20"/>
          <w:szCs w:val="20"/>
          <w:color w:val="auto"/>
        </w:rPr>
      </w:pPr>
    </w:p>
    <w:p>
      <w:pPr>
        <w:jc w:val="both"/>
        <w:ind w:left="980" w:hanging="324"/>
        <w:spacing w:after="0" w:line="253" w:lineRule="auto"/>
        <w:tabs>
          <w:tab w:leader="none" w:pos="9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Grant</w:t>
      </w:r>
      <w:r>
        <w:rPr>
          <w:rFonts w:ascii="Times New Roman" w:cs="Times New Roman" w:eastAsia="Times New Roman" w:hAnsi="Times New Roman"/>
          <w:sz w:val="20"/>
          <w:szCs w:val="20"/>
          <w:color w:val="auto"/>
        </w:rPr>
        <w:t>: Immediately following each Annual Stockholders Meeting of the Company, each individual who is then serving as a Director (except for those individuals first elected or appointed to serve as non-employee Board members at such meeting or as of such date), shall be granted awards with an aggregate dollar value (based on the aggregate accounting value on the date of grant) of $325,000. Such award shall be made 60% in the form of non-statutory options and 40% in RSUs. Subject to the proviso in Section VI of Article One of the Plan, such option grant shall vest and become exercisable for the option shares, and such grant of RSUs shall vest, on the twelve (12)-month anniversary of the grant date.</w:t>
      </w:r>
    </w:p>
    <w:p>
      <w:pPr>
        <w:spacing w:after="0" w:line="20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20"/>
          <w:szCs w:val="20"/>
          <w:color w:val="auto"/>
        </w:rPr>
        <w:t>Should the grantee cease to serve as a Board member for any reason while holding one or more vested option grants under this Director Compensation Policy, then such grantee shall have the remainder of the ten (10) year term of each such option in which to exercise each such vested option for any or all of the shares of Common Stock for which the option is exercisable at the time of such cessation of Board service. Each such unvested option shall immediately terminate and cease to be outstanding, at the time of such cessation of Board service, with respect to any shares for which the option is not otherwise at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20"/>
          <w:szCs w:val="20"/>
          <w:color w:val="auto"/>
        </w:rPr>
        <w:t>time exercisable. Upon the expiration of the ten (10)-year option term, the grant shall terminate and cease to be outstanding in its entirety. Upon the death of the grantee, whether before or after cessation of Board service, any option held by grantee at the time of grantee’s death may be exercised, for any or all of the shares of Common Stock for which the option was vested and exercisable at the time of cessation of Board service by the grantee and which have not been theretofore exercised by the grantee, by the personal representative of the grantee’s estate or by the person or persons to whom the option is transferred pursuant to the grantee’s will or in accordance with the laws of descent and distribution. Any such exercise must occur during the remainder of the ten (10) year term of such option.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Reimbursement of Expenses</w:t>
      </w:r>
    </w:p>
    <w:p>
      <w:pPr>
        <w:spacing w:after="0" w:line="24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20"/>
          <w:szCs w:val="20"/>
          <w:color w:val="auto"/>
        </w:rPr>
        <w:t>Upon presentation of documentation of such expenses reasonably satisfactory to the Company, each Director is entitled to be reimbursed for reasonable travel and other expenses incurred in connection with attending meetings of the Board and any Committee of the Board on which he or she serves and while representing the Company in conducting certain business.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Approved by the Board of Directors: April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234"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324"/>
        <w:spacing w:after="0" w:line="312" w:lineRule="auto"/>
        <w:tabs>
          <w:tab w:leader="none" w:pos="97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1" w:right="339" w:bottom="1440" w:gutter="0" w:footer="0" w:header="0"/>
        </w:sectPr>
      </w:pPr>
    </w:p>
    <w:bookmarkStart w:id="98" w:name="page99"/>
    <w:bookmarkEnd w:id="98"/>
    <w:p>
      <w:pPr>
        <w:spacing w:after="0" w:line="45"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43180</wp:posOffset>
            </wp:positionV>
            <wp:extent cx="4577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8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7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 Officer</w:t>
      </w:r>
    </w:p>
    <w:p>
      <w:pPr>
        <w:spacing w:after="0" w:line="10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 Officer)</w:t>
      </w:r>
    </w:p>
    <w:p>
      <w:pPr>
        <w:sectPr>
          <w:pgSz w:w="11900" w:h="16838" w:orient="portrait"/>
          <w:cols w:equalWidth="0" w:num="1">
            <w:col w:w="10119"/>
          </w:cols>
          <w:pgMar w:left="340" w:top="1440"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March 31, 2025, as filed with the Securities and Exchange Commission on the date hereof (the “Report”), the undersigned officer, Jon P. Stonehouse, certifies to the best of his knowledge and in his respective capacities, pursuant to 18 U.S.C. § 1350, as adopted pursuant to § 906 of the Sarbanes-Oxley Act of 2002, that:</w:t>
      </w:r>
    </w:p>
    <w:p>
      <w:pPr>
        <w:spacing w:after="0" w:line="122"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8375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 Officer</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 Officer)</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lowerRoman"/>
      <w:start w:val="3"/>
    </w:lvl>
  </w:abstractNum>
  <w:abstractNum w:abstractNumId="7">
    <w:nsid w:val="737B8DDC"/>
    <w:multiLevelType w:val="hybridMultilevel"/>
    <w:lvl w:ilvl="0">
      <w:lvlJc w:val="left"/>
      <w:lvlText w:val="1"/>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1)"/>
      <w:numFmt w:val="lowerRoman"/>
      <w:start w:val="3"/>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01"/>
    </w:lvl>
  </w:abstractNum>
  <w:abstractNum w:abstractNumId="33">
    <w:nsid w:val="2CD89A32"/>
    <w:multiLevelType w:val="hybridMultilevel"/>
    <w:lvl w:ilvl="0">
      <w:lvlJc w:val="left"/>
      <w:lvlText w:val="(%1)"/>
      <w:numFmt w:val="decimal"/>
      <w:start w:val="104"/>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4"/>
    </w:lvl>
    <w:lvl w:ilvl="1">
      <w:lvlJc w:val="left"/>
      <w:lvlText w:val="%2."/>
      <w:numFmt w:val="lowerLetter"/>
      <w:start w:val="1"/>
    </w:lvl>
  </w:abstractNum>
  <w:abstractNum w:abstractNumId="38">
    <w:nsid w:val="6DE91B18"/>
    <w:multiLevelType w:val="hybridMultilevel"/>
    <w:lvl w:ilvl="0">
      <w:lvlJc w:val="left"/>
      <w:lvlText w:val="%1."/>
      <w:numFmt w:val="decimal"/>
      <w:start w:val="12"/>
    </w:lvl>
  </w:abstractNum>
  <w:abstractNum w:abstractNumId="39">
    <w:nsid w:val="38437FDB"/>
    <w:multiLevelType w:val="hybridMultilevel"/>
    <w:lvl w:ilvl="0">
      <w:lvlJc w:val="left"/>
      <w:lvlText w:val="%1."/>
      <w:numFmt w:val="upperLetter"/>
      <w:start w:val="1"/>
    </w:lvl>
  </w:abstractNum>
  <w:abstractNum w:abstractNumId="40">
    <w:nsid w:val="7644A45C"/>
    <w:multiLevelType w:val="hybridMultilevel"/>
    <w:lvl w:ilvl="0">
      <w:lvlJc w:val="left"/>
      <w:lvlText w:val="%1."/>
      <w:numFmt w:val="decimal"/>
      <w:start w:val="1"/>
    </w:lvl>
    <w:lvl w:ilvl="1">
      <w:lvlJc w:val="left"/>
      <w:lvlText w:val="(%2)"/>
      <w:numFmt w:val="lowerLetter"/>
      <w:start w:val="1"/>
    </w:lvl>
  </w:abstractNum>
  <w:abstractNum w:abstractNumId="41">
    <w:nsid w:val="32FFF902"/>
    <w:multiLevelType w:val="hybridMultilevel"/>
    <w:lvl w:ilvl="0">
      <w:lvlJc w:val="left"/>
      <w:lvlText w:val="(%1)"/>
      <w:numFmt w:val="lowerLetter"/>
      <w:start w:val="2"/>
    </w:lvl>
    <w:lvl w:ilvl="1">
      <w:lvlJc w:val="left"/>
      <w:lvlText w:val="(%2)"/>
      <w:numFmt w:val="lowerRoman"/>
      <w:start w:val="1"/>
    </w:lvl>
  </w:abstractNum>
  <w:abstractNum w:abstractNumId="42">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43">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45">
    <w:nsid w:val="3DC240F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6">
    <w:nsid w:val="1BA026F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7">
    <w:nsid w:val="79A1DEAA"/>
    <w:multiLevelType w:val="hybridMultilevel"/>
    <w:lvl w:ilvl="0">
      <w:lvlJc w:val="left"/>
      <w:lvlText w:val="%1"/>
      <w:numFmt w:val="lowerLetter"/>
      <w:start w:val="1"/>
    </w:lvl>
    <w:lvl w:ilvl="1">
      <w:lvlJc w:val="left"/>
      <w:lvlText w:val="(%2)"/>
      <w:numFmt w:val="lowerRoman"/>
      <w:start w:val="2"/>
    </w:lvl>
  </w:abstractNum>
  <w:abstractNum w:abstractNumId="48">
    <w:nsid w:val="75C6C33A"/>
    <w:multiLevelType w:val="hybridMultilevel"/>
    <w:lvl w:ilvl="0">
      <w:lvlJc w:val="left"/>
      <w:lvlText w:val="(%1)"/>
      <w:numFmt w:val="lowerLetter"/>
      <w:start w:val="3"/>
    </w:lvl>
    <w:lvl w:ilvl="1">
      <w:lvlJc w:val="left"/>
      <w:lvlText w:val="%2"/>
      <w:numFmt w:val="lowerRoman"/>
      <w:start w:val="1"/>
    </w:lvl>
  </w:abstractNum>
  <w:abstractNum w:abstractNumId="49">
    <w:nsid w:val="12E685FB"/>
    <w:multiLevelType w:val="hybridMultilevel"/>
    <w:lvl w:ilvl="0">
      <w:lvlJc w:val="left"/>
      <w:lvlText w:val="%1."/>
      <w:numFmt w:val="decimal"/>
      <w:start w:val="10"/>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2"/>
    </w:lvl>
  </w:abstractNum>
  <w:abstractNum w:abstractNumId="51">
    <w:nsid w:val="520EEDD1"/>
    <w:multiLevelType w:val="hybridMultilevel"/>
    <w:lvl w:ilvl="0">
      <w:lvlJc w:val="left"/>
      <w:lvlText w:val="%1."/>
      <w:numFmt w:val="decimal"/>
      <w:start w:val="18"/>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17" Type="http://schemas.openxmlformats.org/officeDocument/2006/relationships/hyperlink" Target="https://www.sec.gov/Archives/edgar/data/882796/000103570406000836/d42297exv3w1.htm" TargetMode="External"/><Relationship Id="rId118" Type="http://schemas.openxmlformats.org/officeDocument/2006/relationships/hyperlink" Target="https://www.sec.gov/Archives/edgar/data/882796/000136231007001386/c70813exv3w1.htm" TargetMode="External"/><Relationship Id="rId119" Type="http://schemas.openxmlformats.org/officeDocument/2006/relationships/hyperlink" Target="https://www.sec.gov/Archives/edgar/data/882796/000119312514186707/d722313dex31.htm" TargetMode="External"/><Relationship Id="rId120" Type="http://schemas.openxmlformats.org/officeDocument/2006/relationships/hyperlink" Target="https://www.sec.gov/Archives/edgar/data/882796/000117184320003680/exh_31.htm" TargetMode="External"/><Relationship Id="rId121" Type="http://schemas.openxmlformats.org/officeDocument/2006/relationships/hyperlink" Target="https://www.sec.gov/Archives/edgar/data/882796/000117184320003680/exh_32.htm" TargetMode="External"/><Relationship Id="rId122" Type="http://schemas.openxmlformats.org/officeDocument/2006/relationships/hyperlink" Target="https://www.sec.gov/Archives/edgar/data/882796/000117184324000297/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2025-05-06T15:18:56Z</dcterms:created>
  <dcterms:modified xsi:type="dcterms:W3CDTF">2025-05-06T15:18:56Z</dcterms:modified>
</cp:coreProperties>
</file>