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right="234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June 30,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right="2360"/>
        <w:spacing w:after="0" w:line="459" w:lineRule="auto"/>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tc>
        <w:tc>
          <w:tcPr>
            <w:tcW w:w="4140" w:type="dxa"/>
            <w:vAlign w:val="bottom"/>
          </w:tcPr>
          <w:p>
            <w:pPr>
              <w:spacing w:after="0"/>
              <w:rPr>
                <w:sz w:val="20"/>
                <w:szCs w:val="20"/>
                <w:color w:val="auto"/>
              </w:rPr>
            </w:pPr>
          </w:p>
        </w:tc>
      </w:tr>
      <w:tr>
        <w:trPr>
          <w:trHeight w:val="373"/>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40" w:type="dxa"/>
            <w:vAlign w:val="bottom"/>
            <w:gridSpan w:val="3"/>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6"/>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4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57"/>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7"/>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4140" w:type="dxa"/>
            <w:vAlign w:val="bottom"/>
          </w:tcPr>
          <w:p>
            <w:pPr>
              <w:spacing w:after="0"/>
              <w:rPr>
                <w:sz w:val="24"/>
                <w:szCs w:val="24"/>
                <w:color w:val="auto"/>
              </w:rPr>
            </w:pP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414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27703</w:t>
            </w:r>
          </w:p>
        </w:tc>
      </w:tr>
      <w:tr>
        <w:trPr>
          <w:trHeight w:val="257"/>
        </w:trPr>
        <w:tc>
          <w:tcPr>
            <w:tcW w:w="7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r>
      <w:tr>
        <w:trPr>
          <w:trHeight w:val="481"/>
        </w:trPr>
        <w:tc>
          <w:tcPr>
            <w:tcW w:w="2280" w:type="dxa"/>
            <w:vAlign w:val="bottom"/>
          </w:tcPr>
          <w:p>
            <w:pPr>
              <w:spacing w:after="0"/>
              <w:rPr>
                <w:sz w:val="24"/>
                <w:szCs w:val="24"/>
                <w:color w:val="auto"/>
              </w:rPr>
            </w:pPr>
          </w:p>
        </w:tc>
        <w:tc>
          <w:tcPr>
            <w:tcW w:w="414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+1-919-859-1302</w:t>
            </w:r>
          </w:p>
        </w:tc>
        <w:tc>
          <w:tcPr>
            <w:tcW w:w="7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5"/>
        </w:trPr>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202"/>
        </w:trPr>
        <w:tc>
          <w:tcPr>
            <w:tcW w:w="2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r>
      <w:tr>
        <w:trPr>
          <w:trHeight w:val="244"/>
        </w:trPr>
        <w:tc>
          <w:tcPr>
            <w:tcW w:w="228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0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280" w:type="dxa"/>
            <w:vAlign w:val="bottom"/>
            <w:tcBorders>
              <w:left w:val="single" w:sz="8" w:color="auto"/>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BCRX</w:t>
            </w:r>
          </w:p>
        </w:tc>
        <w:tc>
          <w:tcPr>
            <w:tcW w:w="70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5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x</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03"/>
        </w:trPr>
        <w:tc>
          <w:tcPr>
            <w:tcW w:w="2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spacing w:after="0"/>
              <w:rPr>
                <w:sz w:val="17"/>
                <w:szCs w:val="17"/>
                <w:color w:val="auto"/>
              </w:rPr>
            </w:pPr>
          </w:p>
        </w:tc>
        <w:tc>
          <w:tcPr>
            <w:tcW w:w="5520" w:type="dxa"/>
            <w:vAlign w:val="bottom"/>
          </w:tcPr>
          <w:p>
            <w:pPr>
              <w:ind w:left="1520"/>
              <w:spacing w:after="0" w:line="203" w:lineRule="exact"/>
              <w:rPr>
                <w:sz w:val="20"/>
                <w:szCs w:val="20"/>
                <w:color w:val="auto"/>
              </w:rPr>
            </w:pPr>
            <w:r>
              <w:rPr>
                <w:rFonts w:ascii="Times New Roman" w:cs="Times New Roman" w:eastAsia="Times New Roman" w:hAnsi="Times New Roman"/>
                <w:sz w:val="18"/>
                <w:szCs w:val="18"/>
                <w:color w:val="auto"/>
              </w:rPr>
              <w:t>Smaller reporting company</w:t>
            </w:r>
          </w:p>
        </w:tc>
      </w:tr>
      <w:tr>
        <w:trPr>
          <w:trHeight w:val="198"/>
        </w:trPr>
        <w:tc>
          <w:tcPr>
            <w:tcW w:w="2720" w:type="dxa"/>
            <w:vAlign w:val="bottom"/>
          </w:tcPr>
          <w:p>
            <w:pPr>
              <w:spacing w:after="0"/>
              <w:rPr>
                <w:sz w:val="17"/>
                <w:szCs w:val="17"/>
                <w:color w:val="auto"/>
              </w:rPr>
            </w:pP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o</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48"/>
        </w:trPr>
        <w:tc>
          <w:tcPr>
            <w:tcW w:w="27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198"/>
        </w:trPr>
        <w:tc>
          <w:tcPr>
            <w:tcW w:w="2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bl>
    <w:p>
      <w:pPr>
        <w:spacing w:after="0" w:line="297" w:lineRule="exact"/>
        <w:rPr>
          <w:sz w:val="24"/>
          <w:szCs w:val="24"/>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$0.01, of the Registrant outstanding as of July 31, 2024 was 206,885,936.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0" w:type="dxa"/>
            <w:vAlign w:val="bottom"/>
            <w:gridSpan w:val="8"/>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59"/>
        </w:trPr>
        <w:tc>
          <w:tcPr>
            <w:tcW w:w="4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16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8200" w:type="dxa"/>
            <w:vAlign w:val="bottom"/>
            <w:gridSpan w:val="9"/>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 June 30, 2024 and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34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Deficit for the Three and Six Months Ended June 30, 2024 and 2023</w:t>
            </w:r>
          </w:p>
        </w:tc>
        <w:tc>
          <w:tcPr>
            <w:tcW w:w="134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6320" w:type="dxa"/>
            <w:vAlign w:val="bottom"/>
            <w:gridSpan w:val="7"/>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0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0"/>
                <w:szCs w:val="20"/>
                <w:color w:val="auto"/>
              </w:rPr>
            </w:pPr>
          </w:p>
        </w:tc>
      </w:tr>
      <w:tr>
        <w:trPr>
          <w:trHeight w:val="236"/>
        </w:trPr>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0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0"/>
                <w:szCs w:val="20"/>
                <w:color w:val="auto"/>
              </w:rPr>
            </w:pP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0"/>
                <w:szCs w:val="20"/>
                <w:color w:val="auto"/>
              </w:rPr>
            </w:pPr>
          </w:p>
        </w:tc>
      </w:tr>
      <w:tr>
        <w:trPr>
          <w:trHeight w:val="237"/>
        </w:trPr>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000" w:type="dxa"/>
            <w:vAlign w:val="bottom"/>
            <w:gridSpan w:val="8"/>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0"/>
                <w:szCs w:val="20"/>
                <w:color w:val="auto"/>
              </w:rPr>
            </w:pPr>
          </w:p>
        </w:tc>
      </w:tr>
      <w:tr>
        <w:trPr>
          <w:trHeight w:val="237"/>
        </w:trPr>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60" w:type="dxa"/>
            <w:vAlign w:val="bottom"/>
            <w:tcBorders>
              <w:top w:val="single" w:sz="8" w:color="0000FF"/>
            </w:tcBorders>
          </w:tcPr>
          <w:p>
            <w:pPr>
              <w:spacing w:after="0"/>
              <w:rPr>
                <w:sz w:val="20"/>
                <w:szCs w:val="20"/>
                <w:color w:val="auto"/>
              </w:rPr>
            </w:pPr>
          </w:p>
        </w:tc>
        <w:tc>
          <w:tcPr>
            <w:tcW w:w="8460" w:type="dxa"/>
            <w:vAlign w:val="bottom"/>
            <w:gridSpan w:val="12"/>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0"/>
                <w:szCs w:val="20"/>
                <w:color w:val="auto"/>
              </w:rPr>
            </w:pPr>
          </w:p>
        </w:tc>
      </w:tr>
      <w:tr>
        <w:trPr>
          <w:trHeight w:val="237"/>
        </w:trPr>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440" w:type="dxa"/>
            <w:vAlign w:val="bottom"/>
            <w:gridSpan w:val="11"/>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0"/>
                <w:szCs w:val="20"/>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0"/>
                <w:szCs w:val="20"/>
                <w:color w:val="auto"/>
              </w:rPr>
            </w:pPr>
          </w:p>
        </w:tc>
      </w:tr>
      <w:tr>
        <w:trPr>
          <w:trHeight w:val="237"/>
        </w:trPr>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160" w:type="dxa"/>
            <w:vAlign w:val="bottom"/>
            <w:gridSpan w:val="1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20"/>
                <w:szCs w:val="20"/>
                <w:color w:val="auto"/>
              </w:rPr>
            </w:pPr>
          </w:p>
        </w:tc>
      </w:tr>
      <w:tr>
        <w:trPr>
          <w:trHeight w:val="493"/>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EX-10.2</w:t>
            </w:r>
          </w:p>
        </w:tc>
        <w:tc>
          <w:tcPr>
            <w:tcW w:w="956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97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EX-10.3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EX-10.4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54" w:lineRule="exact"/>
        <w:rPr>
          <w:sz w:val="20"/>
          <w:szCs w:val="20"/>
          <w:color w:val="auto"/>
        </w:rPr>
      </w:pPr>
    </w:p>
    <w:p>
      <w:pPr>
        <w:ind w:left="82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development, clinical development, commercialization, or post-marketing studies of our products and product candidates, including ORLADEYO® (berotralstat), BCX10013, and early-stage discovery programs (including BCX17725, avoralstat, and our complement inhibitors), and our plans regarding the same;</w:t>
      </w:r>
    </w:p>
    <w:p>
      <w:pPr>
        <w:spacing w:after="0" w:line="14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commercialization of best-in-class and first-in-class medicines;</w:t>
      </w:r>
    </w:p>
    <w:p>
      <w:pPr>
        <w:spacing w:after="0" w:line="184"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2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184"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34"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the Pharmakon Loan Agreement (as defined below) and to comply with the covenants as set forth in the agreements governing our debt obligations;</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2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revenues, expenses, capital requirements, annual cash utilization, and our needs for additional capital or financing;</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regulatory agreements, deferrals, approvals, and other decisions;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to fund our operations or repay our recourse debt obligations;</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 projections regarding financial goals, including timing for achieving profitability or positive cash flow;</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any material weakness in our internal control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19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53"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and may never be profitable.</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If we are unable to raise capital if and when needed, we may need to adjust our operations.</w:t>
      </w:r>
    </w:p>
    <w:p>
      <w:pPr>
        <w:spacing w:after="0" w:line="184" w:lineRule="exact"/>
        <w:rPr>
          <w:rFonts w:ascii="Times New Roman" w:cs="Times New Roman" w:eastAsia="Times New Roman" w:hAnsi="Times New Roman"/>
          <w:sz w:val="18"/>
          <w:szCs w:val="18"/>
          <w:color w:val="auto"/>
        </w:rPr>
      </w:pPr>
    </w:p>
    <w:p>
      <w:pPr>
        <w:ind w:left="820" w:hanging="326"/>
        <w:spacing w:after="0" w:line="255" w:lineRule="auto"/>
        <w:tabs>
          <w:tab w:leader="none" w:pos="8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61" w:lineRule="exact"/>
        <w:rPr>
          <w:rFonts w:ascii="Times New Roman" w:cs="Times New Roman" w:eastAsia="Times New Roman" w:hAnsi="Times New Roman"/>
          <w:sz w:val="18"/>
          <w:szCs w:val="18"/>
          <w:i w:val="1"/>
          <w:iCs w:val="1"/>
          <w:color w:val="auto"/>
        </w:rPr>
      </w:pPr>
    </w:p>
    <w:p>
      <w:pPr>
        <w:ind w:left="820" w:right="80" w:hanging="326"/>
        <w:spacing w:after="0" w:line="258"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4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21"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comparable foreign regulatory authorities approve generic versions of any of our products that receive marketing approval, the sales of our products could be adversely affected.</w:t>
      </w:r>
    </w:p>
    <w:p>
      <w:pPr>
        <w:spacing w:after="0" w:line="134"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spacing w:after="0" w:line="135"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48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spacing w:after="0" w:line="134" w:lineRule="exact"/>
        <w:rPr>
          <w:rFonts w:ascii="Times New Roman" w:cs="Times New Roman" w:eastAsia="Times New Roman" w:hAnsi="Times New Roman"/>
          <w:sz w:val="18"/>
          <w:szCs w:val="18"/>
          <w:color w:val="auto"/>
        </w:rPr>
      </w:pPr>
    </w:p>
    <w:p>
      <w:pPr>
        <w:ind w:left="820" w:right="9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21" w:lineRule="exact"/>
        <w:rPr>
          <w:rFonts w:ascii="Times New Roman" w:cs="Times New Roman" w:eastAsia="Times New Roman" w:hAnsi="Times New Roman"/>
          <w:sz w:val="18"/>
          <w:szCs w:val="18"/>
          <w:color w:val="auto"/>
        </w:rPr>
      </w:pPr>
    </w:p>
    <w:p>
      <w:pPr>
        <w:ind w:left="820" w:right="80" w:hanging="326"/>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spacing w:after="0" w:line="139" w:lineRule="exact"/>
        <w:rPr>
          <w:rFonts w:ascii="Times New Roman" w:cs="Times New Roman" w:eastAsia="Times New Roman" w:hAnsi="Times New Roman"/>
          <w:sz w:val="18"/>
          <w:szCs w:val="18"/>
          <w:color w:val="auto"/>
        </w:rPr>
      </w:pPr>
    </w:p>
    <w:p>
      <w:pPr>
        <w:ind w:left="820" w:right="6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spacing w:after="0" w:line="148"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21" w:lineRule="exact"/>
        <w:rPr>
          <w:rFonts w:ascii="Times New Roman" w:cs="Times New Roman" w:eastAsia="Times New Roman" w:hAnsi="Times New Roman"/>
          <w:sz w:val="18"/>
          <w:szCs w:val="18"/>
          <w:color w:val="auto"/>
        </w:rPr>
      </w:pPr>
    </w:p>
    <w:p>
      <w:pPr>
        <w:ind w:left="820" w:hanging="326"/>
        <w:spacing w:after="0" w:line="289" w:lineRule="auto"/>
        <w:tabs>
          <w:tab w:leader="none" w:pos="8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Pharmakon Loan Agreement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spacing w:after="0" w:line="130" w:lineRule="exact"/>
        <w:rPr>
          <w:rFonts w:ascii="Times New Roman" w:cs="Times New Roman" w:eastAsia="Times New Roman" w:hAnsi="Times New Roman"/>
          <w:sz w:val="17"/>
          <w:szCs w:val="17"/>
          <w:color w:val="auto"/>
        </w:rPr>
      </w:pPr>
    </w:p>
    <w:p>
      <w:pPr>
        <w:ind w:left="820" w:right="220" w:hanging="32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4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incur damage or power is lost for a significant length of time, our business will suffer.</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incidents and related disruptions in our or our third-party vendors’ information technology systems could adversely affect our business.</w:t>
      </w:r>
    </w:p>
    <w:p>
      <w:pPr>
        <w:spacing w:after="0" w:line="198"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21"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2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alliances, or divestitures could fail to meet our expectations and/or adversely affect our operating results and financial condition.</w:t>
      </w:r>
    </w:p>
    <w:p>
      <w:pPr>
        <w:spacing w:after="0" w:line="134"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This material weakness could divert management’s attention and adversely affect our ability to produce accurate and timely financial</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statements, which may adversely affect investor confidence in us and our financial reporting, adversely affect our business and operating results and may negatively impact the trading price of our common stock.</w:t>
      </w:r>
    </w:p>
    <w:p>
      <w:pPr>
        <w:spacing w:after="0" w:line="135" w:lineRule="exact"/>
        <w:rPr>
          <w:sz w:val="20"/>
          <w:szCs w:val="20"/>
          <w:color w:val="auto"/>
        </w:rPr>
      </w:pPr>
    </w:p>
    <w:p>
      <w:pPr>
        <w:ind w:left="820" w:right="60" w:hanging="326"/>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3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495,966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102,882</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508,034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loan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$0.01 par value; shares authorized - 5,000; no shares issued and outstanding at June 30, 2024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- 450,000; shares issued and outstanding – 206,629 at</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 and 205,771 at December 31, 2023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1,222,236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(1,681,159)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860" w:type="dxa"/>
            <w:vAlign w:val="bottom"/>
            <w:gridSpan w:val="7"/>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60" w:type="dxa"/>
            <w:vAlign w:val="bottom"/>
            <w:gridSpan w:val="10"/>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860" w:type="dxa"/>
            <w:vAlign w:val="bottom"/>
            <w:gridSpan w:val="7"/>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 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151,269</w:t>
            </w: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30"/>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99,635</w:t>
            </w: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98,864</w:t>
            </w:r>
          </w:p>
        </w:tc>
      </w:tr>
      <w:tr>
        <w:trPr>
          <w:trHeight w:val="229"/>
        </w:trPr>
        <w:tc>
          <w:tcPr>
            <w:tcW w:w="4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Royalty</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200,387</w:t>
            </w:r>
          </w:p>
        </w:tc>
      </w:tr>
      <w:tr>
        <w:trPr>
          <w:trHeight w:val="22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(49,118)</w:t>
            </w: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(56,311)</w:t>
            </w:r>
          </w:p>
        </w:tc>
      </w:tr>
      <w:tr>
        <w:trPr>
          <w:trHeight w:val="23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w:t>
            </w:r>
          </w:p>
        </w:tc>
      </w:tr>
      <w:tr>
        <w:trPr>
          <w:trHeight w:val="223"/>
        </w:trPr>
        <w:tc>
          <w:tcPr>
            <w:tcW w:w="4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(127,248)</w:t>
            </w:r>
          </w:p>
        </w:tc>
      </w:tr>
      <w:tr>
        <w:trPr>
          <w:trHeight w:val="229"/>
        </w:trPr>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3"/>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(128,659)</w:t>
            </w: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 for sale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(In thousands, 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obsolescence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0" w:type="dxa"/>
            <w:vAlign w:val="bottom"/>
          </w:tcPr>
          <w:p>
            <w:pPr>
              <w:spacing w:after="0"/>
              <w:rPr>
                <w:sz w:val="1"/>
                <w:szCs w:val="1"/>
                <w:color w:val="auto"/>
              </w:rPr>
            </w:pPr>
          </w:p>
        </w:tc>
      </w:tr>
      <w:tr>
        <w:trPr>
          <w:trHeight w:val="184"/>
        </w:trPr>
        <w:tc>
          <w:tcPr>
            <w:tcW w:w="8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Non-cash interest expense on royalty financing obligations and secured term loan and amortization of debt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premium/discount on investments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108,013</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(126,144)</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common stock issued under stock-based compensation plans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issued to directors in lieu of cash retainer</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 paid on stock-based awards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Pharmakon Tranche A term loan</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Athyrium secured term loans principal</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 and repayment fees on Athyrium secured term loans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on Pharmakon Tranche A term loan</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306,239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withheld on stock-based awards included in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38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2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DEFICIT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 Unaudited)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continue"/>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1,222,236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(455,528)</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withheld for taxes for vesting of restricted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1,237,537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(1,716,538)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(476,167)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BIOCRYST PHARMACEUTICALS, INC.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 (In thousands,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continue"/>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(294,597)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188,883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1,177,192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(328,287)</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(388,713)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40" w:right="2660"/>
        <w:spacing w:after="0" w:line="265" w:lineRule="auto"/>
        <w:rPr>
          <w:sz w:val="20"/>
          <w:szCs w:val="20"/>
          <w:color w:val="auto"/>
        </w:rPr>
      </w:pPr>
      <w:r>
        <w:rPr>
          <w:rFonts w:ascii="Times New Roman" w:cs="Times New Roman" w:eastAsia="Times New Roman" w:hAnsi="Times New Roman"/>
          <w:sz w:val="18"/>
          <w:szCs w:val="18"/>
          <w:b w:val="1"/>
          <w:bCs w:val="1"/>
          <w:color w:val="auto"/>
        </w:rPr>
        <w:t>BIOCRYST PHARMACEUTICALS, INC. NOTES TO CONDENSED CONSOLIDATED FINANCIAL STATEMENTS (In thousands, except per share amounts) (Unaudited)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BioCryst Pharmaceuticals, Inc. (the “Company”) is a global biotechnology company with a deep commitment to improving the lives of people living with complement-mediated and other rare diseases. The Company leverages its expertise in structure-guided drug design with the goal of developing first-in-class or best-in-class oral small-molecule and protein therapeutics to target difficult-to-treat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w:t>
      </w:r>
    </w:p>
    <w:p>
      <w:pPr>
        <w:spacing w:after="0" w:line="16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hereditary angioedema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distributors, except in Japan where Torii Pharmaceutical Co., Ltd. (“Torii”), the Company’s collaborative partner, conducts certain commercialization activities with respect to ORLADEYO for the prevention of HAE attacks in exchange for certain royalty payments to the Company. In addition to its approval in the United States, peramivir injection has received regulatory approvals in Canada, Australia, Japan, Taiwan and Korea.</w:t>
      </w:r>
    </w:p>
    <w:p>
      <w:pPr>
        <w:spacing w:after="0" w:line="147"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Based on the Company’s expectations for revenue and operating expenses, the Company believes its financial resources available at June 30, 2024 will be sufficient to fund its operations for at least the next 12 months. The Company has sustained operating losses for the majority of its corporate history and expects that its total 2024 expenses (including stock-based compensation expense) will exceed its total 2024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among the consolidated entities have been eliminated from the condensed consolidated financial statements.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financial statements for the year ended December 31, 2023 and the notes thereto included in the Company’s 2023 Annual Report on Form 10-K. Interim operating results are not necessarily indicative of operating results for the full year. The condensed consolidated balance sheet as of December 31, 2023 was derived from the audited consolidated financial statements included in the Company’s most recent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and six months ended June 30,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148,670</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Collaborative and other revenues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and sales of peramivir (RAPIVAB/RAPIACTA/PERAMIFLU).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3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ORLADEYO.</w:t>
      </w:r>
    </w:p>
    <w:p>
      <w:pPr>
        <w:spacing w:after="0" w:line="149"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5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42"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4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55"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The Company’s primary sources of revenue from these collaborative and other research and development arrangements are license, service and royalty revenues.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ind w:right="80" w:firstLine="486"/>
        <w:spacing w:after="0" w:line="312" w:lineRule="auto"/>
        <w:rPr>
          <w:sz w:val="20"/>
          <w:szCs w:val="20"/>
          <w:color w:val="auto"/>
        </w:rPr>
      </w:pPr>
      <w:r>
        <w:rPr>
          <w:rFonts w:ascii="Times New Roman" w:cs="Times New Roman" w:eastAsia="Times New Roman" w:hAnsi="Times New Roman"/>
          <w:sz w:val="17"/>
          <w:szCs w:val="17"/>
          <w:color w:val="auto"/>
        </w:rPr>
        <w:t>Total restricted cash was $1,795 and $1,804 as of June 30, 2024 and December 31, 2023, respectively, and primarily consisted of $1,508 and $1,493 as of June 30, 2024 and December 31, 2023, respectively, for a letter of credit the Company is required to maintain associated with its Birmingham lease.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4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date are classified as current. Investments with a maturity beyond 12 months from the balance sheet date are classified as long-term.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Assets measured at fair value on a recurring basis include investments (Note 3). There were no liabilities measured at fair value on a recurring basis as of June 30, 2024 and December 31, 2023. The carrying amounts reflected in the Condensed Consolidated Balance Sheets for cash and cash equivalents, trade receivables, prepaid expenses and other current assets, accounts payable and accrued expenses approximate their fair values due to the short-term nature of these assets and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3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royalty receivables from the Company’s partners, including Shionogi &amp; Co., Ltd., Green Cross, and Torii (Note 11).</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 off against the reserve.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primarily relates to ORLADEYO. Additionally, the Company’s inventory includes peramivir.</w:t>
      </w:r>
    </w:p>
    <w:p>
      <w:pPr>
        <w:spacing w:after="0" w:line="19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inventory at the lower of cost or estimated net realizable value. The Company determines the cost of its inventory on a first-in, first-out (FIFO) basis. Raw materials and work-in-process include all inventory costs prior to packaging and labeling, including raw material, active product ingredient, and the drug product. Finished goods include packaged and labeled products. The Company classifies inventory as long-term when consumption or sale of the inventory is not expected to occur within 12 months from the balance sheet date.</w:t>
      </w:r>
    </w:p>
    <w:p>
      <w:pPr>
        <w:spacing w:after="0" w:line="13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inventory is subject to expiration dating. At each reporting date, the Company evaluates the carrying value of its inventory and provides valuation reserves for any estimated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3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costs related to the production of inventory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equipment and office equipment is depreciated over a life of three years.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Laboratory equipment, software, and furniture and fixtures are depreciated over a life of five years. Leasehold improvements are amortized over their estimated useful lives or the expected lease term, whichever is less.</w:t>
      </w:r>
    </w:p>
    <w:p>
      <w:pPr>
        <w:spacing w:after="0" w:line="13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8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6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underestimates or overestimates the level of these costs, actual expenses could differ from such estimates. As of June 30, 2024 and December 31, 2023, the carrying value of accrued expenses approximates their fair value due to their short-term settlement.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8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of producing and distributing inventory that is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Company’s research and development costs are expensed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 manufacturing and clinical and preclinical studies are performed by third-party CROs. Costs for studies performed by CROs are accrued by the Company over the service periods specified in the contracts, and estimates are adjusted based upon the Company’s ongoing review of the level of services actually performed.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Industrial Research, Ltd., and the University of Alabama at Birmingham (“UAB”), which require fees related to sublicense agreements. The Company accrues sublicense expenses as incurred.</w:t>
      </w:r>
    </w:p>
    <w:p>
      <w:pPr>
        <w:spacing w:after="0" w:line="14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49"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All patent related costs are expensed to selling, general and administrative expenses when incurred as recoverability of such expenditures is uncertain.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and finance leases, which consist of real estate leases, laboratory equipment leases and office equipment leases as of June 30, 2024.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leases.</w:t>
      </w:r>
    </w:p>
    <w:p>
      <w:pPr>
        <w:spacing w:after="0" w:line="14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Condensed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4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leases; therefore, the Company has no corresponding liability recorded on its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estimates of future stock price volatility to be used in the valuation of the options. Actual results, and future changes in estimates, may differ substantially from the Company’s current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Deferred Financing Costs and Royalty Financing Obligations</w:t>
      </w:r>
    </w:p>
    <w:p>
      <w:pPr>
        <w:spacing w:after="0" w:line="18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Interest expense primarily relates to the royalty financing obligations (Note 6) and the term loan borrowings under the Pharmakon Loan Agreement (Note 7) during the three and six months ended June 30, 2024 and to the secured term loan borrowings under the Athyrium Credit Agreement (Note 7) during the three and six months ended June 30, 2023.</w:t>
      </w:r>
    </w:p>
    <w:p>
      <w:pPr>
        <w:spacing w:after="0" w:line="13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Costs directly associated with the borrowings have been capitalized and are netted against the corresponding debt liabilities on the Condensed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spacing w:after="0" w:line="15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taxable income in each of the jurisdictions in which the Company operates and the period over which its deferred tax assets will be recoverable.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in fiscal year 2021, the Company began accruing for U.S. state taxes and foreign income taxes as a result of increased nexus in both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foreign jurisdictions where historically the Company had no presence.</w:t>
      </w:r>
    </w:p>
    <w:p>
      <w:pPr>
        <w:spacing w:after="0" w:line="16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fifteen in the case of development conducted on foreign soil.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89"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Gains or losses resulting from transactions denominated in foreign currencies are included in foreign currency losses, net, within the Condensed Consolidated Statement of Comprehensive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Basic net loss per share is based upon the weighted average number of common shares outstanding during the period. Diluted net loss per share is computed by dividing net loss by the weighted average number of common shares outstanding during the period, after giving consideration to the dilutive effect of potentially dilutive common shares. The Company has generated a net loss in all periods presented, so the diluted net loss per share is equivalent to basic net loss per share for all periods presented herein because common equivalent shares from unexercised stock options, warrants and common shares expected to be issued under the Company’s equity compensation plans would be anti-dilutive. The Company excluded the following potential common shares, presented based on amounts outstanding as of June 30, 2024 and June 30, 2023, from the computation of diluted net loss per share attributable to common stockholders for the three and six months ended June 30, 2024 and 2023 because including them would have had an anti-dilutive effect: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0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55,208</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8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Loss. There were no realized gains or losses reclassified out of accumulated other comprehensive income for the three and six months ended June 30, 2024 and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primary source of revenue and cash flow are the sales of ORLADEYO in the United States and other global markets.</w:t>
      </w:r>
    </w:p>
    <w:p>
      <w:pPr>
        <w:spacing w:after="0" w:line="19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3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is distributing ORLADEYO in other global markets directly or through distributors, except in Japan where Torii, the Company’s collaborative partner, has the exclusive right to commercialize ORLADEYO.</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18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0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4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right="1900" w:firstLine="486"/>
        <w:spacing w:after="0" w:line="453" w:lineRule="auto"/>
        <w:rPr>
          <w:sz w:val="20"/>
          <w:szCs w:val="20"/>
          <w:color w:val="auto"/>
        </w:rPr>
      </w:pPr>
      <w:r>
        <w:rPr>
          <w:rFonts w:ascii="Times New Roman" w:cs="Times New Roman" w:eastAsia="Times New Roman" w:hAnsi="Times New Roman"/>
          <w:sz w:val="18"/>
          <w:szCs w:val="18"/>
          <w:color w:val="auto"/>
        </w:rPr>
        <w:t xml:space="preserve">There have been no new accounting pronouncements adopted by the Company during the six months ended June 30, 2024. </w:t>
      </w:r>
      <w:r>
        <w:rPr>
          <w:rFonts w:ascii="Times New Roman" w:cs="Times New Roman" w:eastAsia="Times New Roman" w:hAnsi="Times New Roman"/>
          <w:sz w:val="18"/>
          <w:szCs w:val="18"/>
          <w:b w:val="1"/>
          <w:bCs w:val="1"/>
          <w:i w:val="1"/>
          <w:iCs w:val="1"/>
          <w:color w:val="auto"/>
        </w:rPr>
        <w:t>New Accounting Pronouncements Not Yet Adopted</w:t>
      </w:r>
    </w:p>
    <w:p>
      <w:pPr>
        <w:spacing w:after="0" w:line="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Improvements to Reportable Segment Disclosures, which requires disclosure of incremental segment information on an annual and interim basis. ASU 2023-07 is effective for fiscal years beginning after December 15, 2023, and interim periods within fiscal years beginning after December 15, 2024, with early adoption permitted. The Company is currently evaluating the impact of adopting ASU 2023-07.</w:t>
      </w:r>
    </w:p>
    <w:p>
      <w:pPr>
        <w:spacing w:after="0" w:line="15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expects adoption of this ASU will result in additional disclosures but does not expect it will have a material effect on the Company’s consolidated balance sheet, statement of comprehensive loss, or statement of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and six months ended June 30, 2024 and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ORLADEYO:</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133,666</w:t>
            </w:r>
          </w:p>
        </w:tc>
      </w:tr>
      <w:tr>
        <w:trPr>
          <w:trHeight w:val="23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of U.S.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ORLADEYO</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151,269</w:t>
            </w:r>
          </w:p>
        </w:tc>
      </w:tr>
      <w:tr>
        <w:trPr>
          <w:trHeight w:val="21"/>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ORLADEYO revenues represent total revenues from product sales, collaborative revenues and royalties. Other revenues primarily relate to the Company’s product sales and royalties for peramivir.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53"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Obligations of U.S. Government and its agencies Certificates of deposit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Obligations of U.S. Government and its agencies Certificates of deposit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6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257,934</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6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6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-1971040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-1679575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-624840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-333375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600"/>
            <w:col w:w="7080"/>
          </w:cols>
          <w:pgMar w:left="320" w:top="121" w:right="339" w:bottom="1440" w:gutter="0" w:footer="0" w:header="0"/>
          <w:type w:val="continuous"/>
        </w:sectPr>
      </w:pPr>
    </w:p>
    <w:p>
      <w:pPr>
        <w:spacing w:after="0" w:line="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19 securities with a total estimated fair market value of $238,945 in an unrealized loss position. The Company believes the individual unrealized losses represent temporary declines primarily resulting from interest rate changes. The Company does not have intent to sell these investments, and it is more likely than not that the investments will be held until recovery of their amortized cost basis. As such, no allowance was recognized.</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256,941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5"/>
                <w:szCs w:val="15"/>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220" w:type="dxa"/>
            <w:vAlign w:val="bottom"/>
          </w:tcPr>
          <w:p>
            <w:pPr>
              <w:spacing w:after="0"/>
              <w:rPr>
                <w:sz w:val="15"/>
                <w:szCs w:val="15"/>
                <w:color w:val="auto"/>
              </w:rPr>
            </w:pPr>
          </w:p>
        </w:tc>
        <w:tc>
          <w:tcPr>
            <w:tcW w:w="134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4"/>
        </w:trPr>
        <w:tc>
          <w:tcPr>
            <w:tcW w:w="35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June 30, 2024 and December 31, 2023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RAPIVAB. At June 30, 2024 and December 31, 2023, receivables, net of reserves, related to sales of ORLADEYO were $66,287 and $54,149, respectively. At June 30, 2024 and December 31, 2023, receivables related to sales of RAPIVAB were $353 and $505,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 from collaborations were as follows (in thousands):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6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 from collaborators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66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and December 31, 2023, the reserve related to royalties from collaborations was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20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Company’s inventory primarily related to ORLADEYO. Additionally, inventory included peramivir, which is manufactured for the Company’s partners.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inventory consisted of the following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Financing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 and Factor D Inhibitors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spacing w:after="0" w:line="14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5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4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spacing w:after="0" w:line="14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 On August 5, 2024, the Company announced that it plans to discontinue development of BCX10013.</w:t>
      </w:r>
    </w:p>
    <w:p>
      <w:pPr>
        <w:spacing w:after="0" w:line="15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spacing w:after="0" w:line="16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4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19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Pharmakon Loan Agreement (as defined in Note 7 herein), as applicable. See “Note 7—Debt”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spacing w:after="0" w:line="148"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principal. In such case of excess payments relative to interest accretion for the next twelve months, the excess payments are considered to be a short-term liability and classified within current liabilities on the Company’s Condensed Consolidated Balance Sheets.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was no significant impact on the amount and timing of expected royalties under the Royalty Purchase Agreements based on the Company’s latest forecasts related to its research and development programs and ORLADEYO sales.</w:t>
      </w:r>
    </w:p>
    <w:p>
      <w:pPr>
        <w:spacing w:after="0" w:line="13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royalty financing obligations activity for the three and six months ended June 30, 2024 (in thousands) as well as the effective interest rate as of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2020 RPI</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2021 RPI</w:t>
            </w: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OMERS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5"/>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4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185,345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171,774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531,599</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176,554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184,666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169,354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530,574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(10,863)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162,697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523,633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5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Royalty financing obligations liabilities and the associated deferred issuance costs are amortized using the effective interest method over the term of the arrangement.</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Pharmakon Loan Agreement</w:t>
      </w:r>
    </w:p>
    <w:p>
      <w:pPr>
        <w:spacing w:after="0" w:line="18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(defined below) and to pay associated transaction costs and fees, and used the remaining net proceeds of $25,805 for other general corporate purposes.</w:t>
      </w:r>
    </w:p>
    <w:p>
      <w:pPr>
        <w:spacing w:after="0" w:line="16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Pharmakon Loan Agreement also provides for three additional term loan tranches, at the Company’s option, in principal amounts of $50,000 each (each a “Subsequent Tranche Loan” and, collectively with the Tranche A Loan, the “Pharmakon Term Loans” and each, a “Pharmakon Term Loan”), which may be requested on or prior to September 30, 2024. The maturity date of the Pharmakon Loan Agreement is April 17, 2028 (the “Maturity Date”), the fifth anniversary of the Tranche A Closing Date.</w:t>
      </w:r>
    </w:p>
    <w:p>
      <w:pPr>
        <w:spacing w:after="0" w:line="139"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has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will bear interest at a rate equal to the three-month Secured Overnight Financing Rate (“SOFR”) rate, which shall be no less than 1.75%, plus 7.00%, per annum or, for each interest period in which a Pharmakon PIK Interest Payment is made, with respect to the Tranche A Loan, SOFR plus 7.25%, per annum.</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Tranche A Loan accrued interest at an effective interest rate of 13.31% and 12.24% for the three months ended June 30, 2024 and 2023, respectively.</w:t>
      </w:r>
    </w:p>
    <w:p>
      <w:pPr>
        <w:spacing w:after="0" w:line="13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upon the drawing of any Subsequent Tranche Loan, certain funding fees are required to be paid.</w:t>
      </w:r>
    </w:p>
    <w:p>
      <w:pPr>
        <w:spacing w:after="0" w:line="14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spacing w:after="0" w:line="14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spacing w:after="0" w:line="14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Pharmakon Loan Agreement are secured by a security interest in, subject to certain exceptions, substantially all of the Company’s assets.</w:t>
      </w:r>
    </w:p>
    <w:p>
      <w:pPr>
        <w:spacing w:after="0" w:line="12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total borrowings of $300,000 under the Pharmakon Loan Agreement. Interest expense on the Tranche A Loan for the three and six months ended June 30, 2024 was $10,108 and $20,082, respectively. As allowable under the Pharmakon Loan Agreement, the Company has designated and accounted for 50% of the quarterly interest payments for the six months ended June 30, 2024 as a Pharmakon PIK Interest Payment and the total amount of $10,041 has been added to the outstanding principal balance of the borrowing. The remaining 50% of the total quarterly interest payments of $10,041 have been paid at the end of each quarterly period. As of June 30, 2024, borrowings, including the Pharmakon PIK Interest Payments, totaled $323,704.</w:t>
      </w:r>
    </w:p>
    <w:p>
      <w:pPr>
        <w:spacing w:after="0" w:line="147"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As of June 30, 2023, the Company had total borrowings of $300,000 under the Pharmakon Loan Agreement. Interest expense on the Tranche A Loan for the three and six months ended June 30, 2023 was $7,648. As allowable under the Pharmakon Loan Agreement, the Company designated and accounted for 50% of the quarterly interest payment as a Pharmakon PIK Interest Payment and the amount of $3,824 was added to the outstanding principal balance of the borrowing. The remaining 50% of the quarterly interest payment of $3,824 was paid at the end of the quarterly period. As of June 30, 2023, borrowings, including the Pharmakon PIK Interest Payments, totaled $303,824.</w:t>
      </w:r>
    </w:p>
    <w:p>
      <w:pPr>
        <w:spacing w:after="0" w:line="15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debt approximates its carrying value based on prevailing interest rates as of the balance sheet date and is considered as Level 2 in the fair value hierarchy.</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Incurred debt fees and issuance costs associated with the Tranche A Loan under the Pharmakon Loan Agreement totaled $11,147 and have been deferred and are being amortized as interest expense on an effective interest rate method over the remaining term of the Tranche A Loan. Deferred financing amortization of $284 and $550 was recognized for the three and six months ended June 30, 2024, respectively. Deferred financing amortization of $237 was recognized for the three and six months ended June 30, 2023.</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Athyrium Credit Agreement</w:t>
      </w:r>
    </w:p>
    <w:p>
      <w:pPr>
        <w:spacing w:after="0" w:line="20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prior credit facility with MidCap Financial Trust.</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Athyrium Credit Agreement also provided for two additional term loans, at the Company’s option, in the respective principal amounts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 (the “Term B Loan”) and $50,000 (the “Term C Loan” and, collectively with the Term A Loan and the Term B Loan, the “Athyrium Term Loans”).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achieved all required revenue-based milestones, the Company exercised its option to draw upon the additional funding available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Athyrium Credit Agreement, borrowing the principal amounts of $25,000 under the Term B Loan and $50,000 under the Term C Loan. Both the Term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the Term C Loan were funded on July 29, 2022 in the aggregate principal amount of $75,000. The Term B Loan and the Term C Loan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all the provisions under the Athyrium Credit Agreement.</w:t>
      </w:r>
    </w:p>
    <w:p>
      <w:pPr>
        <w:spacing w:after="0" w:line="16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and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financing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spacing w:after="0" w:line="165" w:lineRule="exact"/>
        <w:rPr>
          <w:sz w:val="20"/>
          <w:szCs w:val="20"/>
          <w:color w:val="auto"/>
        </w:rPr>
      </w:pPr>
    </w:p>
    <w:p>
      <w:pPr>
        <w:ind w:right="260" w:firstLine="486"/>
        <w:spacing w:after="0" w:line="269" w:lineRule="auto"/>
        <w:rPr>
          <w:sz w:val="20"/>
          <w:szCs w:val="20"/>
          <w:color w:val="auto"/>
        </w:rPr>
      </w:pPr>
      <w:r>
        <w:rPr>
          <w:rFonts w:ascii="Times New Roman" w:cs="Times New Roman" w:eastAsia="Times New Roman" w:hAnsi="Times New Roman"/>
          <w:sz w:val="17"/>
          <w:szCs w:val="17"/>
          <w:color w:val="auto"/>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8.25%, or for each interest period in which an Athyrium PIK Interest Payment was made, LIBOR plus 10.25%. The quarter ended December 31, 2022 was the last period eligible for the Athyrium PIK Interest Payment designation.</w:t>
      </w:r>
    </w:p>
    <w:p>
      <w:pPr>
        <w:spacing w:after="0" w:line="14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Athyrium Term Loans accrued interest at an effective interest rate of 11.75% during the period in which the debt was outstanding for the three months ended June 30, 2023. Quarterly interest payments under the Athyrium Credit Agreement for the six months ended June 30, 2023 totaled $8,476. Deferred financing amortization of $1,069 was recognized for the six months ended June 30, 2023.</w:t>
      </w:r>
    </w:p>
    <w:p>
      <w:pPr>
        <w:spacing w:after="0" w:line="13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spacing w:after="0" w:line="14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the Athyrium Credit Agreement, upon the prepayment or repayment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 As a result, the Company incurred prepayment and final payment fees of $17,261 upon repayment of the Athyrium Term Loans. Additionally, unamortized deferred financing costs of $11,758 associated with the Athyrium Term Loans were written off at the time of repayment. Collectively, the prepayment and final payment fees and unamortized deferred financing costs totaled $29,019 and are reflected as a one-time loss on extinguishment of debt on the Condensed Consolidated Statements of Comprehensive Loss for the three and six months ended June 30, 2023.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20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certain assets under operating and finance leases, which consist of real estate leases, laboratory equipment leases and office equipment leases as of June 30, 2024. Renewal options for the Company’s leases are three years in length and begin from 2025 through 2030.</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under operating and finance leases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460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267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57"/>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8"/>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304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4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9.4 years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years</w:t>
            </w: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 years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10.88 %</w:t>
            </w:r>
          </w:p>
        </w:tc>
      </w:tr>
      <w:tr>
        <w:trPr>
          <w:trHeight w:val="234"/>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r>
    </w:tbl>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operating leases (in thousands):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0" w:type="dxa"/>
            <w:vAlign w:val="bottom"/>
          </w:tcPr>
          <w:p>
            <w:pPr>
              <w:spacing w:after="0"/>
              <w:rPr>
                <w:sz w:val="1"/>
                <w:szCs w:val="1"/>
                <w:color w:val="auto"/>
              </w:rPr>
            </w:pPr>
          </w:p>
        </w:tc>
      </w:tr>
      <w:tr>
        <w:trPr>
          <w:trHeight w:val="234"/>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4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current liabilities</w:t>
            </w:r>
          </w:p>
        </w:tc>
        <w:tc>
          <w:tcPr>
            <w:tcW w:w="0" w:type="dxa"/>
            <w:vAlign w:val="bottom"/>
          </w:tcPr>
          <w:p>
            <w:pPr>
              <w:spacing w:after="0"/>
              <w:rPr>
                <w:sz w:val="1"/>
                <w:szCs w:val="1"/>
                <w:color w:val="auto"/>
              </w:rPr>
            </w:pPr>
          </w:p>
        </w:tc>
      </w:tr>
      <w:tr>
        <w:trPr>
          <w:trHeight w:val="234"/>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long-term liabilities</w:t>
            </w:r>
          </w:p>
        </w:tc>
        <w:tc>
          <w:tcPr>
            <w:tcW w:w="0" w:type="dxa"/>
            <w:vAlign w:val="bottom"/>
          </w:tcPr>
          <w:p>
            <w:pPr>
              <w:spacing w:after="0"/>
              <w:rPr>
                <w:sz w:val="1"/>
                <w:szCs w:val="1"/>
                <w:color w:val="auto"/>
              </w:rPr>
            </w:pPr>
          </w:p>
        </w:tc>
      </w:tr>
      <w:tr>
        <w:trPr>
          <w:trHeight w:val="257"/>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66"/>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0" w:type="dxa"/>
            <w:vAlign w:val="bottom"/>
          </w:tcPr>
          <w:p>
            <w:pPr>
              <w:spacing w:after="0"/>
              <w:rPr>
                <w:sz w:val="1"/>
                <w:szCs w:val="1"/>
                <w:color w:val="auto"/>
              </w:rPr>
            </w:pPr>
          </w:p>
        </w:tc>
      </w:tr>
      <w:tr>
        <w:trPr>
          <w:trHeight w:val="48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5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100"/>
            <w:col w:w="3060"/>
          </w:cols>
          <w:pgMar w:left="320" w:top="121" w:right="339" w:bottom="1440" w:gutter="0" w:footer="0" w:header="0"/>
          <w:type w:val="continuous"/>
        </w:sectPr>
      </w:pP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the presentation in the Condensed Consolidated Balance Sheets of the Company’s finance leases (in thousands):</w:t>
      </w:r>
    </w:p>
    <w:p>
      <w:pPr>
        <w:sectPr>
          <w:pgSz w:w="11900" w:h="16838" w:orient="portrait"/>
          <w:cols w:equalWidth="0" w:num="1">
            <w:col w:w="11240"/>
          </w:cols>
          <w:pgMar w:left="320" w:top="121" w:right="339" w:bottom="1440" w:gutter="0" w:footer="0" w:header="0"/>
          <w:type w:val="continuous"/>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0" w:type="dxa"/>
            <w:vAlign w:val="bottom"/>
          </w:tcPr>
          <w:p>
            <w:pPr>
              <w:spacing w:after="0"/>
              <w:rPr>
                <w:sz w:val="1"/>
                <w:szCs w:val="1"/>
                <w:color w:val="auto"/>
              </w:rPr>
            </w:pPr>
          </w:p>
        </w:tc>
      </w:tr>
      <w:tr>
        <w:trPr>
          <w:trHeight w:val="234"/>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current liabilities</w:t>
            </w:r>
          </w:p>
        </w:tc>
        <w:tc>
          <w:tcPr>
            <w:tcW w:w="0" w:type="dxa"/>
            <w:vAlign w:val="bottom"/>
          </w:tcPr>
          <w:p>
            <w:pPr>
              <w:spacing w:after="0"/>
              <w:rPr>
                <w:sz w:val="1"/>
                <w:szCs w:val="1"/>
                <w:color w:val="auto"/>
              </w:rPr>
            </w:pPr>
          </w:p>
        </w:tc>
      </w:tr>
      <w:tr>
        <w:trPr>
          <w:trHeight w:val="234"/>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long-term liabilities</w:t>
            </w:r>
          </w:p>
        </w:tc>
        <w:tc>
          <w:tcPr>
            <w:tcW w:w="0" w:type="dxa"/>
            <w:vAlign w:val="bottom"/>
          </w:tcPr>
          <w:p>
            <w:pPr>
              <w:spacing w:after="0"/>
              <w:rPr>
                <w:sz w:val="1"/>
                <w:szCs w:val="1"/>
                <w:color w:val="auto"/>
              </w:rPr>
            </w:pPr>
          </w:p>
        </w:tc>
      </w:tr>
      <w:tr>
        <w:trPr>
          <w:trHeight w:val="25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66"/>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48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5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100"/>
            <w:col w:w="3060"/>
          </w:cols>
          <w:pgMar w:left="320" w:top="121"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assets are recorded net of accumulated amortization of $5,444 and $4,794 as of June 30, 2024 and December 31,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assets are recorded net of accumulated amortization of $3,116 and $2,293 as of June 30, 2024 and December 31, 2023,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June 30, 2024 are as follows (in thousands):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 obtained in exchange for finance 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increase to operating lease assets due to remeasurement of operating lease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0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October 23, 2023, certain entities affiliated with Baker Bros. Advisors LP (the “Baker Entities”) net exercised the remaining balance of the pre-funded warrants held by such Baker Entities that were issued on November 21, 2019. Additionally, certain of the Baker Entities net exercised all of the pre-funded warrants that were issued on June 1, 2020. The exercises resulted in the issuance of 14,997 common shares. Following the exercises, there are no outstanding warrants.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 of Common Stock</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Stock Incentive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Inducement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Employee Stock Purchase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580" w:type="dxa"/>
            <w:vAlign w:val="bottom"/>
            <w:gridSpan w:val="2"/>
            <w:vMerge w:val="continue"/>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64,158</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58,020</w:t>
            </w: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3" w:lineRule="exact"/>
        <w:rPr>
          <w:sz w:val="20"/>
          <w:szCs w:val="20"/>
          <w:color w:val="auto"/>
        </w:rPr>
      </w:pPr>
    </w:p>
    <w:p>
      <w:pPr>
        <w:sectPr>
          <w:pgSz w:w="11900" w:h="16838" w:orient="portrait"/>
          <w:cols w:equalWidth="0" w:num="2">
            <w:col w:w="7460" w:space="720"/>
            <w:col w:w="3060"/>
          </w:cols>
          <w:pgMar w:left="320" w:top="121" w:right="339" w:bottom="1440" w:gutter="0" w:footer="0" w:header="0"/>
        </w:sect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22, 2024 and approved by the Company’s stockholders on June 12, 2024. The Inducement Plan was most recently amended and restated by the Company’s Board of Directors on October 26, 2023. The ESPP was most recently amended and restated by the Company’s Board of Directors on July 7, 2023.</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21,297</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26,848</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Incentive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3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15"/>
                <w:szCs w:val="15"/>
                <w:color w:val="auto"/>
              </w:rPr>
            </w:pPr>
          </w:p>
        </w:tc>
        <w:tc>
          <w:tcPr>
            <w:tcW w:w="13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1"/>
                <w:szCs w:val="21"/>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20,789</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7.86</w:t>
            </w:r>
          </w:p>
        </w:tc>
        <w:tc>
          <w:tcPr>
            <w:tcW w:w="1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rPr>
                <w:sz w:val="1"/>
                <w:szCs w:val="1"/>
                <w:color w:val="auto"/>
              </w:rPr>
            </w:pPr>
          </w:p>
        </w:tc>
      </w:tr>
      <w:tr>
        <w:trPr>
          <w:trHeight w:val="904"/>
        </w:trPr>
        <w:tc>
          <w:tcPr>
            <w:tcW w:w="502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Incentive Plan: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4"/>
                <w:szCs w:val="24"/>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81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Incentive Plan, the fair value of the awards is determined based on the market value of the Company’s shares on the grant date. The weighted average grant date fair value of these awards granted during the first six months of 2024 and 2023 was $5.80 and $9.18, respectively. The fair value of the restricted stock unit awards is amortized to expense over the vesting periods using a straight-line expense attribution method.</w:t>
      </w:r>
    </w:p>
    <w:p>
      <w:pPr>
        <w:spacing w:after="0" w:line="13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cost related to unvested restricted stock unit awards granted under the Incentive Plan was $29,926, which is expected to be recognized over a weighted average period of 1.6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Inducement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16"/>
                <w:szCs w:val="16"/>
                <w:color w:val="auto"/>
              </w:rPr>
            </w:pPr>
          </w:p>
        </w:tc>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19"/>
                <w:szCs w:val="19"/>
                <w:color w:val="auto"/>
              </w:rPr>
            </w:pPr>
          </w:p>
        </w:tc>
        <w:tc>
          <w:tcPr>
            <w:tcW w:w="10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ind w:left="124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7.22</w:t>
            </w:r>
          </w:p>
        </w:tc>
        <w:tc>
          <w:tcPr>
            <w:tcW w:w="1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486"/>
        </w:trPr>
        <w:tc>
          <w:tcPr>
            <w:tcW w:w="7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Inducement Plan: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915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6"/>
              </w:rPr>
              <w:t>164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Inducement Plan, the fair value of the awards is determined based on the market value of the Company’s shares on the grant date. The weighted average grant date fair value of these awards granted during the first six months of 2024 and 2023 was $5.36 and $8.84, respectively. The fair value of the restricted stock unit awards is amortized to expense over the vesting periods using a straight-line expense attribution method.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cost related to unvested restricted stock unit awards granted under the Inducement Plan was $5,314, which is expected to be recognized over a weighted average period of 1.7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Assumptions for Stock Option Awards Granted to Employees and Directors under the Incentive and Inducement Plans</w:t>
      </w:r>
    </w:p>
    <w:p>
      <w:pPr>
        <w:spacing w:after="0" w:line="1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w:t>
      </w:r>
    </w:p>
    <w:p>
      <w:pPr>
        <w:spacing w:after="0" w:line="20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Incentive Plan during the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7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6.40</w:t>
            </w:r>
          </w:p>
        </w:tc>
      </w:tr>
    </w:tbl>
    <w:p>
      <w:pPr>
        <w:spacing w:after="0" w:line="25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cost related to unvested stock option awards granted under the Incentive Plan was $54,665, which is expected to be recognized over a weighted average period of 1.4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Equity Incentive Plan</w:t>
      </w:r>
    </w:p>
    <w:p>
      <w:pPr>
        <w:spacing w:after="0" w:line="200" w:lineRule="exact"/>
        <w:rPr>
          <w:sz w:val="20"/>
          <w:szCs w:val="20"/>
          <w:color w:val="auto"/>
        </w:rPr>
      </w:pPr>
    </w:p>
    <w:p>
      <w:pPr>
        <w:jc w:val="both"/>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Inducement Plan during the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7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6.38</w:t>
            </w:r>
          </w:p>
        </w:tc>
      </w:tr>
    </w:tbl>
    <w:p>
      <w:pPr>
        <w:spacing w:after="0" w:line="25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cost related to unvested stock option awards granted under the Inducement Plan was $11,075, which is expected to be recognized over a weighted average period of 1.4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00"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reserved a total of 7,975 shares of common stock to be purchased under the ESPP, of which 5,203 shares remain available for purchase as of June 30, 2024. During the six months ended June 30, 2024 and June 30, 2023, the Company issued 251 and 176 shares under the ESPP,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Torii Pharmaceutical Co.,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(“Torii”)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w:t>
      </w:r>
    </w:p>
    <w:p>
      <w:pPr>
        <w:spacing w:after="0" w:line="162"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27"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spacing w:after="0" w:line="14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Torii’s updated royalty payment obligations commenced upon November 30, 2023 and expire upon the later of (i) the tenth anniversary of the date of first commercial sale of ORLADEYO in Japan, (ii) the expiration of the Company’s patents covering ORLADEYO, and (iii) the expiration of regulatory exclusivity for ORLADEYO in Japan.</w:t>
      </w:r>
    </w:p>
    <w:p>
      <w:pPr>
        <w:spacing w:after="0" w:line="14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Shionogi &amp; Co., Ltd. (“Shionogi”)</w:t>
      </w:r>
    </w:p>
    <w:p>
      <w:pPr>
        <w:spacing w:after="0" w:line="20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will owe sublicense payments to UAB on any future milestone payments and/or royalties received by the Company from Shionogi.</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Green Cross Corporation (“Green Cross”)</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Clearside Biomedical, Inc. (“Clearside”)</w:t>
      </w:r>
    </w:p>
    <w:p>
      <w:pPr>
        <w:spacing w:after="0" w:line="18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On November 3, 2023, the Company announced that it entered into a license agreement (the “Clearside Agreement”) with Clearside, enabling the Company to develop its investigational plasma kallikrein inhibitor, avoralstat, with Clearside’s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SCS Microinjector® to deliver avoralstat to the back of the eye through the suprachoroidal space to treat patients with diabetic macular edema.</w:t>
      </w:r>
    </w:p>
    <w:p>
      <w:pPr>
        <w:spacing w:after="0" w:line="19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Under the Clearside Agreement, Clearside received a $5,000 upfront license fee from the Company.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Workforce Reduction</w:t>
      </w:r>
    </w:p>
    <w:p>
      <w:pPr>
        <w:spacing w:after="0" w:line="18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In January 2024, the Company announced a reduction of workforce. The majority of the impacted employees had a termination date in January 2024, with certain employees exiting later in 2024. The Company notified the impacted employees in January 2024.</w:t>
      </w:r>
    </w:p>
    <w:p>
      <w:pPr>
        <w:spacing w:after="0" w:line="13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incurred costs related to employee severance, benefits, and related costs which were accounted for as ongoing terminations benefits under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As of December 31, 2023, it was considered probable that payment would be owed and the amount of payment was considered to be reasonably estimable, which resulted in the recognition of $3,380 of costs related to the workforce reduction during the year ended December 31, 2023, of which $3,026 was recognized in research and development expenses and $354 was recognized in selling, general and administrative expenses in the Consolidated Statement of Comprehensive Loss. As of June 30, 2024, $3,083 of the costs were paid, and the remaining $297 are included within accrued expenses on the Condensed Consolidated Balance Sheet. The remaining unpaid costs are expected to be disbursed during the period of July 1, 2024 through December 31, 2024.</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the employees impacted by the workforce reduction received an amount equal to the bonus amount the employee would have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through continued employment with the Company, which was considered a one-time termination benefit pursuant to ASC Topic 420, </w:t>
      </w:r>
      <w:r>
        <w:rPr>
          <w:rFonts w:ascii="Times New Roman" w:cs="Times New Roman" w:eastAsia="Times New Roman" w:hAnsi="Times New Roman"/>
          <w:sz w:val="18"/>
          <w:szCs w:val="18"/>
          <w:i w:val="1"/>
          <w:iCs w:val="1"/>
          <w:color w:val="auto"/>
        </w:rPr>
        <w:t>Exit or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As a result, $1,264 was recognized during the three months ended March 31, 2024, the period in which the communication occurred,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$1,201 was recognized in research and development expenses, and $63 was recognized in selling, general and administrative expenses in the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Comprehensive Loss. All of these costs were paid during the three months ended March 31, 2024.</w:t>
      </w:r>
    </w:p>
    <w:p>
      <w:pPr>
        <w:spacing w:after="0" w:line="166"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liability activity recorded in connection with the workforce reduction for the three and six months ended June 30, 2024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three months ended March 31, 2024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paid during the three months ended March 31, 2024</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three months ended June 30, 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paid during the three months ended June 30, 2024</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expect to incur any additional significant costs related to this workforce reduction.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89" w:lineRule="exact"/>
        <w:rPr>
          <w:sz w:val="20"/>
          <w:szCs w:val="20"/>
          <w:color w:val="auto"/>
        </w:rPr>
      </w:pPr>
    </w:p>
    <w:p>
      <w:pPr>
        <w:jc w:val="both"/>
        <w:ind w:right="640"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MD&amp;A is provided as a supplement to, and should be read in conjunction with, our unaudited condensed consolidated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II, Item 1A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are a global biotechnology company with a deep commitment to improving the lives of people living with complement-mediated and other rare diseases. We leverage our expertise in structure-guided drug design with the goal of developing first-in-class or best-in-class oral small-molecule and protein therapeutics to target difficult-to-treat diseases.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ORLADEYO is an oral, once-daily therapy discovered and developed by us for the prevention of hereditary angioedema (“HAE”) attacks. ORLADEYO is approved in the United States and other global markets for the prevention of HAE attacks in adults and pediatric patients 12 years and older. In addition, the ongoing APeX-P clinical trial is assessing an oral granule formulation of ORLADEYO in pediatric patients who are 2 to &lt;12 years of age.</w:t>
      </w:r>
    </w:p>
    <w:p>
      <w:pPr>
        <w:spacing w:after="0" w:line="153"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more than three and a half years of commercialization experience with ORLADEYO, we anticipate the global commercial market for ORLADEYO has the potential to reach a global peak of $1 billion in annual net ORLADEYO revenues. We expect approximately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II, Item 1A of this report for further discussion of these risks.</w:t>
      </w:r>
    </w:p>
    <w:p>
      <w:pPr>
        <w:spacing w:after="0" w:line="1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Revenue from sales of ORLADEYO for the three and six months ended June 30, 2024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are continuing to monitor and analyze this data as we continue to commercialize ORLADEYO.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 Program</w:t>
      </w:r>
    </w:p>
    <w:p>
      <w:pPr>
        <w:spacing w:after="0" w:line="200"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goal of our overall complement program is to advance several first-in-class and/or best-in-class compounds across multiple pathways in the complement system to treat many complement-mediated diseases. We are pursuing oral medicines and protein therapeutics directed at targets across the classical, lectin, terminal, and alternative pathways of the complement system, including the therapies listed below.</w:t>
      </w:r>
    </w:p>
    <w:p>
      <w:pPr>
        <w:spacing w:after="0" w:line="133"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BCX10013. </w:t>
      </w:r>
      <w:r>
        <w:rPr>
          <w:rFonts w:ascii="Times New Roman" w:cs="Times New Roman" w:eastAsia="Times New Roman" w:hAnsi="Times New Roman"/>
          <w:sz w:val="18"/>
          <w:szCs w:val="18"/>
          <w:color w:val="auto"/>
        </w:rPr>
        <w:t>BCX10013 is an oral Factor D inhibitor that targets the alternative pathway of complement. On August 5, 2024, we announced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discontinue development of BCX10013. For more information, see “Recent Developments” below in this MD&amp;A.</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Oral C5 Inhibitor. </w:t>
      </w:r>
      <w:r>
        <w:rPr>
          <w:rFonts w:ascii="Times New Roman" w:cs="Times New Roman" w:eastAsia="Times New Roman" w:hAnsi="Times New Roman"/>
          <w:sz w:val="18"/>
          <w:szCs w:val="18"/>
          <w:color w:val="auto"/>
        </w:rPr>
        <w:t>We are developing an oral C5 inhibitor that could be the first targeted oral therapy with competitive efficacy to currently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injected and infused anti-C5 therapies, such as eculizumab and ravulizumab. A drug with this profile could enable patients with generalized myasthenia gravis (“gMG”) to switch from infused therapy and address their disease earlier in the treatment paradigm. gMG is a chronic autoimmune, neuromuscular disease that causes muscle weakness that worsens after periods of activity.</w:t>
      </w:r>
    </w:p>
    <w:p>
      <w:pPr>
        <w:spacing w:after="0" w:line="153" w:lineRule="exact"/>
        <w:rPr>
          <w:sz w:val="20"/>
          <w:szCs w:val="20"/>
          <w:color w:val="auto"/>
        </w:rPr>
      </w:pPr>
    </w:p>
    <w:p>
      <w:pPr>
        <w:jc w:val="both"/>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Bifunctional Complement Inhibitor</w:t>
      </w:r>
      <w:r>
        <w:rPr>
          <w:rFonts w:ascii="Times New Roman" w:cs="Times New Roman" w:eastAsia="Times New Roman" w:hAnsi="Times New Roman"/>
          <w:sz w:val="18"/>
          <w:szCs w:val="18"/>
          <w:color w:val="auto"/>
        </w:rPr>
        <w:t>. We are developing a bifunctional complement inhibitor anti-C2 monoclonal antibody that could be a first-in-class combined inhibitor of the classical, lectin and alternative pathways of the complement system to treat complex complement-mediated diseases like Immunoglobulin A Nephropathy and lupus nephritis, which are influenced by multiple complement pathways.</w:t>
      </w:r>
    </w:p>
    <w:p>
      <w:pPr>
        <w:spacing w:after="0" w:line="13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Oral C2 Inhibitor</w:t>
      </w:r>
      <w:r>
        <w:rPr>
          <w:rFonts w:ascii="Times New Roman" w:cs="Times New Roman" w:eastAsia="Times New Roman" w:hAnsi="Times New Roman"/>
          <w:sz w:val="18"/>
          <w:szCs w:val="18"/>
          <w:color w:val="auto"/>
        </w:rPr>
        <w:t>. We are developing a classical and lectin pathway complement inhibitor to treat autoimmune hemolytic anemias, including cold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agglutinin disease (“CAD”) and warm autoimmune hemolytic anemia (“wAIHA”). The limited approved options for treating diseases like CAD and wAIHA are injectable or infused. An oral C2 inhibitor developed by us could be first-in-class and allow patients to switch from infused therapy and address their disease earlier in the treatment paradigm. Inhibiting C2 could decrease red cell destruction (hemolysis) in autoimmune hemolytic anemias by blocking the classical and lectin pathways.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/RAPIACTA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/PERAMIFLU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(peramivir injection)</w:t>
      </w:r>
    </w:p>
    <w:p>
      <w:pPr>
        <w:spacing w:after="0" w:line="200"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Netherton Syndrome (BCX17725)</w:t>
      </w:r>
    </w:p>
    <w:p>
      <w:pPr>
        <w:spacing w:after="0" w:line="18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BCX17725 is a potent and selective investigational fusion protein KLK5 inhibitor designed to provide best-in-class, potentially disease-modifying treatment for people with Netherton syndrome. Netherton syndrome is a serious, rare, lifelong genetic disorder affecting the skin, hair, and immune system. People with Netherton syndrome often have red, scaly, inflamed skin, fragile hair, and are more likely to develop skin infections, allergies, asthma and eczema. Netherton syndrome can be life-threatening, especially during infancy when patients are vulnerable to dehydration and recurrent infections. Currently, there is no approved treatment for Netherton syndrome.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3" w:lineRule="exact"/>
        <w:rPr>
          <w:sz w:val="20"/>
          <w:szCs w:val="20"/>
          <w:color w:val="auto"/>
        </w:rPr>
      </w:pPr>
    </w:p>
    <w:p>
      <w:pPr>
        <w:ind w:right="100" w:firstLine="486"/>
        <w:spacing w:after="0" w:line="245"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deliver avoralstat to the back of the eye through the suprachoroidal space to treat patients with diabetic macular edema (“DME”). DME is an important cause of vision loss in diabetes and is due to leakage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as a depot formulation, is designed to provide high dose levels to the retinal vessels with long-lasting exposure, which could result in less frequent injections and a reduced burden on patients and the healthcare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20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47"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3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 (berotralstat)</w:t>
      </w:r>
    </w:p>
    <w:p>
      <w:pPr>
        <w:spacing w:after="0" w:line="200"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On April 17, 2024, we announced that the Brazilian Health Regulatory Agency granted approval for ORLADEYO for the prophylaxis of HAE attacks in adults and pediatric patients 12 years of age or older.</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May 6, 2024, we announced that enrollment is complete in the APeX-P trial evaluating ORLADEYO in pediatric HAE patients who are 2 to &lt;12 years of age. On August 5, 2024, we announced that we remain on track to submit a regulatory filing in 2025 to expand the ORLADEYO label to enable children as young as two years of age to receive an oral granule formulation of ORLADEYO. ORLADEYO would be the first oral prophylactic therapy for children with HAE.</w:t>
      </w:r>
    </w:p>
    <w:p>
      <w:pPr>
        <w:spacing w:after="0" w:line="13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On May 9, 2024, we announced new real-world evidence on the use of ORLADEYO demonstrating that patients with HAE in the United States experience significant reductions in healthcare resource utilization after beginning treatment with ORLADEYO.</w:t>
      </w:r>
    </w:p>
    <w:p>
      <w:pPr>
        <w:spacing w:after="0" w:line="13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On May 13, 2024, we announced that the Federal Commission for Protection against Health Risks in Mexico granted approval for ORLADEYO for the prophylaxis of HAE attacks in adults and pediatric patients 12 years of age or older.</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June 2, 2024, we announced new real-world evidence showing that patients with HAE who have normal C1-inhibitor level and function had a reduction in monthly attack rates after starting ORLADEYO.</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On July 9, 2024, we announced that the General Directorate of Medicines, Supplies and Drugs in Peru granted approval for ORLADEYO for the prophylaxis of HAE attacks in adults and pediatric patients 12 years of age or older.</w:t>
      </w:r>
    </w:p>
    <w:p>
      <w:pPr>
        <w:spacing w:after="0" w:line="13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On August 5, 2024, we announced that a recent market research study showed that 52 percent of allergist/immunologists are extremely likely to prescribe ORLADEYO to more patients, up from 29 percent in early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Complement-Mediated Diseases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BCX10013</w:t>
      </w:r>
    </w:p>
    <w:p>
      <w:pPr>
        <w:spacing w:after="0" w:line="200"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On May 6, 2024, we announced that our ongoing proof-of-concept trial with BCX10013 remained on track and that we expected to partner or discontinue the program later this year.</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August 5, 2024, we announced that we have completed our clinical evaluation of BCX10013. The drug was safe and well tolerated at all doses studied; however, the level of clinical activity observed was less than other therapies on the market, and potential partners have declined to make the additional investment required to evaluate higher doses. We plan to discontinue development, consistent with our previously announced plans.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Netherton Syndrome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6, 2024, we announced that we expect to advance BCX17725 into the clinic by the end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6, 2024, we announced that we plan to advance avoralstat into a clinical trial of patients with DME in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June 30, 2024 compared to the three months ended June 30, 2023)</w:t>
      </w:r>
    </w:p>
    <w:p>
      <w:pPr>
        <w:spacing w:after="0" w:line="20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total revenues were $109.3 million as compared to $82.5 million for the three months ended June 30, 2023. The increase in total revenues was due to a $27.3 million increase in ORLADEYO net revenue, including royalties. The increase in ORLADEYO net revenue was partially offset by a decrease in other net revenues of $0.4 million due to a decrease in royalties for sales of peramivir.</w:t>
      </w:r>
    </w:p>
    <w:p>
      <w:pPr>
        <w:spacing w:after="0" w:line="13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for the three months ended June 30, 2024 and 2023 was $1.7 million and $0.9 million, respectively. The increase in cost of product sales was primarily due to an increase in ORLADEYO sales in the current year period.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8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Berotralstat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 D Program</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Peramivir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37,623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51,247</w:t>
            </w:r>
          </w:p>
        </w:tc>
      </w:tr>
      <w:tr>
        <w:trPr>
          <w:trHeight w:val="20"/>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to $37.6 million for the three months ended June 30, 2024 from $51.2 million for the three months ended June 30, 2023, primarily due to a decrease in Factor D program expenses. The decrease in Factor D program expenses was primarily attributed to decreased spending on BCX10013 and the discontinuation of the BCX9930 program. These reductions to research and development expenses were partially offset by increased spending on berotralstat due to our ongoing ORLADEYO pediatric trial, and increased spending on other research, preclinical and development costs. Other research, preclinical and development costs increased due to increased spending on BCX17725 and avoralstat for investigational new drug application-enabling activities and increased spending related to our other early-stage discovery programs.</w:t>
      </w:r>
    </w:p>
    <w:p>
      <w:pPr>
        <w:spacing w:after="0" w:line="147" w:lineRule="exact"/>
        <w:rPr>
          <w:sz w:val="20"/>
          <w:szCs w:val="20"/>
          <w:color w:val="auto"/>
        </w:rPr>
      </w:pPr>
    </w:p>
    <w:p>
      <w:pPr>
        <w:jc w:val="both"/>
        <w:ind w:right="200" w:firstLine="486"/>
        <w:spacing w:after="0" w:line="281" w:lineRule="auto"/>
        <w:rPr>
          <w:sz w:val="20"/>
          <w:szCs w:val="20"/>
          <w:color w:val="auto"/>
        </w:rPr>
      </w:pPr>
      <w:r>
        <w:rPr>
          <w:rFonts w:ascii="Times New Roman" w:cs="Times New Roman" w:eastAsia="Times New Roman" w:hAnsi="Times New Roman"/>
          <w:sz w:val="17"/>
          <w:szCs w:val="17"/>
          <w:color w:val="auto"/>
        </w:rPr>
        <w:t>Selling, general and administrative expenses for the three months ended June 30, 2024 were $61.2 million compared to $51.0 million for the three months ended June 30, 2023. The increase was primarily due to an increase in commercial expenses to support our growing revenue as well as our newly launched regions and expanded international operations. Further, there was an increase in general and administrative expenses attributed to an increase in headcount and consulting spend to support our accounting function and an increase in information technology costs to support our growing organization.</w:t>
      </w:r>
    </w:p>
    <w:p>
      <w:pPr>
        <w:spacing w:after="0" w:line="12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June 30, 2024 was $24.7 million compared to $28.9 million for the three months ended June 30, 2023. The decrease in interest expense was primarily due to the decrease in the effective interest rate related to the 2021 RPI Royalty Purchase Agreement (as defined in “Note 6—Royalty Financing Obligations—ORLADEYO and Factor D Inhibitors” in the Notes to Condensed Consolidated Financial Statements in Part I, Item 1 of this report), partially offset by an increase in interest expense associated with the interest accrued on the Tranche A Loan of $300.0 million under the Pharmakon Loan Agreement (as defined below), which was funded on April 17, 2023.</w:t>
      </w:r>
    </w:p>
    <w:p>
      <w:pPr>
        <w:spacing w:after="0" w:line="15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June 30, 2024 included $14.3 million of non-cash interest expense due to the amortization of interest associated with the royalty financing obligations and $10.4 million of interest expense, including the amortization of the deferred financing associated with the borrowings under the Pharmakon Loan Agreement. Interest expense for the three months ended June 30, 2023 included $19.5 million of non-cash interest expense due to the amortization of interest associated with the royalty financing obligations, $7.9 million of interest expense, including the amortization of the deferred financing associated with the borrowings under the Pharmakon Loan Agreement, and $1.5 million of interest expense, including the amortization of the deferred financing associated with the borrowings under the Athyrium Credit Agreement (as defined below).</w:t>
      </w:r>
    </w:p>
    <w:p>
      <w:pPr>
        <w:spacing w:after="0" w:line="14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interest income was $3.6 million compared to $3.8 million for the three months ended June 30, 2023. Net foreign currency losses were $0.1 million for the three months ended June 30, 2024 compared to net foreign currency gains of $0.3 million for the three months ended June 30, 2023. For the three months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ended June 30, 2023, loss on extinguishment of debt associated with the repayment of the term loans under the Athyrium Credit Agreement was $29.0 million.</w:t>
      </w:r>
    </w:p>
    <w:p>
      <w:pPr>
        <w:spacing w:after="0" w:line="135"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income tax expense was $0.2 million compared to $0.7 million for the three months ended June 30, 2023. The decrease in income tax expense is primarily due to an increase in the amortization deduction related to capitalized research and development costs and the reversal of certain tax timing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(six months ended June 30, 2024 compared to the six months ended June 30, 2023)</w:t>
      </w:r>
    </w:p>
    <w:p>
      <w:pPr>
        <w:spacing w:after="0" w:line="189"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total revenues were $202.1 million compared to $151.3 million for the six months ended June 30, 2023. The increase in total revenues was due to a $47.7 million increase in ORLADEYO net revenue, including royalties, and an increase in other revenues of $3.1 million due to an increase in royalties for sales of peramivir in the first quarter of 2024.</w:t>
      </w:r>
    </w:p>
    <w:p>
      <w:pPr>
        <w:spacing w:after="0" w:line="14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for the six months ended June 30, 2024 and 2023 was $3.0 million and $1.8 million, respectively. The increase in cost of product sales was primarily due to an increase in ORLADEYO sales in the current year period.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Berotralstat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25,104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19,173</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 D Program</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Peramivir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84,116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99,635</w:t>
            </w:r>
          </w:p>
        </w:tc>
      </w:tr>
      <w:tr>
        <w:trPr>
          <w:trHeight w:val="21"/>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to $84.1 million for the six months ended June 30, 2024 from $99.6 million for the six months ended June 30, 2023, primarily due to a decrease in Factor D program expenses. The decrease in Factor D program expenses was primarily attributed to decreased spending on BCX10013 and the discontinuation of the BCX9930 program. These reductions to research and development expenses were partially offset by increased spending on berotralstat due to our ongoing ORLADEYO pediatric trial, and increased spending on other research, preclinical and development costs. Other research, preclinical and development costs increased due to increased spending on BCX17725 and avoralstat for investigational new drug application-enabling activities and increased spending related to our other early-stage discovery programs.</w:t>
      </w:r>
    </w:p>
    <w:p>
      <w:pPr>
        <w:spacing w:after="0" w:line="160"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2024 were $120.6 million compared to $98.9 million for the six months ended June 30, 2023. The increase was primarily due to an increase in commercial expenses to support our growing revenue as well as our newly launched regions and expanded international operations. Further, there was an increase in general and administrative expenses primarily attributed to an increase in headcount and consulting spend to support our accounting function and an increase in information technology and human resources costs to support our growing organization.</w:t>
      </w:r>
    </w:p>
    <w:p>
      <w:pPr>
        <w:spacing w:after="0" w:line="14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six months ended June 30, 2024 was $49.2 million compared to $56.3 million for the six months ended June 30, 2023. The decrease in interest expense was primarily due to the decrease in the effective interest rate related to the 2021 RPI Royalty Purchase Agreement (as defined in “Note 6—Royalty Financing Obligations—ORLADEYO and Factor D Inhibitors” in the Notes to Condensed Consolidated Financial Statements in Part I, Item 1 of this report), partially offset by an increase in interest expense associated with the interest accrued on the Tranche A Loan of $300.0 million under the Pharmakon Loan Agreement, which was funded on April 17, 2023.</w:t>
      </w:r>
    </w:p>
    <w:p>
      <w:pPr>
        <w:spacing w:after="0" w:line="14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six months ended June 30, 2024 included $28.5 million of non-cash interest expense due to the amortization of interest associated with the royalty financing obligations and $20.6 million of interest expense, including the amortization of the deferred financing associated with the borrowings under the Pharmakon Loan Agreement. Interest expense for the six months ended June 30, 2023 included $38.8 million of non-cash interest expense due to the amortization of interest associated with the royalty financing obligations, $9.5 million of interest expense, including the amortization of the deferred financing associated with the borrowings under the Athyrium Credit Agreement,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$7.9 million of interest expense, including the amortization of the deferred financing associated with the borrowings under the Pharmakon Loan Agreement.</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interest income was $7.6 million compared to $7.1 million for the six months ended June 30, 2023. Net foreign currency losses were $0.1 million for the six months ended June 30, 2024 compared to net foreign currency gains of $0.1 million for the six months ended June 30, 2023. For the six months ended June 30, 2023, loss on extinguishment of debt associated with the repayment of the term loans under the Athyrium Credit Agreement was $29.0 million.</w:t>
      </w:r>
    </w:p>
    <w:p>
      <w:pPr>
        <w:spacing w:after="0" w:line="13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income tax expense was $0.5 million compared to $1.4 million for the six months ended June 30, 2023. The decrease in income tax expense is primarily due to an increase in the amortization deduction related to capitalized research and development costs and the reversal of certain tax timing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 funding from other sources, including other collaborative and other research and development agreements, government grants, equipment lease financing, facility leases, research grants, and interest income on our investments.</w:t>
      </w:r>
    </w:p>
    <w:p>
      <w:pPr>
        <w:spacing w:after="0" w:line="13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provides for three additional term loan tranches in principal amounts of $50.0 million each, which we may request, at our option, on or prior to September 30, 2024. The maturity date of the Pharmakon Loan Agreement is April 17, 2028.</w:t>
      </w:r>
    </w:p>
    <w:p>
      <w:pPr>
        <w:spacing w:after="0" w:line="16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Pharmakon Loan Agreement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June 30, 2024, we were in compliance with the negative covenants under the Pharmakon Loan Agreement. See “Note 7—Debt—Pharmakon Loan Agreement” in the Notes to Condensed Consolidated Financial Statements in Part I, Item 1 of this report for additional information about our obligations under the Pharmakon Loan Agreement.</w:t>
      </w:r>
    </w:p>
    <w:p>
      <w:pPr>
        <w:spacing w:after="0" w:line="1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2020 and 2021, we entered into the Royalty Purchase Agreements (as defined in “Note 6—Royalty Financing Obligations—ORLADEYO and Factor D Inhibitors” in the Notes to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“Note 6—Royalty Financing Obligations—ORLADEYO and Factor D Inhibitors” in the Notes to Condensed Consolidated Financial Statements in Part I, Item 1 of this report for additional information about these financing transactions.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at June 30, 2024 were approximately $78.4 million in cash and cash equivalents and approximately $257.9 million in investments considered available-for-sale.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period presented (in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(158,450)</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of $55.1 million consisted primarily of a net loss of $48.1 million and $66.8 million of changes in operating assets and liabilities, primarily due to a decrease in accounts payable and accrued expenses and an increase in accounts receivable, partially offset by $59.8 million of non-cash items, including $39.0 million of non-cash interest expense and $26.8 million of stock-based compensation expense.</w:t>
      </w:r>
    </w:p>
    <w:p>
      <w:pPr>
        <w:spacing w:after="0" w:line="13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2023, net cash used in operating activities of $66.3 million consisted primarily of a net loss of $128.7 million and $34.3 million of changes in operating assets and liabilities, primarily due to a decrease in accounts payable and accrued expenses and an increase in accounts receivable, partially offset by $96.6 million of non-cash items, including $43.9 million of non-cash interest expense, the loss on extinguishment of debt associated with the repayment of the term loans under the Athyrium Credit Agreement of $29.0 million, and $26.8 million of stock-based compensation expense.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investing activities of $26.3 million primarily related to sales and maturities of investment securities, partially offset by purchases of investment securities.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used in investing activities of $126.1 million primarily related to purchases of investment securities, partially offset by sales and maturities of investment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financing activities of $3.0 million primarily consisted of withholding taxes paid on stock-based awards and principal payments on finance lease liabilities, partially offset by net proceeds from common stock issued under stock-based compensation plans.</w:t>
      </w:r>
    </w:p>
    <w:p>
      <w:pPr>
        <w:spacing w:after="0" w:line="135"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net cash provided by financing activities of $34.4 million primarily consisted of net proceeds from the Pharmakon Loan Agreement and net proceeds from common stock issued under stock-based compensation plans, partially offset by the repayment of the secured term loans under the Athyrium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20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and contracting with other parties to conduct certain research and development projects. In addition, we reduced the size of our research and development organization and postponed previously planned capital expenditures at our Discovery Center in Alabama in January 2024, which we believe will help accelerate our path to profitability.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may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future, we may finance our needs principally from the following:</w:t>
      </w:r>
    </w:p>
    <w:p>
      <w:pPr>
        <w:spacing w:after="0" w:line="185"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equity and/or debt financing.</w:t>
      </w:r>
    </w:p>
    <w:p>
      <w:pPr>
        <w:spacing w:after="0" w:line="16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w:t>
      </w:r>
    </w:p>
    <w:p>
      <w:pPr>
        <w:spacing w:after="0" w:line="14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w:t>
      </w:r>
    </w:p>
    <w:p>
      <w:pPr>
        <w:spacing w:after="0" w:line="143"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Based on our expectations for revenue and operating expenses, we believe our financial resources will be sufficient to fund our operations for at least the next 12 months, and we have no immediate intentions to access the capital markets or draw down additional debt available to us. However, we have sustained operating losses for the majority of our corporate history and expect that our total 2024 expenses (including stock-based compensation expense) will exceed our total 2024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will depend upon many factors, including:</w:t>
      </w:r>
    </w:p>
    <w:p>
      <w:pPr>
        <w:spacing w:after="0" w:line="198" w:lineRule="exact"/>
        <w:rPr>
          <w:sz w:val="20"/>
          <w:szCs w:val="20"/>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w:t>
      </w:r>
    </w:p>
    <w:p>
      <w:pPr>
        <w:spacing w:after="0" w:line="9" w:lineRule="exact"/>
        <w:rPr>
          <w:rFonts w:ascii="Times New Roman" w:cs="Times New Roman" w:eastAsia="Times New Roman" w:hAnsi="Times New Roman"/>
          <w:sz w:val="18"/>
          <w:szCs w:val="18"/>
          <w:color w:val="auto"/>
        </w:rPr>
      </w:pPr>
    </w:p>
    <w:p>
      <w:pPr>
        <w:ind w:left="1140" w:right="22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1140" w:right="180" w:hanging="322"/>
        <w:spacing w:after="0" w:line="26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will share in the costs associated with the development of our programs or run the development programs themselves;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1140" w:right="20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new drug application (“NDA”) filings;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peramivir,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1140" w:right="880" w:hanging="322"/>
        <w:spacing w:after="0" w:line="26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4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Factors—Risks Relating to Our Business—Financial and Liquidity Risks” and “Risk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 in Part II, Item 1A of this report for further discussion of the risks related to obtaining additional capital.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condensed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4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1—Significant Accounting Policies and Concentrations of Risk” 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contract, (iii) determining the transaction price, (iv) allocating the transaction price to the performance obligations, and (v) recognizing revenue when, or as, an entity satisfies a performance obligation.</w:t>
      </w:r>
    </w:p>
    <w:p>
      <w:pPr>
        <w:spacing w:after="0" w:line="13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and sales of peramivir. In the United States, we ship ORLADEYO directly to patients through a single specialty pharmacy, which is considered our customer. In the European Union, United Kingdom, Canada, Latin America, and elsewhere, we sell ORLADEYO to specialty distributors as well as hospitals and pharmacies, which collectively are considered our customers.</w:t>
      </w:r>
    </w:p>
    <w:p>
      <w:pPr>
        <w:spacing w:after="0" w:line="15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135"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4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We contract with government agencies and managed care organizations or, collectively,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pharmacy’s purchase price with us. We estimate chargebacks and adjust gross product revenues and accounts receivable based on the estimates at the time revenues are recognized.</w:t>
      </w:r>
    </w:p>
    <w:p>
      <w:pPr>
        <w:spacing w:after="0" w:line="143"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Our primary sources of revenue from these collaborative and other research and development arrangements are license, service and royalty revenues.</w:t>
      </w:r>
    </w:p>
    <w:p>
      <w:pPr>
        <w:spacing w:after="0" w:line="12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4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5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inventory primarily relates to ORLADEYO. Additionally, our inventory includes peramivir.</w:t>
      </w:r>
    </w:p>
    <w:p>
      <w:pPr>
        <w:spacing w:after="0" w:line="18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inventory at the lower of cost or estimated net realizable value. We determine the cost of our inventory on a first-in, first-out (FIFO) basis. Raw materials and work-in-process include all inventory costs prior to packaging and labeling, including raw material, active product ingredient, and the drug product. Finished goods include packaged and labeled products. We classify inventory as long-term when consumption or sale of the inventory is not expected to occur within 12 months from the balance sheet date.</w:t>
      </w:r>
    </w:p>
    <w:p>
      <w:pPr>
        <w:spacing w:after="0" w:line="13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inventory is subject to expiration dating. At each reporting date, we evaluate the carrying value of our inventory and provide valuation reserves for any estimated obsolete, short-dated or unmarketable inventory. In addition, we may experience spoilage of our raw materials and supplies. Our determination that a valuation reserve might be required, in addition to the quantification of such reserve, requires us to utilize significant judgment.</w:t>
      </w:r>
    </w:p>
    <w:p>
      <w:pPr>
        <w:spacing w:after="0" w:line="14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expense costs related to the production of inventory as research and development expenses in the period incurred until such time it is believed that future economic benefit is expected to be recognized, which generally is reliant upon receipt of regulatory approval. Upon regulatory approval, we capitalize subsequent costs related to the production of inventory.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Accruals</w:t>
      </w:r>
    </w:p>
    <w:p>
      <w:pPr>
        <w:spacing w:after="0" w:line="20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w:t>
      </w:r>
    </w:p>
    <w:p>
      <w:pPr>
        <w:spacing w:after="0" w:line="14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Industrial Research, Ltd., and the University of Alabama at Birmingham (“UAB”), which require fees related to sublicense agreements. We accrue sublicense expenses as incurred.</w:t>
      </w:r>
    </w:p>
    <w:p>
      <w:pPr>
        <w:spacing w:after="0" w:line="13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group our research and development expenses into two major categories: direct external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6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and third-party vendors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4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of the options. Actual results, and future changes in estimates, may differ substantially from our current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18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3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“Note 1—Significant Accounting Policies and Concentrations of Risk” in the Notes to Condensed Consolidated Financial Statements included in Part I, Item 1 of this report discusses accounting pronouncements recently issued or proposed but not yet required to be adopted.</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(as defined in “Note 7— Debt—Pharmakon Loan Agreement” in the Notes to the Condensed Consolidated Financial Statements included in Part I, Item 1 of this report) is made, SOFR plus 7.25%. Accordingly, increases in interest rates will increase the associated interest payments that we are required to make on the Tranche A Loan. For the three months ended June 30, 2024, interest was accrued at an effective rate of 13.31% on the $300.0 million borrowing under the Pharmakon Loan Agreement.</w:t>
      </w:r>
    </w:p>
    <w:p>
      <w:pPr>
        <w:spacing w:after="0" w:line="14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4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6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six months ended June 30, 2024,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spacing w:after="0" w:line="156"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six months ended June 30, 2024; however, we may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Exchange Act is recorded, processed, summarized, and reported within the time periods specified in SEC rules and forms and is accumulated and communicated to management, including the principal executive officer and principal financial officer, to allow timely decisions regarding required disclosure.</w:t>
      </w:r>
    </w:p>
    <w:p>
      <w:pPr>
        <w:spacing w:after="0" w:line="13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participation of our Chief Executive Officer and Chief Financial Officer, evaluated the effectiveness of our disclosure controls and procedures as defined in Rules 13a-15(e) and 15d-15(e) under the Exchange Act as of June 30, 2024. Based upon this evaluation, our Chief Executive Officer and Chief Financial Officer concluded that, as of June 30, 2024, our disclosure controls and procedures were not effective due to a material weakness in internal control over financial reporting. Management originally reported the current material weakness, along with another material weakness, on November 8, 2023. While remediation measures were promptly implemented resulting in the elimination of one material weakness, the final material weakness remains and is described below.</w:t>
      </w:r>
    </w:p>
    <w:p>
      <w:pPr>
        <w:spacing w:after="0" w:line="160"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insufficient staffing resources in our accounting function, which restricts our ability to consistently execute review procedures over financial statement close processes.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 in Internal Control over Financial Reporting: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continuing to address this material weakness we have engaged third party experts and undertaken actions in each of the steps identified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developing, and retaining incremental personnel with appropriate accounting and internal controls expertise;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updating (as appropriate) the organizational design of the controllership function;</w:t>
      </w:r>
    </w:p>
    <w:p>
      <w:pPr>
        <w:spacing w:after="0" w:line="9" w:lineRule="exact"/>
        <w:rPr>
          <w:rFonts w:ascii="Times New Roman" w:cs="Times New Roman" w:eastAsia="Times New Roman" w:hAnsi="Times New Roman"/>
          <w:sz w:val="18"/>
          <w:szCs w:val="18"/>
          <w:color w:val="auto"/>
        </w:rPr>
      </w:pPr>
    </w:p>
    <w:p>
      <w:pPr>
        <w:ind w:left="1140" w:right="36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updating (as appropriate) our methodologies, policies, and procedures designed to ensure adequate internal control over financial reporting, including underlying information technology and business process controls; and</w:t>
      </w: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ongoing (as appropriate) training programs on relevant internal control over financial reporting matters.</w:t>
      </w:r>
    </w:p>
    <w:p>
      <w:pPr>
        <w:spacing w:after="0" w:line="18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This is a high priority for the Company, and we continue to make progress towards remediation. Management will continue to implement measures to remediate this material weakness, such that these controls are designed, implemented, and operating effectively.</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Once implemented, these remediation activities are designed to strengthen our internal control over financial reporting and remediate the material weakness; however, remediation will not be confirmed until management has completed the requisite remediation activities and tested the design and operation of such controls.</w:t>
      </w:r>
    </w:p>
    <w:p>
      <w:pPr>
        <w:spacing w:after="0" w:line="13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Despite the existence of this material weakness, we believe the condensed consolidated financial statements included in the period covered by this Quarterly Report on Form 10-Q fairly present, in all material respects, our financial condition, results of operations and cash flows for the periods presented in conformity with U.S.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Other than described above, there have been no changes in our internal control over financial reporting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and may never be profitable.</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Our expectations as to when we may achieve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and maintain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may reduce the profitability of such products.</w:t>
      </w:r>
    </w:p>
    <w:p>
      <w:pPr>
        <w:spacing w:after="0" w:line="16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on our anticipated timeline, or at all, the market value of our common stock will likely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if and when needed, we may need to adjust our operations.</w:t>
      </w:r>
    </w:p>
    <w:p>
      <w:pPr>
        <w:spacing w:after="0" w:line="189"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and expect that our total 2024 expenses (including stock-based compensation expense) will exceed our total 2024 revenues. We expect to continue to incur operating losses and negative cash flows unless and until revenues reach a level sufficient to support ongoing operations.</w:t>
      </w:r>
    </w:p>
    <w:p>
      <w:pPr>
        <w:spacing w:after="0" w:line="149"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Even if we are able to achieve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77" w:lineRule="auto"/>
        <w:rPr>
          <w:sz w:val="20"/>
          <w:szCs w:val="20"/>
          <w:color w:val="auto"/>
        </w:rPr>
      </w:pPr>
      <w:r>
        <w:rPr>
          <w:rFonts w:ascii="Times New Roman" w:cs="Times New Roman" w:eastAsia="Times New Roman" w:hAnsi="Times New Roman"/>
          <w:sz w:val="17"/>
          <w:szCs w:val="17"/>
          <w:color w:val="auto"/>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“Management’s Discussion and Analysis of Financial Condition and Results of Operations—Liquidity and Capital Resources” in Part I, Item 2 of this report for additional information about our liquidity needs, capital requirements, potential funding alternatives, and adequacy of available funds.</w:t>
      </w:r>
    </w:p>
    <w:p>
      <w:pPr>
        <w:spacing w:after="0" w:line="141"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18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132"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spacing w:after="0" w:line="14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4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and our other rare disease product candidates (including the additional therapies in our pipeline described in “Management’s Discussion and Analysis of Financial Condition and Results of Operations—Overview—Products and Product Candidates” in Part I, Item 2 of this report), could result in delays in, modifications to, or discontinuations of our trials or require the performance of additional unplanned trials. For example, dose-related observations in a BCX10013 nonclinical study reported in 2023 delayed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 In addition, the development plans for our product candidates, including our clinical trials, may not be adequately designed or executed, which could negatively affect the outcome and analysis of study results.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 For example, following the completion of our clinical evaluation of BCX10013, we announced on August 5, 2024 that we plan to discontinue development, which may subject us to certain risks.</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European Medicines Agency (“EMA”), the Ministry of Health, Labor and Welfare (“MHLW”) in Japan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complete the clinical development process successfully is dependent upon many factors, including, but not limited to:</w:t>
      </w:r>
    </w:p>
    <w:p>
      <w:pPr>
        <w:spacing w:after="0" w:line="185" w:lineRule="exact"/>
        <w:rPr>
          <w:sz w:val="20"/>
          <w:szCs w:val="20"/>
          <w:color w:val="auto"/>
        </w:rPr>
      </w:pPr>
    </w:p>
    <w:p>
      <w:pPr>
        <w:ind w:left="1140" w:right="120" w:hanging="322"/>
        <w:spacing w:after="0" w:line="261"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1140" w:right="54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protocols or maintain contact with investigators to provide complete data during and after treatment;</w:t>
      </w:r>
    </w:p>
    <w:p>
      <w:pPr>
        <w:ind w:left="1140" w:right="38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for our targeted indications, or at all, or may produce unfavorable or inconclusive results;</w:t>
      </w:r>
    </w:p>
    <w:p>
      <w:pPr>
        <w:ind w:left="1140" w:right="12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1140" w:right="90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1140" w:right="160" w:hanging="322"/>
        <w:spacing w:after="0" w:line="265" w:lineRule="auto"/>
        <w:tabs>
          <w:tab w:leader="none" w:pos="11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1140" w:right="36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9" w:lineRule="exact"/>
        <w:rPr>
          <w:rFonts w:ascii="Times New Roman" w:cs="Times New Roman" w:eastAsia="Times New Roman" w:hAnsi="Times New Roman"/>
          <w:sz w:val="18"/>
          <w:szCs w:val="18"/>
          <w:color w:val="auto"/>
        </w:rPr>
      </w:pPr>
    </w:p>
    <w:p>
      <w:pPr>
        <w:ind w:left="1140" w:right="12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pandemic, such as COVID-19, on one or more of the foregoing factors.</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14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185" w:lineRule="exact"/>
        <w:rPr>
          <w:sz w:val="20"/>
          <w:szCs w:val="20"/>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1140" w:right="340" w:hanging="322"/>
        <w:spacing w:after="0" w:line="250"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4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4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3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market acceptance of our products, including ORLADEYO; our ability to raise additional capital if needed;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 There can be no assurance that we are able to successfully secure a partnership for our product candidates when deemed advisable on terms that are acceptable to us, or at all.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order to continue future operations, progress our drug discovery and development programs, and commercialize our current products and product candidates, we may be required to raise additional capital. Our ability to raise additional capital if and when needed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our complement program for diseases of the complement system and other rare disease product candidates (including the additional therapies in our pipeline described in “Management’s Discussion and Analysis of Financial Condition and Results of Operations—Overview—Products and Product Candidates” in Part I, Item</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 of this report), as well as any post-approval studies for our products. In addition,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See “Risks Relating to Our Business—Financial and Liquidity Risks—We may need to raise additional capital in the future. If we are unable to raise capital if and when needed, we may need to adjust our operations” in this section and “Management’s Discussion and Analysis of Financial Condition and Results of Operations— Liquidity and Capital Resources” in Part I, Item 2 of this report for additional information about our liquidity risks and capital requirements.</w:t>
      </w:r>
    </w:p>
    <w:p>
      <w:pPr>
        <w:spacing w:after="0" w:line="16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potential U.S. Government shutdowns, the upcoming presidential election in the United States, geopolitical instability, or public health emergencies such as the COVID-19 pandemic.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3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5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and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5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“Risk Factors—Risks Relating to Our Business—Legal and Regulatory Risks—We are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various laws and regulations related to our products and product candidates, and if we or our partners do not comply with these laws and regulations, we could face substantial penalties.”</w:t>
      </w:r>
    </w:p>
    <w:p>
      <w:pPr>
        <w:spacing w:after="0" w:line="13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focus on rare diseases, which may create additional risks and challenges, including that the target patient populations of our products and product candidates may be small.</w:t>
      </w:r>
    </w:p>
    <w:p>
      <w:pPr>
        <w:spacing w:after="0" w:line="11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“Business—Government Regulation—FDA Regulation—Orphan Drugs” in Part I, Item 1 of our most recent Annual Report on Form 10-K.</w:t>
      </w:r>
    </w:p>
    <w:p>
      <w:pPr>
        <w:spacing w:after="0" w:line="16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it is important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spacing w:after="0" w:line="1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spacing w:after="0" w:line="148"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“Business—Government Regulation—FDA Regulation—Abbreviated New Drug Applications for Generic Drugs” 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48"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as described in “Business—Government Regulation—FDA Regulation—Abbreviated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New Drug Applications for Generic Drugs” 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w:t>
      </w:r>
    </w:p>
    <w:p>
      <w:pPr>
        <w:spacing w:after="0" w:line="15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spacing w:after="0" w:line="13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spacing w:after="0" w:line="118"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spacing w:after="0" w:line="135" w:lineRule="exact"/>
        <w:rPr>
          <w:sz w:val="20"/>
          <w:szCs w:val="20"/>
          <w:color w:val="auto"/>
        </w:rPr>
      </w:pPr>
    </w:p>
    <w:p>
      <w:pPr>
        <w:ind w:left="1140" w:right="200" w:hanging="322"/>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1140" w:right="2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6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4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4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3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39" w:lineRule="exact"/>
        <w:rPr>
          <w:sz w:val="20"/>
          <w:szCs w:val="20"/>
          <w:color w:val="auto"/>
        </w:rPr>
      </w:pPr>
    </w:p>
    <w:p>
      <w:pPr>
        <w:ind w:left="1140" w:right="280" w:hanging="322"/>
        <w:spacing w:after="0" w:line="261"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9" w:lineRule="exact"/>
        <w:rPr>
          <w:rFonts w:ascii="Times New Roman" w:cs="Times New Roman" w:eastAsia="Times New Roman" w:hAnsi="Times New Roman"/>
          <w:sz w:val="18"/>
          <w:szCs w:val="18"/>
          <w:color w:val="auto"/>
        </w:rPr>
      </w:pPr>
    </w:p>
    <w:p>
      <w:pPr>
        <w:ind w:left="1140" w:right="46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80" w:hanging="322"/>
        <w:spacing w:after="0" w:line="261"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114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16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18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We have a partnership agreement with Torii for ORLADEYO in Japan. Under the Torii Agreement,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3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35" w:lineRule="exact"/>
        <w:rPr>
          <w:sz w:val="20"/>
          <w:szCs w:val="20"/>
          <w:color w:val="auto"/>
        </w:rPr>
      </w:pPr>
    </w:p>
    <w:p>
      <w:pPr>
        <w:ind w:left="1140" w:hanging="322"/>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complete clinical trials successfully, or satisfy post-marketing commitments, sufficient to obtain and maintain regulatory agency marketing approval;</w:t>
      </w:r>
    </w:p>
    <w:p>
      <w:pPr>
        <w:ind w:left="1140" w:right="24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140" w:right="24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1140" w:right="20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ind w:left="1140" w:right="32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depends on our ability to obtain and maintain favorable pricing;</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9" w:lineRule="exact"/>
        <w:rPr>
          <w:rFonts w:ascii="Times New Roman" w:cs="Times New Roman" w:eastAsia="Times New Roman" w:hAnsi="Times New Roman"/>
          <w:sz w:val="18"/>
          <w:szCs w:val="18"/>
          <w:color w:val="auto"/>
        </w:rPr>
      </w:pPr>
    </w:p>
    <w:p>
      <w:pPr>
        <w:ind w:left="1140" w:right="400" w:hanging="322"/>
        <w:spacing w:after="0" w:line="26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will depend on our ability to successfully complete clinical studies, obtain regulatory approvals, and manufacture, market, distribute and commercialize our approved drugs; and</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emergencies or the outbreak of disease, such as the COVID-19 pandemic, on us or our partners.</w:t>
      </w:r>
    </w:p>
    <w:p>
      <w:pPr>
        <w:spacing w:after="0" w:line="18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spacing w:after="0" w:line="14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spacing w:after="0" w:line="13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5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62" w:lineRule="exact"/>
        <w:rPr>
          <w:sz w:val="20"/>
          <w:szCs w:val="20"/>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9" w:lineRule="exact"/>
        <w:rPr>
          <w:rFonts w:ascii="Times New Roman" w:cs="Times New Roman" w:eastAsia="Times New Roman" w:hAnsi="Times New Roman"/>
          <w:sz w:val="18"/>
          <w:szCs w:val="18"/>
          <w:color w:val="auto"/>
        </w:rPr>
      </w:pPr>
    </w:p>
    <w:p>
      <w:pPr>
        <w:ind w:left="1140" w:right="1200" w:hanging="322"/>
        <w:spacing w:after="0" w:line="250"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80" w:hanging="322"/>
        <w:spacing w:after="0" w:line="261"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inventory, the number of patients who are using our products, or serious adverse events and/or product complaints regarding our products;</w:t>
      </w: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material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1140" w:right="100" w:hanging="322"/>
        <w:spacing w:after="0" w:line="26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 particularly associated with ORLADEYO, peramivir and our early-stage compounds.</w:t>
      </w:r>
    </w:p>
    <w:p>
      <w:pPr>
        <w:spacing w:after="0" w:line="14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16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5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4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9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35" w:lineRule="exact"/>
        <w:rPr>
          <w:sz w:val="20"/>
          <w:szCs w:val="20"/>
          <w:color w:val="auto"/>
        </w:rPr>
      </w:pPr>
    </w:p>
    <w:p>
      <w:pPr>
        <w:ind w:left="1140" w:right="360" w:hanging="322"/>
        <w:spacing w:after="0" w:line="26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ind w:left="1140" w:right="520" w:hanging="322"/>
        <w:spacing w:after="0" w:line="250"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140" w:hanging="322"/>
        <w:spacing w:after="0" w:line="261"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1140" w:right="200" w:hanging="322"/>
        <w:spacing w:after="0" w:line="250"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jc w:val="both"/>
        <w:ind w:left="1140" w:right="760" w:hanging="322"/>
        <w:spacing w:after="0" w:line="265" w:lineRule="auto"/>
        <w:tabs>
          <w:tab w:leader="none" w:pos="11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reimbursement strategy may not be effective;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legislative or regulatory proposals may influence our pricing and reimbursement strategy, which could impact product revenues;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49" w:lineRule="exact"/>
        <w:rPr>
          <w:sz w:val="20"/>
          <w:szCs w:val="20"/>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18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received FDA approval of ORLADEYO, an oral, once-daily therapy for the prevention of HAE attacks in adults and pediatric patients aged 12 years and older, in December 2020. We subsequently received regulatory approvals for ORLADEYO in other global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185"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166"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1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1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4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5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spacing w:after="0" w:line="15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4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in “Business—Government Regulation” in Part I, Item 1 of our most recent Annual Report on Form 10-K or any other governmental regulations that apply to us, we may be subject to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5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18"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market our products or develop our product candidates.</w:t>
      </w:r>
    </w:p>
    <w:p>
      <w:pPr>
        <w:spacing w:after="0" w:line="13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new legislation, regulatory, and healthcare payor initiatives, including the Patient Protection and Affordable Care Act (“PPACA”), which made extensive changes to the delivery of healthcare in the United States, as discussed in “Business—Government Regulation” in Part I, Item 1 of our most recent Annual Report on Form 10-K.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6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4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w:t>
      </w:r>
    </w:p>
    <w:p>
      <w:pPr>
        <w:spacing w:after="0" w:line="14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changes will have on the insurance coverage and profitability of our products or any of our product candidates, if approved for commercial use, in the future. The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spacing w:after="0" w:line="16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data privacy and security risks, and our actual or perceived failure to comply with regulations and other legal obligations related to privacy and data protection could harm our business.</w:t>
      </w:r>
    </w:p>
    <w:p>
      <w:pPr>
        <w:spacing w:after="0" w:line="13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may be subject to legal obligations at the federal, state, and local level related to privacy and data protection, as described in “Business— Government Regulation—Data Privacy and Security Laws” in Part I, Item 1 of our most recent Annual Report on Form 10-K. Compliance with stringent 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spacing w:after="0" w:line="14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also may be subject to the General Data Protection Regulation (“GDPR”) in the European Economic Area (“EEA”) and similar legislation in the United Kingdom and Switzerland. See “Business—Government Regulation—Data Privacy and Security Laws” in Part I, Item 1 of our most recent Annual Report on Form 10-K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spacing w:after="0" w:line="14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5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1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19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1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4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1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or may design around our patent claims to produce competitive products that fall outside the scope of our patents.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48" w:lineRule="exact"/>
        <w:rPr>
          <w:sz w:val="20"/>
          <w:szCs w:val="20"/>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1140" w:right="760" w:hanging="322"/>
        <w:spacing w:after="0" w:line="250"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80"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6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In addition, the costs of any litigation or administrative proceeding may be substantial whether or not we are successful.</w:t>
      </w:r>
    </w:p>
    <w:p>
      <w:pPr>
        <w:spacing w:after="0" w:line="13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diversified our pipeline to include the development of protein therapeutics, which may create additional risks and challenges.</w:t>
      </w:r>
    </w:p>
    <w:p>
      <w:pPr>
        <w:spacing w:after="0" w:line="18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have diversified our pipeline beyond small-molecule medicines to develop protein therapeutics. The development of protein therapeutics may create additional risks and challenges, including, among others:</w:t>
      </w:r>
    </w:p>
    <w:p>
      <w:pPr>
        <w:spacing w:after="0" w:line="135" w:lineRule="exact"/>
        <w:rPr>
          <w:sz w:val="20"/>
          <w:szCs w:val="20"/>
          <w:color w:val="auto"/>
        </w:rPr>
      </w:pPr>
    </w:p>
    <w:p>
      <w:pPr>
        <w:jc w:val="both"/>
        <w:ind w:left="1140" w:right="460" w:hanging="322"/>
        <w:spacing w:after="0" w:line="257"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spacing w:after="0" w:line="1" w:lineRule="exact"/>
        <w:rPr>
          <w:rFonts w:ascii="Times New Roman" w:cs="Times New Roman" w:eastAsia="Times New Roman" w:hAnsi="Times New Roman"/>
          <w:sz w:val="18"/>
          <w:szCs w:val="18"/>
          <w:color w:val="auto"/>
        </w:rPr>
      </w:pPr>
    </w:p>
    <w:p>
      <w:pPr>
        <w:ind w:left="1140" w:right="40" w:hanging="322"/>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issues with our protein therapeutic candidates may require redevelopment of the formulation, which may be time-consuming or unsuccessful;</w:t>
      </w:r>
    </w:p>
    <w:p>
      <w:pPr>
        <w:ind w:left="1140" w:right="800" w:hanging="322"/>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protein therapeutic candidates in the United States or in other countries;</w:t>
      </w: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more easily develop and seek patent protection on similar protein therapeutic candidates; and</w:t>
      </w:r>
    </w:p>
    <w:p>
      <w:pPr>
        <w:spacing w:after="0" w:line="9" w:lineRule="exact"/>
        <w:rPr>
          <w:rFonts w:ascii="Times New Roman" w:cs="Times New Roman" w:eastAsia="Times New Roman" w:hAnsi="Times New Roman"/>
          <w:sz w:val="18"/>
          <w:szCs w:val="18"/>
          <w:color w:val="auto"/>
        </w:rPr>
      </w:pPr>
    </w:p>
    <w:p>
      <w:pPr>
        <w:ind w:left="1140" w:right="20" w:hanging="322"/>
        <w:spacing w:after="0" w:line="255"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therapeutics product candidates are targeting.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4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1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4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60"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our product liability insurance rates or the inability to maintain insurance coverage in the future on acceptable terms, or at all;</w:t>
      </w:r>
    </w:p>
    <w:p>
      <w:pPr>
        <w:spacing w:after="0" w:line="20"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18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3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these government agencies, we became subject to various U.S. Government contract requirements, including general clauses for a cost-reimbursement research and development contract, which may limit our reimbursement. While all government funding for galidesivir expired in 2022, we still face risks related to our U.S. Government contracts.</w:t>
      </w:r>
    </w:p>
    <w:p>
      <w:pPr>
        <w:spacing w:after="0" w:line="14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35"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reduce the scope of our contract with or without cause;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relevant regulations (federal acquisition regulation clauses);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under circumstances which may not be favorable to us;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 in-process review where the U.S. Government will review the project and its options under the contract;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timing and amount of funding, which impacts the development progress of our programs;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object to our contract-related costs and fees, including allocated indirect costs.</w:t>
      </w:r>
    </w:p>
    <w:p>
      <w:pPr>
        <w:spacing w:after="0" w:line="18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Upon termination or expiration of a contract, the U.S. Government may dispute wind-down and termination costs and may question prior expenses under the contract and deny payment of those expenses. Should we choose to challenge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U.S. Government for denying certain payments under a contract, such a challenge could subject us to substantial additional expenses which we may or may not recover.</w:t>
      </w:r>
    </w:p>
    <w:p>
      <w:pPr>
        <w:spacing w:after="0" w:line="13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5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1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15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3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4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case or that we will not otherwise be adversely affected as a result of the continuing events of default under the PhaRMA Notes or the failure by Royalty Sub to repay the PhaRMA Notes at maturity.</w:t>
      </w:r>
    </w:p>
    <w:p>
      <w:pPr>
        <w:spacing w:after="0" w:line="135"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“Note 8—Royalty Financing Obligations—RAPIACTA—Non-Recourse Notes Payable—Debt Extinguishment” in the Notes to Consolidated Financial Statements in Part II, Item 8 of our most recent Annual Report on Form 10-K for additional information about the write-off.</w:t>
      </w:r>
    </w:p>
    <w:p>
      <w:pPr>
        <w:spacing w:after="0" w:line="13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4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June 30, 2024, we had an outstanding principal balance under the Pharmakon Loan Agreement of $323.7 million, inclusive of the Pharmakon PIK Interest Payments (as defined in “Note 7—Debt—Pharmakon Loan Agreement” in the Notes to the Condensed Consolidated Financial Statements included in Part I, Item 1 of this report). Under the Pharmakon Loan 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185" w:lineRule="exact"/>
        <w:rPr>
          <w:sz w:val="20"/>
          <w:szCs w:val="20"/>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1140" w:right="300" w:hanging="322"/>
        <w:spacing w:after="0" w:line="25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16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spacing w:after="0" w:line="15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and economic risks.</w:t>
      </w:r>
    </w:p>
    <w:p>
      <w:pPr>
        <w:spacing w:after="0" w:line="18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spacing w:after="0" w:line="149" w:lineRule="exact"/>
        <w:rPr>
          <w:sz w:val="20"/>
          <w:szCs w:val="20"/>
          <w:color w:val="auto"/>
        </w:rPr>
      </w:pPr>
    </w:p>
    <w:p>
      <w:pPr>
        <w:ind w:left="1140" w:right="20" w:hanging="322"/>
        <w:spacing w:after="0" w:line="261"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1" w:lineRule="exact"/>
        <w:rPr>
          <w:rFonts w:ascii="Times New Roman" w:cs="Times New Roman" w:eastAsia="Times New Roman" w:hAnsi="Times New Roman"/>
          <w:sz w:val="18"/>
          <w:szCs w:val="18"/>
          <w:color w:val="auto"/>
        </w:rPr>
      </w:pPr>
    </w:p>
    <w:p>
      <w:pPr>
        <w:ind w:left="1140" w:right="100" w:hanging="322"/>
        <w:spacing w:after="0" w:line="250"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terrorism, political unrest, results of certain elections and votes, actual or threatened public health emergencies and outbreak of disease (e.g., the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ind w:left="1140" w:hanging="322"/>
        <w:spacing w:after="0" w:line="250"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Times New Roman" w:cs="Times New Roman" w:eastAsia="Times New Roman" w:hAnsi="Times New Roman"/>
          <w:sz w:val="18"/>
          <w:szCs w:val="18"/>
          <w:color w:val="auto"/>
        </w:rPr>
      </w:pPr>
    </w:p>
    <w:p>
      <w:pPr>
        <w:ind w:left="1140" w:right="80" w:hanging="322"/>
        <w:spacing w:after="0" w:line="260"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factors could significantly harm our international expansion of operations and adversely affect our business and results of operations.</w:t>
      </w:r>
    </w:p>
    <w:p>
      <w:pPr>
        <w:spacing w:after="0" w:line="18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an adverse impact on our results of operations, financial position, and cash flows.</w:t>
      </w:r>
    </w:p>
    <w:p>
      <w:pPr>
        <w:spacing w:after="0" w:line="18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“Quantitative and Qualitative Disclosures about Market Risk—Foreign Currency Risk” in Part I, Item 3 of this report for additional information about our foreign currency risk.</w:t>
      </w:r>
    </w:p>
    <w:p>
      <w:pPr>
        <w:spacing w:after="0" w:line="15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“Business—Government Regulation—Data Privacy and Security Laws” in Part I, Item 1 of our most recent Annual Report on Form 10-K. Failure to comply with the requirements of these laws may result in significant fines. For example, the GDPR or related national data protection laws, which may deviate from the GDPR, may result in significant fines of up to 4% of global revenues, or €20.0 million, whichever is greater.</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6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4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United Kingdom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0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4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4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5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and related disruptions in our or our third-party vendors’ information technology systems could adversely affect our business.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Such cybersecurity events which materially disrupt the healthcare system upon which our business relies could adversely affect our business if such disruption is widespread and continues for an extended period of time.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w:t>
      </w:r>
    </w:p>
    <w:p>
      <w:pPr>
        <w:spacing w:after="0" w:line="16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Similarly, the increasing use of AI and machine learning technology in the biopharmaceutical industry presents new risks and challenges.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compromised.</w:t>
      </w:r>
    </w:p>
    <w:p>
      <w:pPr>
        <w:spacing w:after="0" w:line="148"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cybersecurity threats and incidents, which to date have not had a material impact on our reputation, business, financial condition, or operations; however; there is no assurance that such impacts will not be material in the future.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Operational Risks</w:t>
      </w:r>
    </w:p>
    <w:p>
      <w:pPr>
        <w:spacing w:after="0" w:line="18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spacing w:after="0" w:line="134"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A health epidemic or pandemic, such as the COVID-19 pandemic, and related government orders or evolving business policies and procedures, could cause disruptions to our business, operations, and clinical development or commercialization plans and timelines, as well as the business and operations of third parties with whom we conduct business.</w:t>
      </w:r>
    </w:p>
    <w:p>
      <w:pPr>
        <w:spacing w:after="0" w:line="149" w:lineRule="exact"/>
        <w:rPr>
          <w:sz w:val="20"/>
          <w:szCs w:val="20"/>
          <w:color w:val="auto"/>
        </w:rPr>
      </w:pPr>
    </w:p>
    <w:p>
      <w:pPr>
        <w:ind w:right="480" w:firstLine="486"/>
        <w:spacing w:after="0" w:line="256"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spacing w:after="0" w:line="14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our clinical trials were affected by the COVID-19 pandemic and we may experience similar delays or interruptions due to COVID-19 or other health epidemics or pandemics in the future, which could adversely impact our clinical trial operations. Health epidemics or pandemics could also affect the operations of regulators and other health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governmental authorities, which could result in delays of reviews and approvals, inspections, or other regulatory activities, including as we continue to expand internationally and bring ORLADEYO to additional global markets.</w:t>
      </w:r>
    </w:p>
    <w:p>
      <w:pPr>
        <w:spacing w:after="0" w:line="135"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The global impact of a health epidemic or pandemic such as COVID-19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18"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potential U.S. Government shutdowns, instability in connection with the upcoming presidential election in the United States, geopolitical instability, or public health emergencies,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20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4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1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important functions of our business.</w:t>
      </w:r>
    </w:p>
    <w:p>
      <w:pPr>
        <w:spacing w:after="0" w:line="14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risk management committee and other compliance methods are not effective, our business, financial condition and operating results may be adversely affected.</w:t>
      </w:r>
    </w:p>
    <w:p>
      <w:pPr>
        <w:spacing w:after="0" w:line="118"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spacing w:after="0" w:line="156"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spacing w:after="0" w:line="13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spacing w:after="0" w:line="16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spacing w:after="0" w:line="14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stockholder activism or hostile bids, which could cause us to incur significant expense, hinder execution of our business strategy and impact our stock price.</w:t>
      </w:r>
    </w:p>
    <w:p>
      <w:pPr>
        <w:spacing w:after="0" w:line="118"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stockholders own greater than 5% of our outstanding common stock. Our top ten stockholders own approximately 45%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3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2024, the 52-week range of the market price of our stock was from $4.03 to $7.95 per share. The following factors, in addition to other risk factors described in this section, may have, and in some cases have had, a significant impact on the market price of our common stock:</w:t>
      </w:r>
    </w:p>
    <w:p>
      <w:pPr>
        <w:spacing w:after="0" w:line="139" w:lineRule="exact"/>
        <w:rPr>
          <w:sz w:val="20"/>
          <w:szCs w:val="20"/>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 the comparison of such estimates to our actual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automated financial platforms’ treatment or classification of our financial information;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public guidance;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1140" w:right="360" w:hanging="322"/>
        <w:spacing w:after="0" w:line="250"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other monetization transactions;</w:t>
      </w: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66"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4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This material weakness could divert management’s attention and adversely affect our ability to produce accurate and timely financial statements, which may adversely affect investor confidence in us and our financial reporting, adversely affect our business and operating results and may negatively impact the trading price of our common stock.</w:t>
      </w:r>
    </w:p>
    <w:p>
      <w:pPr>
        <w:spacing w:after="0" w:line="13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has identified a material weakness in our internal control over financial reporting, as described in “Controls and Procedures” in Part I, Item 4 of this report. As further described in that section, we are implementing measures, and will continue to implement measures, to remediate the material weakness identified by management and to improve our internal control over financial reporting such that these controls are designed, implemented, and operating effectively. This material weakness will not be considered remediated until the applicable remediated controls are operating for a sufficient period of time and management has concluded, through testing, that these controls are operating effectively. Remediating the material weakness could take longer than expected and divert management’s attention away from other areas of the business.</w:t>
      </w:r>
    </w:p>
    <w:p>
      <w:pPr>
        <w:spacing w:after="0" w:line="14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Although we believe the financial statements included in this report fairly present, in all material respects, our financial condition, results of operations and cash flows for the periods presented in conformity with U.S. GAAP, any failure to maintain effective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18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July 31, 2024, there were 206,885,936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3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of July 31, 2024, there were 38,771,202 stock options and restricted stock units outstanding and 12,247,034 shares available for issuance under our Amended and Restated Stock Incentive Plan, 5,999,578 stock options and restricted stock units outstanding and 1,840,681 shares available for issuance under our Amended and Restated Inducement Equity Incentive Plan, and 5,042,369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spacing w:after="0" w:line="16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189"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53"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such disputes with us or our directors, officers or employees.</w:t>
      </w:r>
    </w:p>
    <w:p>
      <w:pPr>
        <w:spacing w:after="0" w:line="13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14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3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the upcoming presidential election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Factors—Risks Relating to Our Business—Other Operational Risks—Our business, operations, clinical development or commercialization plans and timelines, and access to capital could be adversely affected by unpredictable and unstable market and economic conditions.” In addition, other events, such as the Ukraine-Russia and Israel-Hamas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Ratification of Certain Matters</w:t>
      </w:r>
    </w:p>
    <w:p>
      <w:pPr>
        <w:spacing w:after="0" w:line="189"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8"/>
          <w:szCs w:val="18"/>
          <w:color w:val="auto"/>
        </w:rPr>
        <w:t>On June 7, 2022 and on June 13, 2023, the Company issued certain Excess RSU Grants (as defined below) to each member of the Company’s Board of Directors serving as a non-employee director on such date due to a miscalculation in applying the BioCryst Pharmaceuticals, Inc. Non-Employee</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Director Compensation Policy (the “Director Compensation Policy”). As a result, the Excess RSU Grants were not approved in accordance with Sections 152, 153 and 157 (the “Applicable Sections”) of the Delaware General Corporation Law (“DGCL”). Shares of common stock were subsequently issued upon the settlement of the Excess RSU Grants that may not have been approved in accordance with the Applicable Sections of the DGCL. Upon discovery of the miscalculation, the Board of Directors adopted resolutions (the</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“Resolutions”) on June 10, 2024 pursuant to Section 204 of the DGCL approving the ratification (the “Ratification”) of (i) the grant of 3,830 restricted stock units to each of the Company’s 11 non-employee directors on June 7, 2022 and 4,826 restricted stock units to each of the Company’s 10 non-employee directors on June 13, 2023, in each case, on the form of award agreement filed as Exhibit 10.4 to the Company’s Form 10-Q filed August 5, 2022 (the “Excess RSU Grants”) and (ii) the issuance of 38,300 shares of common stock on June 8, 2023 and 4,826 shares of common stock on January 2, 2024 upon the settlement of the Excess RSU Grants, which constituted defective corporate acts under Section 204 of the DGCL. In addition, the Board of Directors approved an amendment to the Director Compensation Policy to reduce the number of restricted stock units granted to the non-employee directors in 2024 by the aggregate amount of the Excess RSU Grants.</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public filing of this document with the Securities and Exchange Commission constitutes the notice required to be given under Section 204 of the DGCL in connection with the Ratification. Any claim that any defective corporate act or putative stock ratified pursuant to the Ratification is void or voidable due to the failure of authorization specified in the Resolutions or that the Delaware Court of Chancery should declare in its discretion that the Ratification in accordance with Section 204 of the DGCL not be effective or be effective only on certain conditions must be brought within 120 days from the giving of this notice (which is deemed to be given on the date that this Quarterly Report on Form 10-Q is filed with the Securities and Exchange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243"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directors and officers of the Company adopted, modified or terminated the “Rule 10b5-1 trading arrangements” (as such term is defined in Item 408(a) of Regulation S-K) set forth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Number</w:t>
            </w:r>
          </w:p>
        </w:tc>
      </w:tr>
      <w:tr>
        <w:trPr>
          <w:trHeight w:val="238"/>
        </w:trPr>
        <w:tc>
          <w:tcPr>
            <w:tcW w:w="24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Name (Title)</w:t>
            </w:r>
          </w:p>
        </w:tc>
        <w:tc>
          <w:tcPr>
            <w:tcW w:w="160" w:type="dxa"/>
            <w:vAlign w:val="bottom"/>
          </w:tcPr>
          <w:p>
            <w:pPr>
              <w:spacing w:after="0"/>
              <w:rPr>
                <w:sz w:val="20"/>
                <w:szCs w:val="20"/>
                <w:color w:val="auto"/>
              </w:rPr>
            </w:pP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3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Duration of Trading Arrangement</w:t>
            </w: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of Securities</w:t>
            </w:r>
          </w:p>
        </w:tc>
      </w:tr>
      <w:tr>
        <w:trPr>
          <w:trHeight w:val="27"/>
        </w:trPr>
        <w:tc>
          <w:tcPr>
            <w:tcW w:w="2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9"/>
        </w:trPr>
        <w:tc>
          <w:tcPr>
            <w:tcW w:w="2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Jon P. Stonehouse,</w:t>
            </w: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Modification</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May 13, 2024</w:t>
            </w:r>
          </w:p>
        </w:tc>
        <w:tc>
          <w:tcPr>
            <w:tcW w:w="160" w:type="dxa"/>
            <w:vAlign w:val="bottom"/>
            <w:shd w:val="clear" w:color="auto" w:fill="CCEEFF"/>
          </w:tcPr>
          <w:p>
            <w:pPr>
              <w:spacing w:after="0"/>
              <w:rPr>
                <w:sz w:val="16"/>
                <w:szCs w:val="16"/>
                <w:color w:val="auto"/>
              </w:rPr>
            </w:pPr>
          </w:p>
        </w:tc>
        <w:tc>
          <w:tcPr>
            <w:tcW w:w="3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Until December 31, 2024, or such earlier date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290"/>
              <w:spacing w:after="0" w:line="189" w:lineRule="exact"/>
              <w:rPr>
                <w:sz w:val="20"/>
                <w:szCs w:val="20"/>
                <w:color w:val="auto"/>
              </w:rPr>
            </w:pPr>
            <w:r>
              <w:rPr>
                <w:rFonts w:ascii="Times New Roman" w:cs="Times New Roman" w:eastAsia="Times New Roman" w:hAnsi="Times New Roman"/>
                <w:sz w:val="18"/>
                <w:szCs w:val="18"/>
                <w:color w:val="auto"/>
                <w:w w:val="95"/>
              </w:rPr>
              <w:t>(1)</w:t>
            </w:r>
          </w:p>
        </w:tc>
      </w:tr>
      <w:tr>
        <w:trPr>
          <w:trHeight w:val="189"/>
        </w:trPr>
        <w:tc>
          <w:tcPr>
            <w:tcW w:w="2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upon which all transactions are completed or</w:t>
            </w:r>
          </w:p>
        </w:tc>
        <w:tc>
          <w:tcPr>
            <w:tcW w:w="1600" w:type="dxa"/>
            <w:vAlign w:val="bottom"/>
            <w:shd w:val="clear" w:color="auto" w:fill="CCEEFF"/>
          </w:tcPr>
          <w:p>
            <w:pPr>
              <w:spacing w:after="0"/>
              <w:rPr>
                <w:sz w:val="16"/>
                <w:szCs w:val="16"/>
                <w:color w:val="auto"/>
              </w:rPr>
            </w:pPr>
          </w:p>
        </w:tc>
      </w:tr>
      <w:tr>
        <w:trPr>
          <w:trHeight w:val="23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plan is terminated</w:t>
            </w:r>
          </w:p>
        </w:tc>
        <w:tc>
          <w:tcPr>
            <w:tcW w:w="1600" w:type="dxa"/>
            <w:vAlign w:val="bottom"/>
            <w:shd w:val="clear" w:color="auto" w:fill="CCEEFF"/>
          </w:tcPr>
          <w:p>
            <w:pPr>
              <w:spacing w:after="0"/>
              <w:rPr>
                <w:sz w:val="20"/>
                <w:szCs w:val="20"/>
                <w:color w:val="auto"/>
              </w:rPr>
            </w:pPr>
          </w:p>
        </w:tc>
      </w:tr>
      <w:tr>
        <w:trPr>
          <w:trHeight w:val="238"/>
        </w:trPr>
        <w:tc>
          <w:tcPr>
            <w:tcW w:w="2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Modification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29, 2024</w:t>
            </w: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Until May 22, 2026, or such earlier date upon</w:t>
            </w:r>
          </w:p>
        </w:tc>
        <w:tc>
          <w:tcPr>
            <w:tcW w:w="16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95"/>
              </w:rPr>
              <w:t>(2)</w:t>
            </w:r>
          </w:p>
        </w:tc>
      </w:tr>
      <w:tr>
        <w:trPr>
          <w:trHeight w:val="189"/>
        </w:trPr>
        <w:tc>
          <w:tcPr>
            <w:tcW w:w="2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which all transactions are completed or the</w:t>
            </w:r>
          </w:p>
        </w:tc>
        <w:tc>
          <w:tcPr>
            <w:tcW w:w="1600" w:type="dxa"/>
            <w:vAlign w:val="bottom"/>
            <w:shd w:val="clear" w:color="auto" w:fill="CCEEFF"/>
          </w:tcPr>
          <w:p>
            <w:pPr>
              <w:spacing w:after="0"/>
              <w:rPr>
                <w:sz w:val="16"/>
                <w:szCs w:val="16"/>
                <w:color w:val="auto"/>
              </w:rPr>
            </w:pPr>
          </w:p>
        </w:tc>
      </w:tr>
      <w:tr>
        <w:trPr>
          <w:trHeight w:val="255"/>
        </w:trPr>
        <w:tc>
          <w:tcPr>
            <w:tcW w:w="2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is terminated</w:t>
            </w:r>
          </w:p>
        </w:tc>
        <w:tc>
          <w:tcPr>
            <w:tcW w:w="1600" w:type="dxa"/>
            <w:vAlign w:val="bottom"/>
            <w:tcBorders>
              <w:bottom w:val="single" w:sz="8" w:color="CCEEFF"/>
            </w:tcBorders>
            <w:shd w:val="clear" w:color="auto" w:fill="CCEEFF"/>
          </w:tcPr>
          <w:p>
            <w:pPr>
              <w:spacing w:after="0"/>
              <w:rPr>
                <w:sz w:val="22"/>
                <w:szCs w:val="22"/>
                <w:color w:val="auto"/>
              </w:rPr>
            </w:pPr>
          </w:p>
        </w:tc>
      </w:tr>
      <w:tr>
        <w:trPr>
          <w:trHeight w:val="196"/>
        </w:trPr>
        <w:tc>
          <w:tcPr>
            <w:tcW w:w="24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Alane P. Barnes,</w:t>
            </w:r>
          </w:p>
        </w:tc>
        <w:tc>
          <w:tcPr>
            <w:tcW w:w="160" w:type="dxa"/>
            <w:vAlign w:val="bottom"/>
          </w:tcPr>
          <w:p>
            <w:pPr>
              <w:spacing w:after="0"/>
              <w:rPr>
                <w:sz w:val="17"/>
                <w:szCs w:val="17"/>
                <w:color w:val="auto"/>
              </w:rPr>
            </w:pPr>
          </w:p>
        </w:tc>
        <w:tc>
          <w:tcPr>
            <w:tcW w:w="17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Modification</w:t>
            </w:r>
          </w:p>
        </w:tc>
        <w:tc>
          <w:tcPr>
            <w:tcW w:w="17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May 15, 2024</w:t>
            </w:r>
          </w:p>
        </w:tc>
        <w:tc>
          <w:tcPr>
            <w:tcW w:w="35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Until December 29, 2025, or such earlier date</w:t>
            </w:r>
          </w:p>
        </w:tc>
        <w:tc>
          <w:tcPr>
            <w:tcW w:w="1600" w:type="dxa"/>
            <w:vAlign w:val="bottom"/>
          </w:tcPr>
          <w:p>
            <w:pPr>
              <w:jc w:val="right"/>
              <w:ind w:right="1290"/>
              <w:spacing w:after="0" w:line="195" w:lineRule="exact"/>
              <w:rPr>
                <w:sz w:val="20"/>
                <w:szCs w:val="20"/>
                <w:color w:val="auto"/>
              </w:rPr>
            </w:pPr>
            <w:r>
              <w:rPr>
                <w:rFonts w:ascii="Times New Roman" w:cs="Times New Roman" w:eastAsia="Times New Roman" w:hAnsi="Times New Roman"/>
                <w:sz w:val="18"/>
                <w:szCs w:val="18"/>
                <w:color w:val="auto"/>
                <w:w w:val="95"/>
              </w:rPr>
              <w:t>(3)</w:t>
            </w:r>
          </w:p>
        </w:tc>
      </w:tr>
      <w:tr>
        <w:trPr>
          <w:trHeight w:val="189"/>
        </w:trPr>
        <w:tc>
          <w:tcPr>
            <w:tcW w:w="2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Chief Legal Officer and</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upon which all transactions are completed or</w:t>
            </w:r>
          </w:p>
        </w:tc>
        <w:tc>
          <w:tcPr>
            <w:tcW w:w="1600" w:type="dxa"/>
            <w:vAlign w:val="bottom"/>
          </w:tcPr>
          <w:p>
            <w:pPr>
              <w:spacing w:after="0"/>
              <w:rPr>
                <w:sz w:val="16"/>
                <w:szCs w:val="16"/>
                <w:color w:val="auto"/>
              </w:rPr>
            </w:pPr>
          </w:p>
        </w:tc>
      </w:tr>
      <w:tr>
        <w:trPr>
          <w:trHeight w:val="23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plan is terminated</w:t>
            </w:r>
          </w:p>
        </w:tc>
        <w:tc>
          <w:tcPr>
            <w:tcW w:w="1600" w:type="dxa"/>
            <w:vAlign w:val="bottom"/>
          </w:tcPr>
          <w:p>
            <w:pPr>
              <w:spacing w:after="0"/>
              <w:rPr>
                <w:sz w:val="20"/>
                <w:szCs w:val="20"/>
                <w:color w:val="auto"/>
              </w:rPr>
            </w:pPr>
          </w:p>
        </w:tc>
      </w:tr>
      <w:tr>
        <w:trPr>
          <w:trHeight w:val="40"/>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96"/>
        </w:trPr>
        <w:tc>
          <w:tcPr>
            <w:tcW w:w="24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Nancy J. Hutson, Ph.D.,</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Adoption</w:t>
            </w:r>
          </w:p>
        </w:tc>
        <w:tc>
          <w:tcPr>
            <w:tcW w:w="174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June 18, 2024</w:t>
            </w:r>
          </w:p>
        </w:tc>
        <w:tc>
          <w:tcPr>
            <w:tcW w:w="352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Until December 31, 2024, or such earlier date</w:t>
            </w:r>
          </w:p>
        </w:tc>
        <w:tc>
          <w:tcPr>
            <w:tcW w:w="1600" w:type="dxa"/>
            <w:vAlign w:val="bottom"/>
            <w:shd w:val="clear" w:color="auto" w:fill="CCEEFF"/>
          </w:tcPr>
          <w:p>
            <w:pPr>
              <w:jc w:val="right"/>
              <w:ind w:right="1290"/>
              <w:spacing w:after="0" w:line="195" w:lineRule="exact"/>
              <w:rPr>
                <w:sz w:val="20"/>
                <w:szCs w:val="20"/>
                <w:color w:val="auto"/>
              </w:rPr>
            </w:pPr>
            <w:r>
              <w:rPr>
                <w:rFonts w:ascii="Times New Roman" w:cs="Times New Roman" w:eastAsia="Times New Roman" w:hAnsi="Times New Roman"/>
                <w:sz w:val="18"/>
                <w:szCs w:val="18"/>
                <w:color w:val="auto"/>
                <w:w w:val="95"/>
              </w:rPr>
              <w:t>(4)</w:t>
            </w:r>
          </w:p>
        </w:tc>
      </w:tr>
      <w:tr>
        <w:trPr>
          <w:trHeight w:val="191"/>
        </w:trPr>
        <w:tc>
          <w:tcPr>
            <w:tcW w:w="24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i w:val="1"/>
                <w:iCs w:val="1"/>
                <w:color w:val="auto"/>
              </w:rPr>
              <w:t>Director, Chair of the Board</w:t>
            </w: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upon which all transactions are completed or</w:t>
            </w:r>
          </w:p>
        </w:tc>
        <w:tc>
          <w:tcPr>
            <w:tcW w:w="1600" w:type="dxa"/>
            <w:vAlign w:val="bottom"/>
            <w:shd w:val="clear" w:color="auto" w:fill="CCEEFF"/>
          </w:tcPr>
          <w:p>
            <w:pPr>
              <w:spacing w:after="0"/>
              <w:rPr>
                <w:sz w:val="16"/>
                <w:szCs w:val="16"/>
                <w:color w:val="auto"/>
              </w:rPr>
            </w:pPr>
          </w:p>
        </w:tc>
      </w:tr>
      <w:tr>
        <w:trPr>
          <w:trHeight w:val="234"/>
        </w:trPr>
        <w:tc>
          <w:tcPr>
            <w:tcW w:w="2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plan is terminated</w:t>
            </w:r>
          </w:p>
        </w:tc>
        <w:tc>
          <w:tcPr>
            <w:tcW w:w="1600" w:type="dxa"/>
            <w:vAlign w:val="bottom"/>
            <w:shd w:val="clear" w:color="auto" w:fill="CCEEFF"/>
          </w:tcPr>
          <w:p>
            <w:pPr>
              <w:spacing w:after="0"/>
              <w:rPr>
                <w:sz w:val="20"/>
                <w:szCs w:val="20"/>
                <w:color w:val="auto"/>
              </w:rPr>
            </w:pPr>
          </w:p>
        </w:tc>
      </w:tr>
      <w:tr>
        <w:trPr>
          <w:trHeight w:val="40"/>
        </w:trPr>
        <w:tc>
          <w:tcPr>
            <w:tcW w:w="2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r>
    </w:tbl>
    <w:p>
      <w:pPr>
        <w:ind w:left="20" w:right="320" w:firstLine="6"/>
        <w:spacing w:after="0" w:line="238" w:lineRule="auto"/>
        <w:tabs>
          <w:tab w:leader="none" w:pos="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was originally adopted on November 28, 2022 (the “2022 Stonehouse Plan”) and provided for the sale of up to 199,345 shares of common stock underlying stock options through December 6, 2024. The 2022 Stonehouse Plan was amended on May 13, 2024 (as amended, the “5/13/2024 Stonehouse Plan”) to cancel all open orders under the 2022 Stonehouse Plan and to provide for the sale of up to 115,345 shares of common stock underlying stock options expiring in 2025.</w:t>
      </w:r>
    </w:p>
    <w:p>
      <w:pPr>
        <w:spacing w:after="0" w:line="38" w:lineRule="exact"/>
        <w:rPr>
          <w:rFonts w:ascii="Times New Roman" w:cs="Times New Roman" w:eastAsia="Times New Roman" w:hAnsi="Times New Roman"/>
          <w:sz w:val="18"/>
          <w:szCs w:val="18"/>
          <w:color w:val="auto"/>
        </w:rPr>
      </w:pPr>
    </w:p>
    <w:p>
      <w:pPr>
        <w:ind w:left="20" w:right="100" w:firstLine="6"/>
        <w:spacing w:after="0" w:line="242" w:lineRule="auto"/>
        <w:tabs>
          <w:tab w:leader="none" w:pos="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5/13/2024 Stonehouse Plan was further amended on May 29, 2024 (the “5/29/2024 Stonehouse Plan”). The 5/29/2024 Stonehouse Plan provides for the sale of up to 584,290 shares of common stock underlying stock options expiring in 2025 and 2026 (inclusive of the 115,345 stock options included in the 5/13/2024 Stonehouse Plan).</w:t>
      </w:r>
    </w:p>
    <w:p>
      <w:pPr>
        <w:spacing w:after="0" w:line="35" w:lineRule="exact"/>
        <w:rPr>
          <w:rFonts w:ascii="Times New Roman" w:cs="Times New Roman" w:eastAsia="Times New Roman" w:hAnsi="Times New Roman"/>
          <w:sz w:val="18"/>
          <w:szCs w:val="18"/>
          <w:color w:val="auto"/>
        </w:rPr>
      </w:pPr>
    </w:p>
    <w:p>
      <w:pPr>
        <w:ind w:left="20" w:right="160" w:firstLine="6"/>
        <w:spacing w:after="0"/>
        <w:tabs>
          <w:tab w:leader="none" w:pos="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was originally adopted on December 1, 2022 (the “2022 Barnes Plan”) and provided for the sale of up to (i) 24,710 shares of common stock and (ii) 137,897 shares of common stock underlying stock options through December 29, 2025. The 2022 Barnes Plan was amended on May 15, 2024 to cancel all open orders under the 2022 Barnes Plan and to provide for the sale of up to 119,897 shares of common stock underlying stock options expiring in 2024 and 2025.</w:t>
      </w:r>
    </w:p>
    <w:p>
      <w:pPr>
        <w:spacing w:after="0" w:line="36" w:lineRule="exact"/>
        <w:rPr>
          <w:rFonts w:ascii="Times New Roman" w:cs="Times New Roman" w:eastAsia="Times New Roman" w:hAnsi="Times New Roman"/>
          <w:sz w:val="18"/>
          <w:szCs w:val="18"/>
          <w:color w:val="auto"/>
        </w:rPr>
      </w:pPr>
    </w:p>
    <w:p>
      <w:pPr>
        <w:ind w:left="20" w:right="120" w:firstLine="6"/>
        <w:spacing w:after="0" w:line="266" w:lineRule="auto"/>
        <w:tabs>
          <w:tab w:leader="none" w:pos="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provides for the sale of 7,000 shares of common stock for the sole purpose of generating sufficient proceeds to cover the tax liability incurred in connection with the vesting of 16,745 restricted stock units on June 13,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0139"/>
          </w:cols>
          <w:pgMar w:left="320" w:top="121" w:right="1440" w:bottom="1440" w:gutter="0" w:footer="0" w:header="0"/>
        </w:sectPr>
      </w:pPr>
    </w:p>
    <w:p>
      <w:pPr>
        <w:spacing w:after="0" w:line="50" w:lineRule="exact"/>
        <w:rPr>
          <w:sz w:val="20"/>
          <w:szCs w:val="20"/>
          <w:color w:val="auto"/>
        </w:rPr>
      </w:pPr>
    </w:p>
    <w:p>
      <w:pPr>
        <w:ind w:left="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(10.3)*</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right="1479"/>
        <w:spacing w:after="0" w:line="282"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Third Restated Certificate of Incorporation of Registrant.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Company’s Form 8-K filed December 22, 2006.</w:t>
        </w:r>
      </w:hyperlink>
    </w:p>
    <w:p>
      <w:pPr>
        <w:spacing w:after="0" w:line="270" w:lineRule="exact"/>
        <w:rPr>
          <w:sz w:val="20"/>
          <w:szCs w:val="20"/>
          <w:color w:val="auto"/>
        </w:rPr>
      </w:pPr>
    </w:p>
    <w:p>
      <w:pPr>
        <w:ind w:right="1299"/>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reference to Exhibit 3.1 to the Company’s Form 8-K filed July 24, 2007.</w:t>
        </w:r>
      </w:hyperlink>
    </w:p>
    <w:p>
      <w:pPr>
        <w:spacing w:after="0" w:line="270" w:lineRule="exact"/>
        <w:rPr>
          <w:sz w:val="20"/>
          <w:szCs w:val="20"/>
          <w:color w:val="auto"/>
        </w:rPr>
      </w:pPr>
    </w:p>
    <w:p>
      <w:pPr>
        <w:ind w:right="1299"/>
        <w:spacing w:after="0" w:line="282"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reference to Exhibit 3.1 to the Company’s Form 8-K filed May 7, 2014.</w:t>
        </w:r>
      </w:hyperlink>
    </w:p>
    <w:p>
      <w:pPr>
        <w:spacing w:after="0" w:line="270" w:lineRule="exact"/>
        <w:rPr>
          <w:sz w:val="20"/>
          <w:szCs w:val="20"/>
          <w:color w:val="auto"/>
        </w:rPr>
      </w:pPr>
    </w:p>
    <w:p>
      <w:pPr>
        <w:ind w:right="1259"/>
        <w:spacing w:after="0" w:line="28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Certificate of Elimination of the Series B Junior Participating Preferred Stock. Incorporated by reference to</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 xml:space="preserve">Exhibit 3.1 to the Company’s Form 8-K filed May 13, </w:t>
        </w:r>
      </w:hyperlink>
      <w:hyperlink r:id="rId111">
        <w:r>
          <w:rPr>
            <w:rFonts w:ascii="Times New Roman" w:cs="Times New Roman" w:eastAsia="Times New Roman" w:hAnsi="Times New Roman"/>
            <w:sz w:val="18"/>
            <w:szCs w:val="18"/>
            <w:u w:val="single" w:color="auto"/>
            <w:color w:val="0000FF"/>
          </w:rPr>
          <w:t>2020.</w:t>
        </w:r>
      </w:hyperlink>
    </w:p>
    <w:p>
      <w:pPr>
        <w:spacing w:after="0" w:line="270" w:lineRule="exact"/>
        <w:rPr>
          <w:rFonts w:ascii="Times New Roman" w:cs="Times New Roman" w:eastAsia="Times New Roman" w:hAnsi="Times New Roman"/>
          <w:sz w:val="18"/>
          <w:szCs w:val="18"/>
          <w:u w:val="single" w:color="auto"/>
          <w:color w:val="0000FF"/>
        </w:rPr>
      </w:pPr>
    </w:p>
    <w:p>
      <w:pPr>
        <w:ind w:right="1379"/>
        <w:spacing w:after="0" w:line="28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Certificate of Amendment to the Third Restated Certificate of Incorporation. Incorporated by reference to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Exhibit 3.2 to the Company’s Form 8-K filed May 13, 2020.</w:t>
        </w:r>
      </w:hyperlink>
    </w:p>
    <w:p>
      <w:pPr>
        <w:spacing w:after="0" w:line="27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Amended and Restated By-Laws of BioCryst Pharmaceuticals, Inc., effective January 16, 2024.</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Incorporated by reference to Exhibit 3.1 to the Company’s Form 8-K filed January 18, 2024.</w:t>
        </w:r>
      </w:hyperlink>
    </w:p>
    <w:p>
      <w:pPr>
        <w:spacing w:after="0" w:line="31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BioCryst Pharmaceuticals, Inc. Stock Incentive Plan (as amended and restated as of April 22, 2024).</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Incorporated by reference to Exhibit 10.1 to the Company’s Form 8-K filed June 13, 2024.</w:t>
        </w:r>
      </w:hyperlink>
    </w:p>
    <w:p>
      <w:pPr>
        <w:spacing w:after="0" w:line="315" w:lineRule="exact"/>
        <w:rPr>
          <w:sz w:val="20"/>
          <w:szCs w:val="20"/>
          <w:color w:val="auto"/>
        </w:rPr>
      </w:pPr>
    </w:p>
    <w:p>
      <w:pPr>
        <w:ind w:right="1579"/>
        <w:spacing w:after="0" w:line="237" w:lineRule="auto"/>
        <w:rPr>
          <w:sz w:val="20"/>
          <w:szCs w:val="20"/>
          <w:color w:val="auto"/>
        </w:rPr>
      </w:pPr>
      <w:r>
        <w:rPr>
          <w:rFonts w:ascii="Times New Roman" w:cs="Times New Roman" w:eastAsia="Times New Roman" w:hAnsi="Times New Roman"/>
          <w:sz w:val="18"/>
          <w:szCs w:val="18"/>
          <w:u w:val="single" w:color="auto"/>
          <w:color w:val="0000FF"/>
        </w:rPr>
        <w:t>First Amendment to the BioCryst Pharmaceuticals, Inc. Non-Employee Director Compensation Policy, effective June 10, 2024.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BioCryst Pharmaceuticals, Inc. Equity Award Retirement Policy, effective July 1, 2024.</w:t>
      </w:r>
    </w:p>
    <w:p>
      <w:pPr>
        <w:spacing w:after="0" w:line="306" w:lineRule="exact"/>
        <w:rPr>
          <w:sz w:val="20"/>
          <w:szCs w:val="20"/>
          <w:color w:val="auto"/>
        </w:rPr>
      </w:pPr>
    </w:p>
    <w:p>
      <w:pPr>
        <w:ind w:right="1559"/>
        <w:spacing w:after="0" w:line="237" w:lineRule="auto"/>
        <w:rPr>
          <w:sz w:val="20"/>
          <w:szCs w:val="20"/>
          <w:color w:val="auto"/>
        </w:rPr>
      </w:pPr>
      <w:r>
        <w:rPr>
          <w:rFonts w:ascii="Times New Roman" w:cs="Times New Roman" w:eastAsia="Times New Roman" w:hAnsi="Times New Roman"/>
          <w:sz w:val="18"/>
          <w:szCs w:val="18"/>
          <w:u w:val="single" w:color="auto"/>
          <w:color w:val="0000FF"/>
        </w:rPr>
        <w:t>Form of Notice of Performance-Based Restricted Stock Unit Award and Performance-Based Restricted Stock Unit Agreement.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302 of the Sarbanes-Oxley Act of 2002.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306" w:lineRule="exact"/>
        <w:rPr>
          <w:sz w:val="20"/>
          <w:szCs w:val="20"/>
          <w:color w:val="auto"/>
        </w:rPr>
      </w:pPr>
    </w:p>
    <w:p>
      <w:pPr>
        <w:ind w:right="1659"/>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70" w:lineRule="exact"/>
        <w:rPr>
          <w:sz w:val="20"/>
          <w:szCs w:val="20"/>
          <w:color w:val="auto"/>
        </w:rPr>
      </w:pPr>
    </w:p>
    <w:p>
      <w:pPr>
        <w:ind w:right="1659"/>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60" w:space="500"/>
            <w:col w:w="8979"/>
          </w:cols>
          <w:pgMar w:left="320" w:top="121" w:right="1440" w:bottom="1440" w:gutter="0" w:footer="0" w:header="0"/>
          <w:type w:val="continuous"/>
        </w:sectPr>
      </w:pPr>
    </w:p>
    <w:p>
      <w:pPr>
        <w:spacing w:after="0" w:line="70" w:lineRule="exact"/>
        <w:rPr>
          <w:sz w:val="20"/>
          <w:szCs w:val="20"/>
          <w:color w:val="auto"/>
        </w:rPr>
      </w:pPr>
    </w:p>
    <w:p>
      <w:pPr>
        <w:ind w:left="1160" w:right="1259" w:hanging="1134"/>
        <w:spacing w:after="0" w:line="256"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BioCryst Pharmaceuticals, Inc. for the three and six months ended June 30, 2024, formatted in Inline XBRL: (i) Condensed Consolidated Balance Sheets, (ii) Condensed Consolidated Statements of Comprehensive Loss, (iii) Condensed Consolidated Statements of Cash Flows, (iv) Condensed Consolidated Statements of Stockholders’ Deficit, and (v) Notes to Condensed Consolidated Financial Statements, tagged as blocks of text and including detailed tags.</w:t>
      </w:r>
    </w:p>
    <w:p>
      <w:pPr>
        <w:spacing w:after="0" w:line="295" w:lineRule="exact"/>
        <w:rPr>
          <w:sz w:val="20"/>
          <w:szCs w:val="20"/>
          <w:color w:val="auto"/>
        </w:rPr>
      </w:pPr>
    </w:p>
    <w:p>
      <w:pPr>
        <w:ind w:left="1160" w:hanging="113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Filed or furnished herewith.</w:t>
      </w:r>
    </w:p>
    <w:p>
      <w:pPr>
        <w:spacing w:after="0" w:line="77" w:lineRule="exact"/>
        <w:rPr>
          <w:sz w:val="20"/>
          <w:szCs w:val="20"/>
          <w:color w:val="auto"/>
        </w:rPr>
      </w:pPr>
    </w:p>
    <w:p>
      <w:pPr>
        <w:ind w:left="1140" w:hanging="111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6th day of August, 2024.</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3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Anthony Doyle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i w:val="1"/>
          <w:iCs w:val="1"/>
          <w:color w:val="auto"/>
        </w:rPr>
        <w:t>(Principal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80"/>
          </w:cols>
          <w:pgMar w:left="320" w:top="121" w:right="9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FIRST AMENDMENT TO THE BIOCRYST PHARMACEUTICALS, INC. NON-EMPLOYEE DIRECTOR COMPENSATION POLICY</w:t>
      </w:r>
    </w:p>
    <w:p>
      <w:pPr>
        <w:spacing w:after="0" w:line="178"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BioCryst Pharmaceuticals,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maintains the BioCryst Pharmaceuticals, Inc. Non-Employee Director Compensation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and</w:t>
      </w:r>
    </w:p>
    <w:p>
      <w:pPr>
        <w:spacing w:after="0" w:line="147"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Policy,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the Company may amend the Policy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in its sole discretion.</w:t>
      </w:r>
    </w:p>
    <w:p>
      <w:pPr>
        <w:spacing w:after="0" w:line="149"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pursuant to its authority under the Policy, the Board hereby amends the Policy as follows,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June 10, 2024:</w:t>
      </w:r>
    </w:p>
    <w:p>
      <w:pPr>
        <w:spacing w:after="0" w:line="141"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2 under “Equity Compensation” is hereby amended and restated in its entirety to read as follows:</w:t>
      </w:r>
    </w:p>
    <w:p>
      <w:pPr>
        <w:spacing w:after="0" w:line="220" w:lineRule="exact"/>
        <w:rPr>
          <w:sz w:val="20"/>
          <w:szCs w:val="20"/>
          <w:color w:val="auto"/>
        </w:rPr>
      </w:pPr>
    </w:p>
    <w:p>
      <w:pPr>
        <w:jc w:val="both"/>
        <w:ind w:left="660" w:right="660" w:firstLine="648"/>
        <w:spacing w:after="0" w:line="249" w:lineRule="auto"/>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Immediately following each Annual Stockholders Meeting of the Company, each individual who is then serving as a Director (except for those individuals first elected or appointed to serve as non-employee Board members at such meeting or as of such date), shall be granted awards with an aggregate dollar value (based on the aggregate accounting value on the date of grant) of $325,000. Such award shall be made 70% in the form of non-statutory options and 30% in RSUs; provided, however, that the number of RSUs to be granted in 2024 shall be reduced by 8,656 RSUs. Subject to the proviso in Section VI of Article One of the Plan, such option grant shall vest and become exercisable for the option shares, and such grant of RSUs shall vest, on the twelve (12)-month anniversary of the grant date.”</w:t>
      </w:r>
    </w:p>
    <w:p>
      <w:pPr>
        <w:spacing w:after="0" w:line="182" w:lineRule="exact"/>
        <w:rPr>
          <w:sz w:val="20"/>
          <w:szCs w:val="20"/>
          <w:color w:val="auto"/>
        </w:rPr>
      </w:pPr>
    </w:p>
    <w:p>
      <w:pPr>
        <w:ind w:left="660" w:hanging="652"/>
        <w:spacing w:after="0" w:line="284"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First Amendment shall be governed by the laws of the State of Delaware without resort to that state’s conflict-of-laws provisions, as such laws are applied to contracts entered into and performed in such State.</w:t>
      </w:r>
    </w:p>
    <w:p>
      <w:pPr>
        <w:spacing w:after="0" w:line="14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Policy shall remain in full force and effect in accordance with its terms.</w:t>
      </w:r>
    </w:p>
    <w:p>
      <w:pPr>
        <w:sectPr>
          <w:pgSz w:w="11900" w:h="16838" w:orient="portrait"/>
          <w:cols w:equalWidth="0" w:num="1">
            <w:col w:w="11240"/>
          </w:cols>
          <w:pgMar w:left="320" w:top="122" w:right="339" w:bottom="1440" w:gutter="0" w:footer="0" w:header="0"/>
        </w:sectPr>
      </w:pPr>
    </w:p>
    <w:bookmarkStart w:id="84" w:name="page85"/>
    <w:bookmarkEnd w:id="84"/>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BIOCRYST PHARMACEUTICALS, INC.</w:t>
      </w:r>
    </w:p>
    <w:p>
      <w:pPr>
        <w:spacing w:after="0" w:line="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b w:val="1"/>
          <w:bCs w:val="1"/>
          <w:color w:val="auto"/>
        </w:rPr>
        <w:t>EQUITY AWARD RETIREMENT POLICY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Effective Date: July 1, 2024</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of Directors of BioCryst Pharmaceuticals,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determined that it is appropriate to adopt this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to provide Covered Employees with continued vesting eligibility upon a termination of employment with the Company by reason of a Qualified Retirement with respect to equity awards granted under the (i) BioCryst Pharmaceuticals, Inc. Stock Incentive Plan (as amended and restated from time to time, including any successor plan, the “</w:t>
      </w:r>
      <w:r>
        <w:rPr>
          <w:rFonts w:ascii="Times New Roman" w:cs="Times New Roman" w:eastAsia="Times New Roman" w:hAnsi="Times New Roman"/>
          <w:sz w:val="20"/>
          <w:szCs w:val="20"/>
          <w:u w:val="single" w:color="auto"/>
          <w:color w:val="auto"/>
        </w:rPr>
        <w:t>Stock Incentive Plan</w:t>
      </w:r>
      <w:r>
        <w:rPr>
          <w:rFonts w:ascii="Times New Roman" w:cs="Times New Roman" w:eastAsia="Times New Roman" w:hAnsi="Times New Roman"/>
          <w:sz w:val="20"/>
          <w:szCs w:val="20"/>
          <w:color w:val="auto"/>
        </w:rPr>
        <w:t>”) and (ii) BioCryst Pharmaceuticals, Inc. Inducement Equity Incentive Plan (as amended and restated from time to time, including any successor plan, the “</w:t>
      </w:r>
      <w:r>
        <w:rPr>
          <w:rFonts w:ascii="Times New Roman" w:cs="Times New Roman" w:eastAsia="Times New Roman" w:hAnsi="Times New Roman"/>
          <w:sz w:val="20"/>
          <w:szCs w:val="20"/>
          <w:u w:val="single" w:color="auto"/>
          <w:color w:val="auto"/>
        </w:rPr>
        <w:t>Inducement Plan</w:t>
      </w:r>
      <w:r>
        <w:rPr>
          <w:rFonts w:ascii="Times New Roman" w:cs="Times New Roman" w:eastAsia="Times New Roman" w:hAnsi="Times New Roman"/>
          <w:sz w:val="20"/>
          <w:szCs w:val="20"/>
          <w:color w:val="auto"/>
        </w:rPr>
        <w:t>” and together with the Stock Incentive Plan, the “</w:t>
      </w:r>
      <w:r>
        <w:rPr>
          <w:rFonts w:ascii="Times New Roman" w:cs="Times New Roman" w:eastAsia="Times New Roman" w:hAnsi="Times New Roman"/>
          <w:sz w:val="20"/>
          <w:szCs w:val="20"/>
          <w:u w:val="single" w:color="auto"/>
          <w:color w:val="auto"/>
        </w:rPr>
        <w:t>Equity Plans</w:t>
      </w:r>
      <w:r>
        <w:rPr>
          <w:rFonts w:ascii="Times New Roman" w:cs="Times New Roman" w:eastAsia="Times New Roman" w:hAnsi="Times New Roman"/>
          <w:sz w:val="20"/>
          <w:szCs w:val="20"/>
          <w:color w:val="auto"/>
        </w:rPr>
        <w:t>”), as set forth below. This Policy shall be effective as of the date first set forth above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8"/>
        <w:spacing w:after="0" w:line="251" w:lineRule="auto"/>
        <w:tabs>
          <w:tab w:leader="none" w:pos="6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Qualified Retirement</w:t>
      </w:r>
      <w:r>
        <w:rPr>
          <w:rFonts w:ascii="Times New Roman" w:cs="Times New Roman" w:eastAsia="Times New Roman" w:hAnsi="Times New Roman"/>
          <w:sz w:val="21"/>
          <w:szCs w:val="21"/>
          <w:color w:val="auto"/>
        </w:rPr>
        <w:t>. For purposes of this Policy, “</w:t>
      </w:r>
      <w:r>
        <w:rPr>
          <w:rFonts w:ascii="Times New Roman" w:cs="Times New Roman" w:eastAsia="Times New Roman" w:hAnsi="Times New Roman"/>
          <w:sz w:val="21"/>
          <w:szCs w:val="21"/>
          <w:u w:val="single" w:color="auto"/>
          <w:color w:val="auto"/>
        </w:rPr>
        <w:t>Qualified Retirement</w:t>
      </w:r>
      <w:r>
        <w:rPr>
          <w:rFonts w:ascii="Times New Roman" w:cs="Times New Roman" w:eastAsia="Times New Roman" w:hAnsi="Times New Roman"/>
          <w:sz w:val="21"/>
          <w:szCs w:val="21"/>
          <w:color w:val="auto"/>
        </w:rPr>
        <w:t>” shall mean a Covered Employee’s resignation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the Company on or after attainment of age sixty (60) with at least seven (7) years of continuous service with the Company (the “</w:t>
      </w:r>
      <w:r>
        <w:rPr>
          <w:rFonts w:ascii="Times New Roman" w:cs="Times New Roman" w:eastAsia="Times New Roman" w:hAnsi="Times New Roman"/>
          <w:sz w:val="21"/>
          <w:szCs w:val="21"/>
          <w:u w:val="single" w:color="auto"/>
          <w:color w:val="auto"/>
        </w:rPr>
        <w:t>Service and Age Requirements</w:t>
      </w:r>
      <w:r>
        <w:rPr>
          <w:rFonts w:ascii="Times New Roman" w:cs="Times New Roman" w:eastAsia="Times New Roman" w:hAnsi="Times New Roman"/>
          <w:sz w:val="21"/>
          <w:szCs w:val="21"/>
          <w:color w:val="auto"/>
        </w:rPr>
        <w:t>”), provided that (i) such Covered Employee provides the Company with Advance Notice of the date of his or her resignation of employment (the “</w:t>
      </w:r>
      <w:r>
        <w:rPr>
          <w:rFonts w:ascii="Times New Roman" w:cs="Times New Roman" w:eastAsia="Times New Roman" w:hAnsi="Times New Roman"/>
          <w:sz w:val="21"/>
          <w:szCs w:val="21"/>
          <w:u w:val="single" w:color="auto"/>
          <w:color w:val="auto"/>
        </w:rPr>
        <w:t>Retirement Notice</w:t>
      </w:r>
      <w:r>
        <w:rPr>
          <w:rFonts w:ascii="Times New Roman" w:cs="Times New Roman" w:eastAsia="Times New Roman" w:hAnsi="Times New Roman"/>
          <w:sz w:val="21"/>
          <w:szCs w:val="21"/>
          <w:color w:val="auto"/>
        </w:rPr>
        <w:t>”), and (ii) no event or circumstance shall exist that could give rise to the Covered Employee’s termination of employment by the Company for Cause (as defined in the applicable Equity Plan). In addition, a Covered Employee’s termination of employment by the Company not for Cause after such Covered Employee provides the Company with the Retirement Notice shall constitute a Qualified Retirement.</w:t>
      </w:r>
    </w:p>
    <w:p>
      <w:pPr>
        <w:spacing w:after="0" w:line="189" w:lineRule="exact"/>
        <w:rPr>
          <w:rFonts w:ascii="Times New Roman" w:cs="Times New Roman" w:eastAsia="Times New Roman" w:hAnsi="Times New Roman"/>
          <w:sz w:val="21"/>
          <w:szCs w:val="21"/>
          <w:color w:val="auto"/>
        </w:rPr>
      </w:pPr>
    </w:p>
    <w:p>
      <w:pPr>
        <w:jc w:val="both"/>
        <w:ind w:firstLine="8"/>
        <w:spacing w:after="0" w:line="261" w:lineRule="auto"/>
        <w:tabs>
          <w:tab w:leader="none" w:pos="64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Requirement</w:t>
      </w:r>
      <w:r>
        <w:rPr>
          <w:rFonts w:ascii="Times New Roman" w:cs="Times New Roman" w:eastAsia="Times New Roman" w:hAnsi="Times New Roman"/>
          <w:sz w:val="20"/>
          <w:szCs w:val="20"/>
          <w:color w:val="auto"/>
        </w:rPr>
        <w:t>. The Retirement Notice required to be given under this Policy shall be given in writing, shall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“Retirement Notice” in the subject line, and shall be provided to the Covered Employee’s reporting person and to HRSupport@biocryst.com (if by electronic mail) or BioCryst Pharmaceuticals, Inc., Attention: Chief People Officer, 4505 Emperor Blvd., Suite 200, Durham, North Carolina 27703 (if by regular mail). In no event shall a Covered Employee be permitted to deliver the Retirement Notice in December of any year and any Retirement Notice delivered in December shall not be respected for purposes of this Policy. For purposes of this Policy, “</w:t>
      </w:r>
      <w:r>
        <w:rPr>
          <w:rFonts w:ascii="Times New Roman" w:cs="Times New Roman" w:eastAsia="Times New Roman" w:hAnsi="Times New Roman"/>
          <w:sz w:val="20"/>
          <w:szCs w:val="20"/>
          <w:u w:val="single" w:color="auto"/>
          <w:color w:val="auto"/>
        </w:rPr>
        <w:t>Advance Notice</w:t>
      </w:r>
      <w:r>
        <w:rPr>
          <w:rFonts w:ascii="Times New Roman" w:cs="Times New Roman" w:eastAsia="Times New Roman" w:hAnsi="Times New Roman"/>
          <w:sz w:val="20"/>
          <w:szCs w:val="20"/>
          <w:color w:val="auto"/>
        </w:rPr>
        <w:t>” shall mean, with respect to the period of time prior to the date of a Covered Employee’s resignation of employment, (i) for members of the Leadership Team, at least twelve (12) months prior to the date of resignation, (ii) for Senior Vice Presidents and Vice Presidents, at least nine (9) months prior to the date of resignation, (iii) for Executive Directors and Directors, at least six (6) months prior to the date of resignation and (iv) for all other employees, at least three</w:t>
      </w:r>
    </w:p>
    <w:p>
      <w:pPr>
        <w:spacing w:after="0" w:line="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 months prior to the date of resignation.</w:t>
      </w:r>
    </w:p>
    <w:p>
      <w:pPr>
        <w:spacing w:after="0" w:line="205" w:lineRule="exact"/>
        <w:rPr>
          <w:rFonts w:ascii="Times New Roman" w:cs="Times New Roman" w:eastAsia="Times New Roman" w:hAnsi="Times New Roman"/>
          <w:sz w:val="20"/>
          <w:szCs w:val="20"/>
          <w:color w:val="auto"/>
        </w:rPr>
      </w:pPr>
    </w:p>
    <w:p>
      <w:pPr>
        <w:ind w:firstLine="8"/>
        <w:spacing w:after="0" w:line="272" w:lineRule="auto"/>
        <w:tabs>
          <w:tab w:leader="none" w:pos="6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Covered Employee</w:t>
      </w:r>
      <w:r>
        <w:rPr>
          <w:rFonts w:ascii="Times New Roman" w:cs="Times New Roman" w:eastAsia="Times New Roman" w:hAnsi="Times New Roman"/>
          <w:sz w:val="21"/>
          <w:szCs w:val="21"/>
          <w:color w:val="auto"/>
        </w:rPr>
        <w:t>. Subject to Section 4 hereof, this Policy shall apply to current U.S. employees of the Company who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notice from the Company that they are a Covered Employee (each, a “</w:t>
      </w:r>
      <w:r>
        <w:rPr>
          <w:rFonts w:ascii="Times New Roman" w:cs="Times New Roman" w:eastAsia="Times New Roman" w:hAnsi="Times New Roman"/>
          <w:sz w:val="21"/>
          <w:szCs w:val="21"/>
          <w:u w:val="single" w:color="auto"/>
          <w:color w:val="auto"/>
        </w:rPr>
        <w:t>Covered Employee</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firstLine="8"/>
        <w:spacing w:after="0" w:line="263" w:lineRule="auto"/>
        <w:tabs>
          <w:tab w:leader="none" w:pos="6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Application to Incentive Stock Options</w:t>
      </w:r>
      <w:r>
        <w:rPr>
          <w:rFonts w:ascii="Times New Roman" w:cs="Times New Roman" w:eastAsia="Times New Roman" w:hAnsi="Times New Roman"/>
          <w:sz w:val="21"/>
          <w:szCs w:val="21"/>
          <w:color w:val="auto"/>
        </w:rPr>
        <w:t>. To the extent any Covered Employee holds incentive stock options (as defined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422 of the Internal Revenue Code of 1986, as amended, “</w:t>
      </w:r>
      <w:r>
        <w:rPr>
          <w:rFonts w:ascii="Times New Roman" w:cs="Times New Roman" w:eastAsia="Times New Roman" w:hAnsi="Times New Roman"/>
          <w:sz w:val="21"/>
          <w:szCs w:val="21"/>
          <w:u w:val="single" w:color="auto"/>
          <w:color w:val="auto"/>
        </w:rPr>
        <w:t>ISOs</w:t>
      </w:r>
      <w:r>
        <w:rPr>
          <w:rFonts w:ascii="Times New Roman" w:cs="Times New Roman" w:eastAsia="Times New Roman" w:hAnsi="Times New Roman"/>
          <w:sz w:val="21"/>
          <w:szCs w:val="21"/>
          <w:color w:val="auto"/>
        </w:rPr>
        <w:t>”) under either Equity Plan, such ISOs shall not be subject to this Retirement Policy, and</w:t>
      </w:r>
    </w:p>
    <w:p>
      <w:pPr>
        <w:sectPr>
          <w:pgSz w:w="11900" w:h="16838" w:orient="portrait"/>
          <w:cols w:equalWidth="0" w:num="1">
            <w:col w:w="11240"/>
          </w:cols>
          <w:pgMar w:left="320" w:top="94" w:right="339" w:bottom="1440" w:gutter="0" w:footer="0" w:header="0"/>
        </w:sectPr>
      </w:pPr>
    </w:p>
    <w:bookmarkStart w:id="85" w:name="page86"/>
    <w:bookmarkEnd w:id="85"/>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therefore shall not be eligible for Qualified Retirement Vesting, unless the Covered Employee elects, pursuant to an election form delivered to the Covered Employee, to convert such incentive stock options to non-statutory stock options within 29 days of the date such Covered Employee receives notice from the Company that they are a Covered Employee.</w:t>
      </w:r>
    </w:p>
    <w:p>
      <w:pPr>
        <w:spacing w:after="0" w:line="166" w:lineRule="exact"/>
        <w:rPr>
          <w:sz w:val="20"/>
          <w:szCs w:val="20"/>
          <w:color w:val="auto"/>
        </w:rPr>
      </w:pPr>
    </w:p>
    <w:p>
      <w:pPr>
        <w:jc w:val="both"/>
        <w:ind w:firstLine="8"/>
        <w:spacing w:after="0" w:line="264" w:lineRule="auto"/>
        <w:tabs>
          <w:tab w:leader="none" w:pos="6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Treatment of Equity Awards Upon a Qualified Retirement</w:t>
      </w:r>
      <w:r>
        <w:rPr>
          <w:rFonts w:ascii="Times New Roman" w:cs="Times New Roman" w:eastAsia="Times New Roman" w:hAnsi="Times New Roman"/>
          <w:sz w:val="20"/>
          <w:szCs w:val="20"/>
          <w:color w:val="auto"/>
        </w:rPr>
        <w:t>. In the event a Covered Employee terminates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by reason of a Qualified Retirement, in accordance with Section 1 of this Policy, (i) any unvested restricted stock unit award granted more than one year prior to the Covered Employee’s termination date and held by such Covered Employee at the time of such Covered Employee’s termination of employment (a “</w:t>
      </w:r>
      <w:r>
        <w:rPr>
          <w:rFonts w:ascii="Times New Roman" w:cs="Times New Roman" w:eastAsia="Times New Roman" w:hAnsi="Times New Roman"/>
          <w:sz w:val="20"/>
          <w:szCs w:val="20"/>
          <w:u w:val="single" w:color="auto"/>
          <w:color w:val="auto"/>
        </w:rPr>
        <w:t>Covered RSU Award</w:t>
      </w:r>
      <w:r>
        <w:rPr>
          <w:rFonts w:ascii="Times New Roman" w:cs="Times New Roman" w:eastAsia="Times New Roman" w:hAnsi="Times New Roman"/>
          <w:sz w:val="20"/>
          <w:szCs w:val="20"/>
          <w:color w:val="auto"/>
        </w:rPr>
        <w:t>”) shall become vested and settled in accordance with the original vesting schedule applicable to such Covered RSU Award and (ii) any unvested stock option award (excluding ISOs for which a conversion election is not made pursuant to Section 4 of this Policy) granted more than one year prior to the Covered Employee’s termination date and held by such Covered Employee at the time of such Covered Employee’s termination of employment (a “</w:t>
      </w:r>
      <w:r>
        <w:rPr>
          <w:rFonts w:ascii="Times New Roman" w:cs="Times New Roman" w:eastAsia="Times New Roman" w:hAnsi="Times New Roman"/>
          <w:sz w:val="20"/>
          <w:szCs w:val="20"/>
          <w:u w:val="single" w:color="auto"/>
          <w:color w:val="auto"/>
        </w:rPr>
        <w:t>Covered Stock Option Award</w:t>
      </w:r>
      <w:r>
        <w:rPr>
          <w:rFonts w:ascii="Times New Roman" w:cs="Times New Roman" w:eastAsia="Times New Roman" w:hAnsi="Times New Roman"/>
          <w:sz w:val="20"/>
          <w:szCs w:val="20"/>
          <w:color w:val="auto"/>
        </w:rPr>
        <w:t>”) shall become vested and exercisable in accordance with the original vesting schedule applicable to such Covered Stock Option Award, provided that in no event shall any Covered Stock Option Award be exercisable beyond the original term of such Covered Stock Option Award (such continued vesting, “</w:t>
      </w:r>
      <w:r>
        <w:rPr>
          <w:rFonts w:ascii="Times New Roman" w:cs="Times New Roman" w:eastAsia="Times New Roman" w:hAnsi="Times New Roman"/>
          <w:sz w:val="20"/>
          <w:szCs w:val="20"/>
          <w:u w:val="single" w:color="auto"/>
          <w:color w:val="auto"/>
        </w:rPr>
        <w:t>Qualified Retirement Vesting</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jc w:val="both"/>
        <w:ind w:firstLine="8"/>
        <w:spacing w:after="0" w:line="263" w:lineRule="auto"/>
        <w:tabs>
          <w:tab w:leader="none" w:pos="64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This Policy shall be administered by the Committee. All decisions, determinations and interpretations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regarding this Policy shall be final and binding on all grantees, beneficiaries, heirs, assigns or other persons holding or claiming rights under any Equity Plan or any award thereunder.</w:t>
      </w:r>
    </w:p>
    <w:p>
      <w:pPr>
        <w:spacing w:after="0" w:line="164" w:lineRule="exact"/>
        <w:rPr>
          <w:rFonts w:ascii="Times New Roman" w:cs="Times New Roman" w:eastAsia="Times New Roman" w:hAnsi="Times New Roman"/>
          <w:sz w:val="21"/>
          <w:szCs w:val="21"/>
          <w:color w:val="auto"/>
        </w:rPr>
      </w:pPr>
    </w:p>
    <w:p>
      <w:pPr>
        <w:jc w:val="both"/>
        <w:ind w:firstLine="8"/>
        <w:spacing w:after="0" w:line="250" w:lineRule="auto"/>
        <w:tabs>
          <w:tab w:leader="none" w:pos="64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This Policy, and its implementation, is intended to meet the requirements for compliance with, or exemption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Section 409A of the Internal Revenue Code of 1986, as amended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shall be interpreted and construed consistent with that intent. To the extent required in order to avoid accelerated taxation and/or accelerated payment under Section 409A, references to termination of employment, separation from service and similar or correlative terms in this Policy shall mean a “separation from service” (as defined at Section 1.409A-1(h) of the Treasury Regulations) from the Company. Each installment of the payments and benefits provided for as a result of this Policy shall be treated as a separate “payment” for purposes of Treasury Regulation Section 1.409A-2(b)(2)(i). The Company makes no representation that any or all of the payments described in this Policy shall be exempt from or comply with Section 409A. Covered Employees shall be solely responsible for the payment of any taxes and penalties incurred under Section 409A.</w:t>
      </w:r>
    </w:p>
    <w:p>
      <w:pPr>
        <w:spacing w:after="0" w:line="206" w:lineRule="exact"/>
        <w:rPr>
          <w:rFonts w:ascii="Times New Roman" w:cs="Times New Roman" w:eastAsia="Times New Roman" w:hAnsi="Times New Roman"/>
          <w:sz w:val="21"/>
          <w:szCs w:val="21"/>
          <w:color w:val="auto"/>
        </w:rPr>
      </w:pPr>
    </w:p>
    <w:p>
      <w:pPr>
        <w:ind w:firstLine="8"/>
        <w:spacing w:after="0" w:line="260"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color w:val="auto"/>
        </w:rPr>
        <w:t>Amendment and Termination</w:t>
      </w:r>
      <w:r>
        <w:rPr>
          <w:rFonts w:ascii="Times New Roman" w:cs="Times New Roman" w:eastAsia="Times New Roman" w:hAnsi="Times New Roman"/>
          <w:sz w:val="21"/>
          <w:szCs w:val="21"/>
          <w:color w:val="auto"/>
        </w:rPr>
        <w:t>. The Committee shall have complete and exclusive power and authority to, at any time and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reason, amend, modify or terminate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BIOCRYST PHARMACEUTICALS, INC. STOCK INCENTIVE PLAN</w:t>
      </w:r>
    </w:p>
    <w:p>
      <w:pPr>
        <w:spacing w:after="0" w:line="1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NOTICE OF PERFORMANCE-BASED RESTRICTED STOCK UNIT AWARD</w:t>
      </w:r>
    </w:p>
    <w:p>
      <w:pPr>
        <w:spacing w:after="0" w:line="193"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20"/>
          <w:szCs w:val="20"/>
          <w:color w:val="auto"/>
        </w:rPr>
        <w:t>Notice is hereby given that BioCryst Pharmaceuticals, Inc. (the “Company”) has selected you to receive an award of performance-based restricted stock units with respect to the Company’s Common Stock (such award referred to herein as the “RSUs” or “Award”) as</w:t>
      </w:r>
    </w:p>
    <w:p>
      <w:pPr>
        <w:spacing w:after="0" w:line="212" w:lineRule="auto"/>
        <w:rPr>
          <w:sz w:val="20"/>
          <w:szCs w:val="20"/>
          <w:color w:val="auto"/>
        </w:rPr>
      </w:pPr>
      <w:r>
        <w:rPr>
          <w:rFonts w:ascii="Times New Roman" w:cs="Times New Roman" w:eastAsia="Times New Roman" w:hAnsi="Times New Roman"/>
          <w:sz w:val="20"/>
          <w:szCs w:val="20"/>
          <w:color w:val="auto"/>
        </w:rPr>
        <w:t>described below and granted pursuant to the BioCryst Pharmaceuticals, Inc. Stock Incentive Plan (the “Plan”) and the accompanying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Performance-Based Restricted Stock Unit Agreement</w:t>
      </w:r>
      <w:r>
        <w:rPr>
          <w:rFonts w:ascii="Times New Roman" w:cs="Times New Roman" w:eastAsia="Times New Roman" w:hAnsi="Times New Roman"/>
          <w:sz w:val="20"/>
          <w:szCs w:val="20"/>
          <w:color w:val="auto"/>
        </w:rPr>
        <w:t xml:space="preserve"> (the “Agreement”):</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22860</wp:posOffset>
            </wp:positionV>
            <wp:extent cx="29146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auto"/>
        </w:rPr>
        <w:t>Number of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22860</wp:posOffset>
            </wp:positionV>
            <wp:extent cx="29146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22860</wp:posOffset>
            </wp:positionV>
            <wp:extent cx="29146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auto"/>
        </w:rPr>
        <w: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22860</wp:posOffset>
            </wp:positionV>
            <wp:extent cx="29146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Recipient understands that the Award is granted subject to and in accordance with the express terms and conditions of the Plan and agrees</w:t>
      </w:r>
    </w:p>
    <w:p>
      <w:pPr>
        <w:ind w:right="100"/>
        <w:spacing w:after="0" w:line="204" w:lineRule="auto"/>
        <w:rPr>
          <w:sz w:val="20"/>
          <w:szCs w:val="20"/>
          <w:color w:val="auto"/>
        </w:rPr>
      </w:pPr>
      <w:r>
        <w:rPr>
          <w:rFonts w:ascii="Times New Roman" w:cs="Times New Roman" w:eastAsia="Times New Roman" w:hAnsi="Times New Roman"/>
          <w:sz w:val="20"/>
          <w:szCs w:val="20"/>
          <w:color w:val="auto"/>
        </w:rPr>
        <w:t>to be bound by and conform to the terms and conditions of the Plan, the Plan Prospectus, this Notice of Performance-Based Restricted Stock Unit Award, and the accompanying Agreement. Recipient acknowledges that, notwithstanding anything to the contrary in any</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employment or other agreement between Recipient and the Company, the vesting of the RSUs shall not accelerate upon a Change in Control (or any equivalent term as set forth in any applicable written employment agreement); rather, vesting shall accelerate only to the</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extent provided in the Plan. Recipient acknowledges that copies of the Plan, the Plan Prospectus, and the Agreement have been made available to Recipient.</w:t>
      </w:r>
    </w:p>
    <w:p>
      <w:pPr>
        <w:spacing w:after="0" w:line="16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Recipient hereby directs that tax withholdings in connection with the vesting of the Award be effected through a sale-to-cover transaction specified in Section 6(b)(ii) of the Agreement.</w:t>
      </w:r>
    </w:p>
    <w:p>
      <w:pPr>
        <w:spacing w:after="0" w:line="16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Nothing in this Notice of Performance-Based Restricted Stock Unit Award, the accompanying Agreement, or the Plan shall confer upon the Recipient the right to continue in the service or employment of the Company for any period of specific duration or otherwise restrict in</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any way the rights of the Company or the Recipient, which rights are hereby expressly reserved by each, to terminate Recipient’s service or employment at any time for any reason whatsoever, with or without cause.</w:t>
      </w:r>
    </w:p>
    <w:p>
      <w:pPr>
        <w:spacing w:after="0" w:line="18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By my signature below, I hereby acknowledge receipt of the Award granted to me on the Grant Date specified above and issued to me pursuant to the terms and conditions of the Plan and the attached Agreement.</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100" w:type="dxa"/>
            <w:vAlign w:val="bottom"/>
          </w:tcPr>
          <w:p>
            <w:pPr>
              <w:spacing w:after="0"/>
              <w:rPr>
                <w:sz w:val="22"/>
                <w:szCs w:val="22"/>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Agreed and Accepted:</w:t>
            </w:r>
          </w:p>
        </w:tc>
        <w:tc>
          <w:tcPr>
            <w:tcW w:w="66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BIOCRYST PHARMACEUTICALS, INC.</w:t>
            </w:r>
          </w:p>
        </w:tc>
        <w:tc>
          <w:tcPr>
            <w:tcW w:w="0" w:type="dxa"/>
            <w:vAlign w:val="bottom"/>
          </w:tcPr>
          <w:p>
            <w:pPr>
              <w:spacing w:after="0"/>
              <w:rPr>
                <w:sz w:val="1"/>
                <w:szCs w:val="1"/>
                <w:color w:val="auto"/>
              </w:rPr>
            </w:pPr>
          </w:p>
        </w:tc>
      </w:tr>
      <w:tr>
        <w:trPr>
          <w:trHeight w:val="729"/>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Recipient:</w:t>
            </w:r>
          </w:p>
        </w:tc>
        <w:tc>
          <w:tcPr>
            <w:tcW w:w="45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100" w:type="dxa"/>
            <w:vAlign w:val="bottom"/>
            <w:vMerge w:val="continue"/>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Jon P. Stonehouse</w:t>
            </w: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45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&amp; CEO</w:t>
            </w:r>
          </w:p>
        </w:tc>
        <w:tc>
          <w:tcPr>
            <w:tcW w:w="0" w:type="dxa"/>
            <w:vAlign w:val="bottom"/>
          </w:tcPr>
          <w:p>
            <w:pPr>
              <w:spacing w:after="0"/>
              <w:rPr>
                <w:sz w:val="1"/>
                <w:szCs w:val="1"/>
                <w:color w:val="auto"/>
              </w:rPr>
            </w:pPr>
          </w:p>
        </w:tc>
      </w:tr>
    </w:tbl>
    <w:p>
      <w:pPr>
        <w:sectPr>
          <w:pgSz w:w="11900" w:h="16838" w:orient="portrait"/>
          <w:cols w:equalWidth="0" w:num="1">
            <w:col w:w="11100"/>
          </w:cols>
          <w:pgMar w:left="460" w:top="100" w:right="339" w:bottom="1440" w:gutter="0" w:footer="0" w:header="0"/>
        </w:sectPr>
      </w:pPr>
    </w:p>
    <w:bookmarkStart w:id="87" w:name="page88"/>
    <w:bookmarkEnd w:id="87"/>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BIOCRYST PHARMACEUTICALS, INC.</w:t>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PERFORMANCE-BASED RESTRICTED STOCK UNIT AGREEMENT</w:t>
      </w:r>
    </w:p>
    <w:p>
      <w:pPr>
        <w:spacing w:after="0" w:line="1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u w:val="single" w:color="auto"/>
          <w:color w:val="auto"/>
        </w:rPr>
        <w:t>WITNESSETH:</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60" w:lineRule="exact"/>
        <w:rPr>
          <w:sz w:val="20"/>
          <w:szCs w:val="20"/>
          <w:color w:val="auto"/>
        </w:rPr>
      </w:pPr>
    </w:p>
    <w:p>
      <w:pPr>
        <w:jc w:val="both"/>
        <w:ind w:firstLine="653"/>
        <w:spacing w:after="0" w:line="255" w:lineRule="auto"/>
        <w:tabs>
          <w:tab w:leader="none" w:pos="115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Board of Directors (the “Board”) of BioCryst Pharmaceuticals, Inc. (the “Company”) has adopted the Company’s Stock Incentive Plan (the “Plan”) for the purpose of attracting and retaining the services of its employees (including officers and directors), non-employee Board members and consultants and other independent contractors who contribute to the financial success of the Company or its parent or subsidiary corporations.</w:t>
      </w:r>
    </w:p>
    <w:p>
      <w:pPr>
        <w:spacing w:after="0" w:line="216" w:lineRule="exact"/>
        <w:rPr>
          <w:rFonts w:ascii="Times New Roman" w:cs="Times New Roman" w:eastAsia="Times New Roman" w:hAnsi="Times New Roman"/>
          <w:sz w:val="22"/>
          <w:szCs w:val="22"/>
          <w:color w:val="auto"/>
        </w:rPr>
      </w:pPr>
    </w:p>
    <w:p>
      <w:pPr>
        <w:jc w:val="both"/>
        <w:ind w:firstLine="653"/>
        <w:spacing w:after="0" w:line="256" w:lineRule="auto"/>
        <w:tabs>
          <w:tab w:leader="none" w:pos="11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Recipient is an individual who has rendered and is to render valuable services to the Company or its parent or subsidiary corporations, and this Agreement is executed pursuant to, and is intended to carry out the purposes of, the Plan in connection with the Company’s grant of the Restricted Stock Unit Award to Recipient.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NOW, THEREFORE, it is hereby agreed as follows:</w:t>
      </w:r>
    </w:p>
    <w:p>
      <w:pPr>
        <w:spacing w:after="0" w:line="25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1"/>
          <w:szCs w:val="21"/>
          <w:color w:val="auto"/>
        </w:rPr>
        <w:t xml:space="preserve">The terms and conditions of the Award of performance-based restricted stock units with respect to Common Stock of the Company (the “RSUs”) made to the Recipient, as set forth in the accompanying </w:t>
      </w:r>
      <w:r>
        <w:rPr>
          <w:rFonts w:ascii="Times New Roman" w:cs="Times New Roman" w:eastAsia="Times New Roman" w:hAnsi="Times New Roman"/>
          <w:sz w:val="21"/>
          <w:szCs w:val="21"/>
          <w:u w:val="single" w:color="auto"/>
          <w:color w:val="auto"/>
        </w:rPr>
        <w:t>Notice of Performance-Based Restricted Stock Unit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 (the “Award Notice”)</w:t>
      </w:r>
      <w:r>
        <w:rPr>
          <w:rFonts w:ascii="Times New Roman" w:cs="Times New Roman" w:eastAsia="Times New Roman" w:hAnsi="Times New Roman"/>
          <w:sz w:val="21"/>
          <w:szCs w:val="21"/>
          <w:color w:val="auto"/>
        </w:rPr>
        <w:t>, are as follows:</w:t>
      </w:r>
    </w:p>
    <w:p>
      <w:pPr>
        <w:spacing w:after="0" w:line="229" w:lineRule="exact"/>
        <w:rPr>
          <w:sz w:val="20"/>
          <w:szCs w:val="20"/>
          <w:color w:val="auto"/>
        </w:rPr>
      </w:pPr>
    </w:p>
    <w:p>
      <w:pPr>
        <w:ind w:left="1300" w:hanging="648"/>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Issuance of RSUs</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2"/>
          <w:szCs w:val="22"/>
          <w:color w:val="auto"/>
        </w:rPr>
      </w:pPr>
    </w:p>
    <w:p>
      <w:pPr>
        <w:ind w:right="340" w:firstLine="1300"/>
        <w:spacing w:after="0" w:line="252" w:lineRule="auto"/>
        <w:tabs>
          <w:tab w:leader="none" w:pos="180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RSUs are hereby granted and issued to the Recipient, effective as of the Grant Date set forth in the accompanying Award Notice, in consideration of the employment services rendered and to be rendered by the Recipient to the Company in accordance with Article Three of the Plan. Each RSU represents the right to receive one share of Common Stock, subject to the terms and conditions hereof. This Award is made subject to and awarded upon the terms and conditions set forth in this Agreement and the Plan.</w:t>
      </w:r>
    </w:p>
    <w:p>
      <w:pPr>
        <w:spacing w:after="0" w:line="218" w:lineRule="exact"/>
        <w:rPr>
          <w:rFonts w:ascii="Times New Roman" w:cs="Times New Roman" w:eastAsia="Times New Roman" w:hAnsi="Times New Roman"/>
          <w:sz w:val="22"/>
          <w:szCs w:val="22"/>
          <w:color w:val="auto"/>
        </w:rPr>
      </w:pPr>
    </w:p>
    <w:p>
      <w:pPr>
        <w:jc w:val="both"/>
        <w:ind w:right="120" w:firstLine="1301"/>
        <w:spacing w:after="0" w:line="251" w:lineRule="auto"/>
        <w:tabs>
          <w:tab w:leader="none" w:pos="180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promptly as practicable following the vesting of the RSUs pursuant to Section 2 (and in all events no later than March 15 of the year following the year of vesting (unless earlier delivery is required by Section 409A of the Code or delivery is deferred pursuant to a nonqualified deferred compensation plan in accordance with the requirements of Section 409A of the Code)), the Company shall issue, in the name of the Recipient, the number of shares of Common Stock that have vested.</w:t>
      </w:r>
    </w:p>
    <w:p>
      <w:pPr>
        <w:spacing w:after="0" w:line="233" w:lineRule="exact"/>
        <w:rPr>
          <w:rFonts w:ascii="Times New Roman" w:cs="Times New Roman" w:eastAsia="Times New Roman" w:hAnsi="Times New Roman"/>
          <w:sz w:val="22"/>
          <w:szCs w:val="22"/>
          <w:color w:val="auto"/>
        </w:rPr>
      </w:pPr>
    </w:p>
    <w:p>
      <w:pPr>
        <w:ind w:right="300" w:firstLine="1301"/>
        <w:spacing w:after="0" w:line="258" w:lineRule="auto"/>
        <w:tabs>
          <w:tab w:leader="none" w:pos="180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Recipient agrees that the RSUs shall be subject to the forfeiture provisions set forth in Section 3 of this Agreement and the restrictions on transfer set forth in Section 4 of this Agreement.</w:t>
      </w:r>
    </w:p>
    <w:p>
      <w:pPr>
        <w:sectPr>
          <w:pgSz w:w="11900" w:h="16838" w:orient="portrait"/>
          <w:cols w:equalWidth="0" w:num="1">
            <w:col w:w="11000"/>
          </w:cols>
          <w:pgMar w:left="460" w:top="1440" w:right="439" w:bottom="1440" w:gutter="0" w:footer="0" w:header="0"/>
        </w:sectPr>
      </w:pPr>
    </w:p>
    <w:bookmarkStart w:id="88" w:name="page89"/>
    <w:bookmarkEnd w:id="88"/>
    <w:p>
      <w:pPr>
        <w:spacing w:after="0" w:line="233" w:lineRule="exact"/>
        <w:rPr>
          <w:sz w:val="20"/>
          <w:szCs w:val="20"/>
          <w:color w:val="auto"/>
        </w:rPr>
      </w:pPr>
    </w:p>
    <w:p>
      <w:pPr>
        <w:ind w:left="1300" w:hanging="648"/>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General Vesting Terms; Lapsing of Restrictions</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2"/>
          <w:szCs w:val="22"/>
          <w:color w:val="auto"/>
        </w:rPr>
      </w:pPr>
    </w:p>
    <w:p>
      <w:pPr>
        <w:ind w:right="260" w:firstLine="1300"/>
        <w:spacing w:after="0" w:line="274" w:lineRule="auto"/>
        <w:tabs>
          <w:tab w:leader="none" w:pos="180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Subject to Recipient’s continuous employment with or service to the Company from the Grant Date through each applicable Vesting Date (as specified in the Award Notice) (the “Vesting Date”), the RSUs shall vest and no longer be subject to forfeiture to the extent the conditions set forth in the Award Notice are achieved as set forth therein.</w:t>
      </w:r>
    </w:p>
    <w:p>
      <w:pPr>
        <w:spacing w:after="0" w:line="198" w:lineRule="exact"/>
        <w:rPr>
          <w:rFonts w:ascii="Times New Roman" w:cs="Times New Roman" w:eastAsia="Times New Roman" w:hAnsi="Times New Roman"/>
          <w:sz w:val="21"/>
          <w:szCs w:val="21"/>
          <w:color w:val="auto"/>
        </w:rPr>
      </w:pPr>
    </w:p>
    <w:p>
      <w:pPr>
        <w:ind w:right="960" w:firstLine="1301"/>
        <w:spacing w:after="0" w:line="258" w:lineRule="auto"/>
        <w:tabs>
          <w:tab w:leader="none" w:pos="180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If a Change in Control occurs, Article III, Section 2 of the Plan shall govern the treatment of the RSUs in connection therewith.</w:t>
      </w:r>
    </w:p>
    <w:p>
      <w:pPr>
        <w:spacing w:after="0" w:line="224" w:lineRule="exact"/>
        <w:rPr>
          <w:rFonts w:ascii="Times New Roman" w:cs="Times New Roman" w:eastAsia="Times New Roman" w:hAnsi="Times New Roman"/>
          <w:sz w:val="22"/>
          <w:szCs w:val="22"/>
          <w:color w:val="auto"/>
        </w:rPr>
      </w:pPr>
    </w:p>
    <w:p>
      <w:pPr>
        <w:jc w:val="both"/>
        <w:ind w:firstLine="1301"/>
        <w:spacing w:after="0" w:line="248" w:lineRule="auto"/>
        <w:tabs>
          <w:tab w:leader="none" w:pos="180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Continuous Employment and Service</w:t>
      </w:r>
      <w:r>
        <w:rPr>
          <w:rFonts w:ascii="Times New Roman" w:cs="Times New Roman" w:eastAsia="Times New Roman" w:hAnsi="Times New Roman"/>
          <w:sz w:val="21"/>
          <w:szCs w:val="21"/>
          <w:color w:val="auto"/>
        </w:rPr>
        <w:t>. For purposes of this Agreement, Recipient shall be deemed to remain in continuous service with the Company for so long as the Recipient continues to render periodic services to the Company or any parent or subsidiary corporation, whether as an employee, a non-employee member of the Company’s Board of Directors or an independent consultant or advisor. The Recipient shall be deemed to be an “employee” for so long as Recipient remains in the employ of the Company or one or more of its parent or subsidiary corporations subject to the control and direction of the employer entity as to both the work to be performed and the manner and method of performance. For purposes of this Agreement, a corporation shall be considered to be a subsidiary corporation of the Company if it is a member of an unbroken chain of corporations beginning with the Company, provided each such corporation in the chain (other than the last corporation) owns, at the time of determination, stock possessing 50% or more of the total combined voting power of all classes of stock in one of the other corporations in such chain. Similarly, for purposes of this Agreement, a corporation shall be considered to be a parent corporation of the Company if it is a member of an unbroken chain ending with the Company, provided each such corporation in the chain (other than the Company) owns, at the time of determination, stock possessing 50% or more of the total combined voting power of all classes of stock in one of the other corporations in such chain.</w:t>
      </w:r>
    </w:p>
    <w:p>
      <w:pPr>
        <w:spacing w:after="0" w:line="227"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Forfeiture of Unvested RSUs Upon Employment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1"/>
          <w:szCs w:val="21"/>
          <w:color w:val="auto"/>
        </w:rPr>
        <w:t>In the event that the Recipient ceases to be continuously employed by or continuously in service to the Company or one or more of its parent or subsidiary corporations for any reason or no reason, with or without cause, except as otherwise expressly provided in Section 2 above, all of the RSUs that are unvested as of the time of such employment termination shall be forfeited immediately and automatically to the Company and no shares of Common Stock shall be issued with respect thereto, without the payment of any consideration to the Recipient, effective as of such termination of employment or separation from service. The Recipient shall have no further rights with respect to any RSUs that are so forfeited. If the Recipient is employed by a subsidiary of the Company, any references in this Agreement to employment with the Company shall instead be deemed to refer to employment with such subsidiary.</w:t>
      </w:r>
    </w:p>
    <w:p>
      <w:pPr>
        <w:spacing w:after="0" w:line="234" w:lineRule="exact"/>
        <w:rPr>
          <w:sz w:val="20"/>
          <w:szCs w:val="20"/>
          <w:color w:val="auto"/>
        </w:rPr>
      </w:pPr>
    </w:p>
    <w:p>
      <w:pPr>
        <w:ind w:left="1300" w:hanging="648"/>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Restrictions on Transfer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21"/>
          <w:szCs w:val="21"/>
          <w:color w:val="auto"/>
        </w:rPr>
        <w:t>The Recipient shall not sell, assign, transfer, pledge, hypothecate or otherwise dispose of, by operation of law or otherwise (collectively “transfer”) any RSUs, or any interest therein (but may transfer Common Stock after its issuance pursuant to Section 1(b) above). Notwithstanding the foregoing to the extent permitted by applicable law, the RSUs may be assigned in whole or part during</w:t>
      </w:r>
    </w:p>
    <w:p>
      <w:pPr>
        <w:sectPr>
          <w:pgSz w:w="11900" w:h="16838" w:orient="portrait"/>
          <w:cols w:equalWidth="0" w:num="1">
            <w:col w:w="11000"/>
          </w:cols>
          <w:pgMar w:left="460" w:top="1440" w:right="439" w:bottom="1440" w:gutter="0" w:footer="0" w:header="0"/>
        </w:sectPr>
      </w:pPr>
    </w:p>
    <w:bookmarkStart w:id="89" w:name="page90"/>
    <w:bookmarkEnd w:id="89"/>
    <w:p>
      <w:pPr>
        <w:spacing w:after="0" w:line="22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1"/>
          <w:szCs w:val="21"/>
          <w:color w:val="auto"/>
        </w:rPr>
        <w:t xml:space="preserve">the Recipient’s lifetime pursuant to a domestic relations order;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RSUs shall in all cases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w:t>
      </w:r>
    </w:p>
    <w:p>
      <w:pPr>
        <w:spacing w:after="0" w:line="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21"/>
          <w:szCs w:val="21"/>
          <w:color w:val="auto"/>
        </w:rPr>
        <w:t>The Company shall not be required: (i) to transfer on its books any of the RSUs (or issue shares of Common Stock with respect thereto) which have been transferred in violation of any of the provisions of this Agreement or (ii) to treat as owner of such RSUs any transferee to whom such RSUs have been transferred in violation of any of the provisions of this Agreement.</w:t>
      </w:r>
    </w:p>
    <w:p>
      <w:pPr>
        <w:spacing w:after="0" w:line="220" w:lineRule="exact"/>
        <w:rPr>
          <w:sz w:val="20"/>
          <w:szCs w:val="20"/>
          <w:color w:val="auto"/>
        </w:rPr>
      </w:pPr>
    </w:p>
    <w:p>
      <w:pPr>
        <w:ind w:left="1300" w:hanging="648"/>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Rights as a Shareholder</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1"/>
          <w:szCs w:val="21"/>
          <w:color w:val="auto"/>
        </w:rPr>
        <w:t xml:space="preserve">The Recipient shall have no rights as a shareholder with respect to the RSUs until such times as shares of Common Stock are issued in settlement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dividends and distributions with respect to the shares of Common Stock underlying the RSUs are paid in cash or shares, or consist of a dividend or distribution to holders of Common Stock other than an ordinary cash dividend, the shares, cash or other property will be credited to a notional account on behalf of the Recipient subject to the same restrictions on transferability and forfeitability as the related RSUs.</w:t>
      </w:r>
    </w:p>
    <w:p>
      <w:pPr>
        <w:spacing w:after="0" w:line="231" w:lineRule="exact"/>
        <w:rPr>
          <w:sz w:val="20"/>
          <w:szCs w:val="20"/>
          <w:color w:val="auto"/>
        </w:rPr>
      </w:pPr>
    </w:p>
    <w:p>
      <w:pPr>
        <w:ind w:left="1300" w:hanging="648"/>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2"/>
          <w:szCs w:val="22"/>
          <w:color w:val="auto"/>
        </w:rPr>
      </w:pPr>
    </w:p>
    <w:p>
      <w:pPr>
        <w:ind w:right="200" w:firstLine="1301"/>
        <w:spacing w:after="0" w:line="252" w:lineRule="auto"/>
        <w:tabs>
          <w:tab w:leader="none" w:pos="180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The Recipient acknowledges that Recipient is responsible for obtaining the advice of the Recipient’s own tax advisors with respect to the acquisition and vesting of the RSUs and that Recipient is relying solely on such advisors and not on any statements or representations of the Company or any of its agents with respect to the tax consequences relating to the RSUs. The Recipient understands that the Recipient (and not the Company) shall be responsible for any and all of Recipient’s tax liabilities that may arise in connection with the acquisition, vesting and/or settlement of the RSUs.</w:t>
      </w:r>
    </w:p>
    <w:p>
      <w:pPr>
        <w:spacing w:after="0" w:line="218" w:lineRule="exact"/>
        <w:rPr>
          <w:rFonts w:ascii="Times New Roman" w:cs="Times New Roman" w:eastAsia="Times New Roman" w:hAnsi="Times New Roman"/>
          <w:sz w:val="22"/>
          <w:szCs w:val="22"/>
          <w:color w:val="auto"/>
        </w:rPr>
      </w:pPr>
    </w:p>
    <w:p>
      <w:pPr>
        <w:ind w:right="20" w:firstLine="1301"/>
        <w:spacing w:after="0" w:line="247" w:lineRule="auto"/>
        <w:tabs>
          <w:tab w:leader="none" w:pos="180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Unless the Plan Administrator expressly authorizes otherwise, the Recipient shall satisfy all tax withholding obligations arising in connection with the vesting of RSUs by either (i) automatically having withheld or otherwise transferring to the Company, effective as of each Vesting Date, such number of shares of Common Stock underlying the RSUs that vest on such Vesting Date as have a fair market value (calculated in accordance with the Plan) equal to the amount of the applicable tax withholding obligations in connection with the vesting and settlement of such RSUs, or (ii) through a sale-to-cover transaction authorized by the Recipient, pursuant to which an immediate open-market sale of a portion of the shares of Common Stock issued to Recipient will be effected, for and on behalf of the Recipient, by the Company’s designated broker to cover such withholding obligations (however, no sale-to-cover transaction shall be effected unless such a sale is at the time permissible under the Company’s insider trading policies governing the sale of Common Stock). The Recipient further acknowledges and agrees that the Company has the right to deduct from payments of any kind otherwise due to the Recipient any other federal, state, local or other taxes of any kind required by law to be withheld with respect to the vesting and settlement of the RSUs in the event the withholding of shares of Common Stock authorized above is insufficient to satisfy all tax withholding obligations. If requested by the Plan Administrator, the Recipient agrees to satisfy such tax withholding obligations by making a cash payment to the Company on the date of vesting of the</w:t>
      </w:r>
    </w:p>
    <w:p>
      <w:pPr>
        <w:sectPr>
          <w:pgSz w:w="11900" w:h="16838" w:orient="portrait"/>
          <w:cols w:equalWidth="0" w:num="1">
            <w:col w:w="11000"/>
          </w:cols>
          <w:pgMar w:left="460" w:top="1440" w:right="439" w:bottom="1440" w:gutter="0" w:footer="0" w:header="0"/>
        </w:sectPr>
      </w:pPr>
    </w:p>
    <w:bookmarkStart w:id="90" w:name="page91"/>
    <w:bookmarkEnd w:id="90"/>
    <w:p>
      <w:pPr>
        <w:spacing w:after="0" w:line="22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21"/>
          <w:szCs w:val="21"/>
          <w:color w:val="auto"/>
        </w:rPr>
        <w:t>RSUs, in such amount as the Company determines is necessary to satisfy its withholding obligations in connection with the vesting and settlement of such RSUs.</w:t>
      </w:r>
    </w:p>
    <w:p>
      <w:pPr>
        <w:spacing w:after="0" w:line="199" w:lineRule="exact"/>
        <w:rPr>
          <w:sz w:val="20"/>
          <w:szCs w:val="20"/>
          <w:color w:val="auto"/>
        </w:rPr>
      </w:pPr>
    </w:p>
    <w:p>
      <w:pPr>
        <w:ind w:left="1300" w:hanging="648"/>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60" w:lineRule="exact"/>
        <w:rPr>
          <w:rFonts w:ascii="Times New Roman" w:cs="Times New Roman" w:eastAsia="Times New Roman" w:hAnsi="Times New Roman"/>
          <w:sz w:val="22"/>
          <w:szCs w:val="22"/>
          <w:color w:val="auto"/>
        </w:rPr>
      </w:pPr>
    </w:p>
    <w:p>
      <w:pPr>
        <w:ind w:right="340" w:firstLine="1301"/>
        <w:spacing w:after="0" w:line="251" w:lineRule="auto"/>
        <w:tabs>
          <w:tab w:leader="none" w:pos="180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Authority of the Plan Administrator</w:t>
      </w:r>
      <w:r>
        <w:rPr>
          <w:rFonts w:ascii="Times New Roman" w:cs="Times New Roman" w:eastAsia="Times New Roman" w:hAnsi="Times New Roman"/>
          <w:sz w:val="21"/>
          <w:szCs w:val="21"/>
          <w:color w:val="auto"/>
        </w:rPr>
        <w:t>. In making any decisions or taking any actions with respect to the matters covered by this Agreement, the Plan Administrator shall have full authority and discretion, and shall be subject to all of the protections provided for in the Plan. All decisions and actions by the Plan Administrator with respect to this Agreement shall be made in the Plan Administrator’s sole discretion and shall be final and binding on all.</w:t>
      </w:r>
    </w:p>
    <w:p>
      <w:pPr>
        <w:spacing w:after="0" w:line="219" w:lineRule="exact"/>
        <w:rPr>
          <w:rFonts w:ascii="Times New Roman" w:cs="Times New Roman" w:eastAsia="Times New Roman" w:hAnsi="Times New Roman"/>
          <w:sz w:val="22"/>
          <w:szCs w:val="22"/>
          <w:color w:val="auto"/>
        </w:rPr>
      </w:pPr>
    </w:p>
    <w:p>
      <w:pPr>
        <w:ind w:right="40" w:firstLine="1301"/>
        <w:spacing w:after="0" w:line="248" w:lineRule="auto"/>
        <w:tabs>
          <w:tab w:leader="none" w:pos="180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 Employment or Service Contract</w:t>
      </w:r>
      <w:r>
        <w:rPr>
          <w:rFonts w:ascii="Times New Roman" w:cs="Times New Roman" w:eastAsia="Times New Roman" w:hAnsi="Times New Roman"/>
          <w:sz w:val="21"/>
          <w:szCs w:val="21"/>
          <w:color w:val="auto"/>
        </w:rPr>
        <w:t>. The Recipient acknowledges and agrees that, notwithstanding the fact that vesting and settlement of the RSUs is contingent upon Recipient’s continued employment with, or service to, the Company (or any parent or subsidiary corporation of the Company employing or retaining Recipient), this Agreement does not constitute an express or implied promise of continued employment or service and nothing herein or in the Plan shall confer upon the Recipient any rights to continue in the employment or service of the Company (or any parent or subsidiary corporation of the Company employing or retaining Recipient) for any period of time or interfere with or otherwise restrict in any way the rights of the Company (or any parent or subsidiary corporation of the Company employing or retaining Recipient) or Recipient, which rights are hereby expressly reserved by each, to terminate Recipient’s service or employment at any time for any reason whatsoever, with or without cause.</w:t>
      </w:r>
    </w:p>
    <w:p>
      <w:pPr>
        <w:spacing w:after="0" w:line="239" w:lineRule="exact"/>
        <w:rPr>
          <w:rFonts w:ascii="Times New Roman" w:cs="Times New Roman" w:eastAsia="Times New Roman" w:hAnsi="Times New Roman"/>
          <w:sz w:val="22"/>
          <w:szCs w:val="22"/>
          <w:color w:val="auto"/>
        </w:rPr>
      </w:pPr>
    </w:p>
    <w:p>
      <w:pPr>
        <w:ind w:left="1800" w:hanging="500"/>
        <w:spacing w:after="0"/>
        <w:tabs>
          <w:tab w:leader="none" w:pos="18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given or delivered to the Company under the terms of this Agreement</w:t>
      </w:r>
    </w:p>
    <w:p>
      <w:pPr>
        <w:spacing w:after="0" w:line="14"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1"/>
          <w:szCs w:val="21"/>
          <w:color w:val="auto"/>
        </w:rPr>
        <w:t>shall be in writing and addressed to the Company in care of the Corporate Secretary at its principal corporate offices. Any notice required to be given or delivered to Recipient shall be in writing and addressed to the Recipient at the address indicated below Recipient’s signature line of the Award Notice or such address as Recipient may provide for the Company to keep on file as updated from time to time. All notices shall be deemed to have been given or delivered upon personal delivery or upon deposit in the U. S. Mail, postage prepaid and properly addressed to the party to be notified.</w:t>
      </w:r>
    </w:p>
    <w:p>
      <w:pPr>
        <w:spacing w:after="0" w:line="222" w:lineRule="exact"/>
        <w:rPr>
          <w:sz w:val="20"/>
          <w:szCs w:val="20"/>
          <w:color w:val="auto"/>
        </w:rPr>
      </w:pPr>
    </w:p>
    <w:p>
      <w:pPr>
        <w:jc w:val="both"/>
        <w:ind w:firstLine="1301"/>
        <w:spacing w:after="0" w:line="249" w:lineRule="auto"/>
        <w:tabs>
          <w:tab w:leader="none" w:pos="180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Construction; Amendment</w:t>
      </w:r>
      <w:r>
        <w:rPr>
          <w:rFonts w:ascii="Times New Roman" w:cs="Times New Roman" w:eastAsia="Times New Roman" w:hAnsi="Times New Roman"/>
          <w:sz w:val="21"/>
          <w:szCs w:val="21"/>
          <w:color w:val="auto"/>
        </w:rPr>
        <w:t>. The Recipient acknowledges that Recipient has read this Agreement, has received and read the Plan, and understands the terms and conditions of this Agreement and the Plan. This Agreement and the RSUs evidenced hereby are made and granted pursuant to the Plan and are in all respects limited by and subject to the express terms and provisions of the Plan. All decisions of the Plan Administrator with respect to any question or issue arising under the Plan or this Agreement shall be conclusive and binding on all persons having or claiming an interest in the RSUs. This Agreement may only be amended by a writing executed by the parties hereto expressly providing for amendment of this Agreement except that the Plan Administrator may unilaterally make amendments that do not adversely affect Recipient’s rights hereunder, provided timely notice of such amendments is provided to Recipient.</w:t>
      </w:r>
    </w:p>
    <w:p>
      <w:pPr>
        <w:spacing w:after="0" w:line="224" w:lineRule="exact"/>
        <w:rPr>
          <w:rFonts w:ascii="Times New Roman" w:cs="Times New Roman" w:eastAsia="Times New Roman" w:hAnsi="Times New Roman"/>
          <w:sz w:val="22"/>
          <w:szCs w:val="22"/>
          <w:color w:val="auto"/>
        </w:rPr>
      </w:pPr>
    </w:p>
    <w:p>
      <w:pPr>
        <w:ind w:firstLine="1301"/>
        <w:spacing w:after="0" w:line="272" w:lineRule="auto"/>
        <w:tabs>
          <w:tab w:leader="none" w:pos="180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Except to the extent otherwise expressly provided herein, the provisions of this Agreement shall inure to the benefit of, and be binding upon, the successors,</w:t>
      </w:r>
    </w:p>
    <w:p>
      <w:pPr>
        <w:sectPr>
          <w:pgSz w:w="11900" w:h="16838" w:orient="portrait"/>
          <w:cols w:equalWidth="0" w:num="1">
            <w:col w:w="11000"/>
          </w:cols>
          <w:pgMar w:left="460" w:top="1440" w:right="439" w:bottom="1440" w:gutter="0" w:footer="0" w:header="0"/>
        </w:sectPr>
      </w:pPr>
    </w:p>
    <w:bookmarkStart w:id="91" w:name="page92"/>
    <w:bookmarkEnd w:id="91"/>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administrators, heirs, legal representatives and assigns of Recipient and the successors and assigns of the Company.</w:t>
      </w:r>
    </w:p>
    <w:p>
      <w:pPr>
        <w:spacing w:after="0" w:line="258" w:lineRule="exact"/>
        <w:rPr>
          <w:sz w:val="20"/>
          <w:szCs w:val="20"/>
          <w:color w:val="auto"/>
        </w:rPr>
      </w:pPr>
    </w:p>
    <w:p>
      <w:pPr>
        <w:jc w:val="both"/>
        <w:ind w:firstLine="1300"/>
        <w:spacing w:after="0" w:line="249" w:lineRule="auto"/>
        <w:tabs>
          <w:tab w:leader="none" w:pos="179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Liability of the Company</w:t>
      </w:r>
      <w:r>
        <w:rPr>
          <w:rFonts w:ascii="Times New Roman" w:cs="Times New Roman" w:eastAsia="Times New Roman" w:hAnsi="Times New Roman"/>
          <w:sz w:val="21"/>
          <w:szCs w:val="21"/>
          <w:color w:val="auto"/>
        </w:rPr>
        <w:t>. If the RSUs exceed, as of the Grant Date, the number of shares of Common Stock which may without shareholder approval be issued under the Plan, then this Award shall be void with respect to such excess shares unless shareholder approval of an amendment sufficiently increasing the number of shares of Common Stock issuable under the Plan is obtained in accordance with the provisions of this Plan and all applicable laws. 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spacing w:after="0" w:line="224" w:lineRule="exact"/>
        <w:rPr>
          <w:rFonts w:ascii="Times New Roman" w:cs="Times New Roman" w:eastAsia="Times New Roman" w:hAnsi="Times New Roman"/>
          <w:sz w:val="22"/>
          <w:szCs w:val="22"/>
          <w:color w:val="auto"/>
        </w:rPr>
      </w:pPr>
    </w:p>
    <w:p>
      <w:pPr>
        <w:jc w:val="both"/>
        <w:ind w:firstLine="1301"/>
        <w:spacing w:after="0" w:line="250" w:lineRule="auto"/>
        <w:tabs>
          <w:tab w:leader="none" w:pos="18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Compliance with Laws and Regulations</w:t>
      </w:r>
      <w:r>
        <w:rPr>
          <w:rFonts w:ascii="Times New Roman" w:cs="Times New Roman" w:eastAsia="Times New Roman" w:hAnsi="Times New Roman"/>
          <w:sz w:val="21"/>
          <w:szCs w:val="21"/>
          <w:color w:val="auto"/>
        </w:rPr>
        <w:t>. The award of RSUs hereunder and the settlement thereof is subject to compliance by the Company and Recipient with all applicable requirements of law relating thereto and all applicable regulations of any stock exchange or over-the- counter market on which such shares may be listed or traded at the time of such exercise and issuance. In connection with the settlement of RSUs, Recipient shall execute and deliver to the Company such representations in writing as may be requested by the Company in order for it to comply with the applicable requirements of federal and state securities laws.</w:t>
      </w:r>
    </w:p>
    <w:p>
      <w:pPr>
        <w:spacing w:after="0" w:line="220" w:lineRule="exact"/>
        <w:rPr>
          <w:rFonts w:ascii="Times New Roman" w:cs="Times New Roman" w:eastAsia="Times New Roman" w:hAnsi="Times New Roman"/>
          <w:sz w:val="22"/>
          <w:szCs w:val="22"/>
          <w:color w:val="auto"/>
        </w:rPr>
      </w:pPr>
    </w:p>
    <w:p>
      <w:pPr>
        <w:ind w:right="300" w:firstLine="1301"/>
        <w:spacing w:after="0" w:line="272" w:lineRule="auto"/>
        <w:tabs>
          <w:tab w:leader="none" w:pos="18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Capitalized Terms/Conflict</w:t>
      </w:r>
      <w:r>
        <w:rPr>
          <w:rFonts w:ascii="Times New Roman" w:cs="Times New Roman" w:eastAsia="Times New Roman" w:hAnsi="Times New Roman"/>
          <w:sz w:val="21"/>
          <w:szCs w:val="21"/>
          <w:color w:val="auto"/>
        </w:rPr>
        <w:t>. Capitalized terms not specifically defined herein have the meaning specified in the Plan. In the event of a conflict between the terms and conditions of this Agreement and the Plan, the Plan controls.</w:t>
      </w:r>
    </w:p>
    <w:p>
      <w:pPr>
        <w:spacing w:after="0" w:line="195" w:lineRule="exact"/>
        <w:rPr>
          <w:rFonts w:ascii="Times New Roman" w:cs="Times New Roman" w:eastAsia="Times New Roman" w:hAnsi="Times New Roman"/>
          <w:sz w:val="22"/>
          <w:szCs w:val="22"/>
          <w:color w:val="auto"/>
        </w:rPr>
      </w:pPr>
    </w:p>
    <w:p>
      <w:pPr>
        <w:ind w:right="100" w:firstLine="1301"/>
        <w:spacing w:after="0" w:line="256" w:lineRule="auto"/>
        <w:tabs>
          <w:tab w:leader="none" w:pos="179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Electronic Delivery</w:t>
      </w:r>
      <w:r>
        <w:rPr>
          <w:rFonts w:ascii="Times New Roman" w:cs="Times New Roman" w:eastAsia="Times New Roman" w:hAnsi="Times New Roman"/>
          <w:sz w:val="21"/>
          <w:szCs w:val="21"/>
          <w:color w:val="auto"/>
        </w:rPr>
        <w:t>. Recipient hereby consents to the delivery of information (including, without limitation, information required to be delivered to Recipient pursuant to applicable securities laws) regarding the Company and its subsidiaries and affiliates, the Plan, and the RSUs via Company web site or other electronic delivery.</w:t>
      </w:r>
    </w:p>
    <w:p>
      <w:pPr>
        <w:spacing w:after="0" w:line="213" w:lineRule="exact"/>
        <w:rPr>
          <w:rFonts w:ascii="Times New Roman" w:cs="Times New Roman" w:eastAsia="Times New Roman" w:hAnsi="Times New Roman"/>
          <w:sz w:val="22"/>
          <w:szCs w:val="22"/>
          <w:color w:val="auto"/>
        </w:rPr>
      </w:pPr>
    </w:p>
    <w:p>
      <w:pPr>
        <w:ind w:right="360" w:firstLine="1301"/>
        <w:spacing w:after="0" w:line="272" w:lineRule="auto"/>
        <w:tabs>
          <w:tab w:leader="none" w:pos="179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preceding the text of the sections hereof are inserted solely for convenience of reference, and shall not constitute a part of this Agreement, nor shall they affect its meaning, construction or effect.</w:t>
      </w:r>
    </w:p>
    <w:p>
      <w:pPr>
        <w:spacing w:after="0" w:line="209" w:lineRule="exact"/>
        <w:rPr>
          <w:rFonts w:ascii="Times New Roman" w:cs="Times New Roman" w:eastAsia="Times New Roman" w:hAnsi="Times New Roman"/>
          <w:sz w:val="22"/>
          <w:szCs w:val="22"/>
          <w:color w:val="auto"/>
        </w:rPr>
      </w:pPr>
    </w:p>
    <w:p>
      <w:pPr>
        <w:ind w:right="20" w:firstLine="1301"/>
        <w:spacing w:after="0" w:line="258" w:lineRule="auto"/>
        <w:tabs>
          <w:tab w:leader="none" w:pos="18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interpretation, performance, and enforcement of this Agreement shall be governed by the internal laws of the State of Delaware without regard to that state’s conflict-of-laws rules.</w:t>
      </w:r>
    </w:p>
    <w:p>
      <w:pPr>
        <w:sectPr>
          <w:pgSz w:w="11900" w:h="16838" w:orient="portrait"/>
          <w:cols w:equalWidth="0" w:num="1">
            <w:col w:w="11000"/>
          </w:cols>
          <w:pgMar w:left="460" w:top="1440" w:right="4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198"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8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20" w:hanging="316"/>
        <w:spacing w:after="0" w:line="266" w:lineRule="auto"/>
        <w:tabs>
          <w:tab w:leader="none" w:pos="16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316"/>
        <w:spacing w:after="0" w:line="266"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6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18"/>
        </w:trPr>
        <w:tc>
          <w:tcPr>
            <w:tcW w:w="59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59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94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Doyle, certify that:</w:t>
      </w:r>
    </w:p>
    <w:p>
      <w:pPr>
        <w:spacing w:after="0" w:line="198"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8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20" w:hanging="316"/>
        <w:spacing w:after="0" w:line="266" w:lineRule="auto"/>
        <w:tabs>
          <w:tab w:leader="none" w:pos="16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316"/>
        <w:spacing w:after="0" w:line="266"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6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Doyle</w:t>
            </w:r>
          </w:p>
        </w:tc>
      </w:tr>
      <w:tr>
        <w:trPr>
          <w:trHeight w:val="218"/>
        </w:trPr>
        <w:tc>
          <w:tcPr>
            <w:tcW w:w="59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Doyle</w:t>
            </w:r>
          </w:p>
        </w:tc>
      </w:tr>
      <w:tr>
        <w:trPr>
          <w:trHeight w:val="234"/>
        </w:trPr>
        <w:tc>
          <w:tcPr>
            <w:tcW w:w="59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4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June 30, 2024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p>
      <w:pPr>
        <w:sectPr>
          <w:pgSz w:w="11900" w:h="16838" w:orient="portrait"/>
          <w:cols w:equalWidth="0" w:num="1">
            <w:col w:w="11240"/>
          </w:cols>
          <w:pgMar w:left="320" w:top="94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June 30, 2024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Doyle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01"/>
    </w:lvl>
  </w:abstractNum>
  <w:abstractNum w:abstractNumId="32">
    <w:nsid w:val="70A64E2A"/>
    <w:multiLevelType w:val="hybridMultilevel"/>
    <w:lvl w:ilvl="0">
      <w:lvlJc w:val="left"/>
      <w:lvlText w:val="(%1)"/>
      <w:numFmt w:val="decimal"/>
      <w:start w:val="104"/>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5"/>
    </w:lvl>
  </w:abstractNum>
  <w:abstractNum w:abstractNumId="38">
    <w:nsid w:val="57E4CCAF"/>
    <w:multiLevelType w:val="hybridMultilevel"/>
    <w:lvl w:ilvl="0">
      <w:lvlJc w:val="left"/>
      <w:lvlText w:val="%1."/>
      <w:numFmt w:val="upperLetter"/>
      <w:start w:val="1"/>
    </w:lvl>
  </w:abstractNum>
  <w:abstractNum w:abstractNumId="39">
    <w:nsid w:val="7A6D8D3C"/>
    <w:multiLevelType w:val="hybridMultilevel"/>
    <w:lvl w:ilvl="0">
      <w:lvlJc w:val="left"/>
      <w:lvlText w:val="%1."/>
      <w:numFmt w:val="decimal"/>
      <w:start w:val="1"/>
    </w:lvl>
    <w:lvl w:ilvl="1">
      <w:lvlJc w:val="left"/>
      <w:lvlText w:val="(%2)"/>
      <w:numFmt w:val="lowerLetter"/>
      <w:start w:val="1"/>
    </w:lvl>
  </w:abstractNum>
  <w:abstractNum w:abstractNumId="40">
    <w:nsid w:val="4B588F54"/>
    <w:multiLevelType w:val="hybridMultilevel"/>
    <w:lvl w:ilvl="0">
      <w:lvlJc w:val="left"/>
      <w:lvlText w:val="%1."/>
      <w:numFmt w:val="decimal"/>
      <w:start w:val="2"/>
    </w:lvl>
    <w:lvl w:ilvl="1">
      <w:lvlJc w:val="left"/>
      <w:lvlText w:val="(%2)"/>
      <w:numFmt w:val="lowerLetter"/>
      <w:start w:val="1"/>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decimal"/>
      <w:start w:val="6"/>
    </w:lvl>
    <w:lvl w:ilvl="1">
      <w:lvlJc w:val="left"/>
      <w:lvlText w:val="(%2)"/>
      <w:numFmt w:val="lowerLetter"/>
      <w:start w:val="1"/>
    </w:lvl>
  </w:abstractNum>
  <w:abstractNum w:abstractNumId="44">
    <w:nsid w:val="7644A45C"/>
    <w:multiLevelType w:val="hybridMultilevel"/>
    <w:lvl w:ilvl="0">
      <w:lvlJc w:val="left"/>
      <w:lvlText w:val="%1."/>
      <w:numFmt w:val="decimal"/>
      <w:start w:val="7"/>
    </w:lvl>
    <w:lvl w:ilvl="1">
      <w:lvlJc w:val="left"/>
      <w:lvlText w:val="(%2)"/>
      <w:numFmt w:val="lowerLetter"/>
      <w:start w:val="1"/>
    </w:lvl>
  </w:abstractNum>
  <w:abstractNum w:abstractNumId="45">
    <w:nsid w:val="32FFF902"/>
    <w:multiLevelType w:val="hybridMultilevel"/>
    <w:lvl w:ilvl="0">
      <w:lvlJc w:val="left"/>
      <w:lvlText w:val="(%1)"/>
      <w:numFmt w:val="lowerLetter"/>
      <w:start w:val="4"/>
    </w:lvl>
  </w:abstractNum>
  <w:abstractNum w:abstractNumId="46">
    <w:nsid w:val="684A481A"/>
    <w:multiLevelType w:val="hybridMultilevel"/>
    <w:lvl w:ilvl="0">
      <w:lvlJc w:val="left"/>
      <w:lvlText w:val="(%1)"/>
      <w:numFmt w:val="lowerLetter"/>
      <w:start w:val="6"/>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07" Type="http://schemas.openxmlformats.org/officeDocument/2006/relationships/hyperlink" Target="https://www.sec.gov/Archives/edgar/data/882796/000103570406000836/d42297exv3w1.htm" TargetMode="External"/><Relationship Id="rId108" Type="http://schemas.openxmlformats.org/officeDocument/2006/relationships/hyperlink" Target="https://www.sec.gov/Archives/edgar/data/882796/000136231007001386/c70813exv3w1.htm" TargetMode="External"/><Relationship Id="rId109" Type="http://schemas.openxmlformats.org/officeDocument/2006/relationships/hyperlink" Target="https://www.sec.gov/Archives/edgar/data/882796/000119312514186707/d722313dex31.htm" TargetMode="External"/><Relationship Id="rId110" Type="http://schemas.openxmlformats.org/officeDocument/2006/relationships/hyperlink" Target="https://www.sec.gov/Archives/edgar/data/882796/000117184320003680/exh_31.htm" TargetMode="External"/><Relationship Id="rId111" Type="http://schemas.openxmlformats.org/officeDocument/2006/relationships/hyperlink" Target="http://www.sec.gov/Archives/edgar/data/882796/000117184320003680/exh_32.htm" TargetMode="External"/><Relationship Id="rId112" Type="http://schemas.openxmlformats.org/officeDocument/2006/relationships/hyperlink" Target="https://www.sec.gov/Archives/edgar/data/882796/000117184320003680/exh_32.htm" TargetMode="External"/><Relationship Id="rId113" Type="http://schemas.openxmlformats.org/officeDocument/2006/relationships/hyperlink" Target="https://www.sec.gov/Archives/edgar/data/882796/000117184324000297/exh_31.htm" TargetMode="External"/><Relationship Id="rId114" Type="http://schemas.openxmlformats.org/officeDocument/2006/relationships/hyperlink" Target="https://www.sec.gov/Archives/edgar/data/882796/000117184324003430/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2024-08-06T15:32:28Z</dcterms:created>
  <dcterms:modified xsi:type="dcterms:W3CDTF">2024-08-06T15:32:28Z</dcterms:modified>
</cp:coreProperties>
</file>