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right="236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right="2340" w:firstLine="8"/>
        <w:spacing w:after="0" w:line="498"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______________________ to ______________________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Commission File Number 000-23186</w:t>
            </w:r>
          </w:p>
        </w:tc>
        <w:tc>
          <w:tcPr>
            <w:tcW w:w="3640" w:type="dxa"/>
            <w:vAlign w:val="bottom"/>
          </w:tcPr>
          <w:p>
            <w:pPr>
              <w:spacing w:after="0"/>
              <w:rPr>
                <w:sz w:val="20"/>
                <w:szCs w:val="20"/>
                <w:color w:val="auto"/>
              </w:rPr>
            </w:pPr>
          </w:p>
        </w:tc>
      </w:tr>
      <w:tr>
        <w:trPr>
          <w:trHeight w:val="418"/>
        </w:trPr>
        <w:tc>
          <w:tcPr>
            <w:tcW w:w="3960" w:type="dxa"/>
            <w:vAlign w:val="bottom"/>
          </w:tcPr>
          <w:p>
            <w:pPr>
              <w:spacing w:after="0"/>
              <w:rPr>
                <w:sz w:val="24"/>
                <w:szCs w:val="24"/>
                <w:color w:val="auto"/>
              </w:rPr>
            </w:pPr>
          </w:p>
        </w:tc>
        <w:tc>
          <w:tcPr>
            <w:tcW w:w="36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BIOCRYST PHARMACEUTICALS, INC.</w:t>
            </w:r>
          </w:p>
        </w:tc>
        <w:tc>
          <w:tcPr>
            <w:tcW w:w="3640" w:type="dxa"/>
            <w:vAlign w:val="bottom"/>
          </w:tcPr>
          <w:p>
            <w:pPr>
              <w:spacing w:after="0"/>
              <w:rPr>
                <w:sz w:val="24"/>
                <w:szCs w:val="24"/>
                <w:color w:val="auto"/>
              </w:rPr>
            </w:pPr>
          </w:p>
        </w:tc>
      </w:tr>
      <w:tr>
        <w:trPr>
          <w:trHeight w:val="230"/>
        </w:trPr>
        <w:tc>
          <w:tcPr>
            <w:tcW w:w="7600" w:type="dxa"/>
            <w:vAlign w:val="bottom"/>
            <w:gridSpan w:val="4"/>
          </w:tcPr>
          <w:p>
            <w:pPr>
              <w:jc w:val="center"/>
              <w:ind w:left="3550"/>
              <w:spacing w:after="0"/>
              <w:rPr>
                <w:sz w:val="20"/>
                <w:szCs w:val="20"/>
                <w:color w:val="auto"/>
              </w:rPr>
            </w:pPr>
            <w:r>
              <w:rPr>
                <w:rFonts w:ascii="Arial" w:cs="Arial" w:eastAsia="Arial" w:hAnsi="Arial"/>
                <w:sz w:val="18"/>
                <w:szCs w:val="18"/>
                <w:color w:val="auto"/>
                <w:w w:val="90"/>
              </w:rPr>
              <w:t>(Exact name of registrant as specified in its charter)</w:t>
            </w:r>
          </w:p>
        </w:tc>
        <w:tc>
          <w:tcPr>
            <w:tcW w:w="3640" w:type="dxa"/>
            <w:vAlign w:val="bottom"/>
          </w:tcPr>
          <w:p>
            <w:pPr>
              <w:spacing w:after="0"/>
              <w:rPr>
                <w:sz w:val="20"/>
                <w:szCs w:val="20"/>
                <w:color w:val="auto"/>
              </w:rPr>
            </w:pPr>
          </w:p>
        </w:tc>
      </w:tr>
      <w:tr>
        <w:trPr>
          <w:trHeight w:val="418"/>
        </w:trPr>
        <w:tc>
          <w:tcPr>
            <w:tcW w:w="420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40" w:type="dxa"/>
            <w:vAlign w:val="bottom"/>
          </w:tcPr>
          <w:p>
            <w:pPr>
              <w:jc w:val="right"/>
              <w:ind w:right="2290"/>
              <w:spacing w:after="0"/>
              <w:rPr>
                <w:sz w:val="20"/>
                <w:szCs w:val="20"/>
                <w:color w:val="auto"/>
              </w:rPr>
            </w:pPr>
            <w:r>
              <w:rPr>
                <w:rFonts w:ascii="Arial" w:cs="Arial" w:eastAsia="Arial" w:hAnsi="Arial"/>
                <w:sz w:val="18"/>
                <w:szCs w:val="18"/>
                <w:b w:val="1"/>
                <w:bCs w:val="1"/>
                <w:color w:val="auto"/>
              </w:rPr>
              <w:t>62-1413174</w:t>
            </w:r>
          </w:p>
        </w:tc>
      </w:tr>
      <w:tr>
        <w:trPr>
          <w:trHeight w:val="216"/>
        </w:trPr>
        <w:tc>
          <w:tcPr>
            <w:tcW w:w="4200" w:type="dxa"/>
            <w:vAlign w:val="bottom"/>
            <w:gridSpan w:val="2"/>
          </w:tcPr>
          <w:p>
            <w:pPr>
              <w:jc w:val="center"/>
              <w:ind w:left="1350"/>
              <w:spacing w:after="0"/>
              <w:rPr>
                <w:sz w:val="20"/>
                <w:szCs w:val="20"/>
                <w:color w:val="auto"/>
              </w:rPr>
            </w:pPr>
            <w:r>
              <w:rPr>
                <w:rFonts w:ascii="Arial" w:cs="Arial" w:eastAsia="Arial" w:hAnsi="Arial"/>
                <w:sz w:val="18"/>
                <w:szCs w:val="18"/>
                <w:color w:val="auto"/>
                <w:w w:val="92"/>
              </w:rPr>
              <w:t>(State or other jurisdiction of</w:t>
            </w:r>
          </w:p>
        </w:tc>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jc w:val="center"/>
              <w:ind w:right="1890"/>
              <w:spacing w:after="0"/>
              <w:rPr>
                <w:sz w:val="20"/>
                <w:szCs w:val="20"/>
                <w:color w:val="auto"/>
              </w:rPr>
            </w:pPr>
            <w:r>
              <w:rPr>
                <w:rFonts w:ascii="Arial" w:cs="Arial" w:eastAsia="Arial" w:hAnsi="Arial"/>
                <w:sz w:val="18"/>
                <w:szCs w:val="18"/>
                <w:color w:val="auto"/>
                <w:w w:val="92"/>
              </w:rPr>
              <w:t>(I.R.S. Employer</w:t>
            </w:r>
          </w:p>
        </w:tc>
      </w:tr>
      <w:tr>
        <w:trPr>
          <w:trHeight w:val="230"/>
        </w:trPr>
        <w:tc>
          <w:tcPr>
            <w:tcW w:w="4200" w:type="dxa"/>
            <w:vAlign w:val="bottom"/>
            <w:gridSpan w:val="2"/>
          </w:tcPr>
          <w:p>
            <w:pPr>
              <w:jc w:val="center"/>
              <w:ind w:left="1350"/>
              <w:spacing w:after="0"/>
              <w:rPr>
                <w:sz w:val="20"/>
                <w:szCs w:val="20"/>
                <w:color w:val="auto"/>
              </w:rPr>
            </w:pPr>
            <w:r>
              <w:rPr>
                <w:rFonts w:ascii="Arial" w:cs="Arial" w:eastAsia="Arial" w:hAnsi="Arial"/>
                <w:sz w:val="18"/>
                <w:szCs w:val="18"/>
                <w:color w:val="auto"/>
                <w:w w:val="92"/>
              </w:rPr>
              <w:t>incorporation or organization)</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40" w:type="dxa"/>
            <w:vAlign w:val="bottom"/>
          </w:tcPr>
          <w:p>
            <w:pPr>
              <w:jc w:val="center"/>
              <w:ind w:right="18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20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0"/>
              </w:rPr>
              <w:t>4505 Emperor Blvd., Suite 200</w:t>
            </w:r>
          </w:p>
        </w:tc>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0"/>
        </w:trPr>
        <w:tc>
          <w:tcPr>
            <w:tcW w:w="420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4"/>
              </w:rPr>
              <w:t>Durham, North Carolina</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40" w:type="dxa"/>
            <w:vAlign w:val="bottom"/>
          </w:tcPr>
          <w:p>
            <w:pPr>
              <w:jc w:val="right"/>
              <w:ind w:right="2490"/>
              <w:spacing w:after="0"/>
              <w:rPr>
                <w:sz w:val="20"/>
                <w:szCs w:val="20"/>
                <w:color w:val="auto"/>
              </w:rPr>
            </w:pPr>
            <w:r>
              <w:rPr>
                <w:rFonts w:ascii="Arial" w:cs="Arial" w:eastAsia="Arial" w:hAnsi="Arial"/>
                <w:sz w:val="18"/>
                <w:szCs w:val="18"/>
                <w:b w:val="1"/>
                <w:bCs w:val="1"/>
                <w:color w:val="auto"/>
              </w:rPr>
              <w:t>27703</w:t>
            </w:r>
          </w:p>
        </w:tc>
      </w:tr>
      <w:tr>
        <w:trPr>
          <w:trHeight w:val="230"/>
        </w:trPr>
        <w:tc>
          <w:tcPr>
            <w:tcW w:w="7600" w:type="dxa"/>
            <w:vAlign w:val="bottom"/>
            <w:gridSpan w:val="4"/>
          </w:tcPr>
          <w:p>
            <w:pPr>
              <w:jc w:val="center"/>
              <w:ind w:right="198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right="1890"/>
              <w:spacing w:after="0"/>
              <w:rPr>
                <w:sz w:val="20"/>
                <w:szCs w:val="20"/>
                <w:color w:val="auto"/>
              </w:rPr>
            </w:pPr>
            <w:r>
              <w:rPr>
                <w:rFonts w:ascii="Arial" w:cs="Arial" w:eastAsia="Arial" w:hAnsi="Arial"/>
                <w:sz w:val="18"/>
                <w:szCs w:val="18"/>
                <w:color w:val="auto"/>
                <w:w w:val="91"/>
              </w:rPr>
              <w:t>(Zip Code)</w:t>
            </w:r>
          </w:p>
        </w:tc>
      </w:tr>
      <w:tr>
        <w:trPr>
          <w:trHeight w:val="418"/>
        </w:trPr>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(919) 859-1302</w:t>
            </w:r>
          </w:p>
        </w:tc>
        <w:tc>
          <w:tcPr>
            <w:tcW w:w="2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7600" w:type="dxa"/>
            <w:vAlign w:val="bottom"/>
            <w:gridSpan w:val="4"/>
          </w:tcPr>
          <w:p>
            <w:pPr>
              <w:jc w:val="center"/>
              <w:ind w:left="355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spacing w:after="0"/>
              <w:rPr>
                <w:sz w:val="20"/>
                <w:szCs w:val="20"/>
                <w:color w:val="auto"/>
              </w:rPr>
            </w:pP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3"/>
        </w:trPr>
        <w:tc>
          <w:tcPr>
            <w:tcW w:w="3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r>
      <w:tr>
        <w:trPr>
          <w:trHeight w:val="210"/>
        </w:trPr>
        <w:tc>
          <w:tcPr>
            <w:tcW w:w="39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Title of each class</w:t>
            </w:r>
          </w:p>
        </w:tc>
        <w:tc>
          <w:tcPr>
            <w:tcW w:w="240" w:type="dxa"/>
            <w:vAlign w:val="bottom"/>
            <w:tcBorders>
              <w:bottom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jc w:val="center"/>
              <w:ind w:right="170"/>
              <w:spacing w:after="0" w:line="189" w:lineRule="exact"/>
              <w:rPr>
                <w:sz w:val="20"/>
                <w:szCs w:val="20"/>
                <w:color w:val="auto"/>
              </w:rPr>
            </w:pPr>
            <w:r>
              <w:rPr>
                <w:rFonts w:ascii="Arial" w:cs="Arial" w:eastAsia="Arial" w:hAnsi="Arial"/>
                <w:sz w:val="18"/>
                <w:szCs w:val="18"/>
                <w:color w:val="auto"/>
                <w:w w:val="91"/>
              </w:rPr>
              <w:t>Trading Symbol(s)</w:t>
            </w:r>
          </w:p>
        </w:tc>
        <w:tc>
          <w:tcPr>
            <w:tcW w:w="280" w:type="dxa"/>
            <w:vAlign w:val="bottom"/>
            <w:tcBorders>
              <w:bottom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jc w:val="center"/>
              <w:ind w:right="210"/>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w:t>
            </w: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jc w:val="center"/>
              <w:ind w:right="170"/>
              <w:spacing w:after="0" w:line="193" w:lineRule="exact"/>
              <w:rPr>
                <w:sz w:val="20"/>
                <w:szCs w:val="20"/>
                <w:color w:val="auto"/>
              </w:rPr>
            </w:pPr>
            <w:r>
              <w:rPr>
                <w:rFonts w:ascii="Arial" w:cs="Arial" w:eastAsia="Arial" w:hAnsi="Arial"/>
                <w:sz w:val="18"/>
                <w:szCs w:val="18"/>
                <w:color w:val="auto"/>
                <w:w w:val="99"/>
              </w:rPr>
              <w:t>BCRX</w:t>
            </w:r>
          </w:p>
        </w:tc>
        <w:tc>
          <w:tcPr>
            <w:tcW w:w="280" w:type="dxa"/>
            <w:vAlign w:val="bottom"/>
            <w:tcBorders>
              <w:bottom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jc w:val="center"/>
              <w:ind w:right="210"/>
              <w:spacing w:after="0" w:line="193" w:lineRule="exact"/>
              <w:rPr>
                <w:sz w:val="20"/>
                <w:szCs w:val="20"/>
                <w:color w:val="auto"/>
              </w:rPr>
            </w:pPr>
            <w:r>
              <w:rPr>
                <w:rFonts w:ascii="Arial" w:cs="Arial" w:eastAsia="Arial" w:hAnsi="Arial"/>
                <w:sz w:val="18"/>
                <w:szCs w:val="18"/>
                <w:color w:val="auto"/>
                <w:w w:val="91"/>
              </w:rPr>
              <w:t>Nasdaq Global Select Market</w:t>
            </w:r>
          </w:p>
        </w:tc>
      </w:tr>
    </w:tbl>
    <w:p>
      <w:pPr>
        <w:spacing w:after="0" w:line="20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2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560" w:val="left"/>
          <w:tab w:leader="none" w:pos="94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par value $0.01, of the Registrant outstanding as of April 30, 2021 was 177,696,474.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2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rPr>
              <w:t>BIOCRYST PHARMACEUTICALS, INC.</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60" w:type="dxa"/>
            <w:vAlign w:val="bottom"/>
            <w:gridSpan w:val="6"/>
          </w:tcPr>
          <w:p>
            <w:pPr>
              <w:jc w:val="center"/>
              <w:ind w:right="414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88"/>
              </w:rPr>
              <w:t>Page No.</w:t>
            </w:r>
          </w:p>
        </w:tc>
      </w:tr>
      <w:tr>
        <w:trPr>
          <w:trHeight w:val="385"/>
        </w:trPr>
        <w:tc>
          <w:tcPr>
            <w:tcW w:w="416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Cautionary Note Regarding Forward-Looking Statements</w:t>
              </w:r>
            </w:hyperlink>
          </w:p>
        </w:tc>
        <w:tc>
          <w:tcPr>
            <w:tcW w:w="632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3"/>
          </w:tcPr>
          <w:p>
            <w:pPr>
              <w:jc w:val="center"/>
              <w:ind w:right="340"/>
              <w:spacing w:after="0"/>
              <w:rPr>
                <w:rFonts w:ascii="Arial" w:cs="Arial" w:eastAsia="Arial" w:hAnsi="Arial"/>
                <w:sz w:val="18"/>
                <w:szCs w:val="18"/>
                <w:u w:val="single" w:color="auto"/>
                <w:color w:val="0000EE"/>
                <w:w w:val="98"/>
              </w:rPr>
            </w:pPr>
            <w:hyperlink w:anchor="page3">
              <w:r>
                <w:rPr>
                  <w:rFonts w:ascii="Arial" w:cs="Arial" w:eastAsia="Arial" w:hAnsi="Arial"/>
                  <w:sz w:val="18"/>
                  <w:szCs w:val="18"/>
                  <w:u w:val="single" w:color="auto"/>
                  <w:color w:val="0000EE"/>
                  <w:w w:val="98"/>
                </w:rPr>
                <w:t>i</w:t>
              </w:r>
            </w:hyperlink>
          </w:p>
        </w:tc>
      </w:tr>
      <w:tr>
        <w:trPr>
          <w:trHeight w:val="196"/>
        </w:trPr>
        <w:tc>
          <w:tcPr>
            <w:tcW w:w="1048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Risk Factor Summary</w:t>
              </w:r>
            </w:hyperlink>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r>
      <w:tr>
        <w:trPr>
          <w:trHeight w:val="20"/>
        </w:trPr>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48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Part I. Financial Information</w:t>
              </w:r>
            </w:hyperlink>
          </w:p>
        </w:tc>
        <w:tc>
          <w:tcPr>
            <w:tcW w:w="420" w:type="dxa"/>
            <w:vAlign w:val="bottom"/>
            <w:gridSpan w:val="3"/>
          </w:tcPr>
          <w:p>
            <w:pPr>
              <w:jc w:val="center"/>
              <w:ind w:left="2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120" w:type="dxa"/>
            <w:vAlign w:val="bottom"/>
            <w:gridSpan w:val="9"/>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1. Financial Statements:</w:t>
              </w:r>
            </w:hyperlink>
          </w:p>
        </w:tc>
        <w:tc>
          <w:tcPr>
            <w:tcW w:w="8360" w:type="dxa"/>
            <w:vAlign w:val="bottom"/>
            <w:gridSpan w:val="10"/>
          </w:tcPr>
          <w:p>
            <w:pPr>
              <w:spacing w:after="0"/>
              <w:rPr>
                <w:sz w:val="17"/>
                <w:szCs w:val="17"/>
                <w:color w:val="auto"/>
              </w:rPr>
            </w:pPr>
          </w:p>
        </w:tc>
        <w:tc>
          <w:tcPr>
            <w:tcW w:w="420" w:type="dxa"/>
            <w:vAlign w:val="bottom"/>
            <w:gridSpan w:val="3"/>
          </w:tcPr>
          <w:p>
            <w:pPr>
              <w:jc w:val="center"/>
              <w:ind w:left="2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160" w:type="dxa"/>
            <w:vAlign w:val="bottom"/>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Balance Sheets - March 31, 2021 and December 31, 2020</w:t>
              </w:r>
            </w:hyperlink>
          </w:p>
        </w:tc>
        <w:tc>
          <w:tcPr>
            <w:tcW w:w="4920" w:type="dxa"/>
            <w:vAlign w:val="bottom"/>
            <w:gridSpan w:val="5"/>
          </w:tcPr>
          <w:p>
            <w:pPr>
              <w:spacing w:after="0"/>
              <w:rPr>
                <w:sz w:val="17"/>
                <w:szCs w:val="17"/>
                <w:color w:val="auto"/>
              </w:rPr>
            </w:pPr>
          </w:p>
        </w:tc>
        <w:tc>
          <w:tcPr>
            <w:tcW w:w="420" w:type="dxa"/>
            <w:vAlign w:val="bottom"/>
            <w:gridSpan w:val="3"/>
          </w:tcPr>
          <w:p>
            <w:pPr>
              <w:jc w:val="center"/>
              <w:ind w:left="2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Comprehensive Loss - Three Months Ended March 31, 2021 and 2020</w:t>
              </w:r>
            </w:hyperlink>
          </w:p>
        </w:tc>
        <w:tc>
          <w:tcPr>
            <w:tcW w:w="420" w:type="dxa"/>
            <w:vAlign w:val="bottom"/>
            <w:gridSpan w:val="3"/>
          </w:tcPr>
          <w:p>
            <w:pPr>
              <w:jc w:val="center"/>
              <w:ind w:left="25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2</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7100" w:type="dxa"/>
            <w:vAlign w:val="bottom"/>
            <w:gridSpan w:val="16"/>
          </w:tcPr>
          <w:p>
            <w:pP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Consolidated Statements of Cash Flows - Three Months Ended March 31, 2021 and 2020</w:t>
              </w:r>
            </w:hyperlink>
          </w:p>
        </w:tc>
        <w:tc>
          <w:tcPr>
            <w:tcW w:w="2980" w:type="dxa"/>
            <w:vAlign w:val="bottom"/>
            <w:gridSpan w:val="2"/>
          </w:tcPr>
          <w:p>
            <w:pPr>
              <w:spacing w:after="0"/>
              <w:rPr>
                <w:sz w:val="17"/>
                <w:szCs w:val="17"/>
                <w:color w:val="auto"/>
              </w:rPr>
            </w:pPr>
          </w:p>
        </w:tc>
        <w:tc>
          <w:tcPr>
            <w:tcW w:w="420" w:type="dxa"/>
            <w:vAlign w:val="bottom"/>
            <w:gridSpan w:val="3"/>
          </w:tcPr>
          <w:p>
            <w:pPr>
              <w:jc w:val="center"/>
              <w:ind w:left="250"/>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3</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7780" w:type="dxa"/>
            <w:vAlign w:val="bottom"/>
            <w:gridSpan w:val="17"/>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Consolidated Statements of Stockholders’ Equity (Deficit) - Three Months Ended March 31, 2021 and 2020</w:t>
              </w:r>
            </w:hyperlink>
          </w:p>
        </w:tc>
        <w:tc>
          <w:tcPr>
            <w:tcW w:w="2300" w:type="dxa"/>
            <w:vAlign w:val="bottom"/>
          </w:tcPr>
          <w:p>
            <w:pPr>
              <w:spacing w:after="0"/>
              <w:rPr>
                <w:sz w:val="17"/>
                <w:szCs w:val="17"/>
                <w:color w:val="auto"/>
              </w:rPr>
            </w:pPr>
          </w:p>
        </w:tc>
        <w:tc>
          <w:tcPr>
            <w:tcW w:w="420" w:type="dxa"/>
            <w:vAlign w:val="bottom"/>
            <w:gridSpan w:val="3"/>
          </w:tcPr>
          <w:p>
            <w:pPr>
              <w:jc w:val="center"/>
              <w:ind w:left="25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4</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3160" w:type="dxa"/>
            <w:vAlign w:val="bottom"/>
            <w:gridSpan w:val="10"/>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w:t>
              </w:r>
            </w:hyperlink>
          </w:p>
        </w:tc>
        <w:tc>
          <w:tcPr>
            <w:tcW w:w="4620" w:type="dxa"/>
            <w:vAlign w:val="bottom"/>
            <w:gridSpan w:val="7"/>
          </w:tcPr>
          <w:p>
            <w:pPr>
              <w:spacing w:after="0"/>
              <w:rPr>
                <w:sz w:val="17"/>
                <w:szCs w:val="17"/>
                <w:color w:val="auto"/>
              </w:rPr>
            </w:pPr>
          </w:p>
        </w:tc>
        <w:tc>
          <w:tcPr>
            <w:tcW w:w="2300" w:type="dxa"/>
            <w:vAlign w:val="bottom"/>
          </w:tcPr>
          <w:p>
            <w:pPr>
              <w:spacing w:after="0"/>
              <w:rPr>
                <w:sz w:val="17"/>
                <w:szCs w:val="17"/>
                <w:color w:val="auto"/>
              </w:rPr>
            </w:pPr>
          </w:p>
        </w:tc>
        <w:tc>
          <w:tcPr>
            <w:tcW w:w="420" w:type="dxa"/>
            <w:vAlign w:val="bottom"/>
            <w:gridSpan w:val="3"/>
          </w:tcPr>
          <w:p>
            <w:pPr>
              <w:jc w:val="center"/>
              <w:ind w:left="250"/>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5</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7020" w:type="dxa"/>
            <w:vAlign w:val="bottom"/>
            <w:gridSpan w:val="16"/>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2. Management’s Discussion and Analysis of Financial Condition and Results of Operations</w:t>
              </w:r>
            </w:hyperlink>
          </w:p>
        </w:tc>
        <w:tc>
          <w:tcPr>
            <w:tcW w:w="34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920" w:type="dxa"/>
            <w:vAlign w:val="bottom"/>
            <w:gridSpan w:val="13"/>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3. Quantitative and Qualitative Disclosures About Market Risk</w:t>
              </w:r>
            </w:hyperlink>
          </w:p>
        </w:tc>
        <w:tc>
          <w:tcPr>
            <w:tcW w:w="2100" w:type="dxa"/>
            <w:vAlign w:val="bottom"/>
            <w:gridSpan w:val="3"/>
          </w:tcPr>
          <w:p>
            <w:pPr>
              <w:spacing w:after="0"/>
              <w:rPr>
                <w:sz w:val="17"/>
                <w:szCs w:val="17"/>
                <w:color w:val="auto"/>
              </w:rPr>
            </w:pPr>
          </w:p>
        </w:tc>
        <w:tc>
          <w:tcPr>
            <w:tcW w:w="34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340" w:type="dxa"/>
            <w:vAlign w:val="bottom"/>
            <w:gridSpan w:val="10"/>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4. Controls and Procedures</w:t>
              </w:r>
            </w:hyperlink>
          </w:p>
        </w:tc>
        <w:tc>
          <w:tcPr>
            <w:tcW w:w="2580" w:type="dxa"/>
            <w:vAlign w:val="bottom"/>
            <w:gridSpan w:val="3"/>
          </w:tcPr>
          <w:p>
            <w:pPr>
              <w:spacing w:after="0"/>
              <w:rPr>
                <w:sz w:val="17"/>
                <w:szCs w:val="17"/>
                <w:color w:val="auto"/>
              </w:rPr>
            </w:pPr>
          </w:p>
        </w:tc>
        <w:tc>
          <w:tcPr>
            <w:tcW w:w="556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14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340" w:type="dxa"/>
            <w:vAlign w:val="bottom"/>
            <w:gridSpan w:val="1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814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33</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600" w:type="dxa"/>
            <w:vAlign w:val="bottom"/>
            <w:gridSpan w:val="6"/>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260" w:type="dxa"/>
            <w:vAlign w:val="bottom"/>
          </w:tcPr>
          <w:p>
            <w:pPr>
              <w:spacing w:after="0"/>
              <w:rPr>
                <w:sz w:val="17"/>
                <w:szCs w:val="17"/>
                <w:color w:val="auto"/>
              </w:rPr>
            </w:pPr>
          </w:p>
        </w:tc>
        <w:tc>
          <w:tcPr>
            <w:tcW w:w="862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33</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88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600" w:type="dxa"/>
            <w:vAlign w:val="bottom"/>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6. Exhibits</w:t>
              </w:r>
            </w:hyperlink>
          </w:p>
        </w:tc>
        <w:tc>
          <w:tcPr>
            <w:tcW w:w="88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55</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32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160" w:type="dxa"/>
            <w:vAlign w:val="bottom"/>
            <w:gridSpan w:val="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9320" w:type="dxa"/>
            <w:vAlign w:val="bottom"/>
            <w:gridSpan w:val="15"/>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56</w:t>
              </w:r>
            </w:hyperlink>
          </w:p>
        </w:tc>
      </w:tr>
      <w:tr>
        <w:trPr>
          <w:trHeight w:val="412"/>
        </w:trPr>
        <w:tc>
          <w:tcPr>
            <w:tcW w:w="760" w:type="dxa"/>
            <w:vAlign w:val="bottom"/>
            <w:tcBorders>
              <w:top w:val="single" w:sz="8" w:color="0000EE"/>
            </w:tcBorders>
            <w:gridSpan w:val="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EX-10.1</w:t>
              </w:r>
            </w:hyperlink>
          </w:p>
        </w:tc>
        <w:tc>
          <w:tcPr>
            <w:tcW w:w="9720" w:type="dxa"/>
            <w:vAlign w:val="bottom"/>
            <w:gridSpan w:val="16"/>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EX-10.2</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EX-31.1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EX-31.2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EX-32.1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EX-32.2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7"/>
          <w:szCs w:val="17"/>
          <w:i w:val="1"/>
          <w:iCs w:val="1"/>
          <w:color w:val="auto"/>
        </w:rPr>
        <w:t xml:space="preserve">When used in this report, unless otherwise indicated, </w:t>
      </w:r>
      <w:r>
        <w:rPr>
          <w:rFonts w:ascii="Arial" w:cs="Arial" w:eastAsia="Arial" w:hAnsi="Arial"/>
          <w:sz w:val="17"/>
          <w:szCs w:val="17"/>
          <w:color w:val="auto"/>
        </w:rPr>
        <w:t>“</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w:t>
      </w:r>
      <w:r>
        <w:rPr>
          <w:rFonts w:ascii="Arial" w:cs="Arial" w:eastAsia="Arial" w:hAnsi="Arial"/>
          <w:sz w:val="17"/>
          <w:szCs w:val="17"/>
          <w:i w:val="1"/>
          <w:iCs w:val="1"/>
          <w:color w:val="auto"/>
        </w:rPr>
        <w:t xml:space="preserve"> the </w:t>
      </w: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BioCryst</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BioCryst Pharmaceuticals,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85" w:lineRule="exact"/>
        <w:rPr>
          <w:sz w:val="20"/>
          <w:szCs w:val="20"/>
          <w:color w:val="auto"/>
        </w:rPr>
      </w:pPr>
    </w:p>
    <w:p>
      <w:pPr>
        <w:ind w:left="980" w:right="40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preclinical development, clinical development, commercialization, or post-marketing studies of our products and product candidates, including ORLADEYO™ (berotralstat), BCX9930, BCX9250, peramivir, galidesivir, and early-stage discovery programs;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our commercialization of ORLADEYO in the U.S. and elsewhere;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government stockpiling orders of our products and product candidates, including the timing or likelihood of entering into any U.S. government stockpile order and our ability to execute any such order;</w:t>
      </w:r>
    </w:p>
    <w:p>
      <w:pPr>
        <w:spacing w:after="0" w:line="170" w:lineRule="exact"/>
        <w:rPr>
          <w:rFonts w:ascii="Arial" w:cs="Arial" w:eastAsia="Arial" w:hAnsi="Arial"/>
          <w:sz w:val="18"/>
          <w:szCs w:val="18"/>
          <w:color w:val="auto"/>
        </w:rPr>
      </w:pPr>
    </w:p>
    <w:p>
      <w:pPr>
        <w:jc w:val="both"/>
        <w:ind w:left="980" w:right="4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funding from our contracts with the Biomedical Advanced Research and Development Authority within the U.S. Department of Health and Human Services (“BARDA/HHS”) and the National Institute of Allergy and Infectious Diseases within the HHS (“NIAID/HHS”) for the development of galidesivir;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regulatory approvals, or milestones, royalties or profit from sales of our products by us or our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products, product candidates and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out-license rights to our products and product candidates;</w:t>
      </w:r>
    </w:p>
    <w:p>
      <w:pPr>
        <w:spacing w:after="0" w:line="225"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programs, progress and potential success of our collaborations, including with Torii Pharmaceutical Co., Ltd. (“Torii”) for ORLADEYO in Japan, Shionogi &amp; Co., Ltd. (“Shionogi”) and Green Cross Corporation (“Green Cross”) for peramivir in their territories, and Mundipharma International Corporation Limited (“Mundipharma”) for mundesine;</w:t>
      </w:r>
    </w:p>
    <w:p>
      <w:pPr>
        <w:spacing w:after="0" w:line="183"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subsidiary guarantors’ ability to satisfy obligations under our Credit Agreement and to comply with the covenants as set forth in the agreements governing our debt obligations;</w:t>
      </w:r>
    </w:p>
    <w:p>
      <w:pPr>
        <w:spacing w:after="0" w:line="170" w:lineRule="exact"/>
        <w:rPr>
          <w:rFonts w:ascii="Arial" w:cs="Arial" w:eastAsia="Arial" w:hAnsi="Arial"/>
          <w:sz w:val="18"/>
          <w:szCs w:val="18"/>
          <w:color w:val="auto"/>
        </w:rPr>
      </w:pPr>
    </w:p>
    <w:p>
      <w:pPr>
        <w:ind w:left="980" w:right="12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subsidiary, JPR Royalty Sub LLC (“Royalty Sub”), to satisfy its obligations in respect of the PhaRMA Notes (as defined in “Note 2 Royalty Monetizations RAPIACTA Royalty Monetization” in the Notes to Consolidated Financial Statements in Part I, Item 1 of this report);</w:t>
      </w:r>
    </w:p>
    <w:p>
      <w:pPr>
        <w:spacing w:after="0" w:line="183"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product candidates, and technology;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revenues, capital requirements, annual cash utilization, and our needs for additional financing;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or regulatory agreements, deferrals, and approvals;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liquidity needs, including our ability to raise additional capital, to fund our operations or repay our recourse debt obligations;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companies, technologies, and our industry.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3" w:name="page4"/>
    <w:bookmarkEnd w:id="3"/>
    <w:p>
      <w:pPr>
        <w:ind w:right="20" w:firstLine="486"/>
        <w:spacing w:after="0" w:line="270" w:lineRule="auto"/>
        <w:rPr>
          <w:sz w:val="20"/>
          <w:szCs w:val="20"/>
          <w:color w:val="auto"/>
        </w:rPr>
      </w:pPr>
      <w:r>
        <w:rPr>
          <w:rFonts w:ascii="Arial" w:cs="Arial" w:eastAsia="Arial" w:hAnsi="Arial"/>
          <w:sz w:val="17"/>
          <w:szCs w:val="17"/>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576"/>
        <w:spacing w:after="0" w:line="279" w:lineRule="auto"/>
        <w:rPr>
          <w:sz w:val="20"/>
          <w:szCs w:val="20"/>
          <w:color w:val="auto"/>
        </w:rPr>
      </w:pPr>
      <w:r>
        <w:rPr>
          <w:rFonts w:ascii="Arial" w:cs="Arial" w:eastAsia="Arial" w:hAnsi="Arial"/>
          <w:sz w:val="17"/>
          <w:szCs w:val="17"/>
          <w:color w:val="auto"/>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Securities and Exchange Commission, before deciding to invest in the Company. A summary of the principal factors that make an investment in the Company speculative or risky is set forth below.</w:t>
      </w:r>
    </w:p>
    <w:p>
      <w:pPr>
        <w:spacing w:after="0" w:line="171" w:lineRule="exact"/>
        <w:rPr>
          <w:sz w:val="20"/>
          <w:szCs w:val="20"/>
          <w:color w:val="auto"/>
        </w:rPr>
      </w:pPr>
    </w:p>
    <w:p>
      <w:pPr>
        <w:ind w:left="660" w:right="8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II, Item 1A of this report.</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losses since our inception, expect to continue to incur losses, and may never be profitable.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need to raise additional capital in the future. If we are unable to raise capital when needed, we may need to adjust our operations.</w:t>
      </w:r>
    </w:p>
    <w:p>
      <w:pPr>
        <w:spacing w:after="0" w:line="236" w:lineRule="exact"/>
        <w:rPr>
          <w:rFonts w:ascii="Arial" w:cs="Arial" w:eastAsia="Arial" w:hAnsi="Arial"/>
          <w:sz w:val="17"/>
          <w:szCs w:val="17"/>
          <w:color w:val="auto"/>
        </w:rPr>
      </w:pPr>
    </w:p>
    <w:p>
      <w:pPr>
        <w:ind w:left="660" w:right="4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depends upon our ability to advance our product candidates through the various stages of development, especially through the clinical trial process, to receive and maintain regulatory approval for the commercial sale of our product candidates, and to successfully commercialize any approved products.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or take other actions that could materially impact the cost, timing, and success of our planned development strategies.</w:t>
      </w:r>
    </w:p>
    <w:p>
      <w:pPr>
        <w:spacing w:after="0" w:line="177" w:lineRule="exact"/>
        <w:rPr>
          <w:rFonts w:ascii="Arial" w:cs="Arial" w:eastAsia="Arial" w:hAnsi="Arial"/>
          <w:sz w:val="17"/>
          <w:szCs w:val="17"/>
          <w:color w:val="auto"/>
        </w:rPr>
      </w:pPr>
    </w:p>
    <w:p>
      <w:pPr>
        <w:ind w:left="660" w:right="18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87"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obtain additional financing or acceptable partnership arrangements, we may be unable to complete the development and commercialization of our products and product candidates or continue operations.</w:t>
      </w:r>
    </w:p>
    <w:p>
      <w:pPr>
        <w:spacing w:after="0" w:line="170"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 viability of any approved product could be compromised if the product is less effective than expected, causes undesirable side effects that were not previously identified, or fails to achieve market acceptance by physicians, patients, third-party payors, health authorities, and others.</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can be no assurance that our or our partners’ commercialization efforts, methods, and strategies for our products or technologies will succeed, and our future revenue generation is uncertain.</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continue expanding our development and regulatory capabilities and implementing sales, marketing, and distribution capabilities, and as a result, we may encounter difficulties managing our growth, which could disrupt our operations.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ind w:left="328" w:right="60" w:hanging="328"/>
        <w:spacing w:after="0" w:line="279"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171" w:lineRule="exact"/>
        <w:rPr>
          <w:rFonts w:ascii="Arial" w:cs="Arial" w:eastAsia="Arial" w:hAnsi="Arial"/>
          <w:sz w:val="17"/>
          <w:szCs w:val="17"/>
          <w:color w:val="auto"/>
        </w:rPr>
      </w:pPr>
    </w:p>
    <w:p>
      <w:pPr>
        <w:ind w:left="328" w:right="460" w:hanging="328"/>
        <w:spacing w:after="0" w:line="26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adequately protect or enforce our intellectual property rights or secure rights to patents of others, the value of those rights would diminish. Legal proceedings to protect or enforce our patents, the patents of our partners, or our other intellectual property rights could be expensive, time consuming, and unsuccessful.</w:t>
      </w:r>
    </w:p>
    <w:p>
      <w:pPr>
        <w:spacing w:after="0" w:line="18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70" w:lineRule="exact"/>
        <w:rPr>
          <w:rFonts w:ascii="Arial" w:cs="Arial" w:eastAsia="Arial" w:hAnsi="Arial"/>
          <w:sz w:val="18"/>
          <w:szCs w:val="18"/>
          <w:color w:val="auto"/>
        </w:rPr>
      </w:pPr>
    </w:p>
    <w:p>
      <w:pPr>
        <w:ind w:left="328" w:right="300" w:hanging="328"/>
        <w:spacing w:after="0" w:line="26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risks related to our government-funded programs. If the BARDA/HHS or the NIAID/HHS were to eliminate, reduce, or delay funding from our contracts, this would have a significant negative impact on the programs associated with such funding and could have a significant impact on our revenues and cash flows.</w:t>
      </w:r>
    </w:p>
    <w:p>
      <w:pPr>
        <w:spacing w:after="0" w:line="183" w:lineRule="exact"/>
        <w:rPr>
          <w:rFonts w:ascii="Arial" w:cs="Arial" w:eastAsia="Arial" w:hAnsi="Arial"/>
          <w:sz w:val="18"/>
          <w:szCs w:val="18"/>
          <w:color w:val="auto"/>
        </w:rPr>
      </w:pPr>
    </w:p>
    <w:p>
      <w:pPr>
        <w:ind w:left="328" w:right="60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reach milestones or to make annual minimum payments or otherwise breach our obligations under our license agreements, our licensors may terminate our agreements with them and seek additional remedies.</w:t>
      </w:r>
    </w:p>
    <w:p>
      <w:pPr>
        <w:spacing w:after="0" w:line="170" w:lineRule="exact"/>
        <w:rPr>
          <w:rFonts w:ascii="Arial" w:cs="Arial" w:eastAsia="Arial" w:hAnsi="Arial"/>
          <w:sz w:val="18"/>
          <w:szCs w:val="18"/>
          <w:color w:val="auto"/>
        </w:rPr>
      </w:pPr>
    </w:p>
    <w:p>
      <w:pPr>
        <w:ind w:left="328" w:right="40" w:hanging="328"/>
        <w:spacing w:after="0" w:line="259"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Credit Agreement contains conditions and restrictions that limit our flexibility in drawing on the additional funds thereunder and in operating our business. We may be required to make a prepayment or repay our outstanding indebtedness under the Credit Agreement earlier than we expect if a prepayment event or an event of default occurs, including a material adverse change with respect to us, which could have a material adverse effect on our business.</w:t>
      </w:r>
    </w:p>
    <w:p>
      <w:pPr>
        <w:spacing w:after="0" w:line="186" w:lineRule="exact"/>
        <w:rPr>
          <w:rFonts w:ascii="Arial" w:cs="Arial" w:eastAsia="Arial" w:hAnsi="Arial"/>
          <w:sz w:val="18"/>
          <w:szCs w:val="18"/>
          <w:color w:val="auto"/>
        </w:rPr>
      </w:pPr>
    </w:p>
    <w:p>
      <w:pPr>
        <w:ind w:left="328" w:right="180" w:hanging="328"/>
        <w:spacing w:after="0" w:line="25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expansion of our business exposes us to business, regulatory, political, operational, financial, and economic risks. For example, our actual or perceived failure to comply with European governmental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87"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facilities incur damage or power is lost for a significant length of time, our business will suffer.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disruption in our information technology systems or a cybersecurity breach could adversely affect our business.</w:t>
      </w:r>
    </w:p>
    <w:p>
      <w:pPr>
        <w:spacing w:after="0" w:line="225" w:lineRule="exact"/>
        <w:rPr>
          <w:rFonts w:ascii="Arial" w:cs="Arial" w:eastAsia="Arial" w:hAnsi="Arial"/>
          <w:sz w:val="18"/>
          <w:szCs w:val="18"/>
          <w:color w:val="auto"/>
        </w:rPr>
      </w:pPr>
    </w:p>
    <w:p>
      <w:pPr>
        <w:ind w:left="328" w:right="18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70" w:lineRule="exact"/>
        <w:rPr>
          <w:rFonts w:ascii="Arial" w:cs="Arial" w:eastAsia="Arial" w:hAnsi="Arial"/>
          <w:sz w:val="18"/>
          <w:szCs w:val="18"/>
          <w:color w:val="auto"/>
        </w:rPr>
      </w:pPr>
    </w:p>
    <w:p>
      <w:pPr>
        <w:ind w:left="328" w:right="34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 price has been, and is likely to continue to be, highly volatile, which could cause the value of an investment in our common stock to decline significantly.</w:t>
      </w:r>
    </w:p>
    <w:p>
      <w:pPr>
        <w:spacing w:after="0" w:line="170" w:lineRule="exact"/>
        <w:rPr>
          <w:rFonts w:ascii="Arial" w:cs="Arial" w:eastAsia="Arial" w:hAnsi="Arial"/>
          <w:sz w:val="18"/>
          <w:szCs w:val="18"/>
          <w:color w:val="auto"/>
        </w:rPr>
      </w:pPr>
    </w:p>
    <w:p>
      <w:pPr>
        <w:ind w:left="328" w:right="120" w:hanging="328"/>
        <w:spacing w:after="0" w:line="342" w:lineRule="auto"/>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Natural disasters, epidemic or pandemic disease outbreaks, trade wars, political unrest, or other events could disrupt our business or operations or those of our development partners, manufacturers, regulators, or third parties with whom we conduct business now or in the future.</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legal proceedings, which could result in losses or unexpected expenditure of time and resources.</w:t>
      </w:r>
    </w:p>
    <w:p>
      <w:pPr>
        <w:spacing w:after="0" w:line="225"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retain our existing key personnel or fail to attract and retain additional key personnel, the development of our product candidates and commercialization of our products and the related expansion of our business will be delayed or stopped.</w:t>
      </w:r>
    </w:p>
    <w:p>
      <w:pPr>
        <w:spacing w:after="0" w:line="38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75"/>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rPr>
              <w:t>BIOCRYST PHARMACEUTICALS, INC.</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90"/>
              </w:rPr>
              <w:t>March 31, 2021 and December 31, 2020</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(Unaudited)</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(Note 1)</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226,902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272,127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28,239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7,039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5,908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5,528</w:t>
            </w: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273,771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323,800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7,113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3,802</w:t>
            </w:r>
          </w:p>
        </w:tc>
      </w:tr>
      <w:tr>
        <w:trPr>
          <w:trHeight w:val="24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284,431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334,715</w:t>
            </w:r>
          </w:p>
        </w:tc>
      </w:tr>
      <w:tr>
        <w:trPr>
          <w:trHeight w:val="197"/>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13,529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18,713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33,942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23,547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21,670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collaboration revenue</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Lease financing obligation</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Non-recourse notes payable</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101,201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105,654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Lease financing obligation</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Royalty financing obligation</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131,296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124,717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Secured term loan</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123,039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119,735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$0.001 par value; shares authorized - 5,000; no shares issued and outstanding</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$0.01 par value: shares authorized - 450,000; shares issued and outstanding – 177,670 in</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2021 and 176,883 in 2020</w:t>
            </w:r>
          </w:p>
        </w:tc>
        <w:tc>
          <w:tcPr>
            <w:tcW w:w="18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1,769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1,010,779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1,002,408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(1,087,726)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(1,023,442)</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(19,262)</w:t>
            </w: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284,431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334,715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per share data-Unaudited)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1080" w:type="dxa"/>
            <w:vAlign w:val="bottom"/>
          </w:tcPr>
          <w:p>
            <w:pPr>
              <w:spacing w:after="0"/>
              <w:rPr>
                <w:sz w:val="18"/>
                <w:szCs w:val="18"/>
                <w:color w:val="auto"/>
              </w:rPr>
            </w:pPr>
          </w:p>
        </w:tc>
      </w:tr>
      <w:tr>
        <w:trPr>
          <w:trHeight w:val="234"/>
        </w:trPr>
        <w:tc>
          <w:tcPr>
            <w:tcW w:w="7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4"/>
              </w:rPr>
              <w:t>2020</w:t>
            </w: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Product sales, net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17,871</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Collaborative and other research and development</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2,660</w:t>
            </w:r>
          </w:p>
        </w:tc>
      </w:tr>
      <w:tr>
        <w:trPr>
          <w:trHeight w:val="20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4,823</w:t>
            </w: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42,435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29,867</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15,865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Royalty</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10"/>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70,436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45,801</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(40,978)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6,446</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(3,047)</w:t>
            </w: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foreign currency</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(64,284)</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(37,599)</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Unrealized gain (loss) on available for sale investments</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(64,105)</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(37,624)</w:t>
            </w:r>
          </w:p>
        </w:tc>
      </w:tr>
      <w:tr>
        <w:trPr>
          <w:trHeight w:val="196"/>
        </w:trPr>
        <w:tc>
          <w:tcPr>
            <w:tcW w:w="79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5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r>
      <w:tr>
        <w:trPr>
          <w:trHeight w:val="196"/>
        </w:trPr>
        <w:tc>
          <w:tcPr>
            <w:tcW w:w="79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56"/>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177,343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154,156</w:t>
            </w:r>
          </w:p>
        </w:tc>
      </w:tr>
      <w:tr>
        <w:trPr>
          <w:trHeight w:val="413"/>
        </w:trPr>
        <w:tc>
          <w:tcPr>
            <w:tcW w:w="7920" w:type="dxa"/>
            <w:vAlign w:val="bottom"/>
          </w:tcPr>
          <w:p>
            <w:pPr>
              <w:ind w:left="340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7920" w:type="dxa"/>
            <w:vAlign w:val="bottom"/>
          </w:tcPr>
          <w:p>
            <w:pPr>
              <w:ind w:left="55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06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4"/>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(64,284)</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(37,599)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interest expense on royalty financing obligation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7,536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paid in-kind interest on secured term loan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premium/discount on investments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 in fair value of foreign currency derivative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16,504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(61,011)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(23,281)</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and equipment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Sales and maturities of investments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14,771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10,840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Realized gain on investments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investing activities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14,673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10,724</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proceeds from common stock issued under stock-based compensation plans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2,900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(43,438)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(12,291)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274,348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115,723</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230,910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103,432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ind w:left="820" w:right="2240"/>
        <w:spacing w:after="0" w:line="266" w:lineRule="auto"/>
        <w:rPr>
          <w:sz w:val="20"/>
          <w:szCs w:val="20"/>
          <w:color w:val="auto"/>
        </w:rPr>
      </w:pPr>
      <w:r>
        <w:rPr>
          <w:rFonts w:ascii="Arial" w:cs="Arial" w:eastAsia="Arial" w:hAnsi="Arial"/>
          <w:sz w:val="18"/>
          <w:szCs w:val="18"/>
          <w:b w:val="1"/>
          <w:bCs w:val="1"/>
          <w:color w:val="auto"/>
        </w:rPr>
        <w:t>BIOCRYST PHARMACEUTICALS, INC. 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(DEFICIT) Three Months Ended March 31, 2021 and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360" w:type="dxa"/>
            <w:vAlign w:val="bottom"/>
            <w:gridSpan w:val="8"/>
          </w:tcPr>
          <w:p>
            <w:pPr>
              <w:jc w:val="right"/>
              <w:ind w:right="190"/>
              <w:spacing w:after="0"/>
              <w:rPr>
                <w:sz w:val="20"/>
                <w:szCs w:val="20"/>
                <w:color w:val="auto"/>
              </w:rPr>
            </w:pPr>
            <w:r>
              <w:rPr>
                <w:rFonts w:ascii="Arial" w:cs="Arial" w:eastAsia="Arial" w:hAnsi="Arial"/>
                <w:sz w:val="18"/>
                <w:szCs w:val="18"/>
                <w:b w:val="1"/>
                <w:bCs w:val="1"/>
                <w:color w:val="auto"/>
                <w:w w:val="89"/>
              </w:rPr>
              <w:t>(In thousands, except per share amounts-Unaudited)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4"/>
        </w:trPr>
        <w:tc>
          <w:tcPr>
            <w:tcW w:w="3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6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Other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Equity</w:t>
            </w:r>
          </w:p>
        </w:tc>
      </w:tr>
      <w:tr>
        <w:trPr>
          <w:trHeight w:val="234"/>
        </w:trPr>
        <w:tc>
          <w:tcPr>
            <w:tcW w:w="3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0"/>
              </w:rPr>
              <w:t>(Loss) Income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5"/>
              </w:rPr>
              <w:t>(Deficit)</w:t>
            </w: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1,002,408</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(1,023,442)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(19,262)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(64,284)</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88"/>
              </w:rPr>
              <w:t>Employee stock purchase plan sales, 193 shares, net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593 shares, net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5,479</w:t>
            </w: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5,479</w:t>
            </w:r>
          </w:p>
        </w:tc>
      </w:tr>
      <w:tr>
        <w:trPr>
          <w:trHeight w:val="25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1,010,779</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182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(1,087,726)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(74,988)</w:t>
            </w:r>
          </w:p>
        </w:tc>
      </w:tr>
      <w:tr>
        <w:trPr>
          <w:trHeight w:val="394"/>
        </w:trPr>
        <w:tc>
          <w:tcPr>
            <w:tcW w:w="38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6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Other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Equity</w:t>
            </w:r>
          </w:p>
        </w:tc>
      </w:tr>
      <w:tr>
        <w:trPr>
          <w:trHeight w:val="234"/>
        </w:trPr>
        <w:tc>
          <w:tcPr>
            <w:tcW w:w="3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0"/>
              </w:rPr>
              <w:t>(Loss) Income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5"/>
              </w:rPr>
              <w:t>(Deficit)</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877,300</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(840,628)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38,252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(37,599)</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88"/>
              </w:rPr>
              <w:t>Employee stock purchase plan sales, 110 shares, net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r>
      <w:tr>
        <w:trPr>
          <w:trHeight w:val="209"/>
        </w:trPr>
        <w:tc>
          <w:tcPr>
            <w:tcW w:w="380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1,542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880,319</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(878,227)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3,648</w:t>
            </w:r>
          </w:p>
        </w:tc>
      </w:tr>
      <w:tr>
        <w:trPr>
          <w:trHeight w:val="20"/>
        </w:trPr>
        <w:tc>
          <w:tcPr>
            <w:tcW w:w="3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BioCryst Pharmaceuticals, Inc. (the “Company”) is a commercial-stage biotechnology company that discovers novel, oral, small-molecule medicines. The Company focuses on the treatment of rare diseases in which significant unmet medical needs exist and an enzyme plays the key role in the biological pathway of the disease. The Company was founded in 1986 and incorporated in Delaware in 1991, and its headquarters is located in Durham, North Carolina. The Company integrates the disciplines of biology, crystallography, medicinal chemistry and computer modeling to discover and develop small molecule pharmaceuticals through the process known as structure-guided drug design. The Company has incurred losses and negative cash flows from operations since inception.</w:t>
      </w:r>
    </w:p>
    <w:p>
      <w:pPr>
        <w:spacing w:after="0" w:line="19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Based on the Company’s expectations for revenue, operating expenses, and its option to access an additional $75 million from its existing credit facility, the Company believes its financial resources available at March 31, 2021 will be sufficient to fund its operations into 2023. The Company has sustained operating losses for the majority of its corporate history and expects that its 2021 expenses will exceed its 2021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also may consider other plans to fund future operations, including: (1) securing or increasing U.S. Government funding of its programs, including obtaining procurement contracts; (2) out-licensing rights to certain of its products or product candidates, pursuant to which the Company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its overhead structure. The Company may 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timing, scope and magnitude of its commercial expenses and key development and regulatory events and its decisions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among the consolidated entities have been eliminated from the consolidated financial statements.</w:t>
      </w:r>
    </w:p>
    <w:p>
      <w:pPr>
        <w:spacing w:after="0" w:line="170" w:lineRule="exact"/>
        <w:rPr>
          <w:sz w:val="20"/>
          <w:szCs w:val="20"/>
          <w:color w:val="auto"/>
        </w:rPr>
      </w:pPr>
    </w:p>
    <w:p>
      <w:pPr>
        <w:ind w:right="40" w:firstLine="522"/>
        <w:spacing w:after="0" w:line="257"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spacing w:after="0" w:line="188" w:lineRule="exact"/>
        <w:rPr>
          <w:sz w:val="20"/>
          <w:szCs w:val="20"/>
          <w:color w:val="auto"/>
        </w:rPr>
      </w:pPr>
    </w:p>
    <w:p>
      <w:pPr>
        <w:ind w:right="40" w:firstLine="522"/>
        <w:spacing w:after="0" w:line="259" w:lineRule="auto"/>
        <w:rPr>
          <w:sz w:val="20"/>
          <w:szCs w:val="20"/>
          <w:color w:val="auto"/>
        </w:rPr>
      </w:pPr>
      <w:r>
        <w:rPr>
          <w:rFonts w:ascii="Arial" w:cs="Arial" w:eastAsia="Arial" w:hAnsi="Arial"/>
          <w:sz w:val="18"/>
          <w:szCs w:val="18"/>
          <w:color w:val="auto"/>
        </w:rPr>
        <w:t>These financial statements should be read in conjunction with the financial statements for the year ended December 31, 2020 and the notes thereto included in the Company’s 2020 Annual Report on Form 10-K. Interim operating results are not necessarily indicative of operating results for the full year. The balance sheet as of December 31, 2020 has been derived from the audited consolidated financial statements included in the Company’s most recent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firstLine="522"/>
        <w:spacing w:after="0" w:line="263" w:lineRule="auto"/>
        <w:rPr>
          <w:sz w:val="20"/>
          <w:szCs w:val="20"/>
          <w:color w:val="auto"/>
        </w:rPr>
      </w:pPr>
      <w:r>
        <w:rPr>
          <w:rFonts w:ascii="Arial" w:cs="Arial" w:eastAsia="Arial" w:hAnsi="Arial"/>
          <w:sz w:val="18"/>
          <w:szCs w:val="18"/>
          <w:color w:val="auto"/>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firstLine="522"/>
        <w:spacing w:after="0" w:line="286" w:lineRule="auto"/>
        <w:rPr>
          <w:sz w:val="20"/>
          <w:szCs w:val="20"/>
          <w:color w:val="auto"/>
        </w:rPr>
      </w:pPr>
      <w:r>
        <w:rPr>
          <w:rFonts w:ascii="Arial" w:cs="Arial" w:eastAsia="Arial" w:hAnsi="Arial"/>
          <w:sz w:val="17"/>
          <w:szCs w:val="17"/>
          <w:color w:val="auto"/>
        </w:rPr>
        <w:t>Restricted cash as of March 31, 2021 and December 31, 2020 reflects $2,587 and $796, respectively, in royalty revenue paid by Shionogi &amp; Co., Ltd. (“Shionogi”) designated for interest on the PhaRMA Notes (defined in Note 2) and $1,421 and $1,425, respectively, the Company is required to maintain as collateral for a letter of credit associated with the lease execution and build-out of its Birmingham research facilities.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municipal and corporate notes and bonds, commercial paper and asset or mortgage-backed securities, among others. The Company’s investment policy requires it to purchase high-quality marketable securities with a maximum individual maturity of three years and requires an average portfolio maturity of no more than 18 months. Some of the securities the Company invests in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79"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March 31, 2021, the Company believes that the cost of its investments is recoverable in all material respects.</w:t>
      </w:r>
    </w:p>
    <w:p>
      <w:pPr>
        <w:spacing w:after="0" w:line="181" w:lineRule="exact"/>
        <w:rPr>
          <w:sz w:val="20"/>
          <w:szCs w:val="20"/>
          <w:color w:val="auto"/>
        </w:rPr>
      </w:pPr>
    </w:p>
    <w:p>
      <w:pPr>
        <w:ind w:right="280" w:firstLine="522"/>
        <w:spacing w:after="0" w:line="279" w:lineRule="auto"/>
        <w:rPr>
          <w:sz w:val="20"/>
          <w:szCs w:val="20"/>
          <w:color w:val="auto"/>
        </w:rPr>
      </w:pPr>
      <w:r>
        <w:rPr>
          <w:rFonts w:ascii="Arial" w:cs="Arial" w:eastAsia="Arial" w:hAnsi="Arial"/>
          <w:sz w:val="17"/>
          <w:szCs w:val="17"/>
          <w:color w:val="auto"/>
        </w:rPr>
        <w:t>The following tables summarize the fair value of the Company’s investments by type. The estimated fair values of the Company’s fixed income investments are classified as Level 2 in the fair value hierarchy as defined in U.S. GAAP.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which utilize Level 2 inputs.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3"/>
              </w:rPr>
              <w:t>March 31, 2021</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1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Accrued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Interest</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 and its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10,684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2,770</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13,454</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r>
        <w:trPr>
          <w:trHeight w:val="412"/>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88"/>
              </w:rPr>
              <w:t>December 31, 2020</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1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Accrued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Interest</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 and its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3,239</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28,239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investments at March 31, 2021 and December 31, 2020 have maturities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ind w:firstLine="414"/>
        <w:spacing w:after="0" w:line="296" w:lineRule="auto"/>
        <w:rPr>
          <w:sz w:val="20"/>
          <w:szCs w:val="20"/>
          <w:color w:val="auto"/>
        </w:rPr>
      </w:pPr>
      <w:r>
        <w:rPr>
          <w:rFonts w:ascii="Arial" w:cs="Arial" w:eastAsia="Arial" w:hAnsi="Arial"/>
          <w:sz w:val="16"/>
          <w:szCs w:val="16"/>
          <w:color w:val="auto"/>
        </w:rPr>
        <w:t>Receivables from product sales are recorded for amounts due to the Company related to sales of ORLADEYO™ and RAPIVAB®. At March 31, 2021 and December 31, 2020, receivables related to sales of ORLADEYO were $9,882 and $149, respectively. At March 31, 2021 and December 31, 2020, receivables related to sales of RAPIVAB were $0 and $254, respectively. Receivables from product sales are evaluated to determine if any reserve or allowance should be recorded based on consideration of the current economic environment, expectations of future economic conditions and the Company’s own historical collection experience. No reserve or allowance amounts were recorded as of March 31, 2021 and December 31, 2020,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Collaborations</w:t>
      </w:r>
    </w:p>
    <w:p>
      <w:pPr>
        <w:spacing w:after="0" w:line="225"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Receivables from collaborations are recorded for amounts due to the Company related to reimbursable research and development costs from the U.S. Department of Health and Human Services, royalty receivables from Shionogi, Green Cross Corporation (“Green Cross”), and Mundipharma International Holdings Limited (“Mundipharma”). These receivables are evaluated to determine if any reserve or allowance should be established at each reporting date based on historical collection experience or specific circumstances, and no amounts were recorded at March 31, 2021 and December 31, 2020.</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2021 and December 31, 2020, the Company had the following receivables.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10"/>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Billed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Unbilled</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Health and Human Services</w:t>
            </w:r>
          </w:p>
        </w:tc>
        <w:tc>
          <w:tcPr>
            <w:tcW w:w="24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3,966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Shionogi &amp; Co. Ltd.</w:t>
            </w: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Green Cross Corporation</w:t>
            </w:r>
          </w:p>
        </w:tc>
        <w:tc>
          <w:tcPr>
            <w:tcW w:w="1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Mundipharma International Holdings Limited</w:t>
            </w:r>
          </w:p>
        </w:tc>
        <w:tc>
          <w:tcPr>
            <w:tcW w:w="14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receivables</w:t>
            </w:r>
          </w:p>
        </w:tc>
        <w:tc>
          <w:tcPr>
            <w:tcW w:w="24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4,965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8,504</w:t>
            </w: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3"/>
              </w:rPr>
              <w:t>December 31, 2020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9"/>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Billed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Unbilled</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Health and Human Services</w:t>
            </w:r>
          </w:p>
        </w:tc>
        <w:tc>
          <w:tcPr>
            <w:tcW w:w="24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Shionogi &amp; Co. Ltd.</w:t>
            </w: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2,037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2,041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Green Cross Corporation</w:t>
            </w:r>
          </w:p>
        </w:tc>
        <w:tc>
          <w:tcPr>
            <w:tcW w:w="1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Mundipharma International Holdings Limited</w:t>
            </w:r>
          </w:p>
        </w:tc>
        <w:tc>
          <w:tcPr>
            <w:tcW w:w="14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r>
      <w:tr>
        <w:trPr>
          <w:trHeight w:val="23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receivables</w:t>
            </w:r>
          </w:p>
        </w:tc>
        <w:tc>
          <w:tcPr>
            <w:tcW w:w="24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2,816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8,243</w:t>
            </w: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Monthly invoices are submitted to the U.S. Department of Health and Human Services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At March 31, 2021 and December 31, 2020, the Company’s inventory related to ORLADEYO and peramivir, which are being manufactured for the Company’s partners and, in the case of peramivir, the U.S. Government. 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labelling, including raw material, active product ingredient, and drug product. Finished goods include packaged and labelled products.</w:t>
      </w:r>
    </w:p>
    <w:p>
      <w:pPr>
        <w:spacing w:after="0" w:line="16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w w:val="92"/>
              </w:rPr>
              <w:t>The Company’s inventories as of March 31, 2021 and December 31, 2020, consisted of the following:</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2,555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4,548</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5,383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7,309</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Total Inventory,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5,113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7,039</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spacing w:after="0" w:line="187" w:lineRule="exact"/>
        <w:rPr>
          <w:sz w:val="20"/>
          <w:szCs w:val="20"/>
          <w:color w:val="auto"/>
        </w:rPr>
      </w:pPr>
    </w:p>
    <w:p>
      <w:pPr>
        <w:ind w:right="120" w:firstLine="522"/>
        <w:spacing w:after="0" w:line="257" w:lineRule="auto"/>
        <w:rPr>
          <w:sz w:val="20"/>
          <w:szCs w:val="20"/>
          <w:color w:val="auto"/>
        </w:rPr>
      </w:pPr>
      <w:r>
        <w:rPr>
          <w:rFonts w:ascii="Arial" w:cs="Arial" w:eastAsia="Arial" w:hAnsi="Arial"/>
          <w:sz w:val="18"/>
          <w:szCs w:val="18"/>
          <w:color w:val="auto"/>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225" w:lineRule="exact"/>
        <w:rPr>
          <w:sz w:val="20"/>
          <w:szCs w:val="20"/>
          <w:color w:val="auto"/>
        </w:rPr>
      </w:pPr>
    </w:p>
    <w:p>
      <w:pPr>
        <w:ind w:right="240" w:firstLine="522"/>
        <w:spacing w:after="0" w:line="277" w:lineRule="auto"/>
        <w:rPr>
          <w:sz w:val="20"/>
          <w:szCs w:val="20"/>
          <w:color w:val="auto"/>
        </w:rPr>
      </w:pPr>
      <w:r>
        <w:rPr>
          <w:rFonts w:ascii="Arial" w:cs="Arial" w:eastAsia="Arial" w:hAnsi="Arial"/>
          <w:sz w:val="18"/>
          <w:szCs w:val="18"/>
          <w:color w:val="auto"/>
        </w:rPr>
        <w:t>The Company seeks patent protection on all internally developed processes and products. All patent related costs are expensed to selling, general and administrative expenses when incurred as recoverability of such expenditures is uncertain.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right="60" w:firstLine="558"/>
        <w:spacing w:after="0" w:line="270" w:lineRule="auto"/>
        <w:rPr>
          <w:sz w:val="20"/>
          <w:szCs w:val="20"/>
          <w:color w:val="auto"/>
        </w:rPr>
      </w:pPr>
      <w:r>
        <w:rPr>
          <w:rFonts w:ascii="Arial" w:cs="Arial" w:eastAsia="Arial" w:hAnsi="Arial"/>
          <w:sz w:val="17"/>
          <w:szCs w:val="17"/>
          <w:color w:val="auto"/>
        </w:rPr>
        <w:t>The Company generally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The Company periodically confirms the accuracy of its estimates with the service providers and makes adjustments if necessary. Examples of estimated accrued expenses include:</w:t>
      </w:r>
    </w:p>
    <w:p>
      <w:pPr>
        <w:spacing w:after="0" w:line="181"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clinical research organizations (“CROs”) in connection with preclinical and toxicology studies and clinical trials;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25" w:lineRule="exact"/>
        <w:rPr>
          <w:rFonts w:ascii="Arial" w:cs="Arial" w:eastAsia="Arial" w:hAnsi="Arial"/>
          <w:sz w:val="18"/>
          <w:szCs w:val="18"/>
          <w:color w:val="auto"/>
        </w:rPr>
      </w:pPr>
    </w:p>
    <w:p>
      <w:pPr>
        <w:ind w:left="820" w:right="46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contract manufacturers in connection with the production of the Company’s raw materials, drug substance, drug products, and product candidates; and</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225" w:lineRule="exact"/>
        <w:rPr>
          <w:sz w:val="20"/>
          <w:szCs w:val="20"/>
          <w:color w:val="auto"/>
        </w:rPr>
      </w:pPr>
    </w:p>
    <w:p>
      <w:pPr>
        <w:ind w:firstLine="558"/>
        <w:spacing w:after="0" w:line="272" w:lineRule="auto"/>
        <w:rPr>
          <w:sz w:val="20"/>
          <w:szCs w:val="20"/>
          <w:color w:val="auto"/>
        </w:rPr>
      </w:pPr>
      <w:r>
        <w:rPr>
          <w:rFonts w:ascii="Arial" w:cs="Arial" w:eastAsia="Arial" w:hAnsi="Arial"/>
          <w:sz w:val="17"/>
          <w:szCs w:val="17"/>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As of March 31, 2021 and December 31, 2020, the carrying value of accrued expenses approximates their fair value due to their short-term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300" w:firstLine="522"/>
        <w:spacing w:after="0" w:line="263" w:lineRule="auto"/>
        <w:rPr>
          <w:sz w:val="20"/>
          <w:szCs w:val="20"/>
          <w:color w:val="auto"/>
        </w:rPr>
      </w:pPr>
      <w:r>
        <w:rPr>
          <w:rFonts w:ascii="Arial" w:cs="Arial" w:eastAsia="Arial" w:hAnsi="Arial"/>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ind w:right="40" w:firstLine="522"/>
        <w:spacing w:after="0" w:line="275" w:lineRule="auto"/>
        <w:rPr>
          <w:sz w:val="20"/>
          <w:szCs w:val="20"/>
          <w:color w:val="auto"/>
        </w:rPr>
      </w:pPr>
      <w:r>
        <w:rPr>
          <w:rFonts w:ascii="Arial" w:cs="Arial" w:eastAsia="Arial" w:hAnsi="Arial"/>
          <w:sz w:val="17"/>
          <w:szCs w:val="17"/>
          <w:color w:val="auto"/>
        </w:rPr>
        <w:t>Accumulated other comprehensive loss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loss and recorded as interest and other income on the Consolidated Statements of Comprehensive Loss. For the three months ended March 31, 2021, realized gains of $1 were reclassified out of accumulated other comprehensive loss. No reclassifications out of accumulated other comprehensive loss were recorded in the three months ended March 31, 2020.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the following revenues for the three months ended March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ORLADEYO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10,938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Peramivir</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RAPIVAB</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product sales, net</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17,871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Royalty revenue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1,945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Collaborative and other research and development revenues: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U.S. Department of Health and Human Services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Torii Pharmaceutical Co., Ltd.</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collaborative and other research and development revenues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2,660</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19,059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Company’s principal sources of product sales are sales of ORLADEYO, which the Company began shipping to customers in December 2020, sales of peramivir to the Company’s licensing partners and sales of RAPIVAB to the U.S. Department of Health and Human Services under the Company’s procurement contract. The Company recognizes revenue for sales when the customer obtains control of the product, which generally occurs upon delivery. For ORLADEYO, the Company classifies payments to its customer for certain services provided by its customer as selling, general and administrative expenses to the extent such services provided are determined to be distinct from the sale of its product.</w:t>
      </w:r>
    </w:p>
    <w:p>
      <w:pPr>
        <w:spacing w:after="0" w:line="17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sells ORLADEYO directly to patients through a single specialty pharmacy in the United States. 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w:t>
      </w:r>
    </w:p>
    <w:p>
      <w:pPr>
        <w:spacing w:after="0" w:line="2" w:lineRule="exact"/>
        <w:rPr>
          <w:sz w:val="20"/>
          <w:szCs w:val="20"/>
          <w:color w:val="auto"/>
        </w:rPr>
      </w:pPr>
    </w:p>
    <w:p>
      <w:pPr>
        <w:ind w:right="20" w:firstLine="8"/>
        <w:spacing w:after="0" w:line="287"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estimated costs of co-payment assistance programs and (iv) product returns. These reserves are based on the amounts earned or to be claimed on the related sales and are classified as reductions of accounts receivable or as a current liability. Where appropriate, these estimates take into consideration a range of possible outcomes, which are probability-weighted for relevant factors, such as the Company’s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70"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i w:val="1"/>
          <w:iCs w:val="1"/>
          <w:u w:val="single" w:color="auto"/>
          <w:color w:val="auto"/>
        </w:rPr>
        <w:t>Government and Managed Care Rebates</w:t>
      </w:r>
      <w:r>
        <w:rPr>
          <w:rFonts w:ascii="Arial" w:cs="Arial" w:eastAsia="Arial" w:hAnsi="Arial"/>
          <w:sz w:val="16"/>
          <w:szCs w:val="16"/>
          <w:color w:val="auto"/>
        </w:rPr>
        <w:t>. The Company contracts with government agencies and managed care organizations or,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ind w:right="120" w:firstLine="648"/>
        <w:spacing w:after="0" w:line="273" w:lineRule="auto"/>
        <w:rPr>
          <w:sz w:val="20"/>
          <w:szCs w:val="20"/>
          <w:color w:val="auto"/>
        </w:rPr>
      </w:pPr>
      <w:r>
        <w:rPr>
          <w:rFonts w:ascii="Arial" w:cs="Arial" w:eastAsia="Arial" w:hAnsi="Arial"/>
          <w:sz w:val="17"/>
          <w:szCs w:val="17"/>
          <w:i w:val="1"/>
          <w:iCs w:val="1"/>
          <w:u w:val="single" w:color="auto"/>
          <w:color w:val="auto"/>
        </w:rPr>
        <w:t>Chargebacks</w:t>
      </w:r>
      <w:r>
        <w:rPr>
          <w:rFonts w:ascii="Arial" w:cs="Arial" w:eastAsia="Arial" w:hAnsi="Arial"/>
          <w:sz w:val="17"/>
          <w:szCs w:val="17"/>
          <w:color w:val="auto"/>
        </w:rPr>
        <w:t>. Chargebacks are discounts that occur when certain contracted customers, pharmacy benefit managers, insurance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programs and group purchasing organizations purchase directly from the Company’s specialty pharmacy. These 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u w:val="single" w:color="auto"/>
          <w:color w:val="auto"/>
        </w:rPr>
        <w:t>Co-payment assistance and patient assistance programs</w:t>
      </w:r>
      <w:r>
        <w:rPr>
          <w:rFonts w:ascii="Arial" w:cs="Arial" w:eastAsia="Arial" w:hAnsi="Arial"/>
          <w:sz w:val="16"/>
          <w:szCs w:val="16"/>
          <w:color w:val="auto"/>
        </w:rPr>
        <w:t>. Patients who have commercial insurance and meet certain eligibility requirements may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64"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i w:val="1"/>
          <w:iCs w:val="1"/>
          <w:u w:val="single" w:color="auto"/>
          <w:color w:val="auto"/>
        </w:rPr>
        <w:t>Product returns</w:t>
      </w:r>
      <w:r>
        <w:rPr>
          <w:rFonts w:ascii="Arial" w:cs="Arial" w:eastAsia="Arial" w:hAnsi="Arial"/>
          <w:sz w:val="18"/>
          <w:szCs w:val="18"/>
          <w:color w:val="auto"/>
        </w:rPr>
        <w:t>. The Company does not provide contractual return rights to its customer, except in instances where the product is damaged or</w:t>
      </w:r>
      <w:r>
        <w:rPr>
          <w:rFonts w:ascii="Arial" w:cs="Arial" w:eastAsia="Arial" w:hAnsi="Arial"/>
          <w:sz w:val="18"/>
          <w:szCs w:val="18"/>
          <w:i w:val="1"/>
          <w:iCs w:val="1"/>
          <w:color w:val="auto"/>
        </w:rPr>
        <w:t xml:space="preserve"> </w:t>
      </w:r>
      <w:r>
        <w:rPr>
          <w:rFonts w:ascii="Arial" w:cs="Arial" w:eastAsia="Arial" w:hAnsi="Arial"/>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Research and Development Arrangements and Royalties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w:t>
      </w:r>
    </w:p>
    <w:p>
      <w:pPr>
        <w:spacing w:after="0" w:line="184" w:lineRule="exact"/>
        <w:rPr>
          <w:sz w:val="20"/>
          <w:szCs w:val="20"/>
          <w:color w:val="auto"/>
        </w:rPr>
      </w:pPr>
    </w:p>
    <w:p>
      <w:pPr>
        <w:jc w:val="both"/>
        <w:ind w:right="580" w:firstLine="648"/>
        <w:spacing w:after="0" w:line="263"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71"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the Company has a right to payment. Any milestone payments received prior to satisfying these revenue recognition criteria are recorded as deferred revenue.</w:t>
      </w:r>
    </w:p>
    <w:p>
      <w:pPr>
        <w:spacing w:after="0" w:line="184" w:lineRule="exact"/>
        <w:rPr>
          <w:sz w:val="20"/>
          <w:szCs w:val="20"/>
          <w:color w:val="auto"/>
        </w:rPr>
      </w:pPr>
    </w:p>
    <w:p>
      <w:pPr>
        <w:jc w:val="both"/>
        <w:ind w:right="240" w:firstLine="414"/>
        <w:spacing w:after="0" w:line="279" w:lineRule="auto"/>
        <w:rPr>
          <w:sz w:val="20"/>
          <w:szCs w:val="20"/>
          <w:color w:val="auto"/>
        </w:rPr>
      </w:pPr>
      <w:r>
        <w:rPr>
          <w:rFonts w:ascii="Arial" w:cs="Arial" w:eastAsia="Arial" w:hAnsi="Arial"/>
          <w:sz w:val="17"/>
          <w:szCs w:val="17"/>
          <w:color w:val="auto"/>
        </w:rPr>
        <w:t>Reimbursements received for direct out-of-pocket expenses related to research and development costs are recorded as revenue in the Consolidated Statements of Comprehensive Loss rather than as a reduction in expenses. Under the Company’s contracts with the Biomedical Advanced Research and Development Authority within the United States Department of Health and Human Services (”BARDA/HHS”) and the National Institute of Allergy and Infectious Diseases (“NIAID/HHS”), revenue is recognized as reimbursable direct and indirect costs are incurred.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15" w:name="page16"/>
    <w:bookmarkEnd w:id="15"/>
    <w:p>
      <w:pPr>
        <w:ind w:right="80" w:firstLine="414"/>
        <w:spacing w:after="0" w:line="263" w:lineRule="auto"/>
        <w:rPr>
          <w:sz w:val="20"/>
          <w:szCs w:val="20"/>
          <w:color w:val="auto"/>
        </w:rPr>
      </w:pPr>
      <w:r>
        <w:rPr>
          <w:rFonts w:ascii="Arial" w:cs="Arial" w:eastAsia="Arial" w:hAnsi="Arial"/>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25" w:lineRule="exact"/>
        <w:rPr>
          <w:sz w:val="20"/>
          <w:szCs w:val="20"/>
          <w:color w:val="auto"/>
        </w:rPr>
      </w:pPr>
    </w:p>
    <w:p>
      <w:pPr>
        <w:ind w:right="200" w:firstLine="522"/>
        <w:spacing w:after="0" w:line="263" w:lineRule="auto"/>
        <w:rPr>
          <w:sz w:val="20"/>
          <w:szCs w:val="20"/>
          <w:color w:val="auto"/>
        </w:rPr>
      </w:pPr>
      <w:r>
        <w:rPr>
          <w:rFonts w:ascii="Arial" w:cs="Arial" w:eastAsia="Arial" w:hAnsi="Arial"/>
          <w:sz w:val="18"/>
          <w:szCs w:val="18"/>
          <w:color w:val="auto"/>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ind w:right="180" w:firstLine="522"/>
        <w:spacing w:after="0" w:line="263" w:lineRule="auto"/>
        <w:rPr>
          <w:sz w:val="20"/>
          <w:szCs w:val="20"/>
          <w:color w:val="auto"/>
        </w:rPr>
      </w:pPr>
      <w:r>
        <w:rPr>
          <w:rFonts w:ascii="Arial" w:cs="Arial" w:eastAsia="Arial" w:hAnsi="Arial"/>
          <w:sz w:val="18"/>
          <w:szCs w:val="18"/>
          <w:color w:val="auto"/>
        </w:rPr>
        <w:t>Advertising and promotional costs are expensed in “Selling, general and administrative” as the costs are incurred. Advertising expenses related to ORLADEYO were $1,404 for the three months ended March 31, 2021. The Company did not incur advertising and product promotion expenses in the corresponding prior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522"/>
        <w:spacing w:after="0" w:line="290" w:lineRule="auto"/>
        <w:rPr>
          <w:sz w:val="20"/>
          <w:szCs w:val="20"/>
          <w:color w:val="auto"/>
        </w:rPr>
      </w:pPr>
      <w:r>
        <w:rPr>
          <w:rFonts w:ascii="Arial" w:cs="Arial" w:eastAsia="Arial" w:hAnsi="Arial"/>
          <w:sz w:val="16"/>
          <w:szCs w:val="16"/>
          <w:color w:val="auto"/>
        </w:rPr>
        <w:t>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165" w:lineRule="exact"/>
        <w:rPr>
          <w:sz w:val="20"/>
          <w:szCs w:val="20"/>
          <w:color w:val="auto"/>
        </w:rPr>
      </w:pPr>
    </w:p>
    <w:p>
      <w:pPr>
        <w:ind w:right="240" w:firstLine="522"/>
        <w:spacing w:after="0" w:line="257" w:lineRule="auto"/>
        <w:rPr>
          <w:sz w:val="20"/>
          <w:szCs w:val="20"/>
          <w:color w:val="auto"/>
        </w:rPr>
      </w:pPr>
      <w:r>
        <w:rPr>
          <w:rFonts w:ascii="Arial" w:cs="Arial" w:eastAsia="Arial" w:hAnsi="Arial"/>
          <w:sz w:val="18"/>
          <w:szCs w:val="18"/>
          <w:color w:val="auto"/>
        </w:rPr>
        <w:t>Additionally, the Company has license agreements with third parties, such as Albert Einstein College of Medicine of Yeshiva University (“AECOM”), Industrial Research, Ltd. (“IRL”), and the University of Alabama at Birmingham (“UAB”),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pacing w:after="0" w:line="188" w:lineRule="exact"/>
        <w:rPr>
          <w:sz w:val="20"/>
          <w:szCs w:val="20"/>
          <w:color w:val="auto"/>
        </w:rPr>
      </w:pPr>
    </w:p>
    <w:p>
      <w:pPr>
        <w:ind w:firstLine="522"/>
        <w:spacing w:after="0" w:line="257" w:lineRule="auto"/>
        <w:rPr>
          <w:sz w:val="20"/>
          <w:szCs w:val="20"/>
          <w:color w:val="auto"/>
        </w:rPr>
      </w:pPr>
      <w:r>
        <w:rPr>
          <w:rFonts w:ascii="Arial" w:cs="Arial" w:eastAsia="Arial" w:hAnsi="Arial"/>
          <w:sz w:val="18"/>
          <w:szCs w:val="18"/>
          <w:color w:val="auto"/>
        </w:rPr>
        <w:t>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522"/>
        <w:spacing w:after="0" w:line="275" w:lineRule="auto"/>
        <w:rPr>
          <w:sz w:val="20"/>
          <w:szCs w:val="20"/>
          <w:color w:val="auto"/>
        </w:rPr>
      </w:pPr>
      <w:r>
        <w:rPr>
          <w:rFonts w:ascii="Arial" w:cs="Arial" w:eastAsia="Arial" w:hAnsi="Arial"/>
          <w:sz w:val="17"/>
          <w:szCs w:val="17"/>
          <w:color w:val="auto"/>
        </w:rPr>
        <w:t>All share-based payments, including grants of stock option awards and restricted stock unit awards, are recognized in the Company’s Consolidated Statements of Comprehensive Loss based on their fair values. The fair value of stock option awards is estimated using the Black-Scholes option pricing model. The fair value of restricted stock unit awards is based on the grant date closing price of the common stock. Stock-based compensation cost is recognized as expense on a straight-line basis over the requisite service period of the award. In addition, we have outstanding performance-based stock options for which no compensation expense is recognized until “performance” is deemed to have occurred.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Deferred Financing Costs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Interest expense for the three months ended March 31, 2021 and March 31, 2020 was $12,904 and $3,047, respectively, and primarily relates to the royalty financing obligation, the secured term loan borrowing from the Credit Agreement (Note 3), the PhaRMA Notes (Note 2) and the Senior Credit Facility (Note 4). 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 Amortization of deferred financing costs and original issue discount included in interest expense was $(58) and $341 for each of the three months ended March 31, 2021 and March 31, 2020, respectively.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Interest Expense and Royalty Financing Obligation</w:t>
      </w:r>
    </w:p>
    <w:p>
      <w:pPr>
        <w:spacing w:after="0" w:line="225" w:lineRule="exact"/>
        <w:rPr>
          <w:sz w:val="20"/>
          <w:szCs w:val="20"/>
          <w:color w:val="auto"/>
        </w:rPr>
      </w:pPr>
    </w:p>
    <w:p>
      <w:pPr>
        <w:ind w:right="40" w:firstLine="522"/>
        <w:spacing w:after="0" w:line="290" w:lineRule="auto"/>
        <w:rPr>
          <w:sz w:val="20"/>
          <w:szCs w:val="20"/>
          <w:color w:val="auto"/>
        </w:rPr>
      </w:pPr>
      <w:r>
        <w:rPr>
          <w:rFonts w:ascii="Arial" w:cs="Arial" w:eastAsia="Arial" w:hAnsi="Arial"/>
          <w:sz w:val="16"/>
          <w:szCs w:val="16"/>
          <w:color w:val="auto"/>
        </w:rPr>
        <w:t>The royalty financing obligation is eligible to be repaid based on royalties from net sales of ORLADEYO. Interest expense is accrued using the effective interest rate method over the estimated period the related liability will be paid. This requires the Company to estimate the total amount of future royalty payments to be generated from product sales over the life of the agreement. The Company imputes interest on the carrying value of the royalty financing obligation and records interest expense using an imputed effective interest rate. The Company will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the liability, as well as the period over which associated issuance costs will be amortized. A significant increase or decrease in forecasted net sales could materially impact the liability balance, interest expense and the time period for repayment.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Hedge Agreement</w:t>
      </w:r>
    </w:p>
    <w:p>
      <w:pPr>
        <w:spacing w:after="0" w:line="225" w:lineRule="exact"/>
        <w:rPr>
          <w:sz w:val="20"/>
          <w:szCs w:val="20"/>
          <w:color w:val="auto"/>
        </w:rPr>
      </w:pPr>
    </w:p>
    <w:p>
      <w:pPr>
        <w:ind w:right="60" w:firstLine="522"/>
        <w:spacing w:after="0" w:line="257" w:lineRule="auto"/>
        <w:rPr>
          <w:sz w:val="20"/>
          <w:szCs w:val="20"/>
          <w:color w:val="auto"/>
        </w:rPr>
      </w:pPr>
      <w:r>
        <w:rPr>
          <w:rFonts w:ascii="Arial" w:cs="Arial" w:eastAsia="Arial" w:hAnsi="Arial"/>
          <w:sz w:val="18"/>
          <w:szCs w:val="18"/>
          <w:color w:val="auto"/>
        </w:rPr>
        <w:t>In connection with the issuance by JPR Royalty Sub LLC of the PhaRMA Notes, the Company entered into a Currency Hedge Agreement to hedge certain risks associated with changes in the value of the Japanese yen relative to the U.S. dollar. The final tranche of the options under the Currency Hedge Agreement expired in November 2020. The Currency Hedge Agreement did not qualify for hedge accounting treatment; therefore mark-to-market adjustments were recognized in the Company’s Consolidated Statements of Comprehensive Loss. For the three months ended March 31, 2020, cumulative mark-to-market adjustments resulted in a loss of $20.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firstLine="522"/>
        <w:spacing w:after="0" w:line="257" w:lineRule="auto"/>
        <w:rPr>
          <w:sz w:val="20"/>
          <w:szCs w:val="20"/>
          <w:color w:val="auto"/>
        </w:rPr>
      </w:pPr>
      <w:r>
        <w:rPr>
          <w:rFonts w:ascii="Arial" w:cs="Arial" w:eastAsia="Arial" w:hAnsi="Arial"/>
          <w:sz w:val="18"/>
          <w:szCs w:val="18"/>
          <w:color w:val="auto"/>
        </w:rPr>
        <w:t>Net loss per share is based upon the weighted average number of common shares outstanding during the period. Diluted loss per share is equivalent to basic net loss per share for all periods presented herein because common equivalent shares from unexercised stock options, warrants and common shares expected to be issued under the Company’s employee stock purchase plan were anti-dilutive. The calculation of diluted earnings per share for the three months ended March 31, 2021 and 2020 does not include 23,741 and 12,196, respectively, of such potential common shares, as their impact would be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522"/>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The most significant estimates in the Company’s consolidated financial statements relate to the valuation of stock options, the ORLADEYO royalty financing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 and 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right="140" w:firstLine="522"/>
        <w:spacing w:after="0" w:line="259" w:lineRule="auto"/>
        <w:rPr>
          <w:sz w:val="20"/>
          <w:szCs w:val="20"/>
          <w:color w:val="auto"/>
        </w:rPr>
      </w:pPr>
      <w:r>
        <w:rPr>
          <w:rFonts w:ascii="Arial" w:cs="Arial" w:eastAsia="Arial" w:hAnsi="Arial"/>
          <w:sz w:val="18"/>
          <w:szCs w:val="18"/>
          <w:color w:val="auto"/>
        </w:rPr>
        <w:t>The Company’s primary sources of revenue and cash flow are the sales of ORLADEYO to a specialty pharmacy, the reimbursement of galidesivir (formerly BCX4430) development expenses earned under cost-plus-fixed-fee contracts with BARDA/HHS and NIAID/HHS and sales of RAPIVAB (peramivir injection) under our procurement contract with the Assistant Secretary for Preparedness and Response within the United States Department of Health and Human Services.</w:t>
      </w:r>
    </w:p>
    <w:p>
      <w:pPr>
        <w:spacing w:after="0" w:line="187" w:lineRule="exact"/>
        <w:rPr>
          <w:sz w:val="20"/>
          <w:szCs w:val="20"/>
          <w:color w:val="auto"/>
        </w:rPr>
      </w:pPr>
    </w:p>
    <w:p>
      <w:pPr>
        <w:ind w:right="500" w:firstLine="486"/>
        <w:spacing w:after="0" w:line="259" w:lineRule="auto"/>
        <w:rPr>
          <w:sz w:val="20"/>
          <w:szCs w:val="20"/>
          <w:color w:val="auto"/>
        </w:rPr>
      </w:pPr>
      <w:r>
        <w:rPr>
          <w:rFonts w:ascii="Arial" w:cs="Arial" w:eastAsia="Arial" w:hAnsi="Arial"/>
          <w:sz w:val="18"/>
          <w:szCs w:val="18"/>
          <w:color w:val="auto"/>
        </w:rPr>
        <w:t>ORLADEYO is distributed through an arrangement with a single specialty pharmacy in the U.S.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87" w:lineRule="exact"/>
        <w:rPr>
          <w:sz w:val="20"/>
          <w:szCs w:val="20"/>
          <w:color w:val="auto"/>
        </w:rPr>
      </w:pPr>
    </w:p>
    <w:p>
      <w:pPr>
        <w:ind w:right="60" w:firstLine="522"/>
        <w:spacing w:after="0" w:line="257" w:lineRule="auto"/>
        <w:rPr>
          <w:sz w:val="20"/>
          <w:szCs w:val="20"/>
          <w:color w:val="auto"/>
        </w:rPr>
      </w:pPr>
      <w:r>
        <w:rPr>
          <w:rFonts w:ascii="Arial" w:cs="Arial" w:eastAsia="Arial" w:hAnsi="Arial"/>
          <w:sz w:val="18"/>
          <w:szCs w:val="18"/>
          <w:color w:val="auto"/>
        </w:rPr>
        <w:t>The Company relies on BARDA/HHS and NIAID/HHS to reimburse predominantly all of the development costs for its galidesivir program and stockpiling sales of RAPIVAB to HHS. Accordingly, reimbursement of these expenses represents a significant portion of the Company’s collaborative and other research and development revenues. Additionally, HHS is the primary customer for RABIVAB. The completion or termination of the NIAID/HHS and BARDA/HHS galidesivir contracts or the reduction or stoppage of purchases of RAPIVAB by HHS could adversely impact the Company’s business, results of operations and financial condition.</w:t>
      </w:r>
    </w:p>
    <w:p>
      <w:pPr>
        <w:spacing w:after="0" w:line="18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Further, the Company’s drug development activities are performed by a limited group of third-party vendors. If any of these vendors were unable to perform their services, this could significantly impact the Company’s ability to complete its drug development activities.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Risks from Third Party Manufacturing and Distribution Concentration</w:t>
      </w:r>
    </w:p>
    <w:p>
      <w:pPr>
        <w:spacing w:after="0" w:line="225" w:lineRule="exact"/>
        <w:rPr>
          <w:sz w:val="20"/>
          <w:szCs w:val="20"/>
          <w:color w:val="auto"/>
        </w:rPr>
      </w:pPr>
    </w:p>
    <w:p>
      <w:pPr>
        <w:ind w:right="300" w:firstLine="486"/>
        <w:spacing w:after="0" w:line="311" w:lineRule="auto"/>
        <w:rPr>
          <w:sz w:val="20"/>
          <w:szCs w:val="20"/>
          <w:color w:val="auto"/>
        </w:rPr>
      </w:pPr>
      <w:r>
        <w:rPr>
          <w:rFonts w:ascii="Arial" w:cs="Arial" w:eastAsia="Arial" w:hAnsi="Arial"/>
          <w:sz w:val="16"/>
          <w:szCs w:val="16"/>
          <w:color w:val="auto"/>
        </w:rPr>
        <w:t>The Company relies on single source manufacturers for active pharmaceutical ingredient and finished drug product manufacturing of product candidates in development and on single source distributors for distribution of approved drug products. Delays in the manufacture or distribution of any product could adversely impact the commercial revenue and future procurement stockpiling of the Company’s product candidates.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18 months or less.</w:t>
      </w:r>
    </w:p>
    <w:p>
      <w:pPr>
        <w:spacing w:after="0" w:line="176"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Company’s receivables from sales of ORLADEYO are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majority of the Company’s receivables from collaborations are due from the U.S. Government, for which there is no assumed credit risk.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In December 2019, the FASB issued ASU No. 2019-12 (ASC Topic 740), Simplifying the Accounting for Income Taxes. ASU 2019-12 simplifies accounting for income taxes by removing certain exceptions to the general principles and clarifying existing guidance. This standard is effective for fiscal years, and interim periods within those years, beginning after December 15, 2020. The adoption of this standard did not have a material impact to the Company’s financial position, results of operations or cash flows.</w:t>
      </w:r>
    </w:p>
    <w:p>
      <w:pPr>
        <w:spacing w:after="0" w:line="187" w:lineRule="exact"/>
        <w:rPr>
          <w:sz w:val="20"/>
          <w:szCs w:val="20"/>
          <w:color w:val="auto"/>
        </w:rPr>
      </w:pPr>
    </w:p>
    <w:p>
      <w:pPr>
        <w:ind w:right="880" w:firstLine="486"/>
        <w:spacing w:after="0" w:line="342" w:lineRule="auto"/>
        <w:rPr>
          <w:sz w:val="20"/>
          <w:szCs w:val="20"/>
          <w:color w:val="auto"/>
        </w:rPr>
      </w:pPr>
      <w:r>
        <w:rPr>
          <w:rFonts w:ascii="Arial" w:cs="Arial" w:eastAsia="Arial" w:hAnsi="Arial"/>
          <w:sz w:val="16"/>
          <w:szCs w:val="16"/>
          <w:color w:val="auto"/>
        </w:rPr>
        <w:t>The Company has reviewed other new accounting pronouncements that were issued as of March 31, 2021 and does not believe that these pronouncements are either applicable to the Company, or that they will have a material impact on its financial position or results of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r>
        <w:rPr>
          <w:rFonts w:ascii="Arial" w:cs="Arial" w:eastAsia="Arial" w:hAnsi="Arial"/>
          <w:sz w:val="18"/>
          <w:szCs w:val="18"/>
          <w:color w:val="auto"/>
        </w:rPr>
        <w:t>—</w:t>
      </w:r>
      <w:r>
        <w:rPr>
          <w:rFonts w:ascii="Arial" w:cs="Arial" w:eastAsia="Arial" w:hAnsi="Arial"/>
          <w:sz w:val="18"/>
          <w:szCs w:val="18"/>
          <w:b w:val="1"/>
          <w:bCs w:val="1"/>
          <w:color w:val="auto"/>
        </w:rPr>
        <w:t>Royalty Monetizations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RAPIACTA Royalty Monetization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On March 9, 2011, the Company completed a $30,000 financing transaction to monetize certain future royalty and milestone payments under the Company’s agreement with Shionogi (the “Shionogi Agreement”), pursuant to which Shionogi licensed from the Company the rights to market RAPIACTA in Japan and Taiwan. The Company received net proceeds of $22,691 from the transaction after transaction costs of $4,309 and the establishment of a $3,000 interest reserve account by JPR Royalty Sub LLC, a wholly-owned subsidiary of the Company (“Royalty Sub”), available to help cover interest shortfalls in the future. All of the interest reserve account has been fully utilized with the September 2012 interest payment.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8" w:name="page19"/>
    <w:bookmarkEnd w:id="18"/>
    <w:p>
      <w:pPr>
        <w:ind w:right="200" w:firstLine="486"/>
        <w:spacing w:after="0" w:line="255" w:lineRule="auto"/>
        <w:rPr>
          <w:sz w:val="20"/>
          <w:szCs w:val="20"/>
          <w:color w:val="auto"/>
        </w:rPr>
      </w:pPr>
      <w:r>
        <w:rPr>
          <w:rFonts w:ascii="Arial" w:cs="Arial" w:eastAsia="Arial" w:hAnsi="Arial"/>
          <w:sz w:val="18"/>
          <w:szCs w:val="18"/>
          <w:color w:val="auto"/>
        </w:rPr>
        <w:t>As part of the transaction, the Company entered into a purchase and sale agreement dated as of March 9, 2011 with Royalty Sub, whereby the Company transferred to Royalty Sub, among other things, (i) its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the Company in connection with the transaction. Royalty payments are paid by Shionogi in Japanese yen, and any milestone payments will be paid in U.S. dollars. The Company’s collaboration with Shionogi was not impacted as a result of this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Notes Payable</w:t>
      </w:r>
    </w:p>
    <w:p>
      <w:pPr>
        <w:spacing w:after="0" w:line="22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On March 9, 2011, Royalty Sub completed a private placement to institutional investors of $30,000 in aggregate principal amount of its PhaRMA Senior Secured 14.0% Notes due on December 1, 2020 (the “PhaRMA Notes”). The PhaRMA Notes were issued by Royalty Sub under an Indenture, dated as of March 9, 2011 (the “Indenture”), by and between Royalty Sub and U.S. Bank National Association, as Trustee. Principal and interest on the PhaRMA Notes are payable from, and are secured by, the rights to royalty and milestone payments under the Shionogi Agreement transferred by the Company to Royalty Sub and payments, if any, made to Royalty Sub under the Currency Hedge Agreement. The PhaRMA Notes bear interest at 14% per annum, payable annually in arrears on September 1st of each year. The Company remains entitled to receive any royalties and milestone payments related to sales of peramivir by Shionogi following repayment of the PhaRMA Notes.</w:t>
      </w:r>
    </w:p>
    <w:p>
      <w:pPr>
        <w:spacing w:after="0" w:line="17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may, but is not obligated to, make capital contributions to a capital account that may be used to redeem, or on up to one occasion pay any interest shortfall on, the PhaRMA Notes.</w:t>
      </w:r>
    </w:p>
    <w:p>
      <w:pPr>
        <w:spacing w:after="0" w:line="18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September 2014, Royalty Sub was unable to pay the accrued interest obligation due September 3, 2013. Under the terms of the Indenture, Royalty Sub’s inability to pay the full amount of interest payable in September 2013 by the next succeeding payment date for the PhaRMA Notes, which was September 1, 2014, constituted an event of default. Accordingly, the PhaRMA Notes and related accrued interest have been classified as current liabilities on the December 31, 2014 balance sheet and thereafter. The PhaRMA Notes had a final legal maturity date of December 1, 2020, at which time the outstanding principal amount of the PhaRMA Notes, together with accrued and unpaid interest, was due in full. As of March 31, 2021, the PhaRMA Notes remained outstanding and in default, and the Company will continue to record the liability and accrued interest owed until the Company is determined to no longer be the financial obligor. As a result of the continuing events of default under the PhaRMA Notes, the holders of the PhaRMA Notes may foreclose on the collateral securing the PhaRMA Notes and the equity interest in Royalty Sub and exercise other remedies available to them under the Indenture in respect of the PhaRMA Notes. In such event, the Company may not realize the benefit of future royalty payments that might otherwise accrue to it following repayment of the PhaRMA Notes and it might otherwise be adversely affected. Due to the non-recourse nature of the PhaRMA Notes, in the event of any potential foreclosure, the primary impact to the Company would be the loss of future royalty payments from Shionogi and legal costs associated with retiring the PhaRMA Notes. As the PhaRMA Notes are the obligation of Royalty Sub and non-recourse to the Company, the events of default of the PhaRMA Notes are not expected to have a significant impact on the Company’s future results of operations or cash flows. As of March 31, 2021, the outstanding principal amount of the PhaRMA Notes was $30,000 and accrued and unpaid interest was $22,244.</w:t>
      </w:r>
    </w:p>
    <w:p>
      <w:pPr>
        <w:spacing w:after="0" w:line="171" w:lineRule="exact"/>
        <w:rPr>
          <w:sz w:val="20"/>
          <w:szCs w:val="20"/>
          <w:color w:val="auto"/>
        </w:rPr>
      </w:pPr>
    </w:p>
    <w:p>
      <w:pPr>
        <w:ind w:right="800" w:firstLine="486"/>
        <w:spacing w:after="0" w:line="286" w:lineRule="auto"/>
        <w:rPr>
          <w:sz w:val="20"/>
          <w:szCs w:val="20"/>
          <w:color w:val="auto"/>
        </w:rPr>
      </w:pPr>
      <w:r>
        <w:rPr>
          <w:rFonts w:ascii="Arial" w:cs="Arial" w:eastAsia="Arial" w:hAnsi="Arial"/>
          <w:sz w:val="17"/>
          <w:szCs w:val="17"/>
          <w:color w:val="auto"/>
        </w:rPr>
        <w:t>The Indenture does not contain any financial covenants. The Indenture includes customary representations and warranties of Royalty Sub, affirmative and negative covenants of Royalty Sub, Events of Default and related remedies, and provisions regarding the duties of the Trustee, indemnification of the Trustee, and other matters typical for indentures used in structured financings of this type.</w:t>
      </w:r>
    </w:p>
    <w:p>
      <w:pPr>
        <w:spacing w:after="0" w:line="16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As of March 31, 2021, the aggregate fair value of the PhaRMA Notes was estimated to be approximately 3% of its carrying value of $30,000. The estimated fair value of the PhaRMA Notes is classified as Level 3 in the fair value hierarchy as defined in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connection with the issuance by Royalty Sub of the PhaRMA Notes, the Company entered into a Currency Hedge Agreement to hedge certain risks associated with changes in the value of the Japanese yen relative to the U.S. dollar. Under the Currency Hedge Agreement, the Company had the right to purchase dollars and sell yen at a rate of 100 yen per dollar. The Currency Hedge Agreement did not qualify for hedge accounting treatment; therefore mark-to-market adjustments were recognized in the Company’s Consolidated Statements of Comprehensive Loss. The final tranche of the options under the Currency Hedge Agreement expired in November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 Royalty Monetization</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On December 7, 2020, the Company and RPI 2019 Intermediate Finance Trust (“RPI”) entered into a Purchase and Sale Agreement (the “Royalty Purchase Agreement”), pursuant to which the Company sold to RPI the right to receive certain royalty payments from the Company for a purchase price of $125,000 in cash (the “Royalty Sale”). Under the Royalty Purchase Agreement, RPI is entitled to receive tiered, sales-based royalties on net product sales of ORLADEYO in the United States, certain key European markets, and other markets where the Company sells ORLADEYO directly or through distributors (collectively, the “Key Territories”) in an amount equal to: (i) 8.75% of aggregate annual net sales of ORLADEYO in the Key Territories for annual net sales up to $350,000 and (ii) 2.75% of annual net sales in the Key Territories for annual net sales between $350,000 and $550,000. No royalty payments are payable on annual net sales in the Key Territories over $550,000. In addition, RPI will be entitled to receive 1.0% of global net sales, if any, of BCX9930.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ind w:right="120" w:firstLine="486"/>
        <w:spacing w:after="0" w:line="255" w:lineRule="auto"/>
        <w:rPr>
          <w:sz w:val="20"/>
          <w:szCs w:val="20"/>
          <w:color w:val="auto"/>
        </w:rPr>
      </w:pPr>
      <w:r>
        <w:rPr>
          <w:rFonts w:ascii="Arial" w:cs="Arial" w:eastAsia="Arial" w:hAnsi="Arial"/>
          <w:sz w:val="18"/>
          <w:szCs w:val="18"/>
          <w:color w:val="auto"/>
        </w:rPr>
        <w:t>Under the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 No payment will be due to RPI for any achievement milestone which may be payable under the existing out-license for ORLADEYO.</w:t>
      </w:r>
    </w:p>
    <w:p>
      <w:pPr>
        <w:spacing w:after="0" w:line="192"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Company will be required to make royalty payments of amounts owed to RPI each calendar quarter following the first commercial sale of ORLADEYO in any country.</w:t>
      </w:r>
    </w:p>
    <w:p>
      <w:pPr>
        <w:spacing w:after="0" w:line="17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Under the Royalty Purchase Agreement, the Company has agreed to specified affirmative and negative covenants, including covenants regarding periodic reporting of information by the Company to RPI, third-party audits of royalties paid under the Royalty Purchase Agreement, and restrictions on the ability of the Company or any of its subsidiaries to incur indebtedness other than certain royalty sales and as is permitted to be incurred under the terms of the Company’s Credit Agreement with Athyrium Opportunities III Co-Invest 1 LP. Refer to Note 3 for further details on the Credit Agreement. The restrictions on the ability of the Company or any of its subsidiaries to incur indebtedness are eliminated after the achievement of certain specified milestones in the Royalty Purchase Agreement.</w:t>
      </w:r>
    </w:p>
    <w:p>
      <w:pPr>
        <w:spacing w:after="0" w:line="192"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The cash consideration of $125,000 obtained pursuant to the Royalty Purchase Agreement is recorded in “Royalty financing obligation” on the Company’s consolidated balance sheet as of December 31, 2020. The fair value for the royalty financing obligation at the time of the transaction was based on the Company’s estimates of future royalties expected to be paid to RPI over the life of the arrangement. The estimates of future net product sales (and resulting royalty payments) are based on key assumptions including population, penetration and sales price and are determined using forecasts from market data sources, which are considered Level 3 inputs. Deferred issuance costs, which consist primarily of advisory and legal fees, totaled $2,370 as of March 31, 2021. The royalty financing obligation and the deferred issuance costs are amortized using the effective interest method over the term of the arrangement, in accordance with the respective guidance. The effective interest rate as of March 31, 2021 was approximately 24%. For the three months ended March 31, 2021, accrued interest expense in the amount of $7,536 was added to the balance of the royalty financing obligation. Additionally, as of March 31, 2021, the Company had accrued royalties payable to RPI of $957, which reduced the royalty financing obligation. The Company will utilize the prospective method to account for subsequent changes in the estimated future payments to be made to RPI.</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Credit Agreement</w:t>
      </w:r>
    </w:p>
    <w:p>
      <w:pPr>
        <w:spacing w:after="0" w:line="229"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On December 7, 2020, the Company entered into a $200,000 Credit Agreement with Athyrium Opportunities III Co-Invest 1 LP (“Athyrium”), as lender and as administrative agent for the lenders. BioCryst Ireland Limited, BioCryst US Sales Co., LLC, and BioCryst UK Limited, each of which is a wholly-owned subsidiary of the Company, are guarantors to the Credit Agreement. The Credit Agreement provided for an initial term loan in the principal amount of $125,000 (the “Term A Loan”), which was received by the Company on December 7, 2020 and is recorded in “Secured term loan” on the Company’s balance sheet. The Company used a portion of the proceeds from the Term A Loan to repay $43,298 of outstanding indebtedness, including accrued interest, under its then-existing credit facility with MidCap Financial Trust.</w:t>
      </w:r>
    </w:p>
    <w:p>
      <w:pPr>
        <w:spacing w:after="0" w:line="17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Credit Agreement also provides for two additional term loans, at the Company's option, in the respective principal amounts of $25,000 (the “Term B Loan”) and $50,000 (the “Term C Loan” and collectively with the Term A Loan and the Term B Loan, the “Term Loans”). The Term B Loan and the Term C Loan may be drawn upon if, among other conditions, the Company reaches defined revenue milestones and, with respect to a draw on the Term C Loan, the Term B Loan has been funded prior to or contemporaneously with the Term C Loan. The maturity date of the Credit Agreement is December 7, 2025.</w:t>
      </w:r>
    </w:p>
    <w:p>
      <w:pPr>
        <w:spacing w:after="0" w:line="18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Credit Agreement provides for quarterly interest-only payments until the maturity date, with the unpaid principal amount of the outstanding Term Loans due and payable on the maturity date. For each of the first eight full fiscal quarters following December 7, 2020, the Company has the option to make the applicable interest payment in-kind (a “PIK Interest Payment”) by capitalizing the entire amount of interest accrued during the applicable interest period with the unpaid original principal amount outstanding on the last day of such period. The Term Loans will bear interest at a rate equal to the three-month LIBOR rate, which shall be no less than 1.75% and no more than 3.50% (“LIBOR”), plus 8.25%, or for each interest period in which a PIK Interest Payment is made, LIBOR plus 10.25%.</w:t>
      </w:r>
    </w:p>
    <w:p>
      <w:pPr>
        <w:spacing w:after="0" w:line="19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Subject to certain exceptions, the Company is required to make mandatory prepayments of the Term Loans with the proceeds of certain asset sales, certain ORLADEYO out-licensing or royalty monetization transactions (excluding the Royalty Sale), extraordinary receipts, debt issuances, or upon a change of control of the Company and specified other events, subject to certain exceptions. The Company may make voluntary prepayments in whole or in part. Prepayments are subject to a premium equal to, (i) with respect to any voluntary prepayment and certain mandatory prepayments paid on or prior to the second anniversary of the applicable Term Loan borrowing date, the amount, if any, by which (a) the sum of (1) 102.00% of the principal amount of the Term Loan being prepaid plus (2) the present value of all interest that would have accrued on the principal amount of the Term Loan being prepaid through and including the second anniversary of the date of the borrowing of such Term Loan, plus 0.50%, exceeds (b) the principal amount of the Term Loan being prepaid; (ii) with respect to any prepayment made between the second and third anniversaries of the applicable Term Loan borrowing date, 2.00% of the principal amount of the Term Loan being prepaid; (iii) with respect to any prepayment made between the third and fourth anniversaries of the applicable Term Loan borrowing date, 1.00% of the principal amount of the Term Loan being prepaid; and (iv) with respect to any prepayment made after the fourth anniversary of the applicable Term Loan borrowing date, 0.00% of the principal amount of the Term Loan being prepaid. Upon the prepayment or repayment, including at maturity, of all or any of the Term Loans, the Company is obligated to pay an exit fee in an amount equal to 2.00% of the principal amount of the Term Loans prepaid or repaid. In addition, each Term Loan is subject to a 1.00% commitment fee at its respective borrowing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0" w:name="page21"/>
    <w:bookmarkEnd w:id="20"/>
    <w:p>
      <w:pPr>
        <w:ind w:firstLine="486"/>
        <w:spacing w:after="0" w:line="286" w:lineRule="auto"/>
        <w:rPr>
          <w:sz w:val="20"/>
          <w:szCs w:val="20"/>
          <w:color w:val="auto"/>
        </w:rPr>
      </w:pPr>
      <w:r>
        <w:rPr>
          <w:rFonts w:ascii="Arial" w:cs="Arial" w:eastAsia="Arial" w:hAnsi="Arial"/>
          <w:sz w:val="16"/>
          <w:szCs w:val="16"/>
          <w:color w:val="auto"/>
        </w:rPr>
        <w:t>The Credit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grant liens, make investments, incur additional indebtedness, engage in mergers, acquisitions, and similar transactions, dispose of assets, license certain property, distribute dividends, make certain restricted payments, change the nature of the Company's business, engage in transactions with affiliates and insiders, prepay other indebtedness, or engage in sale and leaseback transactions, subject to certain exceptions. Additionally, as of the last day of each fiscal quarter (a “Test Date”), beginning with the first Test Date occurring immediately after the Term C Loan is drawn, if applicable, the Company may not permit consolidated net revenues from ORLADEYO sales in the United States for the four-fiscal quarter period ending on such Test Date to be less than the specified amounts set forth in the Credit Agreement (collectively, the “Revenue Tests”). If the Company fails to satisfy the Revenue Tests as of any Test Date, it will have a one-time right (the “Cure Right”) to repay in full the entire amount of the Term C Loan outstanding at such time together with all accrued and unpaid interest thereon plus the prepayment premium, exit fee, and any other fees or amounts payable under the Credit Agreement at such time. In addition, the Credit Agreement contains a minimum liquidity covenant requiring the Company to maintain at all times, as applicable, at least $15,000 of unrestricted cash and cash equivalents if only the Term A Loan has been drawn; at least $20,000 of unrestricted cash and cash equivalents if the Term B Loan has been drawn but the Term C Loan has not been drawn; and at least $15,000 (or, if the Cure Right has been exercised, $20,000) of unrestricted cash and cash equivalents if the Term C Loan has been drawn, subject to certain exceptions.</w:t>
      </w:r>
    </w:p>
    <w:p>
      <w:pPr>
        <w:spacing w:after="0" w:line="17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 failure to comply with the covenants in the Credit Agreement could permit the Lenders under the Credit Agreement to declare the outstanding principal as well as accrued interest and fees, to be immediately due and payable.</w:t>
      </w:r>
    </w:p>
    <w:p>
      <w:pPr>
        <w:spacing w:after="0" w:line="17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Company's obligations under the Credit Agreement are secured by a security interest in, subject to certain exceptions, substantially all of the Company's assets.</w:t>
      </w:r>
    </w:p>
    <w:p>
      <w:pPr>
        <w:spacing w:after="0" w:line="17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Credit Agreement provides for quarterly interest-only payments until the maturity date, with the unpaid principal amount of the outstanding Term Loans due and payable on the maturity date of December 7, 2025. The Company has elected the first quarterly interest payment to be a PIK Interest Payment and began accruing interest at a rate of 12.17%. For the three months ended March 31, 2021, the PIK Interest Payment of $3,549 was added to the outstanding balance of the Term Loan. As of March 31, 2021, debt fees and issuance costs totaled $8,010 and are being amortized as part of interest expense on an effective interest rate method over the term of the Term A Loan. As of March 31, 2021, borrowings, including the PIK Interest Payment, under the Credit Agreement totaled $128,549. The carrying amount of the debt approximates its fair value based on prevailing interest rates as of the balance sheet date.</w:t>
      </w:r>
    </w:p>
    <w:p>
      <w:pPr>
        <w:spacing w:after="0" w:line="19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Credit Agreement contains two provisions that, if deemed probable, would create the recognition of an embedded feature; however, at this time, the Company does not believe either provision is probable.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Senior Credit Facility</w:t>
      </w:r>
    </w:p>
    <w:p>
      <w:pPr>
        <w:spacing w:after="0" w:line="229" w:lineRule="exact"/>
        <w:rPr>
          <w:sz w:val="20"/>
          <w:szCs w:val="20"/>
          <w:color w:val="auto"/>
        </w:rPr>
      </w:pPr>
    </w:p>
    <w:p>
      <w:pPr>
        <w:ind w:right="120" w:firstLine="486"/>
        <w:spacing w:after="0" w:line="286" w:lineRule="auto"/>
        <w:rPr>
          <w:sz w:val="20"/>
          <w:szCs w:val="20"/>
          <w:color w:val="auto"/>
        </w:rPr>
      </w:pPr>
      <w:r>
        <w:rPr>
          <w:rFonts w:ascii="Arial" w:cs="Arial" w:eastAsia="Arial" w:hAnsi="Arial"/>
          <w:sz w:val="16"/>
          <w:szCs w:val="16"/>
          <w:color w:val="auto"/>
        </w:rPr>
        <w:t>On February 5, 2019, the Company entered into a $100,000 Senior Credit Facility with an affiliate of MidCap Financial Services, LLC, as administrative agent (the “Second Amended and Restated Senior Credit Facility”). Borrowings under the Second Amended and Restated Senior Credit Facility were available in three tranches, with (i) the first tranche comprised of $50,000 funded at closing, which included $30,000 of proceeds that were deemed rolled over from the outstanding principal amount under the Company’s prior credit agreement, (ii) the second tranche comprised of $30,000, and</w:t>
      </w:r>
    </w:p>
    <w:p>
      <w:pPr>
        <w:spacing w:after="0" w:line="1" w:lineRule="exact"/>
        <w:rPr>
          <w:sz w:val="20"/>
          <w:szCs w:val="20"/>
          <w:color w:val="auto"/>
        </w:rPr>
      </w:pPr>
    </w:p>
    <w:p>
      <w:pPr>
        <w:ind w:right="40" w:firstLine="8"/>
        <w:spacing w:after="0" w:line="290"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third tranche comprised of $20,000, with the second and third tranches to have been funded upon the completion of certain contingencies related to the Company’s development activities of its product candidates and the establishment of certain financial covenants.</w:t>
      </w:r>
    </w:p>
    <w:p>
      <w:pPr>
        <w:spacing w:after="0" w:line="16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Second Amended and Restated Senior Credit Facility had a variable interest rate of LIBOR (which was not to be less than 0.5%) plus 8%. The Second Amended and Restated Senior Credit Facility included an interest-only payment period through June 2020 and scheduled monthly principal and interest payments for the subsequent 30 months.</w:t>
      </w:r>
    </w:p>
    <w:p>
      <w:pPr>
        <w:spacing w:after="0" w:line="184"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For the three months ended March 31, 2020, the Company recognized $1,454 in interest expense related to the Second Amended and Restated Senior Credit Facility. In December 2020, the Company repaid the outstanding principal of the Second Amended and Restated Senior Credit Facility of $40,000 along with exit fees and accrued interest through the payoff date that totaled $3,298. The unamortized deferred financing cost and original issue discount of $1,211 was expensed as a loss on debt extinguishment.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Lease Obligations and Other Contingencies</w:t>
      </w:r>
    </w:p>
    <w:p>
      <w:pPr>
        <w:spacing w:after="0" w:line="229" w:lineRule="exact"/>
        <w:rPr>
          <w:sz w:val="20"/>
          <w:szCs w:val="20"/>
          <w:color w:val="auto"/>
        </w:rPr>
      </w:pPr>
    </w:p>
    <w:p>
      <w:pPr>
        <w:ind w:right="140" w:firstLine="486"/>
        <w:spacing w:after="0" w:line="288" w:lineRule="auto"/>
        <w:rPr>
          <w:sz w:val="20"/>
          <w:szCs w:val="20"/>
          <w:color w:val="auto"/>
        </w:rPr>
      </w:pPr>
      <w:r>
        <w:rPr>
          <w:rFonts w:ascii="Arial" w:cs="Arial" w:eastAsia="Arial" w:hAnsi="Arial"/>
          <w:sz w:val="16"/>
          <w:szCs w:val="16"/>
          <w:color w:val="auto"/>
        </w:rPr>
        <w:t xml:space="preserve">The Company leases certain assets under operating leases, which primarily consisted of real estate leases, laboratory equipment leases and office equipment leases as of March 31, 2020. The Company accounts for its leases in accordance with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ASU requires a lessee to recognize a right-of-use asset and a lease liability on its balance sheet for most operating leases. Certain operating leases provide for renewal options, which can vary by lease. The right-of-use asset and lease liabilities on the Company’s Consolidated Balance Sheets represent payments over the lease term, which includes renewal options for certain real estate leases that we are likely to exercise. As part of the Company’s assessment of the lease term, the Company elected the hindsight practical expedient, which allows companies to use current knowledge and expectations when determining the likelihood to extend lease options. Renewal options for the Company’s leases range from 1 to 5 years in length and begin from 2023 through 2026. The weighted average lease term for the Company’s operating leases was 13.4 years. The discount rate used in the calculation of the Company’s right-of-use asset and lease liability was determined based on the stated rate within each contract when available, or the Company’s collateralized borrowing rate from lending institutions. The weighted average discount rate for the Company’s operating leases was 12.8%.</w:t>
      </w:r>
    </w:p>
    <w:p>
      <w:pPr>
        <w:spacing w:after="0" w:line="168"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Company has not made any residual value guarantees related to its operating leases; therefore, the Company has no corresponding liability recorded on its Consolidated Balance Sheets.</w:t>
      </w:r>
    </w:p>
    <w:p>
      <w:pPr>
        <w:spacing w:after="0" w:line="170"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Aggregate lease expense under operating leases was $452 and $448 for the three months ended March 31, 2021 and 2020, respectively. Certain operating leases include rent escalation provisions, which the Company recognizes as expense on a straight-line basis. Lease expense for leases with an initial term of twelve months or less was not material. Cash paid for amounts included in the measurement of lease liabilities was $440 and $408 for the three months ended March 31, 2021 and 2020,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500"/>
              <w:spacing w:after="0"/>
              <w:rPr>
                <w:sz w:val="20"/>
                <w:szCs w:val="20"/>
                <w:color w:val="auto"/>
              </w:rPr>
            </w:pPr>
            <w:r>
              <w:rPr>
                <w:rFonts w:ascii="Arial" w:cs="Arial" w:eastAsia="Arial" w:hAnsi="Arial"/>
                <w:sz w:val="18"/>
                <w:szCs w:val="18"/>
                <w:color w:val="auto"/>
              </w:rPr>
              <w:t>Future lease payments for assets under operating leases as of March 31, 2021, are as follows: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9560" w:type="dxa"/>
            <w:vAlign w:val="bottom"/>
          </w:tcPr>
          <w:p>
            <w:pPr>
              <w:spacing w:after="0"/>
              <w:rPr>
                <w:sz w:val="20"/>
                <w:szCs w:val="20"/>
                <w:color w:val="auto"/>
              </w:rPr>
            </w:pPr>
            <w:r>
              <w:rPr>
                <w:rFonts w:ascii="Arial" w:cs="Arial" w:eastAsia="Arial" w:hAnsi="Arial"/>
                <w:sz w:val="18"/>
                <w:szCs w:val="18"/>
                <w:b w:val="1"/>
                <w:bCs w:val="1"/>
                <w:color w:val="auto"/>
              </w:rPr>
              <w:t>Remaining Maturities of Lease Liabilities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9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1"/>
              </w:rPr>
              <w:t>Operating Leases</w:t>
            </w:r>
          </w:p>
        </w:tc>
      </w:tr>
      <w:tr>
        <w:trPr>
          <w:trHeight w:val="209"/>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805</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584</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7,327</w:t>
            </w:r>
          </w:p>
        </w:tc>
      </w:tr>
      <w:tr>
        <w:trPr>
          <w:trHeight w:val="209"/>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10,866</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5,982</w:t>
            </w:r>
          </w:p>
        </w:tc>
      </w:tr>
      <w:tr>
        <w:trPr>
          <w:trHeight w:val="250"/>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4,884</w:t>
            </w:r>
          </w:p>
        </w:tc>
      </w:tr>
    </w:tbl>
    <w:p>
      <w:pPr>
        <w:spacing w:after="0" w:line="20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Company’s current lease liability as of March 31, 2021 and December 31, 2020 was $1,001 and $1,179, respectively. The Company’s long-term lease liability as of March 31, 2021 and December 31, 2020 was $3,883 and $3,871, respectively. The current and long-term portions of the Company’s lease liability are presented within “Lease financing obligations” on the Consolidated Balance Sheets. The Company’s right-of use asset balance associated with operating leases totaled $3,625 and $3,802 at March 31, 2021 and December 31, 2020, respectively. These amounts are presented within “Other assets” on the Consolidated Balance Sheets. Operating right-of-use assets are recorded net of accumulated amortization of $2,940 and $2,641 as of March 31, 2021 and December 31, 2020, respectively.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On April 24, 2020, the Company filed a shelf registration statement on Form S-3 with the SEC. This shelf registration statement became effective on May 14, 2020 and allows the Company to sell up to $500,000 in securities, including common stock, preferred stock, depositary shares, purchase contracts, warrants, debt securities, and units, from time to time at prices and on terms to be determined at the time of sale.</w:t>
      </w:r>
    </w:p>
    <w:p>
      <w:pPr>
        <w:spacing w:after="0" w:line="16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 June 1, 2020, the Company issued 22,044 shares of common stock to the public at a purchase price of $4.50 per share and pre-funded warrants to purchase 3,511 shares of common stock at a purchase of $4.49 per pre-funded warrant, for total net proceeds to the Company of $108,096 million after deducting underwriting discounts and commissions and other offering expenses. Each pre-funded warrant is exercisable subject to conditions in the warrant agreement into one share of common stock at an exercise price of $0.01 per share. All warrants issued in this offering remain outstanding at March 31,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2" w:name="page23"/>
    <w:bookmarkEnd w:id="22"/>
    <w:p>
      <w:pPr>
        <w:ind w:right="80" w:firstLine="486"/>
        <w:spacing w:after="0" w:line="311" w:lineRule="auto"/>
        <w:rPr>
          <w:sz w:val="20"/>
          <w:szCs w:val="20"/>
          <w:color w:val="auto"/>
        </w:rPr>
      </w:pPr>
      <w:r>
        <w:rPr>
          <w:rFonts w:ascii="Arial" w:cs="Arial" w:eastAsia="Arial" w:hAnsi="Arial"/>
          <w:sz w:val="16"/>
          <w:szCs w:val="16"/>
          <w:color w:val="auto"/>
        </w:rPr>
        <w:t>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Stock-Based Compensation</w:t>
      </w:r>
    </w:p>
    <w:p>
      <w:pPr>
        <w:spacing w:after="0" w:line="229"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As of March 31, 2021,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amended and restated in March 2020 and approved by the Company’s stockholders on May 12, 2020. The Inducement Plan was adopted by the Board of Directors on April 24, 2019 and amended and restated by the Board of Directors in February 2020 and in July 2020. The ESPP was amended and restated in March 2020 and approved by the Company’s stockholders on May 12, 2020. Both the Incentive Plan and the ESPP were further amended and restated in April 2021 and have been submitted for approval by the Company’s stockholders at the Company’s annual meeting of stockholders to be held on May 25, 2021.</w:t>
      </w:r>
    </w:p>
    <w:p>
      <w:pPr>
        <w:spacing w:after="0" w:line="17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Stock-based compensation expense of $5,479 ($4,554 of expense related to the Incentive Plan, $598 of expense related to the Inducement Plan, and $327 of expense related to the ESPP) was recognized during the three months ended March 31, 2021, while $2,754 ($2,437 of expense related to the Incentive Plan, $198 of expense related to the Inducement Plan and $119 of expense related to the ESPP) was recognized during the three months ended March 31, 2020.</w:t>
      </w:r>
    </w:p>
    <w:p>
      <w:pPr>
        <w:spacing w:after="0" w:line="18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There was approximately $59,329 of total unrecognized compensation expense related to non-vested stock option awards granted by the Company as of March 31, 2021. That expense is expected to be recognized as follows: $14,490 during the remainder of 2021, $18,299 in 2022, $14,511 in 2023, $11,612 in 2024 and $417 in 2025. In addition, the Company has outstanding performance-based stock options for which no compensation expense is recognized until “performance” has occurred and the award vests.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grants stock option awards and restricted stock unit awards to its employees, directors, and consultants under the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Incentive Plan, stock option awards are granted with an exercise price equal to the market price of the Company’s stock at the date of grant.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awards and restricted stock units granted to employees generally vest 25% each year until fully vested after four years.</w:t>
      </w:r>
    </w:p>
    <w:p>
      <w:pPr>
        <w:spacing w:after="0" w:line="211" w:lineRule="exact"/>
        <w:rPr>
          <w:sz w:val="20"/>
          <w:szCs w:val="20"/>
          <w:color w:val="auto"/>
        </w:rPr>
      </w:pPr>
    </w:p>
    <w:p>
      <w:pPr>
        <w:ind w:right="340" w:firstLine="522"/>
        <w:spacing w:after="0" w:line="301" w:lineRule="auto"/>
        <w:rPr>
          <w:sz w:val="20"/>
          <w:szCs w:val="20"/>
          <w:color w:val="auto"/>
        </w:rPr>
      </w:pPr>
      <w:r>
        <w:rPr>
          <w:rFonts w:ascii="Arial" w:cs="Arial" w:eastAsia="Arial" w:hAnsi="Arial"/>
          <w:sz w:val="16"/>
          <w:szCs w:val="16"/>
          <w:color w:val="auto"/>
        </w:rPr>
        <w:t>In August 2013, December 2014 and December 2019, the Company issued 1,032, 1,250 and 315 performance-based stock options, respectively. These awards vest upon successful completion of specific development milestones. As of March 31, 2021, 100%, 85% and 100% of the August 2013, December 2014 and December 2019 grants, respectively, have vested. During 2020, the Company recognized $1,768 and $684 of stock compensation expense related to two milestones within the August 2013 and December 2019 grants for which achievement became probable.</w:t>
      </w:r>
    </w:p>
    <w:p>
      <w:pPr>
        <w:spacing w:after="0" w:line="157" w:lineRule="exact"/>
        <w:rPr>
          <w:sz w:val="20"/>
          <w:szCs w:val="20"/>
          <w:color w:val="auto"/>
        </w:rPr>
      </w:pPr>
    </w:p>
    <w:p>
      <w:pPr>
        <w:jc w:val="both"/>
        <w:ind w:right="420" w:firstLine="522"/>
        <w:spacing w:after="0" w:line="286" w:lineRule="auto"/>
        <w:rPr>
          <w:sz w:val="20"/>
          <w:szCs w:val="20"/>
          <w:color w:val="auto"/>
        </w:rPr>
      </w:pPr>
      <w:r>
        <w:rPr>
          <w:rFonts w:ascii="Arial" w:cs="Arial" w:eastAsia="Arial" w:hAnsi="Arial"/>
          <w:sz w:val="17"/>
          <w:szCs w:val="17"/>
          <w:color w:val="auto"/>
        </w:rPr>
        <w:t>Stock option awards granted to non-employee directors of the Company generally vest over one year. All stock option awards have contractual terms of 10 years. The vesting and exercise provisions of all awards granted under the Incentive Plan are subject to acceleration in the event of certain stockholder-approved transactions, or upon the occurrence of a change in control as defined in the Incentive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520"/>
              <w:spacing w:after="0"/>
              <w:rPr>
                <w:sz w:val="20"/>
                <w:szCs w:val="20"/>
                <w:color w:val="auto"/>
              </w:rPr>
            </w:pPr>
            <w:r>
              <w:rPr>
                <w:rFonts w:ascii="Arial" w:cs="Arial" w:eastAsia="Arial" w:hAnsi="Arial"/>
                <w:sz w:val="18"/>
                <w:szCs w:val="18"/>
                <w:color w:val="auto"/>
              </w:rPr>
              <w:t>Related activity under the Incentive Plan is as follows: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Awards</w:t>
            </w:r>
          </w:p>
        </w:tc>
        <w:tc>
          <w:tcPr>
            <w:tcW w:w="1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Available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Price</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2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4,592</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24,885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Restricted stock unit awards granted</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granted</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Stock option awards exercised</w:t>
            </w:r>
          </w:p>
        </w:tc>
        <w:tc>
          <w:tcPr>
            <w:tcW w:w="2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 awards cancelled</w:t>
            </w:r>
          </w:p>
        </w:tc>
        <w:tc>
          <w:tcPr>
            <w:tcW w:w="13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Balance March 31, 2021</w:t>
            </w:r>
          </w:p>
        </w:tc>
        <w:tc>
          <w:tcPr>
            <w:tcW w:w="2900" w:type="dxa"/>
            <w:vAlign w:val="bottom"/>
            <w:gridSpan w:val="2"/>
          </w:tcPr>
          <w:p>
            <w:pPr>
              <w:jc w:val="right"/>
              <w:ind w:right="30"/>
              <w:spacing w:after="0"/>
              <w:rPr>
                <w:sz w:val="20"/>
                <w:szCs w:val="20"/>
                <w:color w:val="auto"/>
              </w:rPr>
            </w:pPr>
            <w:r>
              <w:rPr>
                <w:rFonts w:ascii="Arial" w:cs="Arial" w:eastAsia="Arial" w:hAnsi="Arial"/>
                <w:sz w:val="18"/>
                <w:szCs w:val="18"/>
                <w:color w:val="auto"/>
              </w:rPr>
              <w:t>3,457</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25,334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20" w:type="dxa"/>
            <w:vAlign w:val="bottom"/>
            <w:vMerge w:val="restart"/>
          </w:tcPr>
          <w:p>
            <w:pPr>
              <w:jc w:val="right"/>
              <w:ind w:right="510"/>
              <w:spacing w:after="0"/>
              <w:rPr>
                <w:sz w:val="20"/>
                <w:szCs w:val="20"/>
                <w:color w:val="auto"/>
              </w:rPr>
            </w:pPr>
            <w:r>
              <w:rPr>
                <w:rFonts w:ascii="Arial" w:cs="Arial" w:eastAsia="Arial" w:hAnsi="Arial"/>
                <w:sz w:val="18"/>
                <w:szCs w:val="18"/>
                <w:color w:val="auto"/>
              </w:rPr>
              <w:t>18</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23" w:name="page24"/>
    <w:bookmarkEnd w:id="23"/>
    <w:p>
      <w:pPr>
        <w:jc w:val="both"/>
        <w:ind w:right="60" w:firstLine="522"/>
        <w:spacing w:after="0" w:line="259" w:lineRule="auto"/>
        <w:rPr>
          <w:sz w:val="20"/>
          <w:szCs w:val="20"/>
          <w:color w:val="auto"/>
        </w:rPr>
      </w:pPr>
      <w:r>
        <w:rPr>
          <w:rFonts w:ascii="Arial" w:cs="Arial" w:eastAsia="Arial" w:hAnsi="Arial"/>
          <w:sz w:val="18"/>
          <w:szCs w:val="18"/>
          <w:color w:val="auto"/>
        </w:rPr>
        <w:t>For stock option awards granted under the Incentive Plan during the first three months of 2021 and 2020, the fair value was estimated on the date of grant using a Black-Scholes option pricing model and the assumptions noted in the table below. The weighted average grant date fair value per share of the awards granted during the first three months of 2021 and 2020 was $6.87 and $1.87, respectively. The fair value of the stock option awards is amortized to expense over the vesting periods using a straight-line expense attribution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Equity Incentive Plan</w:t>
      </w:r>
    </w:p>
    <w:p>
      <w:pPr>
        <w:spacing w:after="0" w:line="225" w:lineRule="exact"/>
        <w:rPr>
          <w:sz w:val="20"/>
          <w:szCs w:val="20"/>
          <w:color w:val="auto"/>
        </w:rPr>
      </w:pPr>
    </w:p>
    <w:p>
      <w:pPr>
        <w:ind w:right="40" w:firstLine="450"/>
        <w:spacing w:after="0" w:line="296" w:lineRule="auto"/>
        <w:rPr>
          <w:sz w:val="20"/>
          <w:szCs w:val="20"/>
          <w:color w:val="auto"/>
        </w:rPr>
      </w:pPr>
      <w:r>
        <w:rPr>
          <w:rFonts w:ascii="Arial" w:cs="Arial" w:eastAsia="Arial" w:hAnsi="Arial"/>
          <w:sz w:val="16"/>
          <w:szCs w:val="16"/>
          <w:color w:val="auto"/>
        </w:rPr>
        <w:t>The Company has the ability to grant stock option awards to newly-hired employees as inducements material to each employee entering employment with the Company. Stock option awards granted to newly hired employees are granted with an exercise price equal to the market price of the Company’s stock at the date of grant and generally vest 25% each year until fully vested after four years. Each stock option has a term of 10 years and is subject to the terms and conditions of the Inducement Plan. The vesting and exercise provisions of all awards granted under the Inducement Plan are subject to acceleration in the event of certain stockholder-approved transactions, or upon the occurrence of a change in control as defined in the Inducement Plan.</w:t>
      </w:r>
    </w:p>
    <w:p>
      <w:pPr>
        <w:sectPr>
          <w:pgSz w:w="11900" w:h="16838" w:orient="portrait"/>
          <w:cols w:equalWidth="0" w:num="1">
            <w:col w:w="11240"/>
          </w:cols>
          <w:pgMar w:left="320" w:top="611" w:right="339" w:bottom="1440" w:gutter="0" w:footer="0" w:header="0"/>
        </w:sectPr>
      </w:pP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Related activity under the Inducement Plan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2020</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 awards granted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 awards exercised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 awards cancelled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Balance March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Awards</w:t>
            </w:r>
          </w:p>
        </w:tc>
        <w:tc>
          <w:tcPr>
            <w:tcW w:w="1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Available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Price</w:t>
            </w:r>
          </w:p>
        </w:tc>
      </w:tr>
      <w:tr>
        <w:trPr>
          <w:trHeight w:val="195"/>
        </w:trPr>
        <w:tc>
          <w:tcPr>
            <w:tcW w:w="15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229</w:t>
            </w:r>
          </w:p>
        </w:tc>
        <w:tc>
          <w:tcPr>
            <w:tcW w:w="120" w:type="dxa"/>
            <w:vAlign w:val="bottom"/>
          </w:tcPr>
          <w:p>
            <w:pPr>
              <w:spacing w:after="0"/>
              <w:rPr>
                <w:sz w:val="16"/>
                <w:szCs w:val="16"/>
                <w:color w:val="auto"/>
              </w:rPr>
            </w:pPr>
          </w:p>
        </w:tc>
        <w:tc>
          <w:tcPr>
            <w:tcW w:w="15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4,171</w:t>
            </w:r>
          </w:p>
        </w:tc>
        <w:tc>
          <w:tcPr>
            <w:tcW w:w="10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3.88</w:t>
            </w:r>
          </w:p>
        </w:tc>
      </w:tr>
      <w:tr>
        <w:trPr>
          <w:trHeight w:val="216"/>
        </w:trPr>
        <w:tc>
          <w:tcPr>
            <w:tcW w:w="1580" w:type="dxa"/>
            <w:vAlign w:val="bottom"/>
          </w:tcPr>
          <w:p>
            <w:pPr>
              <w:jc w:val="right"/>
              <w:spacing w:after="0"/>
              <w:rPr>
                <w:sz w:val="20"/>
                <w:szCs w:val="20"/>
                <w:color w:val="auto"/>
              </w:rPr>
            </w:pPr>
            <w:r>
              <w:rPr>
                <w:rFonts w:ascii="Arial" w:cs="Arial" w:eastAsia="Arial" w:hAnsi="Arial"/>
                <w:sz w:val="18"/>
                <w:szCs w:val="18"/>
                <w:color w:val="auto"/>
              </w:rPr>
              <w:t>(138)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16"/>
        </w:trPr>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230"/>
        </w:trPr>
        <w:tc>
          <w:tcPr>
            <w:tcW w:w="15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10"/>
        </w:trPr>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4,275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4.04</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611" w:right="339" w:bottom="1440" w:gutter="0" w:footer="0" w:header="0"/>
          <w:type w:val="continuous"/>
        </w:sectPr>
      </w:pPr>
    </w:p>
    <w:p>
      <w:pPr>
        <w:spacing w:after="0" w:line="2" w:lineRule="exact"/>
        <w:rPr>
          <w:sz w:val="20"/>
          <w:szCs w:val="20"/>
          <w:color w:val="auto"/>
        </w:rPr>
      </w:pPr>
    </w:p>
    <w:p>
      <w:pPr>
        <w:jc w:val="both"/>
        <w:ind w:right="140" w:firstLine="450"/>
        <w:spacing w:after="0" w:line="286" w:lineRule="auto"/>
        <w:rPr>
          <w:sz w:val="20"/>
          <w:szCs w:val="20"/>
          <w:color w:val="auto"/>
        </w:rPr>
      </w:pPr>
      <w:r>
        <w:rPr>
          <w:rFonts w:ascii="Arial" w:cs="Arial" w:eastAsia="Arial" w:hAnsi="Arial"/>
          <w:sz w:val="17"/>
          <w:szCs w:val="17"/>
          <w:color w:val="auto"/>
        </w:rPr>
        <w:t>For stock option awards granted under the Inducement Plan during the first three months of 2021 and 2020, the fair value was estimated on the date of grant using a Black-Scholes option pricing model and the assumptions noted in the table below. The weighted average grant date fair value per share of the awards granted during the first three months of 2021 and 2020 was $5.86 and $1.77, respectively.</w:t>
      </w:r>
    </w:p>
    <w:p>
      <w:pPr>
        <w:spacing w:after="0" w:line="165" w:lineRule="exact"/>
        <w:rPr>
          <w:sz w:val="20"/>
          <w:szCs w:val="20"/>
          <w:color w:val="auto"/>
        </w:rPr>
      </w:pPr>
    </w:p>
    <w:p>
      <w:pPr>
        <w:ind w:right="20" w:firstLine="450"/>
        <w:spacing w:after="0" w:line="272" w:lineRule="auto"/>
        <w:rPr>
          <w:sz w:val="20"/>
          <w:szCs w:val="20"/>
          <w:color w:val="auto"/>
        </w:rPr>
      </w:pPr>
      <w:r>
        <w:rPr>
          <w:rFonts w:ascii="Arial" w:cs="Arial" w:eastAsia="Arial" w:hAnsi="Arial"/>
          <w:sz w:val="17"/>
          <w:szCs w:val="17"/>
          <w:color w:val="auto"/>
        </w:rPr>
        <w:t>The following table summarizes the key assumptions used by the Company to value the stock option awards granted under the Incentive Plan and the Inducement Plan during the first three months of 2021 and 2020, respectively.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historical volatility on the Company’s publicly 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Weighted Average Assumptions for Stock Option Awards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and Directors under the Plans</w:t>
      </w:r>
    </w:p>
    <w:p>
      <w:pPr>
        <w:spacing w:after="0" w:line="207"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0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84.2%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83.5%</w:t>
            </w: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w:t>
      </w:r>
      <w:r>
        <w:rPr>
          <w:rFonts w:ascii="Arial" w:cs="Arial" w:eastAsia="Arial" w:hAnsi="Arial"/>
          <w:sz w:val="18"/>
          <w:szCs w:val="18"/>
          <w:color w:val="auto"/>
        </w:rPr>
        <w:t>“</w:t>
      </w:r>
      <w:r>
        <w:rPr>
          <w:rFonts w:ascii="Arial" w:cs="Arial" w:eastAsia="Arial" w:hAnsi="Arial"/>
          <w:sz w:val="18"/>
          <w:szCs w:val="18"/>
          <w:b w:val="1"/>
          <w:bCs w:val="1"/>
          <w:i w:val="1"/>
          <w:iCs w:val="1"/>
          <w:color w:val="auto"/>
        </w:rPr>
        <w:t>ESPP</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Company has reserved a total of 4,475 shares of common stock to be purchased under the ESPP, of which 2,679 shares remain available for purchase as of March 31, 2021. Eligible employees may authorize up to 15% of their salary to purchase common stock at the lower of 85% of the beginning or 85% of the ending price during six-month purchase intervals. No more than 3 shares may be purchased by any one employee at the six-month purchase dates, and no employee may purchase stock having a fair market value at the commencement date of $25 or more in any one calendar year. The Company issued 193 shares during the first three months of 2021 under the ESPP. Compensation expense for shares purchased under the ESPP related to the purchase discount and the “look-back” option were determined using a Black-Scholes option pricing model.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Collaborative and Other Research and Development Contracts</w:t>
      </w:r>
    </w:p>
    <w:p>
      <w:pPr>
        <w:spacing w:after="0" w:line="229"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i w:val="1"/>
          <w:iCs w:val="1"/>
          <w:color w:val="auto"/>
        </w:rPr>
        <w:t>National Institute of Allergy and Infectious Diseases (</w:t>
      </w:r>
      <w:r>
        <w:rPr>
          <w:rFonts w:ascii="Arial" w:cs="Arial" w:eastAsia="Arial" w:hAnsi="Arial"/>
          <w:sz w:val="17"/>
          <w:szCs w:val="17"/>
          <w:color w:val="auto"/>
        </w:rPr>
        <w:t>“</w:t>
      </w:r>
      <w:r>
        <w:rPr>
          <w:rFonts w:ascii="Arial" w:cs="Arial" w:eastAsia="Arial" w:hAnsi="Arial"/>
          <w:sz w:val="17"/>
          <w:szCs w:val="17"/>
          <w:i w:val="1"/>
          <w:iCs w:val="1"/>
          <w:color w:val="auto"/>
        </w:rPr>
        <w:t>NIAID/HHS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In September 2013, NIAID/HHS contracted with the Company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galidesivir as a treatment for Marburg virus disease and subsequently, Yellow Fever and Ebola virus disease. As of March 31, 2021, all options under this contract, as amended, have been awarded, and the total value of the contract, as amended, is $45,931, inclusive of the $2,897 added to the contract in August 2020 to support the development of galidesivir. In August 2020, NIAID/HHS awarded the Company a new contract, with potential aggregate funding up of to $43,908 if all contract options are exercised, to manufacture and evaluate the safety, efficacy and tolerability of galidesivir. NIAID/HHS made an initial award of $6,326 to the Company under this new contract.</w:t>
      </w:r>
    </w:p>
    <w:p>
      <w:pPr>
        <w:spacing w:after="0" w:line="17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i w:val="1"/>
          <w:iCs w:val="1"/>
          <w:color w:val="auto"/>
        </w:rPr>
        <w:t>Biomedical Advanced Research and Development Authority (</w:t>
      </w:r>
      <w:r>
        <w:rPr>
          <w:rFonts w:ascii="Arial" w:cs="Arial" w:eastAsia="Arial" w:hAnsi="Arial"/>
          <w:sz w:val="18"/>
          <w:szCs w:val="18"/>
          <w:color w:val="auto"/>
        </w:rPr>
        <w:t>“</w:t>
      </w:r>
      <w:r>
        <w:rPr>
          <w:rFonts w:ascii="Arial" w:cs="Arial" w:eastAsia="Arial" w:hAnsi="Arial"/>
          <w:sz w:val="18"/>
          <w:szCs w:val="18"/>
          <w:i w:val="1"/>
          <w:iCs w:val="1"/>
          <w:color w:val="auto"/>
        </w:rPr>
        <w:t>BARDA/HHS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In March 2015, BARDA/HHS awarded the Company a contract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continued development of galidesivir as a potential treatment for diseases caused by RNA pathogens, including filoviruses. This BARDA/HHS contract includes a base contract of $16,265 to support galidesivir drug manufacturing, as well as $22,855 in additional development options that can be exercised by the government, bringing the potential value of the contract to $39,120. As of March 31, 2021, a total of $20,574 has been awarded under exercised options within this contract.</w:t>
      </w:r>
    </w:p>
    <w:p>
      <w:pPr>
        <w:spacing w:after="0" w:line="18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contracts with NIAID/HHS and BARDA/HHS are cost-plus-fixed-fee contracts. That is, the Company is entitled to receive reimbursement for all costs incurred in accordance with the contract provisions that are related to the development of galidesivir plus a fixed fee, or profit. BARDA/HHS and NIAID/HHS will make periodic assessments of progress, and the continuation of the contract is based on the Company’s performance, the timeliness and quality of deliverables, and other factors. The government has rights under certain contract clauses to terminate these contracts. These contracts are terminable by the government at any time for breach or without cause.</w:t>
      </w:r>
    </w:p>
    <w:p>
      <w:pPr>
        <w:spacing w:after="0" w:line="18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auto"/>
        </w:rPr>
        <w:t>U.S. Department of Health and Human Services (</w:t>
      </w:r>
      <w:r>
        <w:rPr>
          <w:rFonts w:ascii="Arial" w:cs="Arial" w:eastAsia="Arial" w:hAnsi="Arial"/>
          <w:sz w:val="18"/>
          <w:szCs w:val="18"/>
          <w:color w:val="auto"/>
        </w:rPr>
        <w:t>“</w:t>
      </w:r>
      <w:r>
        <w:rPr>
          <w:rFonts w:ascii="Arial" w:cs="Arial" w:eastAsia="Arial" w:hAnsi="Arial"/>
          <w:sz w:val="18"/>
          <w:szCs w:val="18"/>
          <w:i w:val="1"/>
          <w:iCs w:val="1"/>
          <w:color w:val="auto"/>
        </w:rPr>
        <w:t>HHS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In September 2018, HHS awarded the Company a $34,660 contract for the procurement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up to 50,000 doses of RAPIVAB (peramivir injection) over a five-year period, including an initial base order of 10,000 doses. In September 2019, HHS exercised its option to purchase an additional 10,000 doses of RAPIVAB. The Company delivered a total of 20,000 doses of RAPIVAB and approximately $13,864 of product sales in 2019. On September 3, 2020, the Company announced that HHS had exercised an option under this contract to purchase an additional 10,000 doses of RAPIVAB for $6,932, which the Company expects to deliver in 2021. No shipments were delivered in the three months ended March 31, 2021 under this additional 10,000 dose option.</w:t>
      </w:r>
    </w:p>
    <w:p>
      <w:pPr>
        <w:spacing w:after="0" w:line="192"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i w:val="1"/>
          <w:iCs w:val="1"/>
          <w:color w:val="auto"/>
        </w:rPr>
        <w:t>Torii Pharmaceutical Co., Ltd. (</w:t>
      </w:r>
      <w:r>
        <w:rPr>
          <w:rFonts w:ascii="Arial" w:cs="Arial" w:eastAsia="Arial" w:hAnsi="Arial"/>
          <w:sz w:val="18"/>
          <w:szCs w:val="18"/>
          <w:color w:val="auto"/>
        </w:rPr>
        <w:t>“</w:t>
      </w:r>
      <w:r>
        <w:rPr>
          <w:rFonts w:ascii="Arial" w:cs="Arial" w:eastAsia="Arial" w:hAnsi="Arial"/>
          <w:sz w:val="18"/>
          <w:szCs w:val="18"/>
          <w:i w:val="1"/>
          <w:iCs w:val="1"/>
          <w:color w:val="auto"/>
        </w:rPr>
        <w:t>Torii</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On November 5, 2019, the Company entered into a Commercialization and License Agreement with Torii</w:t>
      </w:r>
      <w:r>
        <w:rPr>
          <w:rFonts w:ascii="Arial" w:cs="Arial" w:eastAsia="Arial" w:hAnsi="Arial"/>
          <w:sz w:val="18"/>
          <w:szCs w:val="18"/>
          <w:i w:val="1"/>
          <w:iCs w:val="1"/>
          <w:color w:val="auto"/>
        </w:rPr>
        <w:t xml:space="preserve"> </w:t>
      </w:r>
      <w:r>
        <w:rPr>
          <w:rFonts w:ascii="Arial" w:cs="Arial" w:eastAsia="Arial" w:hAnsi="Arial"/>
          <w:sz w:val="18"/>
          <w:szCs w:val="18"/>
          <w:color w:val="auto"/>
        </w:rPr>
        <w:t>(the “Torii Agreement”), granting Torii the exclusive right to commercialize ORLADEYO™ for the prevention of hereditary angioedema (“HAE”) attacks in Japan.</w:t>
      </w:r>
    </w:p>
    <w:p>
      <w:pPr>
        <w:spacing w:after="0" w:line="184"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Under the Torii Agreement, the Company received an upfront, non-refundable payment of $22,000. The Japanese National Health Insurance System’s (“NHI”) approval of the addition of ORLADEYO to the NHI drug price list in April 2021 triggered a $15,000 milestone payment from Torii to the Company.</w:t>
      </w:r>
    </w:p>
    <w:p>
      <w:pPr>
        <w:spacing w:after="0" w:line="184"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the Company in the applicable calendar quarter. Torii’s royalty payment obligations commence upon the first commercial sale of ORLADEYO in Japan and expire upon the later of (i) the tenth anniversary of the date of first commercial sale of ORLADEYO in Japan, (ii) the expiration of the Company’s patents covering ORLADEYO, and (iii) the expiration of regulatory exclusivity for ORLADEYO in Japan. The Company will be responsible for supplying Torii with its required amounts of ORLADEYO. The activities of the parties pursuant to the Torii Agreement will be overseen by a joint steering committee, to be composed of an equal number of representatives from each party to coordinate the development and commercialization of ORLADEYO in Japan.</w:t>
      </w:r>
    </w:p>
    <w:p>
      <w:pPr>
        <w:spacing w:after="0" w:line="17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identified performance obligations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 For the three months ended March 31, 2020, $</w:t>
      </w:r>
      <w:r>
        <w:rPr>
          <w:rFonts w:ascii="Arial" w:cs="Arial" w:eastAsia="Arial" w:hAnsi="Arial"/>
          <w:sz w:val="18"/>
          <w:szCs w:val="18"/>
          <w:u w:val="single" w:color="auto"/>
          <w:color w:val="auto"/>
        </w:rPr>
        <w:t>1,053</w:t>
      </w:r>
      <w:r>
        <w:rPr>
          <w:rFonts w:ascii="Arial" w:cs="Arial" w:eastAsia="Arial" w:hAnsi="Arial"/>
          <w:sz w:val="18"/>
          <w:szCs w:val="18"/>
          <w:color w:val="auto"/>
        </w:rPr>
        <w:t xml:space="preserve"> of the $22,000 upfront payment was recognized as revenue as the services were delivered. Prior to 2020, the Company had recognized as revenue $20,101 of the $22,000 upfront payment.</w:t>
      </w:r>
    </w:p>
    <w:p>
      <w:pPr>
        <w:spacing w:after="0" w:line="195"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i w:val="1"/>
          <w:iCs w:val="1"/>
          <w:color w:val="auto"/>
        </w:rPr>
        <w:t>Seqirus UK Limited (</w:t>
      </w:r>
      <w:r>
        <w:rPr>
          <w:rFonts w:ascii="Arial" w:cs="Arial" w:eastAsia="Arial" w:hAnsi="Arial"/>
          <w:sz w:val="16"/>
          <w:szCs w:val="16"/>
          <w:color w:val="auto"/>
        </w:rPr>
        <w:t>“</w:t>
      </w:r>
      <w:r>
        <w:rPr>
          <w:rFonts w:ascii="Arial" w:cs="Arial" w:eastAsia="Arial" w:hAnsi="Arial"/>
          <w:sz w:val="16"/>
          <w:szCs w:val="16"/>
          <w:i w:val="1"/>
          <w:iCs w:val="1"/>
          <w:color w:val="auto"/>
        </w:rPr>
        <w:t>SUL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June 16, 2015, the Company and SUL, a limited company organized under the laws of the United Kingdom and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CSL Limited, a company organized under the laws of Australia, entered into a License Agreement (the “SUL Agreement”) granting SUL and its affiliates worldwide rights to develop, manufacture and commercialize RAPIVAB (peramivir injection) for the treatment of influenza except for the rights to conduct such activities in Israel, Japan, Korea and Taiwan (the permitted geographies together constituting the “Territory”). Under the terms of the SUL Agreement, the Company received an upfront payment of $33,740 and has achieved all development milestones under the contract totaling $12,000.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5" w:name="page26"/>
    <w:bookmarkEnd w:id="25"/>
    <w:p>
      <w:pPr>
        <w:ind w:firstLine="486"/>
        <w:spacing w:after="0" w:line="287" w:lineRule="auto"/>
        <w:rPr>
          <w:sz w:val="20"/>
          <w:szCs w:val="20"/>
          <w:color w:val="auto"/>
        </w:rPr>
      </w:pPr>
      <w:r>
        <w:rPr>
          <w:rFonts w:ascii="Arial" w:cs="Arial" w:eastAsia="Arial" w:hAnsi="Arial"/>
          <w:sz w:val="16"/>
          <w:szCs w:val="16"/>
          <w:color w:val="auto"/>
        </w:rPr>
        <w:t>On March 4, 2020, the International Court of Arbitration of the International Chamber of Commerce (“ICC Tribunal”) delivered a Partial Arbitration Award (the “Partial Arbitration Award”) in an arbitration matter between the Company and SUL with respect to the SUL Agreement. In the Partial Arbitration Award, the ICC Tribunal found that, during the term, SUL materially breached and abandoned its core duties to the Company under the Diligent Efforts (as defined in the SUL Agreement) requirements of the SUL Agreement as applicable in the U.S. The ICC Tribunal granted a declaratory judgment in favor of the Company terminating the SUL Agreement and restoring all rights to peramivir to the Company. The parties agreed on a transition process for the product, with a full transition of commercialization of the product in the U.S. and Australia returned to the Company as of August 1, 2020 and November 1, 2020, respectively. The ICC Tribunal also awarded the Company its attorneys’ fees and expenses incurred in securing the declaratory judgment as well as the costs incurred by the Company in the arbitration. Finally, the ICC Tribunal found that SUL breached the SUL Agreement by failing to pay the milestone payment due to the Company within 30 days of the approval of peramivir for adult use in the European Union and awarded the Company $5,000 (plus interest) for this claim. The ICC Tribunal retained jurisdiction for further proceedings relating to the award of attorneys’ fees and for any dispute relating to the return to the Company of all rights to peramivir in the Territory. The Company recognized a settlement gain of $6,138 in other income and legal fees and other expenses of $4,668 in selling, general and administrative expenses for the three months ended March 31, 2020.</w:t>
      </w:r>
    </w:p>
    <w:p>
      <w:pPr>
        <w:spacing w:after="0" w:line="168"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i w:val="1"/>
          <w:iCs w:val="1"/>
          <w:color w:val="auto"/>
        </w:rPr>
        <w:t>Shionogi &amp; Co., Ltd. (</w:t>
      </w:r>
      <w:r>
        <w:rPr>
          <w:rFonts w:ascii="Arial" w:cs="Arial" w:eastAsia="Arial" w:hAnsi="Arial"/>
          <w:sz w:val="17"/>
          <w:szCs w:val="17"/>
          <w:color w:val="auto"/>
        </w:rPr>
        <w:t>“</w:t>
      </w:r>
      <w:r>
        <w:rPr>
          <w:rFonts w:ascii="Arial" w:cs="Arial" w:eastAsia="Arial" w:hAnsi="Arial"/>
          <w:sz w:val="17"/>
          <w:szCs w:val="17"/>
          <w:i w:val="1"/>
          <w:iCs w:val="1"/>
          <w:color w:val="auto"/>
        </w:rPr>
        <w:t>Shionogi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February 2007, the Company entered into an exclusive license agreement with Shionogi to develop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commercialize peramivir in Japan for the treatment of seasonal and potentially life-threatening human influenza. Under the terms of the agreement, Shionogi obtained rights to injectable formulations of peramivir in Japan. The Company developed peramivir under a license from UAB and will owe sublicense payments to UAB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spacing w:after="0" w:line="17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December 2017, the Company, on behalf of Royalty Sub, instituted arbitration proceedings against Shionogi in order to resolve a dispute with Shionogi under the Shionogi Agreement regarding the achievement of sales milestones and escalating royalties. The arbitration proceedings have concluded, with the decision that no sale milestones had been achieved and that royalties would remain the same. The costs associated with the arbitration proceedings are recoverable from the assets of Royalty Sub in accordance with the terms of the indenture and servicing agreement relating to the PhaRMA Notes.</w:t>
      </w:r>
    </w:p>
    <w:p>
      <w:pPr>
        <w:spacing w:after="0" w:line="188"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i w:val="1"/>
          <w:iCs w:val="1"/>
          <w:color w:val="auto"/>
        </w:rPr>
        <w:t>Green Cross Corporation (</w:t>
      </w:r>
      <w:r>
        <w:rPr>
          <w:rFonts w:ascii="Arial" w:cs="Arial" w:eastAsia="Arial" w:hAnsi="Arial"/>
          <w:sz w:val="16"/>
          <w:szCs w:val="16"/>
          <w:color w:val="auto"/>
        </w:rPr>
        <w:t>“</w:t>
      </w:r>
      <w:r>
        <w:rPr>
          <w:rFonts w:ascii="Arial" w:cs="Arial" w:eastAsia="Arial" w:hAnsi="Arial"/>
          <w:sz w:val="16"/>
          <w:szCs w:val="16"/>
          <w:i w:val="1"/>
          <w:iCs w:val="1"/>
          <w:color w:val="auto"/>
        </w:rPr>
        <w:t>Green Cross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June 2006, the Company entered into an agreement with Green Cross to develop and commercialize</w:t>
      </w:r>
      <w:r>
        <w:rPr>
          <w:rFonts w:ascii="Arial" w:cs="Arial" w:eastAsia="Arial" w:hAnsi="Arial"/>
          <w:sz w:val="16"/>
          <w:szCs w:val="16"/>
          <w:i w:val="1"/>
          <w:iCs w:val="1"/>
          <w:color w:val="auto"/>
        </w:rPr>
        <w:t xml:space="preserve"> </w:t>
      </w:r>
      <w:r>
        <w:rPr>
          <w:rFonts w:ascii="Arial" w:cs="Arial" w:eastAsia="Arial" w:hAnsi="Arial"/>
          <w:sz w:val="16"/>
          <w:szCs w:val="16"/>
          <w:color w:val="auto"/>
        </w:rPr>
        <w:t>peramivir in Korea. Under the terms of the agreement, Green Cross will be responsible for all development, regulatory, and commercialization costs in Korea. The Company received a one-time license fee of $250. The license also provides that the Company will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6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i w:val="1"/>
          <w:iCs w:val="1"/>
          <w:color w:val="auto"/>
        </w:rPr>
        <w:t>Mundipharma International Holdings Limited (</w:t>
      </w:r>
      <w:r>
        <w:rPr>
          <w:rFonts w:ascii="Arial" w:cs="Arial" w:eastAsia="Arial" w:hAnsi="Arial"/>
          <w:sz w:val="17"/>
          <w:szCs w:val="17"/>
          <w:color w:val="auto"/>
        </w:rPr>
        <w:t>“</w:t>
      </w:r>
      <w:r>
        <w:rPr>
          <w:rFonts w:ascii="Arial" w:cs="Arial" w:eastAsia="Arial" w:hAnsi="Arial"/>
          <w:sz w:val="17"/>
          <w:szCs w:val="17"/>
          <w:i w:val="1"/>
          <w:iCs w:val="1"/>
          <w:color w:val="auto"/>
        </w:rPr>
        <w:t>Mundipharma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February 2006, the Company entered into an exclusive, royalty bearing right</w:t>
      </w:r>
      <w:r>
        <w:rPr>
          <w:rFonts w:ascii="Arial" w:cs="Arial" w:eastAsia="Arial" w:hAnsi="Arial"/>
          <w:sz w:val="17"/>
          <w:szCs w:val="17"/>
          <w:i w:val="1"/>
          <w:iCs w:val="1"/>
          <w:color w:val="auto"/>
        </w:rPr>
        <w:t xml:space="preserve"> </w:t>
      </w:r>
      <w:r>
        <w:rPr>
          <w:rFonts w:ascii="Arial" w:cs="Arial" w:eastAsia="Arial" w:hAnsi="Arial"/>
          <w:sz w:val="17"/>
          <w:szCs w:val="17"/>
          <w:color w:val="auto"/>
        </w:rPr>
        <w:t>and license agreement with Mundipharma for the development and commercialization of Mundesine, a Purine Nucleoside Phosphorylase (“PNP”) inhibitor, for use in oncology. The agreement, as amended and restated, provides for the possibility of future event payments totaling $15,000 for achieving specified regulatory events for certain indications and tiered royalties ranging from mid to high single-digit percentages of net product sales in each country where Mundesine is sold by Mundipharma. The Company licensed forodesine and other PNP inhibitors from AECOM/IRL (as defined below) and will owe sublicense payments to AECOM/IRL on all milestone payments and royalties received from Mundipharma.</w:t>
      </w:r>
    </w:p>
    <w:p>
      <w:pPr>
        <w:spacing w:after="0" w:line="17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i w:val="1"/>
          <w:iCs w:val="1"/>
          <w:color w:val="auto"/>
        </w:rPr>
        <w:t>Albert Einstein College of Medicine of Yeshiva University and Industrial Research, Ltd. (</w:t>
      </w:r>
      <w:r>
        <w:rPr>
          <w:rFonts w:ascii="Arial" w:cs="Arial" w:eastAsia="Arial" w:hAnsi="Arial"/>
          <w:sz w:val="17"/>
          <w:szCs w:val="17"/>
          <w:color w:val="auto"/>
        </w:rPr>
        <w:t>“</w:t>
      </w:r>
      <w:r>
        <w:rPr>
          <w:rFonts w:ascii="Arial" w:cs="Arial" w:eastAsia="Arial" w:hAnsi="Arial"/>
          <w:sz w:val="17"/>
          <w:szCs w:val="17"/>
          <w:i w:val="1"/>
          <w:iCs w:val="1"/>
          <w:color w:val="auto"/>
        </w:rPr>
        <w:t>AECOM</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IRL,</w:t>
      </w:r>
      <w:r>
        <w:rPr>
          <w:rFonts w:ascii="Arial" w:cs="Arial" w:eastAsia="Arial" w:hAnsi="Arial"/>
          <w:sz w:val="17"/>
          <w:szCs w:val="17"/>
          <w:color w:val="auto"/>
        </w:rPr>
        <w:t>”</w:t>
      </w:r>
      <w:r>
        <w:rPr>
          <w:rFonts w:ascii="Arial" w:cs="Arial" w:eastAsia="Arial" w:hAnsi="Arial"/>
          <w:sz w:val="17"/>
          <w:szCs w:val="17"/>
          <w:i w:val="1"/>
          <w:iCs w:val="1"/>
          <w:color w:val="auto"/>
        </w:rPr>
        <w:t xml:space="preserve"> respectively). </w:t>
      </w:r>
      <w:r>
        <w:rPr>
          <w:rFonts w:ascii="Arial" w:cs="Arial" w:eastAsia="Arial" w:hAnsi="Arial"/>
          <w:sz w:val="17"/>
          <w:szCs w:val="17"/>
          <w:color w:val="auto"/>
        </w:rPr>
        <w:t>In June 2000,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licensed a series of potent inhibitors of PNP from AECOM and IRL, (together, the “Licensors”). The lead product candidate from this collaboration is forodesine. The Company has obtained worldwide exclusive rights to develop and ultimately distribute this, or any other, product candidates that might arise from research on these inhibitors. The Company has the option to expand the agreement to include other inventions in the field made by the investigators or employees of the Licensors. Under this agreement, as amended and restated, the Company has agreed to use commercially reasonable efforts to develop these drugs and to pay certain milestone payments for each licensed product (which range in the aggregate from $1,400 to almost $4,000 per indication) for future development, single digit royalties on net sales of any resulting product made by the Company, and to share a portion of future payments received from other third-party partners, if any. In addition, the Company has agreed to pay annual license fees, which can range from $150 to $500, that are creditable against actual royalties and other payments due to the Licensors. The Licensors have also granted the Company an exclusive worldwide license of galidesivir for any antiviral use.</w:t>
      </w:r>
    </w:p>
    <w:p>
      <w:pPr>
        <w:spacing w:after="0" w:line="185"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i w:val="1"/>
          <w:iCs w:val="1"/>
          <w:color w:val="auto"/>
        </w:rPr>
        <w:t>The University of Alabama at Birmingham (</w:t>
      </w:r>
      <w:r>
        <w:rPr>
          <w:rFonts w:ascii="Arial" w:cs="Arial" w:eastAsia="Arial" w:hAnsi="Arial"/>
          <w:sz w:val="16"/>
          <w:szCs w:val="16"/>
          <w:color w:val="auto"/>
        </w:rPr>
        <w:t>“</w:t>
      </w:r>
      <w:r>
        <w:rPr>
          <w:rFonts w:ascii="Arial" w:cs="Arial" w:eastAsia="Arial" w:hAnsi="Arial"/>
          <w:sz w:val="16"/>
          <w:szCs w:val="16"/>
          <w:i w:val="1"/>
          <w:iCs w:val="1"/>
          <w:color w:val="auto"/>
        </w:rPr>
        <w:t>UAB</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currently has agreements with UAB for influenza neuraminidase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complement inhibitors. Under the terms of these agreements, UAB performed specific research for the Company in return for research payments and license fees. UAB has granted the Company certain rights to any discoveries in these areas resulting from research developed by UAB or jointly developed by UAB with the Company. The Company has agreed to pay single digit royalties on sales of any resulting product and to share in future payments received from other third-party partners. The Company has completed the research under the UAB agreements. These two agreements each have an initial 25-year term, are automatically renewable for five-year terms throughout the life of the last patent and are terminable by the Company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the Company and UAB on these agreements, but when the Company licenses this technology, such as in the case of the Shionogi and Green Cross collaborations, or commercializes products related to these programs, the Company will owe sublicense fees or royalties on amounts received.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Subsequent Event</w:t>
      </w:r>
    </w:p>
    <w:p>
      <w:pPr>
        <w:spacing w:after="0" w:line="229"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In January 2021, the Ministry of Health, Labor and Welfare in Japan granted marketing and manufacturing approval for ORLADEYO for prophylactic treatment of hereditary angioedema in adults and pediatric patients 12 years and older. On April 14, 2021, the Company announced that the Japanese National Health Insurance System (“NHI”) approved the addition of oral, once-daily ORLADEYO™ (berotralstat) to the NHI drug price list on April 21, 2021. This triggered a $15,000 milestone payment to the Company from Torii. The Company will record the $15,000 milestone revenue in the second quarter of 2021.Torii launched ORLADEYO in Japan on April 23, 2021. The Company will receive tiered royalties ranging from 20 percent to 40 percent of Japanese net sales (See Note 8, Collaborative Agreements).</w:t>
      </w:r>
    </w:p>
    <w:p>
      <w:pPr>
        <w:spacing w:after="0" w:line="200" w:lineRule="exact"/>
        <w:rPr>
          <w:sz w:val="20"/>
          <w:szCs w:val="20"/>
          <w:color w:val="auto"/>
        </w:rPr>
      </w:pP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229" w:lineRule="exact"/>
        <w:rPr>
          <w:sz w:val="20"/>
          <w:szCs w:val="20"/>
          <w:color w:val="auto"/>
        </w:rPr>
      </w:pPr>
    </w:p>
    <w:p>
      <w:pPr>
        <w:ind w:right="80" w:firstLine="522"/>
        <w:spacing w:after="0" w:line="259" w:lineRule="auto"/>
        <w:rPr>
          <w:sz w:val="20"/>
          <w:szCs w:val="20"/>
          <w:color w:val="auto"/>
        </w:rPr>
      </w:pPr>
      <w:r>
        <w:rPr>
          <w:rFonts w:ascii="Arial" w:cs="Arial" w:eastAsia="Arial" w:hAnsi="Arial"/>
          <w:sz w:val="18"/>
          <w:szCs w:val="18"/>
          <w:i w:val="1"/>
          <w:iCs w:val="1"/>
          <w:color w:val="auto"/>
        </w:rPr>
        <w:t>The following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w:t>
      </w:r>
      <w:r>
        <w:rPr>
          <w:rFonts w:ascii="Arial" w:cs="Arial" w:eastAsia="Arial" w:hAnsi="Arial"/>
          <w:sz w:val="18"/>
          <w:szCs w:val="18"/>
          <w:color w:val="auto"/>
        </w:rPr>
        <w:t>“</w:t>
      </w:r>
      <w:r>
        <w:rPr>
          <w:rFonts w:ascii="Arial" w:cs="Arial" w:eastAsia="Arial" w:hAnsi="Arial"/>
          <w:sz w:val="18"/>
          <w:szCs w:val="18"/>
          <w:i w:val="1"/>
          <w:iCs w:val="1"/>
          <w:color w:val="auto"/>
        </w:rPr>
        <w:t>MD&amp;A</w:t>
      </w:r>
      <w:r>
        <w:rPr>
          <w:rFonts w:ascii="Arial" w:cs="Arial" w:eastAsia="Arial" w:hAnsi="Arial"/>
          <w:sz w:val="18"/>
          <w:szCs w:val="18"/>
          <w:color w:val="auto"/>
        </w:rPr>
        <w:t>”</w:t>
      </w:r>
      <w:r>
        <w:rPr>
          <w:rFonts w:ascii="Arial" w:cs="Arial" w:eastAsia="Arial" w:hAnsi="Arial"/>
          <w:sz w:val="18"/>
          <w:szCs w:val="18"/>
          <w:i w:val="1"/>
          <w:iCs w:val="1"/>
          <w:color w:val="auto"/>
        </w:rPr>
        <w:t xml:space="preserve">) is intended to help the reader understand our results of operations and financial condition. MD&amp;A is provided as a supplement to, and should be read in conjunction with, our unaudited consolidated financial statements and the accompanying notes to the financial statements and other disclosures included in this report (including the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at the beginning of this report and the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section in Part II, Item 1A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We are a commercial-stage biotechnology company that discovers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In addition to these discovery and development efforts, our business strategy includes the efficient commercialization of these drugs in the U.S. and certain other regions upon regulatory approval. By focusing on rare disease markets, we believe that we can more effectively control the costs of, and our strategic allocation of financial resources toward, post-approval commercialization.</w:t>
      </w:r>
    </w:p>
    <w:p>
      <w:pPr>
        <w:spacing w:after="0" w:line="16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the resources dedicated to our products by us and our collaborative partners, and ongoing discussions with government agencies regarding contract awards for development and procurement,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64"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Our operating expenses are also difficult to predict and depend on several factors, including commercialization expenses, research and development expenses (and whether these expenses are reimbursable under government contracts), drug manufacturing, and clinical research activities, the ongoing requirements of our development programs, the availability of capital and direction from regulatory agencies, which are difficult to predict, and the factors discussed in the “Risk Factors” 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92" w:lineRule="exact"/>
        <w:rPr>
          <w:sz w:val="20"/>
          <w:szCs w:val="20"/>
          <w:color w:val="auto"/>
        </w:rPr>
      </w:pPr>
    </w:p>
    <w:p>
      <w:pPr>
        <w:ind w:right="400" w:firstLine="522"/>
        <w:spacing w:after="0" w:line="311" w:lineRule="auto"/>
        <w:rPr>
          <w:sz w:val="20"/>
          <w:szCs w:val="20"/>
          <w:color w:val="auto"/>
        </w:rPr>
      </w:pPr>
      <w:r>
        <w:rPr>
          <w:rFonts w:ascii="Arial" w:cs="Arial" w:eastAsia="Arial" w:hAnsi="Arial"/>
          <w:sz w:val="16"/>
          <w:szCs w:val="16"/>
          <w:color w:val="auto"/>
        </w:rPr>
        <w:t>As a result of these factors, we believe that period-to-period comparisons are not necessarily meaningful and you should not rely on them as an indication of future performance. Due to all of the foregoing factors, it is possible that our operating results will be below the expectations of market analysts and investors. In such event, the prevailing market price of our common stock could be materially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522"/>
        <w:spacing w:after="0" w:line="287" w:lineRule="auto"/>
        <w:rPr>
          <w:sz w:val="20"/>
          <w:szCs w:val="20"/>
          <w:color w:val="auto"/>
        </w:rPr>
      </w:pPr>
      <w:r>
        <w:rPr>
          <w:rFonts w:ascii="Arial" w:cs="Arial" w:eastAsia="Arial" w:hAnsi="Arial"/>
          <w:sz w:val="16"/>
          <w:szCs w:val="16"/>
          <w:color w:val="auto"/>
        </w:rPr>
        <w:t>The accompanying discussion and analysis of our financial condition and results of operations are based upon our consolidated financial statements and the related disclosures, which have been prepared in accordance with accounting principles generally accepted in the United States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Policies” at the end of this “Management’s Discussion and Analysis of Financial Condition and Results of Operations” for a description of accounting policies that we believe are the most critical to aid you in fully understanding and evaluating our reported financial results and that affect the more significant judgments and estimates that we use in the preparation of our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Recent Corporate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The ongoing COVID-19 pandemic has severely impacted global economic activity and caused significant volatility in financial markets. While our financial condition, results of operations, and liquidity have not been materially impacted by the direct effects of the COVID-19 pandemic, the COVID-19 pandemic continues to evolve. Please refer to “Risk Factors-Risks Related to Our Business-Risks Related to COVID-19” in Part II, Item 1A of this report for a discussion of COVID-19 risks as they relate to our business. We are continuing to monitor developments with respect to the COVID-19 pandemic and to make adjustments as needed to assist in protecting the safety of our employees and communities while continuing our business activities. Our remote working arrangements are ongoing where possible, and we continue to limit business-related travel. To date, implementation of these measures has not required material expenditures or significantly impacted our ability to operate our business or our internal control over financial reporting and disclosure controls and procedures. We are continuing to monitor the potential impacts of COVID-19 on our operations and those of our partners, suppliers, customers, and regulators.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(berotralstat)</w:t>
      </w:r>
    </w:p>
    <w:p>
      <w:pPr>
        <w:spacing w:after="0" w:line="225"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ORLADEYO is an oral, once-daily therapy discovered and developed by BioCryst for the prevention of hereditary angioedema (“HAE”) attacks. ORLADEYO was approved by the U.S. Food and Drug Administration (“FDA”) in December 2020 for prophylaxis to prevent attacks of HAE in adults and pediatric patients 12 years and older. Our specialty pharmacy provider for ORLADEYO in the U.S. began shipping ORLADEYO to patients in December 2020.</w:t>
      </w:r>
    </w:p>
    <w:p>
      <w:pPr>
        <w:spacing w:after="0" w:line="18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ORLADEYO also received marketing and manufacturing approval from the Ministry of Health, Labor and Welfare (“MHLW”) in Japan in January 2021 for prophylactic treatment of HAE in adults and pediatric patients 12 years and older. On April 14, 2021, we announced that the Japanese National Health Insurance System (“NHI”) approved the addition of ORLADEYO to the NHI drug price list on April 21, 2021. Torii Pharmaceutical Co., Ltd. (“Torii”), our collaborative partner commercializing ORLADEYO in Japan, launched ORLADEYO in Japan on April 23, 2021. The NHI price listing triggered a $15 million milestone payment from Torii to us. In addition, under our agreement with Torii, we are entitled to receive tiered royalty payments, ranging from 20% to 40% of net sales of ORLADEYO in Japan during each calendar year. ORLADEYO is the first and only prophylactic HAE medication approved in Japan.</w:t>
      </w:r>
    </w:p>
    <w:p>
      <w:pPr>
        <w:spacing w:after="0" w:line="19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On April 30, 2021, we announced that the European Commission (“EC”) approved ORLADEYO for routine prevention of recurrent attacks of HAE in adult and adolescent patients aged 12 years and older. The EC approval is applicable to all European Union (“EU”) member states plus Iceland, Norway, and Liechtenstein. ORLADEYO is the first oral, once-daily prophylactic therapy for the prevention of HAE attacks approved in Europe. We have our European commercial team in place and expect to launch ORLADEYO in Germany in the second quarter of 2021, with launches in other European markets to follow. Appropriate HAE patients aged 12 and older in France currently have access to ORLADEYO through an Autorisation Temporaire d’Utilisation de cohort, or Temporary Authorization for Use, granted by the French National Agency for Medicines and Health Products Safety in March 2021.</w:t>
      </w:r>
    </w:p>
    <w:p>
      <w:pPr>
        <w:spacing w:after="0" w:line="16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Revenue from sales of ORLADEYO in the first quarter of 2021, which was our first full quarter of ORLADEYO sales, is discussed under “Results of Operations” below and consists of ORLADEYO sales in the U.S. to patients who receive reimbursements for their prescriptions. Revenue from sales of ORLADEYO in future periods is subject to uncertainties and will depend on several factors, including the success of our and our partners’ commercialization efforts in the U.S. and elsewhere, the number of new patients switching to ORLADEYO, patient retention and demand, the number of physicians prescribing ORLADEYO, the rate of monthly prescriptions, reimbursement from third-party payors, the conversion of patients from our clinical trials and early access programs to commercial customers, and market trends. We are continuing to monitor and analyze this data during the initial launch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Complement-Mediated Diseases</w:t>
      </w:r>
    </w:p>
    <w:p>
      <w:pPr>
        <w:spacing w:after="0" w:line="225"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Discovered by BioCryst, BCX9930 is a novel, oral, potent, and selective small molecule inhibitor of Factor D currently in early clinical development for the treatment of complement-mediated diseases. Based on the safety and proof-of-concept (“PoC”) data generated to date in PNH patients, we are working closely with key opinion leaders in hematology and nephrology to map the development strategy across a broad set of indications. Our goal is to develop BCX9930 as a monotherapy for complement-mediated diseases.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ind w:right="100" w:firstLine="486"/>
        <w:spacing w:after="0" w:line="291" w:lineRule="auto"/>
        <w:rPr>
          <w:sz w:val="20"/>
          <w:szCs w:val="20"/>
          <w:color w:val="auto"/>
        </w:rPr>
      </w:pPr>
      <w:r>
        <w:rPr>
          <w:rFonts w:ascii="Arial" w:cs="Arial" w:eastAsia="Arial" w:hAnsi="Arial"/>
          <w:sz w:val="16"/>
          <w:szCs w:val="16"/>
          <w:color w:val="auto"/>
        </w:rPr>
        <w:t>On March 22, 2021, we announced new data from 16 paroxysmal nocturnal hemoglobinuria (“PNH”) patients enrolled in an ongoing dose-ranging trial. Ten patients were treatment naïve (no prior treatment with C5 inhibitors) patients, and six patients were patients with an inadequate response to C5 inhibitors. BCX9930 increased hemoglobin from baseline by a mean of 3.3 g/dL in C5 inadequate response patients and 3.5 g/dL in treatment-naïve patients and reduced transfusions for PNH patients in the trial. PNH patients in the trial also experienced reductions in key laboratory biomarkers, such as reticulocyte count, lactate dehydrogenase (“LDH”) (treatment-naïve patients) and percentage of C3 opsonization (patients with inadequate C5 response) following dosing at 400 mg twice-daily or 500 mg twice-daily. BCX9930 was safe and generally well-tolerated in the trial. No drug-related serious adverse events were reported. One subject was discontinued due to an unrelated serious adverse event.</w:t>
      </w:r>
    </w:p>
    <w:p>
      <w:pPr>
        <w:spacing w:after="0" w:line="166"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We plan to advance directly into PNH pivotal trials with oral BCX9930 in treatment naïve patients and patients with an inadequate response to C5 inhibitors. The goal of the pivotal trials is to achieve a broad indication for BCX9930 to treat PNH as oral monotherapy. In addition, we plan to initiate a PoC trial of oral BCX9930 in renal complement-mediated diseases.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Galidesivir (formerly BCX4430)</w:t>
      </w:r>
    </w:p>
    <w:p>
      <w:pPr>
        <w:spacing w:after="0" w:line="22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Galidesivir, a broad-spectrum antiviral drug, is an adenosine nucleoside analog that acts to block viral RNA polymerase. It is in advanced development for the treatment of Marburg virus disease. Phase 1 clinical safety and pharmacokinetics trials of galidesivir by both intravenous and intramuscular routes of administration in healthy subjects have been conducted. In animal studies, galidesivir has demonstrated activity against a variety of serious pathogens, including Ebola, Marburg, Yellow Fever and Zika viruses. Galidesivir has also demonstrated broad-spectrum activity in vitro against more than 20 RNA viruses in nine different families, including coronaviruses, filoviruses, togaviruses, bunyaviruses, arenaviruses, paramyxoviruses, and flaviviruses. We are developing galidesivir in collaboration with U.S. government agencies and other institutions.</w:t>
      </w:r>
    </w:p>
    <w:p>
      <w:pPr>
        <w:spacing w:after="0" w:line="17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galidesivir development program is substantially funded with federal funds from the National Institute of Allergy and Infectious Diseases within the U.S. Department of Health and Human Services (“NIAID/HHS”) and by the Biomedical Advanced Research and Development Authority within the HHS (“BARDA/HHS”). Since September 2013, NIAID/HHS has supported us in developing galidesivir as a therapeutic for Ebola and Marburg viruses. Since March 2015, BARDA/HHS has supported the galidesivir development program for the continued development of galidesivir as a potential treatment for filoviruses.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Fibrodysplasia Ossificans Progressiva (</w:t>
      </w:r>
      <w:r>
        <w:rPr>
          <w:rFonts w:ascii="Arial" w:cs="Arial" w:eastAsia="Arial" w:hAnsi="Arial"/>
          <w:sz w:val="18"/>
          <w:szCs w:val="18"/>
          <w:color w:val="auto"/>
        </w:rPr>
        <w:t>“</w:t>
      </w:r>
      <w:r>
        <w:rPr>
          <w:rFonts w:ascii="Arial" w:cs="Arial" w:eastAsia="Arial" w:hAnsi="Arial"/>
          <w:sz w:val="18"/>
          <w:szCs w:val="18"/>
          <w:b w:val="1"/>
          <w:bCs w:val="1"/>
          <w:i w:val="1"/>
          <w:iCs w:val="1"/>
          <w:color w:val="auto"/>
        </w:rPr>
        <w:t>FOP</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firstLine="450"/>
        <w:spacing w:after="0" w:line="301" w:lineRule="auto"/>
        <w:rPr>
          <w:sz w:val="20"/>
          <w:szCs w:val="20"/>
          <w:color w:val="auto"/>
        </w:rPr>
      </w:pPr>
      <w:r>
        <w:rPr>
          <w:rFonts w:ascii="Arial" w:cs="Arial" w:eastAsia="Arial" w:hAnsi="Arial"/>
          <w:sz w:val="16"/>
          <w:szCs w:val="16"/>
          <w:color w:val="auto"/>
        </w:rPr>
        <w:t>The goal of our activin receptor-like kinase-2 (“ALK2”) inhibitor program is to discover and develop orally administered kinase inhibitor drug candidates that are able to slow or prevent the progressive formation of bone in soft tissues, also known as heterotopic ossification (“HO”), that affects FOP patients. In December 2020, we announced that in a phase 1 clinical trial with BCX9250, an oral ALK2 inhibitor discovered and developed by BioCryst for the treatment of FOP, BCX9250 was safe and well tolerated at all doses studied, with linear and dose-proportional exposure supporting once-daily dosing.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RAPIVAB</w:t>
      </w:r>
      <w:r>
        <w:rPr>
          <w:rFonts w:ascii="Arial" w:cs="Arial" w:eastAsia="Arial" w:hAnsi="Arial"/>
          <w:sz w:val="18"/>
          <w:szCs w:val="18"/>
          <w:color w:val="auto"/>
        </w:rPr>
        <w:t>®</w:t>
      </w:r>
      <w:r>
        <w:rPr>
          <w:rFonts w:ascii="Arial" w:cs="Arial" w:eastAsia="Arial" w:hAnsi="Arial"/>
          <w:sz w:val="18"/>
          <w:szCs w:val="18"/>
          <w:b w:val="1"/>
          <w:bCs w:val="1"/>
          <w:i w:val="1"/>
          <w:iCs w:val="1"/>
          <w:color w:val="auto"/>
        </w:rPr>
        <w:t>/RAPIACTA/PERAMIFLU (peramivir injection)</w:t>
      </w:r>
    </w:p>
    <w:p>
      <w:pPr>
        <w:spacing w:after="0" w:line="225" w:lineRule="exact"/>
        <w:rPr>
          <w:sz w:val="20"/>
          <w:szCs w:val="20"/>
          <w:color w:val="auto"/>
        </w:rPr>
      </w:pPr>
    </w:p>
    <w:p>
      <w:pPr>
        <w:ind w:right="80" w:firstLine="414"/>
        <w:spacing w:after="0" w:line="257" w:lineRule="auto"/>
        <w:rPr>
          <w:sz w:val="20"/>
          <w:szCs w:val="20"/>
          <w:color w:val="auto"/>
        </w:rPr>
      </w:pPr>
      <w:r>
        <w:rPr>
          <w:rFonts w:ascii="Arial" w:cs="Arial" w:eastAsia="Arial" w:hAnsi="Arial"/>
          <w:sz w:val="18"/>
          <w:szCs w:val="18"/>
          <w:color w:val="auto"/>
        </w:rPr>
        <w:t>RAPIVAB (peramivir injection) is approved in the U.S. for the treatment of acute uncomplicated influenza. On February 3, 2021, we announced that the FDA approved a supplemental new drug application for RAPIVAB expanding the patient population of RAPIVAB for the treatment of uncomplicated influenza to include patients six months and older who have been symptomatic for no more than two days. Prior to this approval, RAPIVAB had been indicated in the U.S. for patients two years and older. Peramivir injection has also received regulatory approvals in Canada (RAPIVAB), Australia (RAPIVAB), Japan (RAPIACTA), Taiwan (RAPIACTA), and Korea (PERAMIFLU).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March 31, 2021 compared to the three months ended March 31, 2020)</w:t>
      </w:r>
    </w:p>
    <w:p>
      <w:pPr>
        <w:spacing w:after="0" w:line="22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For the three months ended March 31, 2021, total revenues were $19.1 million as compared to $4.8 million for the three months ended March 31, 2020. The increase was primarily due to $10.9 million of net revenue from sales of ORLADEYO following the commercial launch of ORLADEYO in December 2020. Additionally, peramivir product revenue from inventory sales to our partners increased by $6.6 million. These increases in revenue were partially offset by a reduction in royalty revenue of $2.8 million and the recognition of $1.1 million of deferred revenue in the prior year period compared to none in the current year period. The decrease in royalty revenue was due to peramivir product replacement under Green Cross’s supply agreement with the Korean government.</w:t>
      </w:r>
    </w:p>
    <w:p>
      <w:pPr>
        <w:spacing w:after="0" w:line="19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Cost of product sales for the three months ended March 31, 2021 was $5.9 million and was associated with the peramivir product sales to our partners. There was no cost of product sales in the three months ended March 31,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ind w:right="380" w:firstLine="486"/>
        <w:spacing w:after="0" w:line="259" w:lineRule="auto"/>
        <w:rPr>
          <w:sz w:val="20"/>
          <w:szCs w:val="20"/>
          <w:color w:val="auto"/>
        </w:rPr>
      </w:pPr>
      <w:r>
        <w:rPr>
          <w:rFonts w:ascii="Arial" w:cs="Arial" w:eastAsia="Arial" w:hAnsi="Arial"/>
          <w:sz w:val="18"/>
          <w:szCs w:val="18"/>
          <w:color w:val="auto"/>
        </w:rPr>
        <w:t>Research and development (“R&amp;D”) expenses increased to $42.4 million for the three months ended March 31, 2021 from $29.9 million for the three months ended March 31, 2020, primarily due to increased investment in the development of BCX9930, as well as other research, preclinical and development costs, which were partially offset by a reduction in spend on the berotralstat program following the approval and commercial launch of ORLADEYO in December 2020.</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R&amp;D expenses for the periods indicated (amounts are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62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by program:</w:t>
            </w:r>
          </w:p>
        </w:tc>
        <w:tc>
          <w:tcPr>
            <w:tcW w:w="9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Berotralstat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7,922</w:t>
            </w:r>
          </w:p>
        </w:tc>
        <w:tc>
          <w:tcPr>
            <w:tcW w:w="10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15,545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BCX9930</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25,969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Galidesivir</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1,458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BCX9250</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Peramivir</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research, preclinical and development costs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6,830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3,384</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R&amp;D expenses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42,435</w:t>
            </w:r>
          </w:p>
        </w:tc>
        <w:tc>
          <w:tcPr>
            <w:tcW w:w="10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29,867</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Selling, general and administrative (“SG&amp;A”) expenses for the three months ended March 31, 2021 were $22.1 million compared to $15.9 million in the three months ended March 31, 2020. The increase was primarily due to increased investment to support the U.S. commercial launch of ORLADEYO and our expanded international operations.</w:t>
      </w:r>
    </w:p>
    <w:p>
      <w:pPr>
        <w:spacing w:after="0" w:line="18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For the three months ended March 31, 2021, other expense was primarily related to foreign exchange losses. Interest and other income was $6.4 million for the three months ended March 31, 2020 and primarily consisted of $6.1 million related to recognition of income from the partial arbitration award related to our Seqirus arbitration proceedings. For the three months ended March 31, 2021, other expense was primarily related to foreign currency losses.</w:t>
      </w:r>
    </w:p>
    <w:p>
      <w:pPr>
        <w:spacing w:after="0" w:line="187"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Interest expense for the three months ended March 31, 2021 was $12.9 million as compared to $3.0 million for the three months ended March 31, 2020. The increase in interest expense was primarily associated with the sale of certain royalty payments to RPI 2019 Intermediate Finance Trust (“RPI”) in December 2020 (the “Royalty Sale”) and the $125.0 million Term A Loan under the Credit Agreement that we entered into with Athyrium Opportunities</w:t>
      </w:r>
    </w:p>
    <w:p>
      <w:pPr>
        <w:spacing w:after="0" w:line="2" w:lineRule="exact"/>
        <w:rPr>
          <w:sz w:val="20"/>
          <w:szCs w:val="20"/>
          <w:color w:val="auto"/>
        </w:rPr>
      </w:pPr>
    </w:p>
    <w:p>
      <w:pPr>
        <w:ind w:right="100" w:firstLine="8"/>
        <w:spacing w:after="0" w:line="268" w:lineRule="auto"/>
        <w:tabs>
          <w:tab w:leader="none" w:pos="225" w:val="left"/>
        </w:tabs>
        <w:numPr>
          <w:ilvl w:val="0"/>
          <w:numId w:val="9"/>
        </w:numPr>
        <w:rPr>
          <w:rFonts w:ascii="Arial" w:cs="Arial" w:eastAsia="Arial" w:hAnsi="Arial"/>
          <w:sz w:val="17"/>
          <w:szCs w:val="17"/>
          <w:color w:val="auto"/>
        </w:rPr>
      </w:pPr>
      <w:r>
        <w:rPr>
          <w:rFonts w:ascii="Arial" w:cs="Arial" w:eastAsia="Arial" w:hAnsi="Arial"/>
          <w:sz w:val="17"/>
          <w:szCs w:val="17"/>
          <w:color w:val="auto"/>
        </w:rPr>
        <w:t>Co-Invest 1 LP (“Athyrium”) in December 2020 (the “Credit Agreement”). The nature of the Royalty Sale requires that we recognize a liability (the “Royalty Financing Obligation”) for the future sale of royalties under the agreement. This liability is amortized using the effective interest rate method, resulting in the recognition of non-cash interest expense over the estimated term of the Royalty Purchase Agreement. Interest expense for the three months ended March 31, 2021 included $7.5 million of non-cash interest expense due to the amortization of interest associated with the Royalty Financing Obligation and $3.8 million of interest expense associated with the Term A Loan under the Credit Agreement. Additionally, we recognized $1.6 million in interest expense on the non-recourse PhaRMA Notes issued in March 2011. Interest expense for the three months ended March 31, 2020 consisted of $1.6 million associated with the non-recourse PhaRMA Notes and $1.4 million associated with the borrowings under our secured credit facility with MidCap, which terminated in in December 2020 when we repaid the outstanding indebtedness under the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operations have principally been funded through public offerings and private placements of equity securities; cash from collaborative and other research and development agreements, including U.S. Government contracts for RAPIVAB and galidesivir; to a lesser extent, the PhaRMA Notes financing and our credit facilities; and more recently, the Royalty Sale. To date, we have been awarded a BARDA/HHS RAPIVAB development contract totaling $234.8 million, which expired on June 30, 2014; a NIAID/HHS galidesivir development contract totaling $45.9 million, which is ongoing; a second NIAID/HHS galidesivir development contract with a potential value totaling $43.9 million, which is ongoing; and a BARDA/HHS galidesivir development contract with a potential value totaling $39.1 million, which is also ongoing. The total amount of funding obligated under awarded options under the active NIAID/HHS and BARDA/HHS galidesivir contracts is $52.2 million and $20.6 million, respectively.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spacing w:after="0" w:line="18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Credit Agreement with Athyrium provides for three term loans. We received the proceeds from the $125.0 million Term A Loan in December 2020. The two additional term loans are available, at our option, in the respective principal amounts of $25.0 million for the Term B Loan and $50.0 million for the Term C Loan. The Term B Loan and the Term C Loan may be drawn upon if, among other conditions, we reach defined revenue milestones and, with respect to a draw on the Term C Loan, the Term B Loan has been funded prior to or contemporaneously with the Term C Loan. The maturity date of the Credit Agreement is December 7, 2025. See ““Note 3--Credit Agreement” in the Notes to Consolidated Financial Statements in Part I, Item 1 of this report for additional information about the Credit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right="140" w:firstLine="486"/>
        <w:spacing w:after="0" w:line="301" w:lineRule="auto"/>
        <w:rPr>
          <w:sz w:val="20"/>
          <w:szCs w:val="20"/>
          <w:color w:val="auto"/>
        </w:rPr>
      </w:pPr>
      <w:r>
        <w:rPr>
          <w:rFonts w:ascii="Arial" w:cs="Arial" w:eastAsia="Arial" w:hAnsi="Arial"/>
          <w:sz w:val="16"/>
          <w:szCs w:val="16"/>
          <w:color w:val="auto"/>
        </w:rPr>
        <w:t>As of March 31, 2021, we had net working capital of $172.6 million, a decrease of approximately $45.5 million from $218.1 million at December 31, 2020. The decrease in working capital was primarily due to normal operating expenses associated with the development of our product candidates and expenses incurred as a result of the launch and commercialization of ORLADEYO. Our principal sources of liquidity at March 31, 2021 were approximately $226.9 million in cash and cash equivalents and approximately $13.5 million in investments considered available-for-sale.</w:t>
      </w:r>
    </w:p>
    <w:p>
      <w:pPr>
        <w:spacing w:after="0" w:line="15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and commercialize ORLADEYO.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plan to finance our needs principally from the following:</w:t>
      </w:r>
    </w:p>
    <w:p>
      <w:pPr>
        <w:spacing w:after="0" w:line="225"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lease, royalty, or loan financing and future public or private equity or debt financing;</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existing capital resources and interest earned on that capital;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from product sales;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existing, and executing new, contracts with the U.S. Government;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current or future collaborative and licensing agreements with corporate partners.</w:t>
      </w:r>
    </w:p>
    <w:p>
      <w:pPr>
        <w:spacing w:after="0" w:line="211"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and timing of funding we receive from existing U.S. Government contracts for galidesivir, the amount of funding or assistance, if any, we receive from new U.S. Government contracts or other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commercialization and market acceptance of our products, and the overall progression of our other programs. The impact of the ongoing COVID-19 pandemic on one or more of the foregoing factors could negatively affect our expenses, revenues, and cash utilization rate.</w:t>
      </w:r>
    </w:p>
    <w:p>
      <w:pPr>
        <w:spacing w:after="0" w:line="168"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Based on our expectations for revenue, operating expenses and our option to access an additional $75 million under the Credit Agreement, we believe our financial resources will be sufficient to fund our operations into 2023. However, we have sustained operating losses for the majority of our corporate history and expect that our 2021 expenses will exceed our 2021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also may consider other plans to fund future operations, including: (1) securing or increasing U.S. Government funding of our programs, including obtaining procurement contracts; (2) out-licensing rights to certain of our products or product candidates, pursuant to which we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our overhead structure.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commercial expenses; and key development and regulatory events and our decisions in the future.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long-term capital requirements and the adequacy of our available funds will depend upon many factors, including:</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approved products and successful commercialization of such products by either us or our partners;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perform under our government contracts and to receive reimbursement and stockpiling procurement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magnitude of work under our government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progress and magnitude of our research, drug discovery and development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existing collaborative relationships or government contracts;</w:t>
      </w:r>
    </w:p>
    <w:p>
      <w:pPr>
        <w:spacing w:after="0" w:line="9" w:lineRule="exact"/>
        <w:rPr>
          <w:rFonts w:ascii="Arial" w:cs="Arial" w:eastAsia="Arial" w:hAnsi="Arial"/>
          <w:sz w:val="18"/>
          <w:szCs w:val="18"/>
          <w:color w:val="auto"/>
        </w:rPr>
      </w:pPr>
    </w:p>
    <w:p>
      <w:pPr>
        <w:ind w:left="980" w:right="440" w:hanging="324"/>
        <w:spacing w:after="0" w:line="26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 with academic institutions, biotechnology or pharmaceutical companies and governmental agencies or other third parties;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left="980" w:right="80" w:hanging="324"/>
        <w:spacing w:after="0" w:line="25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our partners, including governmental agencies, will share in the costs associated with the development of our programs or run the development programs themselves;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negotiate favorable development and marketing strategic alliances for certain products and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decision to build or expand internal development and commercial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and results of preclinical studies and clinical trials to identify and develop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engage sites and enroll subjects in our clinical trials;</w:t>
      </w:r>
    </w:p>
    <w:p>
      <w:pPr>
        <w:spacing w:after="0" w:line="9" w:lineRule="exact"/>
        <w:rPr>
          <w:rFonts w:ascii="Arial" w:cs="Arial" w:eastAsia="Arial" w:hAnsi="Arial"/>
          <w:sz w:val="18"/>
          <w:szCs w:val="18"/>
          <w:color w:val="auto"/>
        </w:rPr>
      </w:pPr>
    </w:p>
    <w:p>
      <w:pPr>
        <w:ind w:left="980" w:right="36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of manufacturing of our products to support our commercial operations and of our product candidates to support our preclinical research and clinical trials;</w:t>
      </w: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increases in personnel and related costs to support the development and commercialization of our products and product candidates;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of manufacturing of our drug substance and product candidates required for future NDA filings;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and technological advances;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post-approval commitments for ORLADEYO, RAPIVAB, and other products that receive regulatory approval; and</w:t>
      </w:r>
    </w:p>
    <w:p>
      <w:pPr>
        <w:spacing w:after="0" w:line="9" w:lineRule="exact"/>
        <w:rPr>
          <w:rFonts w:ascii="Arial" w:cs="Arial" w:eastAsia="Arial" w:hAnsi="Arial"/>
          <w:sz w:val="18"/>
          <w:szCs w:val="18"/>
          <w:color w:val="auto"/>
        </w:rPr>
      </w:pPr>
    </w:p>
    <w:p>
      <w:pPr>
        <w:ind w:left="980" w:right="120" w:hanging="324"/>
        <w:spacing w:after="0" w:line="26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85"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We expect that we will be required to raise additional capital to complete the development and commercialization of our current products and product candidates, and we may seek to raise capital in the future. Additional funding, whether through additional sales of equity or debt securities, collaborative or other arrangements with corporate partners or from other sources, including governmental agencies in general and existing government contracts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 back or eliminate certain of our research and development programs. Our future working capital requirements, including the need for additional working capital, will be largely determined by the advancement of our portfolio of product candidates and commercialization of ORLADEYO, as well as the rate of reimbursement by U.S. Government agencies of our galidesivir expenses and any future decisions regarding the future of the RAPIVAB and galidesivir programs, including those relating to stockpiling procurement.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w:t>
      </w:r>
    </w:p>
    <w:p>
      <w:pPr>
        <w:spacing w:after="0" w:line="167" w:lineRule="exact"/>
        <w:rPr>
          <w:sz w:val="20"/>
          <w:szCs w:val="20"/>
          <w:color w:val="auto"/>
        </w:rPr>
      </w:pPr>
    </w:p>
    <w:p>
      <w:pPr>
        <w:ind w:right="120" w:firstLine="594"/>
        <w:spacing w:after="0" w:line="291" w:lineRule="auto"/>
        <w:rPr>
          <w:sz w:val="20"/>
          <w:szCs w:val="20"/>
          <w:color w:val="auto"/>
        </w:rPr>
      </w:pPr>
      <w:r>
        <w:rPr>
          <w:rFonts w:ascii="Arial" w:cs="Arial" w:eastAsia="Arial" w:hAnsi="Arial"/>
          <w:sz w:val="16"/>
          <w:szCs w:val="16"/>
          <w:color w:val="auto"/>
        </w:rPr>
        <w:t>The restrictive covenants contained in our Credit Agreement could cause us to be unable to pursue business opportunities that we or our stockholders may consider beneficial without the lender’s permission or without repaying all obligations outstanding under the Credit Agreement. These covenants limit our ability to, among other things, grant certain types of liens on our assets; make certain investments; incur or assume certain debt, including accessing additional tranches of debt under the Credit Agreement;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 A breach of any of these covenants could result in an event of default under the Credit Agreement. As of March 31, 2021, we were in compliance with the covenants under the Credit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2021</w:t>
      </w:r>
    </w:p>
    <w:p>
      <w:pPr>
        <w:spacing w:after="0" w:line="229" w:lineRule="exact"/>
        <w:rPr>
          <w:sz w:val="20"/>
          <w:szCs w:val="20"/>
          <w:color w:val="auto"/>
        </w:rPr>
      </w:pPr>
    </w:p>
    <w:p>
      <w:pPr>
        <w:ind w:right="160" w:firstLine="558"/>
        <w:spacing w:after="0" w:line="263" w:lineRule="auto"/>
        <w:rPr>
          <w:sz w:val="20"/>
          <w:szCs w:val="20"/>
          <w:color w:val="auto"/>
        </w:rPr>
      </w:pPr>
      <w:r>
        <w:rPr>
          <w:rFonts w:ascii="Arial" w:cs="Arial" w:eastAsia="Arial" w:hAnsi="Arial"/>
          <w:sz w:val="18"/>
          <w:szCs w:val="18"/>
          <w:color w:val="auto"/>
        </w:rPr>
        <w:t>In the launch period for ORLADEYO, the Company is not providing specific revenue or operating guidance. Based on our expectations for revenue, operating expenses, and our option to access an additional $75 million from our existing credit facility, we believe our current cash runway takes us into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we do not have any unconsolidated entities or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right="140" w:firstLine="414"/>
        <w:spacing w:after="0" w:line="311" w:lineRule="auto"/>
        <w:rPr>
          <w:sz w:val="20"/>
          <w:szCs w:val="20"/>
          <w:color w:val="auto"/>
        </w:rPr>
      </w:pPr>
      <w:r>
        <w:rPr>
          <w:rFonts w:ascii="Arial" w:cs="Arial" w:eastAsia="Arial" w:hAnsi="Arial"/>
          <w:sz w:val="16"/>
          <w:szCs w:val="16"/>
          <w:color w:val="auto"/>
        </w:rPr>
        <w:t>While our significant accounting policies are more fully described in “Note 1−Significant Accounting Policies” to the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Our inventories relate to ORLADEYO and peramivir, which are being manufactured for the Company’s partners and, in the case of peramivir, the U.S. Government. 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includes all inventory costs prior to packaging and labeling, including raw material, active product ingredient, and drug product. Finished goods include packaged and labeled products.</w:t>
      </w:r>
    </w:p>
    <w:p>
      <w:pPr>
        <w:spacing w:after="0" w:line="188"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w:t>
      </w:r>
    </w:p>
    <w:p>
      <w:pPr>
        <w:spacing w:after="0" w:line="165"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right="20" w:firstLine="414"/>
        <w:spacing w:after="0" w:line="271" w:lineRule="auto"/>
        <w:rPr>
          <w:sz w:val="20"/>
          <w:szCs w:val="20"/>
          <w:color w:val="auto"/>
        </w:rPr>
      </w:pPr>
      <w:r>
        <w:rPr>
          <w:rFonts w:ascii="Arial" w:cs="Arial" w:eastAsia="Arial" w:hAnsi="Arial"/>
          <w:sz w:val="17"/>
          <w:szCs w:val="17"/>
          <w:color w:val="auto"/>
        </w:rPr>
        <w:t>We enter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We record liabilities under these contractual commitments when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7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paid to clinical research organizations (“CROs”) in connection with preclinical and toxicology studies and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paid to contract manufacturers in connection with the production of our raw materials, drug substance, drug products, and product candidates;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225" w:lineRule="exact"/>
        <w:rPr>
          <w:sz w:val="20"/>
          <w:szCs w:val="20"/>
          <w:color w:val="auto"/>
        </w:rPr>
      </w:pPr>
    </w:p>
    <w:p>
      <w:pPr>
        <w:ind w:right="60" w:firstLine="414"/>
        <w:spacing w:after="0" w:line="254" w:lineRule="auto"/>
        <w:rPr>
          <w:sz w:val="20"/>
          <w:szCs w:val="20"/>
          <w:color w:val="auto"/>
        </w:rPr>
      </w:pPr>
      <w:r>
        <w:rPr>
          <w:rFonts w:ascii="Arial" w:cs="Arial" w:eastAsia="Arial" w:hAnsi="Arial"/>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40" w:firstLine="414"/>
        <w:spacing w:after="0" w:line="257" w:lineRule="auto"/>
        <w:rPr>
          <w:sz w:val="20"/>
          <w:szCs w:val="20"/>
          <w:color w:val="auto"/>
        </w:rPr>
      </w:pPr>
      <w:r>
        <w:rPr>
          <w:rFonts w:ascii="Arial" w:cs="Arial" w:eastAsia="Arial" w:hAnsi="Arial"/>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right="60" w:firstLine="486"/>
        <w:spacing w:after="0" w:line="263" w:lineRule="auto"/>
        <w:rPr>
          <w:sz w:val="20"/>
          <w:szCs w:val="20"/>
          <w:color w:val="auto"/>
        </w:rPr>
      </w:pPr>
      <w:r>
        <w:rPr>
          <w:rFonts w:ascii="Arial" w:cs="Arial" w:eastAsia="Arial" w:hAnsi="Arial"/>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Our principal sources of product sales are sales of ORLADEYO, which we began shipping to customers in December 2020, sales of peramivir to our licensing partners and sales of RAPIVAB to the U.S. Department of Health and Human Services under our procurement contract. We recognize revenue for sales when the customer obtains control of the product, which generally occurs upon delivery. For ORLADEYO, we classify payments to our customer for certain services provided by our customer as selling, general and administrative expenses to the extent such services provided are determined to be distinct from the sale of our product.</w:t>
      </w:r>
    </w:p>
    <w:p>
      <w:pPr>
        <w:spacing w:after="0" w:line="188"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sell ORLADEYO directly to patients through a single specialty pharmacy in the United States. 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Where appropriate, these estimates take into consideration a range of possible outcomes, which are probability-weighted for relevant factors, such as our current contractual and statutory requirements and forecasted customer buying and payment patterns. Overall, these reserves reflect our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17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i w:val="1"/>
          <w:iCs w:val="1"/>
          <w:u w:val="single" w:color="auto"/>
          <w:color w:val="auto"/>
        </w:rPr>
        <w:t>Government and Managed Care Rebates</w:t>
      </w:r>
      <w:r>
        <w:rPr>
          <w:rFonts w:ascii="Arial" w:cs="Arial" w:eastAsia="Arial" w:hAnsi="Arial"/>
          <w:sz w:val="17"/>
          <w:szCs w:val="17"/>
          <w:color w:val="auto"/>
        </w:rPr>
        <w:t>. We contract with government agencies and managed care organizations or, collectively, third-party payors,</w:t>
      </w:r>
      <w:r>
        <w:rPr>
          <w:rFonts w:ascii="Arial" w:cs="Arial" w:eastAsia="Arial" w:hAnsi="Arial"/>
          <w:sz w:val="17"/>
          <w:szCs w:val="17"/>
          <w:i w:val="1"/>
          <w:iCs w:val="1"/>
          <w:color w:val="auto"/>
        </w:rPr>
        <w:t xml:space="preserve"> </w:t>
      </w:r>
      <w:r>
        <w:rPr>
          <w:rFonts w:ascii="Arial" w:cs="Arial" w:eastAsia="Arial" w:hAnsi="Arial"/>
          <w:sz w:val="17"/>
          <w:szCs w:val="17"/>
          <w:color w:val="auto"/>
        </w:rPr>
        <w:t>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spacing w:after="0" w:line="177"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i w:val="1"/>
          <w:iCs w:val="1"/>
          <w:u w:val="single" w:color="auto"/>
          <w:color w:val="auto"/>
        </w:rPr>
        <w:t>Chargebacks</w:t>
      </w:r>
      <w:r>
        <w:rPr>
          <w:rFonts w:ascii="Arial" w:cs="Arial" w:eastAsia="Arial" w:hAnsi="Arial"/>
          <w:sz w:val="18"/>
          <w:szCs w:val="18"/>
          <w:color w:val="auto"/>
        </w:rPr>
        <w:t>. Chargebacks are discounts that occur when certain contracted customers, pharmacy benefit managers, insurance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programs and group purchasing organizations purchase directly from our specialty pharmacy. These customers purchase 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 purchase price with us. We estimate chargebacks and adjust gross product revenues and accounts receivable based on the estimates at the time revenues are recognized.</w:t>
      </w:r>
    </w:p>
    <w:p>
      <w:pPr>
        <w:spacing w:after="0" w:line="19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i w:val="1"/>
          <w:iCs w:val="1"/>
          <w:u w:val="single" w:color="auto"/>
          <w:color w:val="auto"/>
        </w:rPr>
        <w:t>Co-payment assistance and patient assistance programs</w:t>
      </w:r>
      <w:r>
        <w:rPr>
          <w:rFonts w:ascii="Arial" w:cs="Arial" w:eastAsia="Arial" w:hAnsi="Arial"/>
          <w:sz w:val="17"/>
          <w:szCs w:val="17"/>
          <w:color w:val="auto"/>
        </w:rPr>
        <w:t>. 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for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78"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i w:val="1"/>
          <w:iCs w:val="1"/>
          <w:u w:val="single" w:color="auto"/>
          <w:color w:val="auto"/>
        </w:rPr>
        <w:t>Product returns</w:t>
      </w:r>
      <w:r>
        <w:rPr>
          <w:rFonts w:ascii="Arial" w:cs="Arial" w:eastAsia="Arial" w:hAnsi="Arial"/>
          <w:sz w:val="18"/>
          <w:szCs w:val="18"/>
          <w:color w:val="auto"/>
        </w:rPr>
        <w:t>. We do not provide contractual return rights to our customer,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Research and Development Arrangements and Royalties</w:t>
      </w:r>
    </w:p>
    <w:p>
      <w:pPr>
        <w:spacing w:after="0" w:line="225"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We recognize revenue when we satisfy a performance obligation by transferring promised goods or services to a customer. Revenue is measured at the transaction price that is based on the amount of consideration that we expect to receive in exchange for transferring the promised goods or services to the customer. The transaction price includes estimates of variable consideration to the extent it is probable that a significant reversal of revenue recognized will not occur.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right="860" w:firstLine="414"/>
        <w:spacing w:after="0" w:line="277" w:lineRule="auto"/>
        <w:rPr>
          <w:sz w:val="20"/>
          <w:szCs w:val="20"/>
          <w:color w:val="auto"/>
        </w:rPr>
      </w:pPr>
      <w:r>
        <w:rPr>
          <w:rFonts w:ascii="Arial" w:cs="Arial" w:eastAsia="Arial" w:hAnsi="Arial"/>
          <w:sz w:val="18"/>
          <w:szCs w:val="18"/>
          <w:color w:val="auto"/>
        </w:rPr>
        <w:t>We have collaboration and license agreements with a number of third parties as well as research and development agreements with certain government entities.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primary sources of revenue from these collaborative and other research and development arrangements are license, service and royalty revenues.</w:t>
      </w:r>
    </w:p>
    <w:p>
      <w:pPr>
        <w:spacing w:after="0" w:line="248" w:lineRule="exact"/>
        <w:rPr>
          <w:sz w:val="20"/>
          <w:szCs w:val="20"/>
          <w:color w:val="auto"/>
        </w:rPr>
      </w:pPr>
    </w:p>
    <w:p>
      <w:pPr>
        <w:jc w:val="both"/>
        <w:ind w:right="160" w:firstLine="414"/>
        <w:spacing w:after="0" w:line="263"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8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84"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spacing w:after="0" w:line="184" w:lineRule="exact"/>
        <w:rPr>
          <w:sz w:val="20"/>
          <w:szCs w:val="20"/>
          <w:color w:val="auto"/>
        </w:rPr>
      </w:pPr>
    </w:p>
    <w:p>
      <w:pPr>
        <w:ind w:right="20" w:firstLine="414"/>
        <w:spacing w:after="0" w:line="263" w:lineRule="auto"/>
        <w:rPr>
          <w:sz w:val="20"/>
          <w:szCs w:val="20"/>
          <w:color w:val="auto"/>
        </w:rPr>
      </w:pPr>
      <w:r>
        <w:rPr>
          <w:rFonts w:ascii="Arial" w:cs="Arial" w:eastAsia="Arial" w:hAnsi="Arial"/>
          <w:sz w:val="18"/>
          <w:szCs w:val="18"/>
          <w:color w:val="auto"/>
        </w:rPr>
        <w:t>Reimbursements received for direct out-of-pocket expenses related to research and development costs are recorded as revenue in the Consolidated Statements of Comprehensive Loss rather than as a reduction in expenses. Under our contracts with BARDA/HHS and NIAID/HHS, revenue is recognized as reimbursable direct and indirect costs are incurred.</w:t>
      </w:r>
    </w:p>
    <w:p>
      <w:pPr>
        <w:spacing w:after="0" w:line="184" w:lineRule="exact"/>
        <w:rPr>
          <w:sz w:val="20"/>
          <w:szCs w:val="20"/>
          <w:color w:val="auto"/>
        </w:rPr>
      </w:pPr>
    </w:p>
    <w:p>
      <w:pPr>
        <w:ind w:right="120" w:firstLine="414"/>
        <w:spacing w:after="0" w:line="263" w:lineRule="auto"/>
        <w:rPr>
          <w:sz w:val="20"/>
          <w:szCs w:val="20"/>
          <w:color w:val="auto"/>
        </w:rPr>
      </w:pPr>
      <w:r>
        <w:rPr>
          <w:rFonts w:ascii="Arial" w:cs="Arial" w:eastAsia="Arial" w:hAnsi="Arial"/>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540" w:firstLine="414"/>
        <w:spacing w:after="0" w:line="308"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deferred revenue and billings in excess of revenue recognized (contract liabilities) on the Consolidated Balance Sheets.</w:t>
      </w:r>
    </w:p>
    <w:p>
      <w:pPr>
        <w:spacing w:after="0" w:line="146" w:lineRule="exact"/>
        <w:rPr>
          <w:sz w:val="20"/>
          <w:szCs w:val="20"/>
          <w:color w:val="auto"/>
        </w:rPr>
      </w:pPr>
    </w:p>
    <w:p>
      <w:pPr>
        <w:ind w:right="200" w:firstLine="414"/>
        <w:spacing w:after="0" w:line="263" w:lineRule="auto"/>
        <w:rPr>
          <w:sz w:val="20"/>
          <w:szCs w:val="20"/>
          <w:color w:val="auto"/>
        </w:rPr>
      </w:pPr>
      <w:r>
        <w:rPr>
          <w:rFonts w:ascii="Arial" w:cs="Arial" w:eastAsia="Arial" w:hAnsi="Arial"/>
          <w:sz w:val="18"/>
          <w:szCs w:val="18"/>
          <w:i w:val="1"/>
          <w:iCs w:val="1"/>
          <w:u w:val="single" w:color="auto"/>
          <w:color w:val="auto"/>
        </w:rPr>
        <w:t>Contract assets</w:t>
      </w:r>
      <w:r>
        <w:rPr>
          <w:rFonts w:ascii="Arial" w:cs="Arial" w:eastAsia="Arial" w:hAnsi="Arial"/>
          <w:sz w:val="18"/>
          <w:szCs w:val="18"/>
          <w:color w:val="auto"/>
        </w:rPr>
        <w:t>. Our long-term contracts are billed as work progresses in accordance with the contract terms and conditions, either at periodic</w:t>
      </w:r>
      <w:r>
        <w:rPr>
          <w:rFonts w:ascii="Arial" w:cs="Arial" w:eastAsia="Arial" w:hAnsi="Arial"/>
          <w:sz w:val="18"/>
          <w:szCs w:val="18"/>
          <w:i w:val="1"/>
          <w:iCs w:val="1"/>
          <w:color w:val="auto"/>
        </w:rPr>
        <w:t xml:space="preserve"> </w:t>
      </w:r>
      <w:r>
        <w:rPr>
          <w:rFonts w:ascii="Arial" w:cs="Arial" w:eastAsia="Arial" w:hAnsi="Arial"/>
          <w:sz w:val="18"/>
          <w:szCs w:val="18"/>
          <w:color w:val="auto"/>
        </w:rPr>
        <w:t>intervals or upon achievement of certain milestones. Often this results in billing occurring subsequent to revenue recognition, resulting in contract assets. Contract assets are generally classified as current assets in the Consolidated Balance Sheets.</w:t>
      </w:r>
    </w:p>
    <w:p>
      <w:pPr>
        <w:spacing w:after="0" w:line="184" w:lineRule="exact"/>
        <w:rPr>
          <w:sz w:val="20"/>
          <w:szCs w:val="20"/>
          <w:color w:val="auto"/>
        </w:rPr>
      </w:pPr>
    </w:p>
    <w:p>
      <w:pPr>
        <w:ind w:right="100" w:firstLine="414"/>
        <w:spacing w:after="0" w:line="342" w:lineRule="auto"/>
        <w:rPr>
          <w:sz w:val="20"/>
          <w:szCs w:val="20"/>
          <w:color w:val="auto"/>
        </w:rPr>
      </w:pPr>
      <w:r>
        <w:rPr>
          <w:rFonts w:ascii="Arial" w:cs="Arial" w:eastAsia="Arial" w:hAnsi="Arial"/>
          <w:sz w:val="16"/>
          <w:szCs w:val="16"/>
          <w:i w:val="1"/>
          <w:iCs w:val="1"/>
          <w:u w:val="single" w:color="auto"/>
          <w:color w:val="auto"/>
        </w:rPr>
        <w:t>Contract liabilities</w:t>
      </w:r>
      <w:r>
        <w:rPr>
          <w:rFonts w:ascii="Arial" w:cs="Arial" w:eastAsia="Arial" w:hAnsi="Arial"/>
          <w:sz w:val="16"/>
          <w:szCs w:val="16"/>
          <w:color w:val="auto"/>
        </w:rPr>
        <w:t>. We often receive cash payments from customers in advance of our performance, resulting in contract liabilities. These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are classified as either current or long-term in the Consolidated Balance Sheets based on the timing of when we expect to recognize the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ind w:right="180" w:firstLine="414"/>
        <w:spacing w:after="0" w:line="342" w:lineRule="auto"/>
        <w:rPr>
          <w:sz w:val="20"/>
          <w:szCs w:val="20"/>
          <w:color w:val="auto"/>
        </w:rPr>
      </w:pPr>
      <w:r>
        <w:rPr>
          <w:rFonts w:ascii="Arial" w:cs="Arial" w:eastAsia="Arial" w:hAnsi="Arial"/>
          <w:sz w:val="16"/>
          <w:szCs w:val="16"/>
          <w:color w:val="auto"/>
        </w:rPr>
        <w:t>We may incur direct and indirect costs associated with obtaining a contract. Incremental contract costs that we expect to recover are capitalized and amortized over the expected term of the contract. Non-incremental contract costs and costs that we expect to recover are expensed as incurred.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414"/>
        <w:spacing w:after="0" w:line="272" w:lineRule="auto"/>
        <w:rPr>
          <w:sz w:val="20"/>
          <w:szCs w:val="20"/>
          <w:color w:val="auto"/>
        </w:rPr>
      </w:pPr>
      <w:r>
        <w:rPr>
          <w:rFonts w:ascii="Arial" w:cs="Arial" w:eastAsia="Arial" w:hAnsi="Arial"/>
          <w:sz w:val="17"/>
          <w:szCs w:val="17"/>
          <w:color w:val="auto"/>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177" w:lineRule="exact"/>
        <w:rPr>
          <w:sz w:val="20"/>
          <w:szCs w:val="20"/>
          <w:color w:val="auto"/>
        </w:rPr>
      </w:pPr>
    </w:p>
    <w:p>
      <w:pPr>
        <w:ind w:right="220" w:firstLine="414"/>
        <w:spacing w:after="0" w:line="279" w:lineRule="auto"/>
        <w:rPr>
          <w:sz w:val="20"/>
          <w:szCs w:val="20"/>
          <w:color w:val="auto"/>
        </w:rPr>
      </w:pPr>
      <w:r>
        <w:rPr>
          <w:rFonts w:ascii="Arial" w:cs="Arial" w:eastAsia="Arial" w:hAnsi="Arial"/>
          <w:sz w:val="17"/>
          <w:szCs w:val="17"/>
          <w:color w:val="auto"/>
        </w:rPr>
        <w:t>Additionally, we have license agreements with third parties, such as Albert Einstein College of Medicine of Yeshiva University (“AECOM”), Industrial Research, Ltd. (“IRL”), and the University of Alabama (“UAB”),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spacing w:after="0" w:line="171" w:lineRule="exact"/>
        <w:rPr>
          <w:sz w:val="20"/>
          <w:szCs w:val="20"/>
          <w:color w:val="auto"/>
        </w:rPr>
      </w:pPr>
    </w:p>
    <w:p>
      <w:pPr>
        <w:ind w:right="20" w:firstLine="414"/>
        <w:spacing w:after="0" w:line="279" w:lineRule="auto"/>
        <w:rPr>
          <w:sz w:val="20"/>
          <w:szCs w:val="20"/>
          <w:color w:val="auto"/>
        </w:rPr>
      </w:pPr>
      <w:r>
        <w:rPr>
          <w:rFonts w:ascii="Arial" w:cs="Arial" w:eastAsia="Arial" w:hAnsi="Arial"/>
          <w:sz w:val="17"/>
          <w:szCs w:val="17"/>
          <w:color w:val="auto"/>
        </w:rPr>
        <w:t>Deferred collaboration expenses represent sub-license payments paid to our academic partners upon receipt of consideration from various commercial partners, and other consideration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spacing w:after="0" w:line="171" w:lineRule="exact"/>
        <w:rPr>
          <w:sz w:val="20"/>
          <w:szCs w:val="20"/>
          <w:color w:val="auto"/>
        </w:rPr>
      </w:pPr>
    </w:p>
    <w:p>
      <w:pPr>
        <w:ind w:right="140" w:firstLine="414"/>
        <w:spacing w:after="0" w:line="296" w:lineRule="auto"/>
        <w:rPr>
          <w:sz w:val="20"/>
          <w:szCs w:val="20"/>
          <w:color w:val="auto"/>
        </w:rPr>
      </w:pPr>
      <w:r>
        <w:rPr>
          <w:rFonts w:ascii="Arial" w:cs="Arial" w:eastAsia="Arial" w:hAnsi="Arial"/>
          <w:sz w:val="16"/>
          <w:szCs w:val="16"/>
          <w:color w:val="auto"/>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414"/>
        <w:spacing w:after="0" w:line="269" w:lineRule="auto"/>
        <w:rPr>
          <w:sz w:val="20"/>
          <w:szCs w:val="20"/>
          <w:color w:val="auto"/>
        </w:rPr>
      </w:pPr>
      <w:r>
        <w:rPr>
          <w:rFonts w:ascii="Arial" w:cs="Arial" w:eastAsia="Arial" w:hAnsi="Arial"/>
          <w:sz w:val="17"/>
          <w:szCs w:val="17"/>
          <w:color w:val="auto"/>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for which no compensation expense is recognized until “performance” has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Royalty Financing Obligation</w:t>
      </w:r>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Royalty Financing Obligation is eligible to be repaid based on royalties from net sales of ORLADEYO. Interest expense is accrued using the effective interest rate method over the estimated period the related liability will be paid. This requires us to estimate the total amount of future royalty payments to be generated from product sales over the life of the agreement. We impute interest on the carrying value of the Royalty Financing Obligation and record interest expense using an imputed effective interest rate. We will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 that we make estimates that could impact the carrying value of the liability, as well as the period over which associated issuance costs will be amortized. A significant increase or decrease in forecasted net sales could materially impact the liability balance, interest expense and the time period for repayment.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Hedge</w:t>
      </w:r>
    </w:p>
    <w:p>
      <w:pPr>
        <w:spacing w:after="0" w:line="22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connection with our issuance of the PhaRMA Notes, we entered into a foreign Currency Hedge Agreement to hedge certain risks associated with changes in the value of the Japanese yen relative to the U.S. dollar. The final tranche of the options under the Currency Hedge Agreement expired in November 2020. The Currency Hedge Agreement did not qualify for hedge accounting treatment and therefore mark-to-market adjustments were recognized in our Consolidated Statements of Comprehensive Loss.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Tax</w:t>
      </w:r>
    </w:p>
    <w:p>
      <w:pPr>
        <w:spacing w:after="0" w:line="225"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are subject to interest rate risk on our investment portfolio and borrowings under our Credit Agreement. The Term A Loan under the Credit Agreement bears interest each quarter at a rate equal to the three-month LIBOR rate, which is capped to be no less than 1.75% and no more than 3.50% (“LIBOR”), plus 8.25% or, for each quarterly interest period in which a PIK Interest Payment is made, LIBOR plus 10.25%. Accordingly, increases in interest rates could increase the associated interest payments that we are required to make on the Term Loans. As of March 31, 2021, interest was accrued at 12.2% on the $125.0 million Term A Loan under the Credit Agreement.</w:t>
      </w:r>
    </w:p>
    <w:p>
      <w:pPr>
        <w:spacing w:after="0" w:line="188"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6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79" w:lineRule="exact"/>
        <w:rPr>
          <w:sz w:val="20"/>
          <w:szCs w:val="20"/>
          <w:color w:val="auto"/>
        </w:rPr>
      </w:pPr>
    </w:p>
    <w:p>
      <w:pPr>
        <w:ind w:right="320" w:firstLine="522"/>
        <w:spacing w:after="0" w:line="342" w:lineRule="auto"/>
        <w:rPr>
          <w:sz w:val="20"/>
          <w:szCs w:val="20"/>
          <w:color w:val="auto"/>
        </w:rPr>
      </w:pPr>
      <w:r>
        <w:rPr>
          <w:rFonts w:ascii="Arial" w:cs="Arial" w:eastAsia="Arial" w:hAnsi="Arial"/>
          <w:sz w:val="16"/>
          <w:szCs w:val="16"/>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200" w:firstLine="450"/>
        <w:spacing w:after="0" w:line="263" w:lineRule="auto"/>
        <w:rPr>
          <w:sz w:val="20"/>
          <w:szCs w:val="20"/>
          <w:color w:val="auto"/>
        </w:rPr>
      </w:pPr>
      <w:r>
        <w:rPr>
          <w:rFonts w:ascii="Arial" w:cs="Arial" w:eastAsia="Arial" w:hAnsi="Arial"/>
          <w:sz w:val="18"/>
          <w:szCs w:val="18"/>
          <w:color w:val="auto"/>
        </w:rPr>
        <w:t>The majority of our transactions and the greatest magnitude of these transactions occur in U.S. dollars and although we have initiated operations in Europe, we did not have significant operating activities or significant investments in foreign countries as of March 31, 2021. Therefore, we were not subject to significant foreign currency exchange risk in our normal operations.</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right="240" w:firstLine="522"/>
        <w:spacing w:after="0" w:line="289"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relating to BioCryst Pharmaceuticals, Inc.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March 31, 2021,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right="620" w:firstLine="522"/>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March 31, 2021 that have materially affected, or are reasonably likely to materially affect, the Company’s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ind w:right="20" w:firstLine="522"/>
        <w:spacing w:after="0" w:line="263" w:lineRule="auto"/>
        <w:rPr>
          <w:sz w:val="20"/>
          <w:szCs w:val="20"/>
          <w:color w:val="auto"/>
        </w:rPr>
      </w:pPr>
      <w:r>
        <w:rPr>
          <w:rFonts w:ascii="Arial" w:cs="Arial" w:eastAsia="Arial" w:hAnsi="Arial"/>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deciding to buy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COVID-19</w:t>
      </w:r>
    </w:p>
    <w:p>
      <w:pPr>
        <w:spacing w:after="0" w:line="225" w:lineRule="exact"/>
        <w:rPr>
          <w:sz w:val="20"/>
          <w:szCs w:val="20"/>
          <w:color w:val="auto"/>
        </w:rPr>
      </w:pPr>
    </w:p>
    <w:p>
      <w:pPr>
        <w:jc w:val="both"/>
        <w:ind w:left="240" w:hanging="17"/>
        <w:spacing w:after="0" w:line="340" w:lineRule="auto"/>
        <w:rPr>
          <w:sz w:val="20"/>
          <w:szCs w:val="20"/>
          <w:color w:val="auto"/>
        </w:rPr>
      </w:pPr>
      <w:r>
        <w:rPr>
          <w:rFonts w:ascii="Arial" w:cs="Arial" w:eastAsia="Arial" w:hAnsi="Arial"/>
          <w:sz w:val="15"/>
          <w:szCs w:val="15"/>
          <w:b w:val="1"/>
          <w:bCs w:val="1"/>
          <w:i w:val="1"/>
          <w:iCs w:val="1"/>
          <w:color w:val="auto"/>
        </w:rPr>
        <w:t>Our business, operations, clinical development or commercialization plans and timelines, and access to capital could be adversely affected by the effects of the COVID-19 pandemic on us or on third parties with whom we conduct business, including without limitation our development partners, manufacturers, clinical research organizations (</w:t>
      </w:r>
      <w:r>
        <w:rPr>
          <w:rFonts w:ascii="Arial" w:cs="Arial" w:eastAsia="Arial" w:hAnsi="Arial"/>
          <w:sz w:val="15"/>
          <w:szCs w:val="15"/>
          <w:color w:val="auto"/>
        </w:rPr>
        <w:t>“</w:t>
      </w:r>
      <w:r>
        <w:rPr>
          <w:rFonts w:ascii="Arial" w:cs="Arial" w:eastAsia="Arial" w:hAnsi="Arial"/>
          <w:sz w:val="15"/>
          <w:szCs w:val="15"/>
          <w:b w:val="1"/>
          <w:bCs w:val="1"/>
          <w:i w:val="1"/>
          <w:iCs w:val="1"/>
          <w:color w:val="auto"/>
        </w:rPr>
        <w:t>CROs</w:t>
      </w:r>
      <w:r>
        <w:rPr>
          <w:rFonts w:ascii="Arial" w:cs="Arial" w:eastAsia="Arial" w:hAnsi="Arial"/>
          <w:sz w:val="15"/>
          <w:szCs w:val="15"/>
          <w:color w:val="auto"/>
        </w:rPr>
        <w:t>”</w:t>
      </w:r>
      <w:r>
        <w:rPr>
          <w:rFonts w:ascii="Arial" w:cs="Arial" w:eastAsia="Arial" w:hAnsi="Arial"/>
          <w:sz w:val="15"/>
          <w:szCs w:val="15"/>
          <w:b w:val="1"/>
          <w:bCs w:val="1"/>
          <w:i w:val="1"/>
          <w:iCs w:val="1"/>
          <w:color w:val="auto"/>
        </w:rPr>
        <w:t>), and others, as well as on the regulatory and government agencies with whom we work.</w:t>
      </w:r>
    </w:p>
    <w:p>
      <w:pPr>
        <w:spacing w:after="0" w:line="131" w:lineRule="exact"/>
        <w:rPr>
          <w:sz w:val="20"/>
          <w:szCs w:val="20"/>
          <w:color w:val="auto"/>
        </w:rPr>
      </w:pPr>
    </w:p>
    <w:p>
      <w:pPr>
        <w:ind w:right="260" w:firstLine="450"/>
        <w:spacing w:after="0" w:line="291" w:lineRule="auto"/>
        <w:rPr>
          <w:sz w:val="20"/>
          <w:szCs w:val="20"/>
          <w:color w:val="auto"/>
        </w:rPr>
      </w:pPr>
      <w:r>
        <w:rPr>
          <w:rFonts w:ascii="Arial" w:cs="Arial" w:eastAsia="Arial" w:hAnsi="Arial"/>
          <w:sz w:val="16"/>
          <w:szCs w:val="16"/>
          <w:color w:val="auto"/>
        </w:rPr>
        <w:t>The COVID-19 pandemic has spread to multiple countries around the world, is affecting the United States and global economies, and may cause significant disruptions to our business, operations, and clinical development or commercialization plans and timelines, as well as the business and operations of third parties with whom we conduct business. For example, quarantines, shelter-in-place, similar government orders and evolving business policies and procedures have impacted and may continue to impact, among other things: (1) our personnel and those of third parties on whom we rely, including our development partners (such as Torii), manufacturers, CROs, and others; (2) the conduct of our current and future clinical trials and commercial interactions; and (3) the operations of the FDA, European Medicines Agency (“EMA”), Japanese Pharmaceuticals and Medical Devices Agency (“PMDA”), and other health and governmental authorities, which could result in delays of reviews and approvals.</w:t>
      </w:r>
    </w:p>
    <w:p>
      <w:pPr>
        <w:spacing w:after="0" w:line="166" w:lineRule="exact"/>
        <w:rPr>
          <w:sz w:val="20"/>
          <w:szCs w:val="20"/>
          <w:color w:val="auto"/>
        </w:rPr>
      </w:pPr>
    </w:p>
    <w:p>
      <w:pPr>
        <w:ind w:right="60" w:firstLine="450"/>
        <w:spacing w:after="0" w:line="290" w:lineRule="auto"/>
        <w:rPr>
          <w:sz w:val="20"/>
          <w:szCs w:val="20"/>
          <w:color w:val="auto"/>
        </w:rPr>
      </w:pPr>
      <w:r>
        <w:rPr>
          <w:rFonts w:ascii="Arial" w:cs="Arial" w:eastAsia="Arial" w:hAnsi="Arial"/>
          <w:sz w:val="16"/>
          <w:szCs w:val="16"/>
          <w:color w:val="auto"/>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delays or challenges will not have an adverse impact on our business, financial condition and prospects.</w:t>
      </w:r>
    </w:p>
    <w:p>
      <w:pPr>
        <w:spacing w:after="0" w:line="165"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In addition, our clinical trials have been and may continue to be affected by the COVID-19 pandemic. For example, the acceleration of COVID-19 slowed startup of the inadequate C5 responder cohorts in our complement oral Factor D inhibitor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spacing w:after="0" w:line="177" w:lineRule="exact"/>
        <w:rPr>
          <w:sz w:val="20"/>
          <w:szCs w:val="20"/>
          <w:color w:val="auto"/>
        </w:rPr>
      </w:pPr>
    </w:p>
    <w:p>
      <w:pPr>
        <w:ind w:right="360" w:firstLine="450"/>
        <w:spacing w:after="0" w:line="286" w:lineRule="auto"/>
        <w:rPr>
          <w:sz w:val="20"/>
          <w:szCs w:val="20"/>
          <w:color w:val="auto"/>
        </w:rPr>
      </w:pPr>
      <w:r>
        <w:rPr>
          <w:rFonts w:ascii="Arial" w:cs="Arial" w:eastAsia="Arial" w:hAnsi="Arial"/>
          <w:sz w:val="17"/>
          <w:szCs w:val="17"/>
          <w:color w:val="auto"/>
        </w:rPr>
        <w:t>If global health concerns prevent the FDA, EMA, PMDA or other regulatory authorities from conducting their inspections, reviews, or other regulatory activities, it could significantly impact the ability of the FDA, EMA, PMDA or other regulatory authorities to timely review and process our regulatory submissions, which could have a material adverse effect on our business and clinical development plans and timelines.</w:t>
      </w:r>
    </w:p>
    <w:p>
      <w:pPr>
        <w:spacing w:after="0" w:line="165" w:lineRule="exact"/>
        <w:rPr>
          <w:sz w:val="20"/>
          <w:szCs w:val="20"/>
          <w:color w:val="auto"/>
        </w:rPr>
      </w:pPr>
    </w:p>
    <w:p>
      <w:pPr>
        <w:ind w:right="260" w:firstLine="450"/>
        <w:spacing w:after="0" w:line="259" w:lineRule="auto"/>
        <w:rPr>
          <w:sz w:val="20"/>
          <w:szCs w:val="20"/>
          <w:color w:val="auto"/>
        </w:rPr>
      </w:pPr>
      <w:r>
        <w:rPr>
          <w:rFonts w:ascii="Arial" w:cs="Arial" w:eastAsia="Arial" w:hAnsi="Arial"/>
          <w:sz w:val="18"/>
          <w:szCs w:val="18"/>
          <w:color w:val="auto"/>
        </w:rPr>
        <w:t>We have implemented work-from-home policies for our employees, which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right="360" w:firstLine="450"/>
        <w:spacing w:after="0" w:line="257" w:lineRule="auto"/>
        <w:rPr>
          <w:sz w:val="20"/>
          <w:szCs w:val="20"/>
          <w:color w:val="auto"/>
        </w:rPr>
      </w:pPr>
      <w:r>
        <w:rPr>
          <w:rFonts w:ascii="Arial" w:cs="Arial" w:eastAsia="Arial" w:hAnsi="Arial"/>
          <w:sz w:val="18"/>
          <w:szCs w:val="18"/>
          <w:color w:val="auto"/>
        </w:rPr>
        <w:t>The spread of COVID-19, which has caused a broad impact globally, may also materially affect our access to capital. While the future economic impact brought by, and the duration of, COVID-19 may be difficult to assess or predict, the pandemic could result in significant disruption of global financial markets, reducing our ability to access the equity or debt capital markets or obtain other sources of capital, which could negatively affect our liquidity. In addition, a recession or market correction resulting from the spread of COVID-19 could materially affect our business and the value of our common stock.</w:t>
      </w:r>
    </w:p>
    <w:p>
      <w:pPr>
        <w:spacing w:after="0" w:line="188" w:lineRule="exact"/>
        <w:rPr>
          <w:sz w:val="20"/>
          <w:szCs w:val="20"/>
          <w:color w:val="auto"/>
        </w:rPr>
      </w:pPr>
    </w:p>
    <w:p>
      <w:pPr>
        <w:ind w:right="100" w:firstLine="450"/>
        <w:spacing w:after="0" w:line="279" w:lineRule="auto"/>
        <w:rPr>
          <w:sz w:val="20"/>
          <w:szCs w:val="20"/>
          <w:color w:val="auto"/>
        </w:rPr>
      </w:pPr>
      <w:r>
        <w:rPr>
          <w:rFonts w:ascii="Arial" w:cs="Arial" w:eastAsia="Arial" w:hAnsi="Arial"/>
          <w:sz w:val="17"/>
          <w:szCs w:val="17"/>
          <w:color w:val="auto"/>
        </w:rPr>
        <w:t>The global pandemic of COVID-19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on the healthcare system, or on the global economy. In addition, the COVID-19 pandemic could have the effect of heightening many of the other risks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and Liquidity Risks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incurred losses since our inception, expect to continue to incur such losses, and may never be profitable.</w:t>
      </w:r>
    </w:p>
    <w:p>
      <w:pPr>
        <w:spacing w:after="0" w:line="225" w:lineRule="exact"/>
        <w:rPr>
          <w:sz w:val="20"/>
          <w:szCs w:val="20"/>
          <w:color w:val="auto"/>
        </w:rPr>
      </w:pPr>
    </w:p>
    <w:p>
      <w:pPr>
        <w:ind w:right="20" w:firstLine="450"/>
        <w:spacing w:after="0" w:line="290" w:lineRule="auto"/>
        <w:rPr>
          <w:sz w:val="20"/>
          <w:szCs w:val="20"/>
          <w:color w:val="auto"/>
        </w:rPr>
      </w:pPr>
      <w:r>
        <w:rPr>
          <w:rFonts w:ascii="Arial" w:cs="Arial" w:eastAsia="Arial" w:hAnsi="Arial"/>
          <w:sz w:val="16"/>
          <w:szCs w:val="16"/>
          <w:color w:val="auto"/>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new commercially viable products, certain obligations we have to third parties, including, without limitation, our obligation to pay RPI royalties on certain ORLADEYO and BCX9930 revenues under the Royalty Purchase Agreement, may reduce the profitability of such products.</w:t>
      </w:r>
    </w:p>
    <w:p>
      <w:pPr>
        <w:spacing w:after="0" w:line="165" w:lineRule="exact"/>
        <w:rPr>
          <w:sz w:val="20"/>
          <w:szCs w:val="20"/>
          <w:color w:val="auto"/>
        </w:rPr>
      </w:pPr>
    </w:p>
    <w:p>
      <w:pPr>
        <w:jc w:val="both"/>
        <w:ind w:right="180" w:firstLine="450"/>
        <w:spacing w:after="0" w:line="311" w:lineRule="auto"/>
        <w:rPr>
          <w:sz w:val="20"/>
          <w:szCs w:val="20"/>
          <w:color w:val="auto"/>
        </w:rPr>
      </w:pPr>
      <w:r>
        <w:rPr>
          <w:rFonts w:ascii="Arial" w:cs="Arial" w:eastAsia="Arial" w:hAnsi="Arial"/>
          <w:sz w:val="16"/>
          <w:szCs w:val="16"/>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need to raise additional capital in the future. If we are unable to raise capital when needed, we may need to adjust our operations.</w:t>
      </w:r>
    </w:p>
    <w:p>
      <w:pPr>
        <w:spacing w:after="0" w:line="248" w:lineRule="exact"/>
        <w:rPr>
          <w:sz w:val="20"/>
          <w:szCs w:val="20"/>
          <w:color w:val="auto"/>
        </w:rPr>
      </w:pPr>
    </w:p>
    <w:p>
      <w:pPr>
        <w:ind w:right="240" w:firstLine="450"/>
        <w:spacing w:after="0" w:line="342" w:lineRule="auto"/>
        <w:rPr>
          <w:sz w:val="20"/>
          <w:szCs w:val="20"/>
          <w:color w:val="auto"/>
        </w:rPr>
      </w:pPr>
      <w:r>
        <w:rPr>
          <w:rFonts w:ascii="Arial" w:cs="Arial" w:eastAsia="Arial" w:hAnsi="Arial"/>
          <w:sz w:val="16"/>
          <w:szCs w:val="16"/>
          <w:color w:val="auto"/>
        </w:rPr>
        <w:t>We have sustained operating losses for the majority of our corporate history and expect that our 2021 expenses will exceed our 2021 revenues. We expect to continue to incur operating losses and negative cash flows until revenues reach a level sufficient to support ongoing operations.</w:t>
      </w:r>
    </w:p>
    <w:p>
      <w:pPr>
        <w:spacing w:after="0" w:line="124" w:lineRule="exact"/>
        <w:rPr>
          <w:sz w:val="20"/>
          <w:szCs w:val="20"/>
          <w:color w:val="auto"/>
        </w:rPr>
      </w:pPr>
    </w:p>
    <w:p>
      <w:pPr>
        <w:ind w:right="80" w:firstLine="450"/>
        <w:spacing w:after="0" w:line="270" w:lineRule="auto"/>
        <w:rPr>
          <w:sz w:val="20"/>
          <w:szCs w:val="20"/>
          <w:color w:val="auto"/>
        </w:rPr>
      </w:pPr>
      <w:r>
        <w:rPr>
          <w:rFonts w:ascii="Arial" w:cs="Arial" w:eastAsia="Arial" w:hAnsi="Arial"/>
          <w:sz w:val="17"/>
          <w:szCs w:val="17"/>
          <w:color w:val="auto"/>
        </w:rPr>
        <w:t>Our liquidity needs will be largely determined by the success of operations in regard to the commercialization of our products and the progression of our product candidates in the future. Our plans for managing our liquidity needs primarily include controlling the timing and spending on our research and development programs, raising additional funds through equity financings, and commercializing our approved products. We also may consider other plans to fund operations including: (1) securing or increasing U.S. Government funding of our programs, including obtaining additional and delivering on procurement contracts; (2) out-licensing rights to certain of our products or product candidates, pursuant to which we would receive cash milestone payments and/or royalties;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research and development programs, including by discontinuing and suspending development; and/or (6) restructuring operations to change our overhead structure.</w:t>
      </w:r>
    </w:p>
    <w:p>
      <w:pPr>
        <w:spacing w:after="0" w:line="181"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There can be no assurance that any of our plans will be successful or that additional capital will be available to us on reasonable terms, or at all, when needed. If we are unable to obtain sufficient additional capital, we may be forced to adjust or curtail our operations; delay, reduce, or stop ongoing clinical trials or commercialization efforts; cease operations altogether; or file for bankruptcy.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Drug Development and Commercialization</w:t>
      </w:r>
    </w:p>
    <w:p>
      <w:pPr>
        <w:spacing w:after="0" w:line="225" w:lineRule="exact"/>
        <w:rPr>
          <w:sz w:val="20"/>
          <w:szCs w:val="20"/>
          <w:color w:val="auto"/>
        </w:rPr>
      </w:pPr>
    </w:p>
    <w:p>
      <w:pPr>
        <w:ind w:left="240" w:right="120"/>
        <w:spacing w:after="0" w:line="308" w:lineRule="auto"/>
        <w:rPr>
          <w:sz w:val="20"/>
          <w:szCs w:val="20"/>
          <w:color w:val="auto"/>
        </w:rPr>
      </w:pPr>
      <w:r>
        <w:rPr>
          <w:rFonts w:ascii="Arial" w:cs="Arial" w:eastAsia="Arial" w:hAnsi="Arial"/>
          <w:sz w:val="17"/>
          <w:szCs w:val="17"/>
          <w:b w:val="1"/>
          <w:bCs w:val="1"/>
          <w:i w:val="1"/>
          <w:iCs w:val="1"/>
          <w:color w:val="auto"/>
        </w:rPr>
        <w:t>Our success depends upon our ability to advance our product candidates through the various stages of development, especially through the clinical trial process, and to receive regulatory approval for the commercial sale of our product candidates.</w:t>
      </w:r>
    </w:p>
    <w:p>
      <w:pPr>
        <w:spacing w:after="0" w:line="146" w:lineRule="exact"/>
        <w:rPr>
          <w:sz w:val="20"/>
          <w:szCs w:val="20"/>
          <w:color w:val="auto"/>
        </w:rPr>
      </w:pPr>
    </w:p>
    <w:p>
      <w:pPr>
        <w:ind w:right="40" w:firstLine="450"/>
        <w:spacing w:after="0" w:line="271" w:lineRule="auto"/>
        <w:rPr>
          <w:sz w:val="20"/>
          <w:szCs w:val="20"/>
          <w:color w:val="auto"/>
        </w:rPr>
      </w:pPr>
      <w:r>
        <w:rPr>
          <w:rFonts w:ascii="Arial" w:cs="Arial" w:eastAsia="Arial" w:hAnsi="Arial"/>
          <w:sz w:val="17"/>
          <w:szCs w:val="17"/>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firstLine="450"/>
        <w:spacing w:after="0" w:line="269" w:lineRule="auto"/>
        <w:rPr>
          <w:sz w:val="20"/>
          <w:szCs w:val="20"/>
          <w:color w:val="auto"/>
        </w:rPr>
      </w:pPr>
      <w:r>
        <w:rPr>
          <w:rFonts w:ascii="Arial" w:cs="Arial" w:eastAsia="Arial" w:hAnsi="Arial"/>
          <w:sz w:val="17"/>
          <w:szCs w:val="17"/>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Failure to achieve any of these endpoints in any of our programs, including BCX9930, BCX9250, galidesivir, and our other rare disease product candidates, could result in delays in or modifications to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Product candidates that initially show promise in clinical or preclinical testing could later be found to cause undesirable or unexpected side effects that could result in delays in the development of our product candidates, significant unexpected costs, or the termination of programs. The development plans for our product candidates, including our clinical trials, may not be adequately designed or executed, which could negatively affect the outcome and analysis of study results. Because of the cost and duration of clinical trials, we may decide to discontinue development of product candidates that are unlikely to show favorable results in clinical trials, unlikely to help advance a product to the point of a meaningful collaboration, or unlikely to have reasonable commercial potential.</w:t>
      </w:r>
    </w:p>
    <w:p>
      <w:pPr>
        <w:spacing w:after="0" w:line="179" w:lineRule="exact"/>
        <w:rPr>
          <w:sz w:val="20"/>
          <w:szCs w:val="20"/>
          <w:color w:val="auto"/>
        </w:rPr>
      </w:pPr>
    </w:p>
    <w:p>
      <w:pPr>
        <w:ind w:right="60" w:firstLine="450"/>
        <w:spacing w:after="0" w:line="254" w:lineRule="auto"/>
        <w:rPr>
          <w:sz w:val="20"/>
          <w:szCs w:val="20"/>
          <w:color w:val="auto"/>
        </w:rPr>
      </w:pPr>
      <w:r>
        <w:rPr>
          <w:rFonts w:ascii="Arial" w:cs="Arial" w:eastAsia="Arial" w:hAnsi="Arial"/>
          <w:sz w:val="18"/>
          <w:szCs w:val="18"/>
          <w:color w:val="auto"/>
        </w:rPr>
        <w:t>Undesirable or inconclusive data in our pre-clinical studies and clinical trials or side effects in humans could result in the FDA or foreign regulatory authorities (including, e.g., the EMA, the MHLW or the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may suspend or terminate clinical trials at any time if we or they believe the trial participants face unacceptable health risks.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successfully complete the clinical development process is dependent upon many factors, including but not limited to:</w:t>
      </w:r>
    </w:p>
    <w:p>
      <w:pPr>
        <w:spacing w:after="0" w:line="225" w:lineRule="exact"/>
        <w:rPr>
          <w:sz w:val="20"/>
          <w:szCs w:val="20"/>
          <w:color w:val="auto"/>
        </w:rPr>
      </w:pPr>
    </w:p>
    <w:p>
      <w:pPr>
        <w:ind w:left="980" w:right="240" w:hanging="324"/>
        <w:spacing w:after="0" w:line="25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or our partners’ ability to secure suitable clinical sites and investigators and to enroll and maintain an adequate number of patients on a timely basis or at all;</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that enroll in a clinical trial may not comply with the clinical trial protocol or maintain contact with investigators to provide complete data during and after treatment;</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not prove to be either safe or effective or may produce unfavorable or inconclusive results;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our partners may decide, or be required by regulatory authorities, to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spacing w:after="0" w:line="1" w:lineRule="exact"/>
        <w:rPr>
          <w:rFonts w:ascii="Arial" w:cs="Arial" w:eastAsia="Arial" w:hAnsi="Arial"/>
          <w:sz w:val="18"/>
          <w:szCs w:val="18"/>
          <w:color w:val="auto"/>
        </w:rPr>
      </w:pPr>
    </w:p>
    <w:p>
      <w:pPr>
        <w:ind w:left="980" w:right="46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disagree with our or our partners’ clinical trial protocols or our or their interpretation of data from preclinical studies and clinical trials;</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protocols or study procedures may not be adequately designed or followed by the investigators;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formulation improvements may not work as expected, which could negatively impact commercial demand for our product candidates;</w:t>
      </w:r>
    </w:p>
    <w:p>
      <w:pPr>
        <w:spacing w:after="0" w:line="20" w:lineRule="exact"/>
        <w:rPr>
          <w:rFonts w:ascii="Arial" w:cs="Arial" w:eastAsia="Arial" w:hAnsi="Arial"/>
          <w:sz w:val="17"/>
          <w:szCs w:val="17"/>
          <w:color w:val="auto"/>
        </w:rPr>
      </w:pPr>
    </w:p>
    <w:p>
      <w:pPr>
        <w:ind w:left="980" w:right="102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980" w:right="280" w:hanging="324"/>
        <w:spacing w:after="0" w:line="28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spacing w:after="0" w:line="1" w:lineRule="exact"/>
        <w:rPr>
          <w:rFonts w:ascii="Arial" w:cs="Arial" w:eastAsia="Arial" w:hAnsi="Arial"/>
          <w:sz w:val="16"/>
          <w:szCs w:val="16"/>
          <w:color w:val="auto"/>
        </w:rPr>
      </w:pPr>
    </w:p>
    <w:p>
      <w:pPr>
        <w:ind w:left="980" w:right="50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pre-clinical studies and clinical trials may be greater than we anticipate;</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on one or more of the foregoing factors.</w:t>
      </w:r>
    </w:p>
    <w:p>
      <w:pPr>
        <w:spacing w:after="0" w:line="211"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color w:val="auto"/>
        </w:rPr>
        <w:t>Clinical trials are lengthy and expensive. Many of the factors listed above could result in increased clinical development costs or longer clinical development times for any of our programs. We or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may not receive regulatory approval for the product candidates, in which case we would be unable to generate any revenues from product sales or licensing arrangements, or any product candidate, if approved, may be subject to restrictions on labeling, marketing, distribution, prescribing, and use, which could adversely impact the sales of such product.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0" w:name="page41"/>
    <w:bookmarkEnd w:id="40"/>
    <w:p>
      <w:pPr>
        <w:ind w:left="240" w:right="280"/>
        <w:spacing w:after="0" w:line="277" w:lineRule="auto"/>
        <w:rPr>
          <w:sz w:val="20"/>
          <w:szCs w:val="20"/>
          <w:color w:val="auto"/>
        </w:rPr>
      </w:pPr>
      <w:r>
        <w:rPr>
          <w:rFonts w:ascii="Arial" w:cs="Arial" w:eastAsia="Arial" w:hAnsi="Arial"/>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rely heavily upon third parties for many important stages of our product candidate development, including but not limited to:</w:t>
      </w:r>
    </w:p>
    <w:p>
      <w:pPr>
        <w:spacing w:after="0" w:line="225" w:lineRule="exact"/>
        <w:rPr>
          <w:sz w:val="20"/>
          <w:szCs w:val="20"/>
          <w:color w:val="auto"/>
        </w:rPr>
      </w:pPr>
    </w:p>
    <w:p>
      <w:pPr>
        <w:ind w:left="980" w:right="140" w:hanging="324"/>
        <w:spacing w:after="0" w:line="25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discovery of natural proteins that cause or enable biological reactions necessary for the progression of the disease or disorder, called enzyme targets;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execution of certain pharmacology preclinical studies and late-stage development for our compounds and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of our phase 1, 2 and 3 clinical trials, including medical monitoring, laboratory testing, and data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execution of toxicology studies that may be required to obtain approval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formulation improvement strategies and methods;</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of certain regulatory interactions outside of the United States.</w:t>
      </w:r>
    </w:p>
    <w:p>
      <w:pPr>
        <w:spacing w:after="0" w:line="211" w:lineRule="exact"/>
        <w:rPr>
          <w:sz w:val="20"/>
          <w:szCs w:val="20"/>
          <w:color w:val="auto"/>
        </w:rPr>
      </w:pPr>
    </w:p>
    <w:p>
      <w:pPr>
        <w:ind w:right="20" w:firstLine="450"/>
        <w:spacing w:after="0" w:line="254" w:lineRule="auto"/>
        <w:rPr>
          <w:sz w:val="20"/>
          <w:szCs w:val="20"/>
          <w:color w:val="auto"/>
        </w:rPr>
      </w:pPr>
      <w:r>
        <w:rPr>
          <w:rFonts w:ascii="Arial" w:cs="Arial" w:eastAsia="Arial" w:hAnsi="Arial"/>
          <w:sz w:val="18"/>
          <w:szCs w:val="18"/>
          <w:color w:val="auto"/>
        </w:rPr>
        <w:t>Our failure to engage in successful collaborations at any one of these stages would greatly impact our business. If we do not license enzyme targets or inhibitors from academic institutions or from other biotechnology companies on acceptable terms,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 connection with our clinical trials,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95" w:lineRule="exact"/>
        <w:rPr>
          <w:sz w:val="20"/>
          <w:szCs w:val="20"/>
          <w:color w:val="auto"/>
        </w:rPr>
      </w:pPr>
    </w:p>
    <w:p>
      <w:pPr>
        <w:ind w:right="60" w:firstLine="450"/>
        <w:spacing w:after="0" w:line="254" w:lineRule="auto"/>
        <w:rPr>
          <w:sz w:val="20"/>
          <w:szCs w:val="20"/>
          <w:color w:val="auto"/>
        </w:rPr>
      </w:pPr>
      <w:r>
        <w:rPr>
          <w:rFonts w:ascii="Arial" w:cs="Arial" w:eastAsia="Arial" w:hAnsi="Arial"/>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are realized, our business, financial condition and results of operations could be materially adversely affected.</w:t>
      </w:r>
    </w:p>
    <w:p>
      <w:pPr>
        <w:spacing w:after="0" w:line="192" w:lineRule="exact"/>
        <w:rPr>
          <w:sz w:val="20"/>
          <w:szCs w:val="20"/>
          <w:color w:val="auto"/>
        </w:rPr>
      </w:pPr>
    </w:p>
    <w:p>
      <w:pPr>
        <w:ind w:left="240" w:right="1180"/>
        <w:spacing w:after="0" w:line="277" w:lineRule="auto"/>
        <w:rPr>
          <w:sz w:val="20"/>
          <w:szCs w:val="20"/>
          <w:color w:val="auto"/>
        </w:rPr>
      </w:pPr>
      <w:r>
        <w:rPr>
          <w:rFonts w:ascii="Arial" w:cs="Arial" w:eastAsia="Arial" w:hAnsi="Arial"/>
          <w:sz w:val="18"/>
          <w:szCs w:val="18"/>
          <w:b w:val="1"/>
          <w:bCs w:val="1"/>
          <w:i w:val="1"/>
          <w:iCs w:val="1"/>
          <w:color w:val="auto"/>
        </w:rPr>
        <w:t>If we fail to obtain additional financing or acceptable partnership arrangements, we may be unable to complete the development and commercialization of our products and product candidates or continue operations.</w:t>
      </w:r>
    </w:p>
    <w:p>
      <w:pPr>
        <w:spacing w:after="0" w:line="170"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obtain regulatory approval for our product candidates, including BCX9930, BCX9250, and galidesivir; our ability to maintain regulatory approval for, successfully commercialize, and achieve market acceptance of our products, including ORLADEYO; our ability to raise additional capital; the amount of funding we receive from partnerships with third parties for the development and commercialization of our products and product candidates (including our collaborations with Torii, BARDA/HHS, and NIAID/HHS); the commercial success of our products achieved by our partners; the amount or profitability of any orders for peramivir or galidesivir by any government agency or other party; the progress and results of our current and proposed clinical trials for our product candidates; and the progress made in the manufacture of our lead products and the progression of our other programs.</w:t>
      </w:r>
    </w:p>
    <w:p>
      <w:pPr>
        <w:spacing w:after="0" w:line="165" w:lineRule="exact"/>
        <w:rPr>
          <w:sz w:val="20"/>
          <w:szCs w:val="20"/>
          <w:color w:val="auto"/>
        </w:rPr>
      </w:pPr>
    </w:p>
    <w:p>
      <w:pPr>
        <w:ind w:right="60" w:firstLine="450"/>
        <w:spacing w:after="0" w:line="288" w:lineRule="auto"/>
        <w:rPr>
          <w:sz w:val="20"/>
          <w:szCs w:val="20"/>
          <w:color w:val="auto"/>
        </w:rPr>
      </w:pPr>
      <w:r>
        <w:rPr>
          <w:rFonts w:ascii="Arial" w:cs="Arial" w:eastAsia="Arial" w:hAnsi="Arial"/>
          <w:sz w:val="16"/>
          <w:szCs w:val="16"/>
          <w:color w:val="auto"/>
        </w:rPr>
        <w:t>In order to continue future operations, progress our drug development programs, and commercialize our current products and product candidates, we will be required to raise additional capital. In addition to seeking strategic partnerships, transactions and government funding, we may access the equity or debt markets, incur additional borrowings, or seek other sources of funding to meet liquidity needs at any time. Additional funding, whether through additional sales of securities, additional borrowings, royalty or other monetization transactions, collaborative arrangements with partners, including corporate partners such as Torii and governmental agencies such as BARDA/HHS or NIAID/HHS, or from other sources, may not be available when needed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our Credit Agreement. In addition, collaborative arrangements may require us to transfer certain material rights to such corporate partners. Insufficient funds or lack of an acceptable partnership may require us to delay, scale-back or eliminate certain of our research and development programs.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right="40" w:firstLine="450"/>
        <w:spacing w:after="0" w:line="286" w:lineRule="auto"/>
        <w:rPr>
          <w:sz w:val="20"/>
          <w:szCs w:val="20"/>
          <w:color w:val="auto"/>
        </w:rPr>
      </w:pPr>
      <w:r>
        <w:rPr>
          <w:rFonts w:ascii="Arial" w:cs="Arial" w:eastAsia="Arial" w:hAnsi="Arial"/>
          <w:sz w:val="16"/>
          <w:szCs w:val="16"/>
          <w:color w:val="auto"/>
        </w:rPr>
        <w:t>Our ability to raise additional capital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and carcinogenicity, drug-drug interaction, toxicity, or other required studies) for BCX9250 for the treatment of FOP, BCX9930 for diseases of the complement system, our broad-spectrum antiviral program, including galidesivir, and other rare disease product candidates, as well as any post-approval studies for our products. In addition, constriction and volatility in the equity and debt markets, including as a result of the impacts of COVID-19, may restrict our future flexibility to raise capital when such needs arise. Furthermore, we have exposure to many different industries, financing partners and counterparties, including commercial banks, investment banks and partners (which include investors, licensing partners, and the U.S. Government), which may be unstable or may become unstable in the current economic and political environment, including as a result of the impacts of COVID-19.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could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71" w:lineRule="exact"/>
        <w:rPr>
          <w:sz w:val="20"/>
          <w:szCs w:val="20"/>
          <w:color w:val="auto"/>
        </w:rPr>
      </w:pPr>
    </w:p>
    <w:p>
      <w:pPr>
        <w:ind w:left="240" w:right="120"/>
        <w:spacing w:after="0" w:line="263" w:lineRule="auto"/>
        <w:rPr>
          <w:sz w:val="20"/>
          <w:szCs w:val="20"/>
          <w:color w:val="auto"/>
        </w:rPr>
      </w:pPr>
      <w:r>
        <w:rPr>
          <w:rFonts w:ascii="Arial" w:cs="Arial" w:eastAsia="Arial" w:hAnsi="Arial"/>
          <w:sz w:val="18"/>
          <w:szCs w:val="18"/>
          <w:b w:val="1"/>
          <w:bCs w:val="1"/>
          <w:i w:val="1"/>
          <w:iCs w:val="1"/>
          <w:color w:val="auto"/>
        </w:rPr>
        <w:t>If we or our partners do not obtain governmental approval for our product candidates or maintain governmental approval for our products, we or our partners will not be able to commercialize and sell these products and potential products, which would significantly harm our business because we will receive no revenue.</w:t>
      </w:r>
    </w:p>
    <w:p>
      <w:pPr>
        <w:spacing w:after="0" w:line="184"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We or our partners must obtain regulatory approval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87"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advance our products through the various stages of development, especially through the clinical trial process, and to receive regulatory approval for the commercial sale of our product candidates,” we or our partners may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spacing w:after="0" w:line="192" w:lineRule="exact"/>
        <w:rPr>
          <w:sz w:val="20"/>
          <w:szCs w:val="20"/>
          <w:color w:val="auto"/>
        </w:rPr>
      </w:pPr>
    </w:p>
    <w:p>
      <w:pPr>
        <w:ind w:right="360" w:firstLine="450"/>
        <w:spacing w:after="0" w:line="279" w:lineRule="auto"/>
        <w:rPr>
          <w:sz w:val="20"/>
          <w:szCs w:val="20"/>
          <w:color w:val="auto"/>
        </w:rPr>
      </w:pPr>
      <w:r>
        <w:rPr>
          <w:rFonts w:ascii="Arial" w:cs="Arial" w:eastAsia="Arial" w:hAnsi="Arial"/>
          <w:sz w:val="17"/>
          <w:szCs w:val="17"/>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If we receive approval to market our potential products, whether in the United States or internationally, we will continue to be subject to extensive regulatory requirements. These requirements are wide ranging and govern, among other things:</w:t>
      </w:r>
    </w:p>
    <w:p>
      <w:pPr>
        <w:spacing w:after="0" w:line="171"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drug experience reporting regulations;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promotion;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manufacturing, including good manufacturing practice requirements;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changes or modifications.</w:t>
      </w:r>
    </w:p>
    <w:p>
      <w:pPr>
        <w:spacing w:after="0" w:line="211" w:lineRule="exact"/>
        <w:rPr>
          <w:sz w:val="20"/>
          <w:szCs w:val="20"/>
          <w:color w:val="auto"/>
        </w:rPr>
      </w:pPr>
    </w:p>
    <w:p>
      <w:pPr>
        <w:ind w:right="240" w:firstLine="450"/>
        <w:spacing w:after="0" w:line="263" w:lineRule="auto"/>
        <w:rPr>
          <w:sz w:val="20"/>
          <w:szCs w:val="20"/>
          <w:color w:val="auto"/>
        </w:rPr>
      </w:pPr>
      <w:r>
        <w:rPr>
          <w:rFonts w:ascii="Arial" w:cs="Arial" w:eastAsia="Arial" w:hAnsi="Arial"/>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focus on rare diseases, which may create additional risks and challenges.</w:t>
      </w:r>
    </w:p>
    <w:p>
      <w:pPr>
        <w:spacing w:after="0" w:line="225" w:lineRule="exact"/>
        <w:rPr>
          <w:sz w:val="20"/>
          <w:szCs w:val="20"/>
          <w:color w:val="auto"/>
        </w:rPr>
      </w:pPr>
    </w:p>
    <w:p>
      <w:pPr>
        <w:ind w:right="100" w:firstLine="450"/>
        <w:spacing w:after="0" w:line="268" w:lineRule="auto"/>
        <w:rPr>
          <w:sz w:val="20"/>
          <w:szCs w:val="20"/>
          <w:color w:val="auto"/>
        </w:rPr>
      </w:pPr>
      <w:r>
        <w:rPr>
          <w:rFonts w:ascii="Arial" w:cs="Arial" w:eastAsia="Arial" w:hAnsi="Arial"/>
          <w:sz w:val="17"/>
          <w:szCs w:val="17"/>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For instance, although BCX9930 for PNH has received Fast Track and Orphan Drug designations from the FDA, we may not experience a faster development, review or approval process compared to the conventional process in the relevant jurisdictions. We may not be able to obtain or maintain these designations for BCX9930 or other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left="240"/>
        <w:spacing w:after="0" w:line="277" w:lineRule="auto"/>
        <w:rPr>
          <w:sz w:val="20"/>
          <w:szCs w:val="20"/>
          <w:color w:val="auto"/>
        </w:rPr>
      </w:pPr>
      <w:r>
        <w:rPr>
          <w:rFonts w:ascii="Arial" w:cs="Arial" w:eastAsia="Arial" w:hAnsi="Arial"/>
          <w:sz w:val="18"/>
          <w:szCs w:val="18"/>
          <w:b w:val="1"/>
          <w:bCs w:val="1"/>
          <w:i w:val="1"/>
          <w:iCs w:val="1"/>
          <w:color w:val="auto"/>
        </w:rPr>
        <w:t>The commercial viability of any approved product could be compromised if the product is less effective than expected, causes undesirable side effects that were not previously identified, or fails to achieve market acceptance within the medical community.</w:t>
      </w:r>
    </w:p>
    <w:p>
      <w:pPr>
        <w:spacing w:after="0" w:line="170"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If, after obtaining regulatory approval of a product, we or others discover that it is less effective than previously believed or causes undesirable side effects that were not previously identified, any of the following adverse events could occur:</w:t>
      </w:r>
    </w:p>
    <w:p>
      <w:pPr>
        <w:spacing w:after="0" w:line="170" w:lineRule="exact"/>
        <w:rPr>
          <w:sz w:val="20"/>
          <w:szCs w:val="20"/>
          <w:color w:val="auto"/>
        </w:rPr>
      </w:pPr>
    </w:p>
    <w:p>
      <w:pPr>
        <w:ind w:left="820" w:right="240" w:hanging="326"/>
        <w:spacing w:after="0" w:line="25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spacing w:after="0" w:line="1" w:lineRule="exact"/>
        <w:rPr>
          <w:rFonts w:ascii="Arial" w:cs="Arial" w:eastAsia="Arial" w:hAnsi="Arial"/>
          <w:sz w:val="18"/>
          <w:szCs w:val="18"/>
          <w:color w:val="auto"/>
        </w:rPr>
      </w:pPr>
    </w:p>
    <w:p>
      <w:pPr>
        <w:ind w:left="820" w:right="34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partners may be required to recall the product, change the way the product is administered, conduct additional clinical trials, or be subject to civil or criminal penalties; and</w:t>
      </w: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11" w:lineRule="exact"/>
        <w:rPr>
          <w:sz w:val="20"/>
          <w:szCs w:val="20"/>
          <w:color w:val="auto"/>
        </w:rPr>
      </w:pPr>
    </w:p>
    <w:p>
      <w:pPr>
        <w:ind w:right="60" w:firstLine="450"/>
        <w:spacing w:after="0" w:line="273" w:lineRule="auto"/>
        <w:rPr>
          <w:sz w:val="20"/>
          <w:szCs w:val="20"/>
          <w:color w:val="auto"/>
        </w:rPr>
      </w:pPr>
      <w:r>
        <w:rPr>
          <w:rFonts w:ascii="Arial" w:cs="Arial" w:eastAsia="Arial" w:hAnsi="Arial"/>
          <w:sz w:val="17"/>
          <w:szCs w:val="17"/>
          <w:color w:val="auto"/>
        </w:rPr>
        <w:t>Even after receiving regulatory approval, any product could fail to gain sufficient, or even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78" w:lineRule="exact"/>
        <w:rPr>
          <w:sz w:val="20"/>
          <w:szCs w:val="20"/>
          <w:color w:val="auto"/>
        </w:rPr>
      </w:pPr>
    </w:p>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84"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Our business strategy is to increase the asset value of our product and product candidate portfolio. We believe this is best achieved by retaining full product rights or through collaborative arrangements with third parties as appropriate. As needed, potential third-party relationships could include preclinical development, clinical development, regulatory approval, marketing, sales, and distribution of our products and product candidates.</w:t>
      </w:r>
    </w:p>
    <w:p>
      <w:pPr>
        <w:spacing w:after="0" w:line="149" w:lineRule="exact"/>
        <w:rPr>
          <w:sz w:val="20"/>
          <w:szCs w:val="20"/>
          <w:color w:val="auto"/>
        </w:rPr>
      </w:pPr>
    </w:p>
    <w:p>
      <w:pPr>
        <w:ind w:right="120" w:firstLine="450"/>
        <w:spacing w:after="0" w:line="259" w:lineRule="auto"/>
        <w:rPr>
          <w:sz w:val="20"/>
          <w:szCs w:val="20"/>
          <w:color w:val="auto"/>
        </w:rPr>
      </w:pPr>
      <w:r>
        <w:rPr>
          <w:rFonts w:ascii="Arial" w:cs="Arial" w:eastAsia="Arial" w:hAnsi="Arial"/>
          <w:sz w:val="18"/>
          <w:szCs w:val="18"/>
          <w:color w:val="auto"/>
        </w:rPr>
        <w:t>Currently, we have established collaborative relationships with Torii for the commercialization of ORLADEYO in Japan, with each of Shionogi and Green Cross for the development and commercialization of peramivir, and with Mundipharma for the development and commercialization of Mundesine (forodesine). The process of establishing and implementing collaborative relationships is difficult, time-consuming and involves significant uncertainty, including:</w:t>
      </w:r>
    </w:p>
    <w:p>
      <w:pPr>
        <w:spacing w:after="0" w:line="187" w:lineRule="exact"/>
        <w:rPr>
          <w:sz w:val="20"/>
          <w:szCs w:val="20"/>
          <w:color w:val="auto"/>
        </w:rPr>
      </w:pPr>
    </w:p>
    <w:p>
      <w:pPr>
        <w:ind w:left="1380" w:right="400" w:hanging="333"/>
        <w:spacing w:after="0" w:line="291" w:lineRule="auto"/>
        <w:tabs>
          <w:tab w:leader="none" w:pos="1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partners may seek to renegotiate or terminate their relationships with us due to unsatisfactory commercial, regulatory or clinical results, including post-approval clinical commitments, a change in business strategy, a change of control or other reasons;</w:t>
      </w:r>
    </w:p>
    <w:p>
      <w:pPr>
        <w:ind w:left="1380" w:hanging="333"/>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contracts for collaborative arrangements may expire;</w:t>
      </w:r>
    </w:p>
    <w:p>
      <w:pPr>
        <w:spacing w:after="0" w:line="9" w:lineRule="exact"/>
        <w:rPr>
          <w:rFonts w:ascii="Arial" w:cs="Arial" w:eastAsia="Arial" w:hAnsi="Arial"/>
          <w:sz w:val="18"/>
          <w:szCs w:val="18"/>
          <w:color w:val="auto"/>
        </w:rPr>
      </w:pPr>
    </w:p>
    <w:p>
      <w:pPr>
        <w:ind w:left="1380" w:right="240" w:hanging="333"/>
        <w:spacing w:after="0" w:line="250"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possibility that expiration or termination of collaborative relationships, such as those with certain of our distribution partners, may trigger repurchase obligations of the Company for unsold product held by our partner;</w:t>
      </w:r>
    </w:p>
    <w:p>
      <w:pPr>
        <w:ind w:left="1380" w:hanging="333"/>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partners may choose to pursue alternative technologies, including those of our competitors;</w:t>
      </w:r>
    </w:p>
    <w:p>
      <w:pPr>
        <w:spacing w:after="0" w:line="9" w:lineRule="exact"/>
        <w:rPr>
          <w:rFonts w:ascii="Arial" w:cs="Arial" w:eastAsia="Arial" w:hAnsi="Arial"/>
          <w:sz w:val="18"/>
          <w:szCs w:val="18"/>
          <w:color w:val="auto"/>
        </w:rPr>
      </w:pPr>
    </w:p>
    <w:p>
      <w:pPr>
        <w:ind w:left="1380" w:right="120" w:hanging="333"/>
        <w:spacing w:after="0" w:line="250"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disputes with a partner that could lead to litigation or arbitration, such as the recent arbitration proceeding between us and Seqirus UK Limited, which could result in substantial costs and divert the attention of our management;</w:t>
      </w:r>
    </w:p>
    <w:p>
      <w:pPr>
        <w:ind w:left="1380" w:hanging="333"/>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do not have day-to-day control over the activities of our partners and have limited control over their decisions;</w:t>
      </w:r>
    </w:p>
    <w:p>
      <w:pPr>
        <w:spacing w:after="0" w:line="9" w:lineRule="exact"/>
        <w:rPr>
          <w:rFonts w:ascii="Arial" w:cs="Arial" w:eastAsia="Arial" w:hAnsi="Arial"/>
          <w:sz w:val="18"/>
          <w:szCs w:val="18"/>
          <w:color w:val="auto"/>
        </w:rPr>
      </w:pPr>
    </w:p>
    <w:p>
      <w:pPr>
        <w:ind w:left="1380" w:right="140" w:hanging="333"/>
        <w:spacing w:after="0" w:line="250"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spacing w:after="0" w:line="1" w:lineRule="exact"/>
        <w:rPr>
          <w:rFonts w:ascii="Arial" w:cs="Arial" w:eastAsia="Arial" w:hAnsi="Arial"/>
          <w:sz w:val="18"/>
          <w:szCs w:val="18"/>
          <w:color w:val="auto"/>
        </w:rPr>
      </w:pPr>
    </w:p>
    <w:p>
      <w:pPr>
        <w:jc w:val="both"/>
        <w:ind w:left="1380" w:right="380" w:hanging="333"/>
        <w:spacing w:after="0" w:line="250"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Arial" w:cs="Arial" w:eastAsia="Arial" w:hAnsi="Arial"/>
          <w:sz w:val="18"/>
          <w:szCs w:val="18"/>
          <w:color w:val="auto"/>
        </w:rPr>
      </w:pPr>
    </w:p>
    <w:p>
      <w:pPr>
        <w:ind w:left="1380" w:hanging="333"/>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partners may not devote sufficient capital or resources toward our products and product candidates; and</w:t>
      </w:r>
    </w:p>
    <w:p>
      <w:pPr>
        <w:spacing w:after="0" w:line="9" w:lineRule="exact"/>
        <w:rPr>
          <w:rFonts w:ascii="Arial" w:cs="Arial" w:eastAsia="Arial" w:hAnsi="Arial"/>
          <w:sz w:val="18"/>
          <w:szCs w:val="18"/>
          <w:color w:val="auto"/>
        </w:rPr>
      </w:pPr>
    </w:p>
    <w:p>
      <w:pPr>
        <w:ind w:left="1380" w:hanging="333"/>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partners may not comply with applicable government regulatory requirements.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right="100" w:firstLine="486"/>
        <w:spacing w:after="0" w:line="291" w:lineRule="auto"/>
        <w:rPr>
          <w:sz w:val="20"/>
          <w:szCs w:val="20"/>
          <w:color w:val="auto"/>
        </w:rPr>
      </w:pPr>
      <w:r>
        <w:rPr>
          <w:rFonts w:ascii="Arial" w:cs="Arial" w:eastAsia="Arial" w:hAnsi="Arial"/>
          <w:sz w:val="16"/>
          <w:szCs w:val="16"/>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results of our partnership with Torii may not meet our current expectations.</w:t>
      </w:r>
    </w:p>
    <w:p>
      <w:pPr>
        <w:spacing w:after="0" w:line="225"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color w:val="auto"/>
        </w:rPr>
        <w:t>We have an agreement with Torii for the development and commercialization of ORLADEYO in Japan. We do not have a history of working with Torii and cannot predict the success of this collaboration.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spacing w:after="0" w:line="188" w:lineRule="exact"/>
        <w:rPr>
          <w:sz w:val="20"/>
          <w:szCs w:val="20"/>
          <w:color w:val="auto"/>
        </w:rPr>
      </w:pPr>
    </w:p>
    <w:p>
      <w:pPr>
        <w:ind w:right="100" w:firstLine="450"/>
        <w:spacing w:after="0" w:line="273" w:lineRule="auto"/>
        <w:rPr>
          <w:sz w:val="20"/>
          <w:szCs w:val="20"/>
          <w:color w:val="auto"/>
        </w:rPr>
      </w:pPr>
      <w:r>
        <w:rPr>
          <w:rFonts w:ascii="Arial" w:cs="Arial" w:eastAsia="Arial" w:hAnsi="Arial"/>
          <w:sz w:val="17"/>
          <w:szCs w:val="17"/>
          <w:color w:val="auto"/>
        </w:rPr>
        <w:t>The Torii Agreement provides that we will be entitled to receive tiered royalty payments, the amounts of which will depend upon the amount of annual net sales of ORLADEYO in Japan during each calendar year and other factors. We remain responsible for regulatory activities with respect to ORLADEYO in Japan for one year after the first commercial sale. We expect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spacing w:after="0" w:line="178" w:lineRule="exact"/>
        <w:rPr>
          <w:sz w:val="20"/>
          <w:szCs w:val="20"/>
          <w:color w:val="auto"/>
        </w:rPr>
      </w:pPr>
    </w:p>
    <w:p>
      <w:pPr>
        <w:jc w:val="both"/>
        <w:ind w:right="140" w:firstLine="450"/>
        <w:spacing w:after="0" w:line="311" w:lineRule="auto"/>
        <w:rPr>
          <w:sz w:val="20"/>
          <w:szCs w:val="20"/>
          <w:color w:val="auto"/>
        </w:rPr>
      </w:pPr>
      <w:r>
        <w:rPr>
          <w:rFonts w:ascii="Arial" w:cs="Arial" w:eastAsia="Arial" w:hAnsi="Arial"/>
          <w:sz w:val="16"/>
          <w:szCs w:val="16"/>
          <w:color w:val="auto"/>
        </w:rPr>
        <w:t>Torii may terminate the Torii Agreement under certain limited circumstances, including upon one year’s written notice after the sixth anniversary of the first commercial sale of ORLADEYO in Japan. If the Torii Agreement is terminated in connection with these provisions, we will no longer be entitled to receive any milestone or royalty payments thereunder, which could have a material adverse impact on our business and results of operations.</w:t>
      </w:r>
    </w:p>
    <w:p>
      <w:pPr>
        <w:spacing w:after="0" w:line="149" w:lineRule="exact"/>
        <w:rPr>
          <w:sz w:val="20"/>
          <w:szCs w:val="20"/>
          <w:color w:val="auto"/>
        </w:rPr>
      </w:pPr>
    </w:p>
    <w:p>
      <w:pPr>
        <w:jc w:val="both"/>
        <w:ind w:right="120" w:firstLine="450"/>
        <w:spacing w:after="0" w:line="275" w:lineRule="auto"/>
        <w:rPr>
          <w:sz w:val="20"/>
          <w:szCs w:val="20"/>
          <w:color w:val="auto"/>
        </w:rPr>
      </w:pPr>
      <w:r>
        <w:rPr>
          <w:rFonts w:ascii="Arial" w:cs="Arial" w:eastAsia="Arial" w:hAnsi="Arial"/>
          <w:sz w:val="17"/>
          <w:szCs w:val="17"/>
          <w:color w:val="auto"/>
        </w:rPr>
        <w:t>Torii will have sole control over and decision-making authority with respect to commercialization activities for ORLADEYO for the prevention of HAE attacks in Japan, subject to oversight from a joint steering committee. Therefore, our receipt of, and the amounts of, any royalty payments under the Torii Agreement are dependent upon Torii’s successful 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would be entitled to receive under the Torii Agreement.</w:t>
      </w:r>
    </w:p>
    <w:p>
      <w:pPr>
        <w:spacing w:after="0" w:line="176" w:lineRule="exact"/>
        <w:rPr>
          <w:sz w:val="20"/>
          <w:szCs w:val="20"/>
          <w:color w:val="auto"/>
        </w:rPr>
      </w:pPr>
    </w:p>
    <w:p>
      <w:pPr>
        <w:jc w:val="both"/>
        <w:ind w:right="140" w:firstLine="450"/>
        <w:spacing w:after="0" w:line="259" w:lineRule="auto"/>
        <w:rPr>
          <w:sz w:val="20"/>
          <w:szCs w:val="20"/>
          <w:color w:val="auto"/>
        </w:rPr>
      </w:pPr>
      <w:r>
        <w:rPr>
          <w:rFonts w:ascii="Arial" w:cs="Arial" w:eastAsia="Arial" w:hAnsi="Arial"/>
          <w:sz w:val="18"/>
          <w:szCs w:val="18"/>
          <w:color w:val="auto"/>
        </w:rPr>
        <w:t>Under the Torii Agreement, we will be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spacing w:after="0" w:line="187" w:lineRule="exact"/>
        <w:rPr>
          <w:sz w:val="20"/>
          <w:szCs w:val="20"/>
          <w:color w:val="auto"/>
        </w:rPr>
      </w:pPr>
    </w:p>
    <w:p>
      <w:pPr>
        <w:ind w:firstLine="450"/>
        <w:spacing w:after="0" w:line="308" w:lineRule="auto"/>
        <w:rPr>
          <w:sz w:val="20"/>
          <w:szCs w:val="20"/>
          <w:color w:val="auto"/>
        </w:rPr>
      </w:pPr>
      <w:r>
        <w:rPr>
          <w:rFonts w:ascii="Arial" w:cs="Arial" w:eastAsia="Arial" w:hAnsi="Arial"/>
          <w:sz w:val="17"/>
          <w:szCs w:val="17"/>
          <w:color w:val="auto"/>
        </w:rPr>
        <w:t>Any of the foregoing risks could materially adversely impact our ability to perform our obligations under the Torii Agreement, which could materially reduce the economic benefits of the Torii Agreement to us and impair or result in the termination of our collaboration with Torii.</w:t>
      </w:r>
    </w:p>
    <w:p>
      <w:pPr>
        <w:spacing w:after="0" w:line="146"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commercialization efforts, methods, and strategies for our products or technologies will succeed, and our future revenue generation is uncertain.</w:t>
      </w:r>
    </w:p>
    <w:p>
      <w:pPr>
        <w:spacing w:after="0" w:line="170"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There can be no assurance that our and our partners’ commercialization efforts, methods and strategies will succeed. Although we have expanded and added experienced professionals to our internal commercial team, as a company we do not have a great deal of experience in commercializing our products or technologies. In addition,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88" w:lineRule="exact"/>
        <w:rPr>
          <w:sz w:val="20"/>
          <w:szCs w:val="20"/>
          <w:color w:val="auto"/>
        </w:rPr>
      </w:pPr>
    </w:p>
    <w:p>
      <w:pPr>
        <w:ind w:left="1380" w:right="80" w:hanging="333"/>
        <w:spacing w:after="0" w:line="258"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partners may fail to successfully complete clinical trials, or satisfy post-marketing commitments, sufficient to obtain and keep regulatory agency marketing approval;</w:t>
      </w:r>
    </w:p>
    <w:p>
      <w:pPr>
        <w:spacing w:after="0" w:line="1" w:lineRule="exact"/>
        <w:rPr>
          <w:rFonts w:ascii="Arial" w:cs="Arial" w:eastAsia="Arial" w:hAnsi="Arial"/>
          <w:sz w:val="18"/>
          <w:szCs w:val="18"/>
          <w:color w:val="auto"/>
        </w:rPr>
      </w:pPr>
    </w:p>
    <w:p>
      <w:pPr>
        <w:ind w:left="1380" w:right="20" w:hanging="333"/>
        <w:spacing w:after="0" w:line="250"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1380" w:right="40" w:hanging="333"/>
        <w:spacing w:after="0" w:line="250"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intellectual property strategy, which could result in decreased commercial value of our Company and our products and product candidates, or royalties associated with such products (e.g., the loss of the peramivir patent in Korea, which may result in a reduced royalty from Green Cross);</w:t>
      </w:r>
    </w:p>
    <w:p>
      <w:pPr>
        <w:spacing w:after="0" w:line="1" w:lineRule="exact"/>
        <w:rPr>
          <w:rFonts w:ascii="Arial" w:cs="Arial" w:eastAsia="Arial" w:hAnsi="Arial"/>
          <w:sz w:val="18"/>
          <w:szCs w:val="18"/>
          <w:color w:val="auto"/>
        </w:rPr>
      </w:pPr>
    </w:p>
    <w:p>
      <w:pPr>
        <w:ind w:left="1380" w:right="180" w:hanging="333"/>
        <w:spacing w:after="0" w:line="260"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regulatory strategy, which could result in a delay or failure in commercialization of our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left="1380" w:right="100" w:hanging="333"/>
        <w:spacing w:after="0" w:line="258"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and our partners’ ability to successfully commercialize our products is affected by the competitive landscape, which cannot be fully known at this time;</w:t>
      </w:r>
    </w:p>
    <w:p>
      <w:pPr>
        <w:spacing w:after="0" w:line="1" w:lineRule="exact"/>
        <w:rPr>
          <w:rFonts w:ascii="Arial" w:cs="Arial" w:eastAsia="Arial" w:hAnsi="Arial"/>
          <w:sz w:val="18"/>
          <w:szCs w:val="18"/>
          <w:color w:val="auto"/>
        </w:rPr>
      </w:pPr>
    </w:p>
    <w:p>
      <w:pPr>
        <w:ind w:left="1380" w:hanging="333"/>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from product sales would depend on our ability to obtain and maintain favorable pricing;</w:t>
      </w:r>
    </w:p>
    <w:p>
      <w:pPr>
        <w:spacing w:after="0" w:line="9" w:lineRule="exact"/>
        <w:rPr>
          <w:rFonts w:ascii="Arial" w:cs="Arial" w:eastAsia="Arial" w:hAnsi="Arial"/>
          <w:sz w:val="18"/>
          <w:szCs w:val="18"/>
          <w:color w:val="auto"/>
        </w:rPr>
      </w:pPr>
    </w:p>
    <w:p>
      <w:pPr>
        <w:ind w:left="1380" w:hanging="333"/>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reimbursement is constantly changing, which could greatly affect usage of our products;</w:t>
      </w:r>
    </w:p>
    <w:p>
      <w:pPr>
        <w:spacing w:after="0" w:line="9" w:lineRule="exact"/>
        <w:rPr>
          <w:rFonts w:ascii="Arial" w:cs="Arial" w:eastAsia="Arial" w:hAnsi="Arial"/>
          <w:sz w:val="18"/>
          <w:szCs w:val="18"/>
          <w:color w:val="auto"/>
        </w:rPr>
      </w:pPr>
    </w:p>
    <w:p>
      <w:pPr>
        <w:ind w:left="1380" w:hanging="333"/>
        <w:spacing w:after="0" w:line="250"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revenue from product sales would depend on our ability to successfully complete clinical studies, obtain regulatory approvals, and manufacture, market, distribute and commercialize our approved drugs; and</w:t>
      </w:r>
    </w:p>
    <w:p>
      <w:pPr>
        <w:ind w:left="1380" w:hanging="333"/>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us or our partners.</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future revenue from sales of ORLADEYO is subject to uncertainties and will depend on several factors, including the success of our and our partners’ commercialization efforts in the U.S. and elsewhere, the number of new patients switching to ORLADEYO, patient retention and demand, the number of physicians prescribing ORLADEYO, the rate of monthly prescriptions, reimbursement from third-party payors, the conversion of patients from our clinical trials and early access programs to commercial customers, and market trends.</w:t>
      </w:r>
    </w:p>
    <w:p>
      <w:pPr>
        <w:spacing w:after="0" w:line="187"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ORLADEYO and BCX9930 revenues under the Royalty Purchase Agreement may reduce the profitability of such products.</w:t>
      </w:r>
    </w:p>
    <w:p>
      <w:pPr>
        <w:spacing w:after="0" w:line="184" w:lineRule="exact"/>
        <w:rPr>
          <w:sz w:val="20"/>
          <w:szCs w:val="20"/>
          <w:color w:val="auto"/>
        </w:rPr>
      </w:pPr>
    </w:p>
    <w:p>
      <w:pPr>
        <w:ind w:left="240" w:right="100"/>
        <w:spacing w:after="0" w:line="308" w:lineRule="auto"/>
        <w:rPr>
          <w:sz w:val="20"/>
          <w:szCs w:val="20"/>
          <w:color w:val="auto"/>
        </w:rPr>
      </w:pPr>
      <w:r>
        <w:rPr>
          <w:rFonts w:ascii="Arial" w:cs="Arial" w:eastAsia="Arial" w:hAnsi="Arial"/>
          <w:sz w:val="17"/>
          <w:szCs w:val="17"/>
          <w:b w:val="1"/>
          <w:bCs w:val="1"/>
          <w:i w:val="1"/>
          <w:iCs w:val="1"/>
          <w:color w:val="auto"/>
        </w:rPr>
        <w:t>We expect to continue expanding our development and regulatory capabilities and implementing sales, marketing and distribution capabilities, and as a result, we may encounter difficulties in managing our growth, which could disrupt our operations.</w:t>
      </w:r>
    </w:p>
    <w:p>
      <w:pPr>
        <w:spacing w:after="0" w:line="146" w:lineRule="exact"/>
        <w:rPr>
          <w:sz w:val="20"/>
          <w:szCs w:val="20"/>
          <w:color w:val="auto"/>
        </w:rPr>
      </w:pPr>
    </w:p>
    <w:p>
      <w:pPr>
        <w:ind w:right="40" w:firstLine="450"/>
        <w:spacing w:after="0" w:line="253" w:lineRule="auto"/>
        <w:rPr>
          <w:sz w:val="20"/>
          <w:szCs w:val="20"/>
          <w:color w:val="auto"/>
        </w:rPr>
      </w:pPr>
      <w:r>
        <w:rPr>
          <w:rFonts w:ascii="Arial" w:cs="Arial" w:eastAsia="Arial" w:hAnsi="Arial"/>
          <w:sz w:val="18"/>
          <w:szCs w:val="18"/>
          <w:color w:val="auto"/>
        </w:rPr>
        <w:t>We expect to continue experiencing significant growth in the number of our employees and the scope of our operations, particularly in the areas of drug development, regulatory affairs, sales, marketing, and distribution. To manage our anticipated future growth, we must continue to implement and improve our managerial, operational and financial systems, expand our facilities and continue to recruit and train additional qualified personnel. For example, we expanded our internal commercial team in 2020 in preparation for the commercial launch of ORLADEYO.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194" w:lineRule="exact"/>
        <w:rPr>
          <w:sz w:val="20"/>
          <w:szCs w:val="20"/>
          <w:color w:val="auto"/>
        </w:rPr>
      </w:pPr>
    </w:p>
    <w:p>
      <w:pPr>
        <w:ind w:left="240"/>
        <w:spacing w:after="0" w:line="340" w:lineRule="auto"/>
        <w:rPr>
          <w:sz w:val="20"/>
          <w:szCs w:val="20"/>
          <w:color w:val="auto"/>
        </w:rPr>
      </w:pPr>
      <w:r>
        <w:rPr>
          <w:rFonts w:ascii="Arial" w:cs="Arial" w:eastAsia="Arial" w:hAnsi="Arial"/>
          <w:sz w:val="15"/>
          <w:szCs w:val="15"/>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31"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We depend on third-party vendors, including third-party manufacturers, distributors, and specialty pharmacies, in the manufacture and distribution of our products, product candidates, and the materials for our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which may be the only vendor we have engaged for a particular product or service or in a particular region, may encounter difficulties with meeting our requirements, including but not limited to problems involving, as applicable:</w:t>
      </w:r>
    </w:p>
    <w:p>
      <w:pPr>
        <w:spacing w:after="0" w:line="16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insufficient resources being devoted in the manner necessary to satisfy our requirements within expected timeframes;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inconsistent production yields;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claims or recalls of commercial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scaling production to commercial and validation sizes;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the delivery of materials required for the manufacturing process;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distribute commercial supplies of our products to commercial vendors or end users in a timely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scheduling of plant time with other vendors or unexpected equipment failure;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catastrophes that could strike their facilities or have an effect on infrastructure;</w:t>
      </w:r>
    </w:p>
    <w:p>
      <w:pPr>
        <w:spacing w:after="0" w:line="9" w:lineRule="exact"/>
        <w:rPr>
          <w:rFonts w:ascii="Arial" w:cs="Arial" w:eastAsia="Arial" w:hAnsi="Arial"/>
          <w:sz w:val="18"/>
          <w:szCs w:val="18"/>
          <w:color w:val="auto"/>
        </w:rPr>
      </w:pPr>
    </w:p>
    <w:p>
      <w:pPr>
        <w:ind w:left="980" w:right="134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impurities in our drug substance or products that could affect availability of product for our clinical trials or future commercialization;</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quality control and assurance or inadequate process controls;</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provide us with accurate or timely information regarding inventories, the number of patients who are using our products, or serious adverse events and/or product complaints regarding our products;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of third parties to satisfy their financial obligations to us or to others;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breach of the manufacturing or distribution agreement by the third party;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termination or nonrenewal of a critical agreement by the third party at a time that is costly or inconvenient to us; and</w:t>
      </w:r>
    </w:p>
    <w:p>
      <w:pPr>
        <w:spacing w:after="0" w:line="9" w:lineRule="exact"/>
        <w:rPr>
          <w:rFonts w:ascii="Arial" w:cs="Arial" w:eastAsia="Arial" w:hAnsi="Arial"/>
          <w:sz w:val="18"/>
          <w:szCs w:val="18"/>
          <w:color w:val="auto"/>
        </w:rPr>
      </w:pPr>
    </w:p>
    <w:p>
      <w:pPr>
        <w:ind w:left="980" w:right="60" w:hanging="324"/>
        <w:spacing w:after="0" w:line="32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lack of compliance or cooperation with regulations and specifications or requests set forth by the FDA or other foreign regulatory agencies or local customs, particularly associated with ORLADEYO, BCX9930, BCX9250, galidesivir, peramivir and our early-stage compounds.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5" w:name="page46"/>
    <w:bookmarkEnd w:id="45"/>
    <w:p>
      <w:pPr>
        <w:ind w:firstLine="450"/>
        <w:spacing w:after="0" w:line="291" w:lineRule="auto"/>
        <w:rPr>
          <w:sz w:val="20"/>
          <w:szCs w:val="20"/>
          <w:color w:val="auto"/>
        </w:rPr>
      </w:pPr>
      <w:r>
        <w:rPr>
          <w:rFonts w:ascii="Arial" w:cs="Arial" w:eastAsia="Arial" w:hAnsi="Arial"/>
          <w:sz w:val="16"/>
          <w:szCs w:val="16"/>
          <w:color w:val="auto"/>
        </w:rPr>
        <w:t>Many additional factors could cause production or distribution interruptions with the manufacture and distribution of any of our products and product candidates, including human error, natural disasters, pandemics, labor disputes, acts of terrorism or war, equipment malfunctions, or raw material shortages. If our commercial distribution partners are not able to satisfy our requirements within the expected timeframe, or are unable to provide us with accurate or timely information and data, including inventories and sales, serious adverse events, and/or product complaints, our business, including our commercial launch and sales of ORLADEYO may be at risk. In addition, if specialty pharmacy services, including our third-party call center services, which provide patient support and financial services, prescription intake and distribution, reimbursement adjudication, and ongoing compliance support is not effectively managed, the continuance of our commercial launch and sales of ORLADEYO may be delayed or compromised.</w:t>
      </w:r>
    </w:p>
    <w:p>
      <w:pPr>
        <w:spacing w:after="0" w:line="166"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To date, our third-party manufacturers have met our manufacturing requirements, but they may not continue to do so. Furthermore, changes in the manufacturing process or procedure,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168"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If we are unable to maintain current third-party relationships, or enter into new agreements with additional third parties on commercially reasonable terms,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49" w:lineRule="exact"/>
        <w:rPr>
          <w:sz w:val="20"/>
          <w:szCs w:val="20"/>
          <w:color w:val="auto"/>
        </w:rPr>
      </w:pPr>
    </w:p>
    <w:p>
      <w:pPr>
        <w:jc w:val="both"/>
        <w:ind w:left="240" w:right="520"/>
        <w:spacing w:after="0" w:line="263" w:lineRule="auto"/>
        <w:rPr>
          <w:sz w:val="20"/>
          <w:szCs w:val="20"/>
          <w:color w:val="auto"/>
        </w:rPr>
      </w:pPr>
      <w:r>
        <w:rPr>
          <w:rFonts w:ascii="Arial" w:cs="Arial" w:eastAsia="Arial" w:hAnsi="Arial"/>
          <w:sz w:val="18"/>
          <w:szCs w:val="18"/>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184" w:lineRule="exact"/>
        <w:rPr>
          <w:sz w:val="20"/>
          <w:szCs w:val="20"/>
          <w:color w:val="auto"/>
        </w:rPr>
      </w:pPr>
    </w:p>
    <w:p>
      <w:pPr>
        <w:jc w:val="both"/>
        <w:ind w:right="220" w:firstLine="450"/>
        <w:spacing w:after="0" w:line="263" w:lineRule="auto"/>
        <w:rPr>
          <w:sz w:val="20"/>
          <w:szCs w:val="20"/>
          <w:color w:val="auto"/>
        </w:rPr>
      </w:pPr>
      <w:r>
        <w:rPr>
          <w:rFonts w:ascii="Arial" w:cs="Arial" w:eastAsia="Arial" w:hAnsi="Arial"/>
          <w:sz w:val="18"/>
          <w:szCs w:val="18"/>
          <w:color w:val="auto"/>
        </w:rPr>
        <w:t>Commercialization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84" w:lineRule="exact"/>
        <w:rPr>
          <w:sz w:val="20"/>
          <w:szCs w:val="20"/>
          <w:color w:val="auto"/>
        </w:rPr>
      </w:pPr>
    </w:p>
    <w:p>
      <w:pPr>
        <w:ind w:left="980" w:right="520" w:hanging="324"/>
        <w:spacing w:after="0" w:line="25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products may not prove to be adequately safe and effective for market approval in markets other than the markets in which they are currently approved;</w:t>
      </w:r>
    </w:p>
    <w:p>
      <w:pPr>
        <w:spacing w:after="0" w:line="1" w:lineRule="exact"/>
        <w:rPr>
          <w:rFonts w:ascii="Arial" w:cs="Arial" w:eastAsia="Arial" w:hAnsi="Arial"/>
          <w:sz w:val="18"/>
          <w:szCs w:val="18"/>
          <w:color w:val="auto"/>
        </w:rPr>
      </w:pPr>
    </w:p>
    <w:p>
      <w:pPr>
        <w:ind w:left="980" w:right="68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necessary funding for post-marketing commitments and further development of our products may not be available timely, at all, or in sufficient amounts;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advances in competing products could substantially replace potential demand for our products;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 and third-party payors may not provide sufficient coverage or reimbursement, which would negatively impact the demand for our products;</w:t>
      </w:r>
    </w:p>
    <w:p>
      <w:pPr>
        <w:ind w:left="980" w:right="38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ind w:left="980" w:right="120" w:hanging="324"/>
        <w:spacing w:after="0" w:line="265"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effectiveness of marketing and commercialization efforts for our products by us or our partners;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satisfaction with existing alternative therapies;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efficacy relative to other available therapies;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disease prevalence;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of treatment;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and availability of alternative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marketing and sales activities of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shifts in the medical community to new treatment paradigms or standards of care;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Risks Relating to Competing in Our Industry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intense competition, and if we are unable to compete effectively, the demand for our products may be reduced.</w:t>
      </w:r>
    </w:p>
    <w:p>
      <w:pPr>
        <w:spacing w:after="0" w:line="225"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or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79"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drug development technologies;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methods of preventing or reducing the incidence of disease, including vaccines;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small molecule or other classes of therapeutic agents.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Developments by others may render our products, product candidates, or technologies obsolete or noncompetitive.</w:t>
      </w:r>
    </w:p>
    <w:p>
      <w:pPr>
        <w:spacing w:after="0" w:line="225" w:lineRule="exact"/>
        <w:rPr>
          <w:sz w:val="20"/>
          <w:szCs w:val="20"/>
          <w:color w:val="auto"/>
        </w:rPr>
      </w:pPr>
    </w:p>
    <w:p>
      <w:pPr>
        <w:ind w:right="100" w:firstLine="450"/>
        <w:spacing w:after="0" w:line="256" w:lineRule="auto"/>
        <w:rPr>
          <w:sz w:val="20"/>
          <w:szCs w:val="20"/>
          <w:color w:val="auto"/>
        </w:rPr>
      </w:pPr>
      <w:r>
        <w:rPr>
          <w:rFonts w:ascii="Arial" w:cs="Arial" w:eastAsia="Arial" w:hAnsi="Arial"/>
          <w:sz w:val="17"/>
          <w:szCs w:val="17"/>
          <w:color w:val="auto"/>
        </w:rPr>
        <w:t>We received FDA approval of ORLADEYO, an oral, once-daily therapy for the prevention of HAE, in December 2020. We subsequently received regulatory approvals for ORLADEYO in Japan and the European Union in January 2021 and April 2021, respectively. In addition, we are performing research on or developing products for the treatment of several other rare diseases, including diseases of the complement system and FOP, as well as developing broad spectrum antivirals for use as medical countermeasures.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There are licensed therapies for HAE (including Berinert®, Haegarda®, Cinryze®, Kalbitor®, Takhzyro®, Firazyr® (icatibant), generic icatibant, and Ruconest®), therapies for certain complement-mediated diseases such as PNH, aHUS, myasthenia gravis, and neuromyelitis optica spectrum disorder (Soliris® and Ultomiris</w:t>
      </w:r>
      <w:r>
        <w:rPr>
          <w:rFonts w:ascii="Arial" w:cs="Arial" w:eastAsia="Arial" w:hAnsi="Arial"/>
          <w:sz w:val="28"/>
          <w:szCs w:val="28"/>
          <w:color w:val="auto"/>
          <w:vertAlign w:val="superscript"/>
        </w:rPr>
        <w:t>TM</w:t>
      </w:r>
      <w:r>
        <w:rPr>
          <w:rFonts w:ascii="Arial" w:cs="Arial" w:eastAsia="Arial" w:hAnsi="Arial"/>
          <w:sz w:val="17"/>
          <w:szCs w:val="17"/>
          <w:color w:val="auto"/>
        </w:rPr>
        <w:t>), products for the prevention or treatment of influenza (seasonal flu vaccines, Tamiflu® (oseltamivir), generic oseltamivir, Relenza®, and Inavir®, favipiravir, and Xofluza™), and a number of additional products in clinical development in these therapeutic areas and for the treatment of FOP. In addition, various government entities throughout the world may offer incentives, grants and contracts to encourage additional investment into preventative and therapeutic agents against viruses such as influenza, coronavirus, Ebola, and others, which may have the effect of further increasing the number of our competitors and/or providing advantages to certain competitors. See “Business—Competition” in Part I, Item 1 of our most recent Annual Report on Form 10-K for further discussion of our competitors, competitive products or programs, and the competitive conditions in these and other therapeutic areas.</w:t>
      </w:r>
    </w:p>
    <w:p>
      <w:pPr>
        <w:spacing w:after="0" w:line="193"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If one or more of our competitors’ products or programs, including potential competitors not currently identified, are successful, the market for our products may be reduced or eliminated.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Compared to us, many of our competitors and potential competitors have substantially greater:</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preclinical study and clinical testing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marketing, and sales experience;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facilities.</w:t>
      </w:r>
    </w:p>
    <w:p>
      <w:pPr>
        <w:spacing w:after="0" w:line="211" w:lineRule="exact"/>
        <w:rPr>
          <w:sz w:val="20"/>
          <w:szCs w:val="20"/>
          <w:color w:val="auto"/>
        </w:rPr>
      </w:pPr>
    </w:p>
    <w:p>
      <w:pPr>
        <w:ind w:firstLine="234"/>
        <w:spacing w:after="0" w:line="277" w:lineRule="auto"/>
        <w:rPr>
          <w:sz w:val="20"/>
          <w:szCs w:val="20"/>
          <w:color w:val="auto"/>
        </w:rPr>
      </w:pPr>
      <w:r>
        <w:rPr>
          <w:rFonts w:ascii="Arial" w:cs="Arial" w:eastAsia="Arial" w:hAnsi="Arial"/>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and Regulatory Risks</w:t>
      </w:r>
    </w:p>
    <w:p>
      <w:pPr>
        <w:spacing w:after="0" w:line="225"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70"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Our or our partners’ activities related to approved products or, following their regulatory approval, any of our product candidates under development, such as BCX9930, BCX9250, and galidesivir, are subject to regulatory and law enforcement authorities in the United States (including the FDA, the Federal Trade Commission, the Department of Justice, and state and local governments) and their foreign equivalents (including the EMA, MHLW, MHRA, and others).</w:t>
      </w:r>
    </w:p>
    <w:p>
      <w:pPr>
        <w:spacing w:after="0" w:line="187" w:lineRule="exact"/>
        <w:rPr>
          <w:sz w:val="20"/>
          <w:szCs w:val="20"/>
          <w:color w:val="auto"/>
        </w:rPr>
      </w:pPr>
    </w:p>
    <w:p>
      <w:pPr>
        <w:ind w:right="40" w:firstLine="450"/>
        <w:spacing w:after="0" w:line="293" w:lineRule="auto"/>
        <w:rPr>
          <w:sz w:val="20"/>
          <w:szCs w:val="20"/>
          <w:color w:val="auto"/>
        </w:rPr>
      </w:pPr>
      <w:r>
        <w:rPr>
          <w:rFonts w:ascii="Arial" w:cs="Arial" w:eastAsia="Arial" w:hAnsi="Arial"/>
          <w:sz w:val="16"/>
          <w:szCs w:val="16"/>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6" w:gutter="0" w:footer="0" w:header="0"/>
        </w:sectPr>
      </w:pPr>
    </w:p>
    <w:bookmarkStart w:id="47" w:name="page48"/>
    <w:bookmarkEnd w:id="47"/>
    <w:p>
      <w:pPr>
        <w:ind w:firstLine="450"/>
        <w:spacing w:after="0" w:line="285" w:lineRule="auto"/>
        <w:rPr>
          <w:sz w:val="20"/>
          <w:szCs w:val="20"/>
          <w:color w:val="auto"/>
        </w:rPr>
      </w:pPr>
      <w:r>
        <w:rPr>
          <w:rFonts w:ascii="Arial" w:cs="Arial" w:eastAsia="Arial" w:hAnsi="Arial"/>
          <w:sz w:val="16"/>
          <w:szCs w:val="16"/>
          <w:color w:val="auto"/>
        </w:rPr>
        <w:t>In addition, we are subject to the federal physician sunshine act and certain similar physician payment and drug pricing transparency legislation in various states. We are also subject to various federal and state laws pertaining to health care “fraud and abuse,” including both federal and state anti-kickback and false claims laws. Outside of the United States, we may be subject to analogous foreign laws and regulations in the various jurisdictions in which we operate. These laws and regulations apply to our or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 Although we seek to comply with these statutes, it is possible that our practices, or those of our partners, might be challenged under health 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76"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77" w:lineRule="exact"/>
        <w:rPr>
          <w:sz w:val="20"/>
          <w:szCs w:val="20"/>
          <w:color w:val="auto"/>
        </w:rPr>
      </w:pPr>
    </w:p>
    <w:p>
      <w:pPr>
        <w:ind w:right="60" w:firstLine="450"/>
        <w:spacing w:after="0" w:line="253" w:lineRule="auto"/>
        <w:rPr>
          <w:sz w:val="20"/>
          <w:szCs w:val="20"/>
          <w:color w:val="auto"/>
        </w:rPr>
      </w:pPr>
      <w:r>
        <w:rPr>
          <w:rFonts w:ascii="Arial" w:cs="Arial" w:eastAsia="Arial" w:hAnsi="Arial"/>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For example, as a condition of the approval of RAPIVAB, we were required to complete pediatric patient trials and to submit the final results of these clinical trials to the FDA and EMA. We may be subject to penalties if we fail to comply with post-approval legal and regulatory requirements,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its safety or efficacy.</w:t>
      </w:r>
    </w:p>
    <w:p>
      <w:pPr>
        <w:spacing w:after="0" w:line="196"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Advertising and promotion are subject to stringent FDA rules and oversight, and as an NDA-holder,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are also required to engage in appropriate truthful, non-misleading, and non-promotional scientific exchange concerning our products, and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spacing w:after="0" w:line="177" w:lineRule="exact"/>
        <w:rPr>
          <w:sz w:val="20"/>
          <w:szCs w:val="20"/>
          <w:color w:val="auto"/>
        </w:rPr>
      </w:pPr>
    </w:p>
    <w:p>
      <w:pPr>
        <w:ind w:right="40" w:firstLine="450"/>
        <w:spacing w:after="0" w:line="293" w:lineRule="auto"/>
        <w:rPr>
          <w:sz w:val="20"/>
          <w:szCs w:val="20"/>
          <w:color w:val="auto"/>
        </w:rPr>
      </w:pPr>
      <w:r>
        <w:rPr>
          <w:rFonts w:ascii="Arial" w:cs="Arial" w:eastAsia="Arial" w:hAnsi="Arial"/>
          <w:sz w:val="16"/>
          <w:szCs w:val="16"/>
          <w:color w:val="auto"/>
        </w:rPr>
        <w:t>Adverse event information concerning approved products must be reviewed, and as an NDA-holder,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other divisions of the U.S. Department of Health and Human Services, the U.S. Department of Justice and individual U.S. Attorney offices within the Department of Justice, state and local governments, and foreign equivalents of the foregoing. All of these activities are also potentially subject to healthcare false claims and fraud and abuse laws, as well as consumer protection and unfair competition laws.</w:t>
      </w:r>
    </w:p>
    <w:p>
      <w:pPr>
        <w:spacing w:after="0" w:line="164" w:lineRule="exact"/>
        <w:rPr>
          <w:sz w:val="20"/>
          <w:szCs w:val="20"/>
          <w:color w:val="auto"/>
        </w:rPr>
      </w:pPr>
    </w:p>
    <w:p>
      <w:pPr>
        <w:ind w:right="140" w:firstLine="450"/>
        <w:spacing w:after="0" w:line="291" w:lineRule="auto"/>
        <w:rPr>
          <w:sz w:val="20"/>
          <w:szCs w:val="20"/>
          <w:color w:val="auto"/>
        </w:rPr>
      </w:pPr>
      <w:r>
        <w:rPr>
          <w:rFonts w:ascii="Arial" w:cs="Arial" w:eastAsia="Arial" w:hAnsi="Arial"/>
          <w:sz w:val="16"/>
          <w:szCs w:val="16"/>
          <w:color w:val="auto"/>
        </w:rPr>
        <w:t>If our operations with respect to our products that are subject to healthcare laws and regulations are found to be in violation of any of the healthcare fraud and abuse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left="240" w:right="280"/>
        <w:spacing w:after="0" w:line="277" w:lineRule="auto"/>
        <w:rPr>
          <w:sz w:val="20"/>
          <w:szCs w:val="20"/>
          <w:color w:val="auto"/>
        </w:rPr>
      </w:pPr>
      <w:r>
        <w:rPr>
          <w:rFonts w:ascii="Arial" w:cs="Arial" w:eastAsia="Arial" w:hAnsi="Arial"/>
          <w:sz w:val="18"/>
          <w:szCs w:val="18"/>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7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are subject to the risk of fraud or other misconduct by our employees and consultants, including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2" w:lineRule="exact"/>
        <w:rPr>
          <w:sz w:val="20"/>
          <w:szCs w:val="20"/>
          <w:color w:val="auto"/>
        </w:rPr>
      </w:pPr>
    </w:p>
    <w:p>
      <w:pPr>
        <w:ind w:left="240" w:right="740"/>
        <w:spacing w:after="0" w:line="342"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ability to market our products, obtain collaborators and raise capital.</w:t>
      </w:r>
    </w:p>
    <w:p>
      <w:pPr>
        <w:spacing w:after="0" w:line="124" w:lineRule="exact"/>
        <w:rPr>
          <w:sz w:val="20"/>
          <w:szCs w:val="20"/>
          <w:color w:val="auto"/>
        </w:rPr>
      </w:pPr>
    </w:p>
    <w:p>
      <w:pPr>
        <w:ind w:right="120" w:firstLine="450"/>
        <w:spacing w:after="0" w:line="270" w:lineRule="auto"/>
        <w:rPr>
          <w:sz w:val="20"/>
          <w:szCs w:val="20"/>
          <w:color w:val="auto"/>
        </w:rPr>
      </w:pPr>
      <w:r>
        <w:rPr>
          <w:rFonts w:ascii="Arial" w:cs="Arial" w:eastAsia="Arial" w:hAnsi="Arial"/>
          <w:sz w:val="17"/>
          <w:szCs w:val="17"/>
          <w:color w:val="auto"/>
        </w:rPr>
        <w:t>The Patient Protection and Affordable Care Act, or PPACA, made extensive changes to the delivery of health care in the U.S. The PPACA included numerous provisions that affect pharmaceutical companies, some of which became effective immediately and others of which have taken effect over the past several years. For example, the PPACA expanded health 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U.S., and an expansion of an existing program requiring pharmaceutical discounts to certain types of hospitals and federally subsidized clinics. The PPACA also contains cost containment measures that could reduce reimbursement levels for health care items and services generally, including pharmaceuticals. It also required reporting and public disclosure of payments and other transfers of value provided by pharmaceutical companies to physicians and teaching hospitals.</w:t>
      </w:r>
    </w:p>
    <w:p>
      <w:pPr>
        <w:spacing w:after="0" w:line="181" w:lineRule="exact"/>
        <w:rPr>
          <w:sz w:val="20"/>
          <w:szCs w:val="20"/>
          <w:color w:val="auto"/>
        </w:rPr>
      </w:pPr>
    </w:p>
    <w:p>
      <w:pPr>
        <w:ind w:right="220" w:firstLine="450"/>
        <w:spacing w:after="0" w:line="270"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payors of health care services to contain or reduce costs of health 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81" w:lineRule="exact"/>
        <w:rPr>
          <w:sz w:val="20"/>
          <w:szCs w:val="20"/>
          <w:color w:val="auto"/>
        </w:rPr>
      </w:pPr>
    </w:p>
    <w:p>
      <w:pPr>
        <w:ind w:right="20" w:firstLine="450"/>
        <w:spacing w:after="0" w:line="272"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7"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Adequate coverage and reimbursement in the U.S. and other markets is critical to the commercial success of our approved products. Recently in the U.S. there has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 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our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are subject to data security and privacy risks, and our actual or perceived failure to comply with regulations and other legal obligations related to privacy and data protection could harm our business.</w:t>
      </w:r>
    </w:p>
    <w:p>
      <w:pPr>
        <w:spacing w:after="0" w:line="170"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are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are also subject to the General Data Protection Regulation in the EU. See “Risks Relating to Our Business—Risks Relating to International Operations—Our actual or perceived failure to comply with European governmental regulations and other legal obligations related to privacy, data protection and information security could harm our business” in this section for additional discussion of international privacy laws and regulations. Failure to comply with these laws and regulations could result in government enforcement actions, private litigation, or harm to our reputation and our business.</w:t>
      </w:r>
    </w:p>
    <w:p>
      <w:pPr>
        <w:spacing w:after="0" w:line="181" w:lineRule="exact"/>
        <w:rPr>
          <w:sz w:val="20"/>
          <w:szCs w:val="20"/>
          <w:color w:val="auto"/>
        </w:rPr>
      </w:pPr>
    </w:p>
    <w:p>
      <w:pPr>
        <w:ind w:left="240" w:right="520"/>
        <w:spacing w:after="0" w:line="277" w:lineRule="auto"/>
        <w:rPr>
          <w:sz w:val="20"/>
          <w:szCs w:val="20"/>
          <w:color w:val="auto"/>
        </w:rPr>
      </w:pPr>
      <w:r>
        <w:rPr>
          <w:rFonts w:ascii="Arial" w:cs="Arial" w:eastAsia="Arial" w:hAnsi="Arial"/>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70" w:lineRule="exact"/>
        <w:rPr>
          <w:sz w:val="20"/>
          <w:szCs w:val="20"/>
          <w:color w:val="auto"/>
        </w:rPr>
      </w:pPr>
    </w:p>
    <w:p>
      <w:pPr>
        <w:ind w:right="160" w:firstLine="414"/>
        <w:spacing w:after="0" w:line="275" w:lineRule="auto"/>
        <w:rPr>
          <w:sz w:val="20"/>
          <w:szCs w:val="20"/>
          <w:color w:val="auto"/>
        </w:rPr>
      </w:pPr>
      <w:r>
        <w:rPr>
          <w:rFonts w:ascii="Arial" w:cs="Arial" w:eastAsia="Arial" w:hAnsi="Arial"/>
          <w:sz w:val="17"/>
          <w:szCs w:val="17"/>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Risks</w:t>
      </w:r>
    </w:p>
    <w:p>
      <w:pPr>
        <w:spacing w:after="0" w:line="225"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or enforce our intellectual property rights or secure rights to patents of others, the value of those rights would diminish.</w:t>
      </w:r>
    </w:p>
    <w:p>
      <w:pPr>
        <w:spacing w:after="0" w:line="17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84"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left="240" w:right="20"/>
        <w:spacing w:after="0" w:line="277" w:lineRule="auto"/>
        <w:rPr>
          <w:sz w:val="20"/>
          <w:szCs w:val="20"/>
          <w:color w:val="auto"/>
        </w:rPr>
      </w:pPr>
      <w:r>
        <w:rPr>
          <w:rFonts w:ascii="Arial" w:cs="Arial" w:eastAsia="Arial" w:hAnsi="Arial"/>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70"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Competitors may infringe or otherwise violate our patents, the patents of our licensors or our other intellectual property rights. To counter infringement or unauthorized use, we may be required to file legal claims, which can be expensive and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68" w:lineRule="exact"/>
        <w:rPr>
          <w:sz w:val="20"/>
          <w:szCs w:val="20"/>
          <w:color w:val="auto"/>
        </w:rPr>
      </w:pPr>
    </w:p>
    <w:p>
      <w:pPr>
        <w:ind w:right="20" w:firstLine="450"/>
        <w:spacing w:after="0" w:line="290" w:lineRule="auto"/>
        <w:rPr>
          <w:sz w:val="20"/>
          <w:szCs w:val="20"/>
          <w:color w:val="auto"/>
        </w:rPr>
      </w:pPr>
      <w:r>
        <w:rPr>
          <w:rFonts w:ascii="Arial" w:cs="Arial" w:eastAsia="Arial" w:hAnsi="Arial"/>
          <w:sz w:val="16"/>
          <w:szCs w:val="16"/>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6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degree and range of protection any patents will afford against competitors with similar products;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and when patents will issue;</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patents do issue, we cannot be sure that we will be able to adequately defend such patents and whether or not we will be able to adequately enforce such patents; or</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 applications.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USPTO or other foreign patent office upholds patents issued to others or if the USPTO grants patent applications filed by others, we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have to:</w:t>
      </w:r>
    </w:p>
    <w:p>
      <w:pPr>
        <w:spacing w:after="0" w:line="21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licenses or redesign our products or processes to avoid infringement;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stop using the subject matter claimed in those patents;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21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187"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auto"/>
        </w:rPr>
        <w:t>Product Liability Risks</w:t>
      </w:r>
    </w:p>
    <w:p>
      <w:pPr>
        <w:spacing w:after="0" w:line="225"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70"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95"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even greater risks upon any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78"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liabilities that substantially exceed our product liability insurance, which we would then be required to pay from other sources, if available;</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increase of our product liability insurance rates or the inability to maintain insurance coverage in the future on acceptable terms, or at all;</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volunteers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resulting in lower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investigations that could require costly recalls or product modifications;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costs;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diversion of management’s attention from managing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Contractual Arrangements</w:t>
      </w:r>
    </w:p>
    <w:p>
      <w:pPr>
        <w:spacing w:after="0" w:line="225" w:lineRule="exact"/>
        <w:rPr>
          <w:sz w:val="20"/>
          <w:szCs w:val="20"/>
          <w:color w:val="auto"/>
        </w:rPr>
      </w:pPr>
    </w:p>
    <w:p>
      <w:pPr>
        <w:ind w:left="240" w:right="40"/>
        <w:spacing w:after="0" w:line="263" w:lineRule="auto"/>
        <w:rPr>
          <w:sz w:val="20"/>
          <w:szCs w:val="20"/>
          <w:color w:val="auto"/>
        </w:rPr>
      </w:pPr>
      <w:r>
        <w:rPr>
          <w:rFonts w:ascii="Arial" w:cs="Arial" w:eastAsia="Arial" w:hAnsi="Arial"/>
          <w:sz w:val="18"/>
          <w:szCs w:val="18"/>
          <w:b w:val="1"/>
          <w:bCs w:val="1"/>
          <w:i w:val="1"/>
          <w:iCs w:val="1"/>
          <w:color w:val="auto"/>
        </w:rPr>
        <w:t>We face risks related to our government-funded programs; if BARDA/HHS or NIAID/HHS were to eliminate, reduce or delay funding from our contracts, this would have a significant negative impact on the programs associated with such funding and could have a significant negative impact on our revenues and cash flows.</w:t>
      </w:r>
    </w:p>
    <w:p>
      <w:pPr>
        <w:spacing w:after="0" w:line="184"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or, if we are found to be in violation, could result in contract termination. If the U.S. Government terminates any of its contracts with us for its convenience, or if we default by failing to perform in accordance with the contract schedule and terms, significant negative impact on our cash flows and operations could result.</w:t>
      </w:r>
    </w:p>
    <w:p>
      <w:pPr>
        <w:spacing w:after="0" w:line="192" w:lineRule="exact"/>
        <w:rPr>
          <w:sz w:val="20"/>
          <w:szCs w:val="20"/>
          <w:color w:val="auto"/>
        </w:rPr>
      </w:pPr>
    </w:p>
    <w:p>
      <w:pPr>
        <w:ind w:right="100" w:firstLine="450"/>
        <w:spacing w:after="0" w:line="263" w:lineRule="auto"/>
        <w:rPr>
          <w:sz w:val="20"/>
          <w:szCs w:val="20"/>
          <w:color w:val="auto"/>
        </w:rPr>
      </w:pPr>
      <w:r>
        <w:rPr>
          <w:rFonts w:ascii="Arial" w:cs="Arial" w:eastAsia="Arial" w:hAnsi="Arial"/>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184"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terminate or reduce the scope of our contract with or without cause;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interpret relevant regulations (federal acquisition regulation clauses);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performance under circumstances which may not be favorable to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an in-process review where the U.S. Government will review the project and its options under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control the timing and amount of funding, which impacts the development progress of our programs;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and object to our contract-related costs and fees, including allocated indirect costs.</w:t>
      </w:r>
    </w:p>
    <w:p>
      <w:pPr>
        <w:spacing w:after="0" w:line="211"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The U.S. Government may terminate its contracts with us either for its convenience or if we default by failing to perform in accordance with the contract schedule and terms. Termination for convenience provisions generally enable us to recover only our costs incurred or committed, and settlement expenses and profit on the work completed prior to termination. Termination does not permit these recoveries under default provisions. In the event of termination or upon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Further, if the U.S. Government terminates its contracts with us for its convenience, or if we default by failing to perform in accordance with the contract schedule and terms, significant negative impact on our cash flows and operations could result.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2" w:name="page53"/>
    <w:bookmarkEnd w:id="52"/>
    <w:p>
      <w:pPr>
        <w:ind w:right="20" w:firstLine="450"/>
        <w:spacing w:after="0" w:line="286" w:lineRule="auto"/>
        <w:rPr>
          <w:sz w:val="20"/>
          <w:szCs w:val="20"/>
          <w:color w:val="auto"/>
        </w:rPr>
      </w:pPr>
      <w:r>
        <w:rPr>
          <w:rFonts w:ascii="Arial" w:cs="Arial" w:eastAsia="Arial" w:hAnsi="Arial"/>
          <w:sz w:val="16"/>
          <w:szCs w:val="16"/>
          <w:color w:val="auto"/>
        </w:rPr>
        <w:t>As a U.S. Government contractor, we are required to comply with applicable laws, regulations and standards relating to our accounting practices and are subject to periodic audits and reviews. As part of any such audit or review, the U.S. Government may review the adequacy of, and our compliance with, our internal control systems and policies, including those relating to our purchasing, property, estimating, compensation and management information systems. Audits under the active BARDA/HHS and NIAID/HHS galidesivir contracts may occur at the election of the U.S. Government and have been concluded through fiscal 2015; all subsequent fiscal years are still open and auditable. Based on the results of its audits, the U.S. Government may adjust our contract-related costs and fees, including allocated indirect costs. This adjustment could impact the amount of revenues reported on a historic basis and could impact our cash flows under the contracts prospectively.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termination of our contracts,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risks related to the potential government use or sale of our antivirals.</w:t>
      </w:r>
    </w:p>
    <w:p>
      <w:pPr>
        <w:spacing w:after="0" w:line="225"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Government use or sale, in emergency situations or otherwise, of our antivirals—including peramivir for the treatment of influenza—may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spacing w:after="0" w:line="18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In September 2018, we entered into a contract with the U.S. Government for the procurement of up to 50,000 doses of RAPIVAB (peramivir injection) over a five-year period. In addition, we are working with NIAID/HHS to further develop galidesivir. There can be no assurance that we or our manufacturers will be able to fully meet the demand for such antivirals with respect to these or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spacing w:after="0" w:line="192" w:lineRule="exact"/>
        <w:rPr>
          <w:sz w:val="20"/>
          <w:szCs w:val="20"/>
          <w:color w:val="auto"/>
        </w:rPr>
      </w:pPr>
    </w:p>
    <w:p>
      <w:pPr>
        <w:ind w:right="120" w:firstLine="450"/>
        <w:spacing w:after="0" w:line="301" w:lineRule="auto"/>
        <w:rPr>
          <w:sz w:val="20"/>
          <w:szCs w:val="20"/>
          <w:color w:val="auto"/>
        </w:rPr>
      </w:pPr>
      <w:r>
        <w:rPr>
          <w:rFonts w:ascii="Arial" w:cs="Arial" w:eastAsia="Arial" w:hAnsi="Arial"/>
          <w:sz w:val="16"/>
          <w:szCs w:val="16"/>
          <w:color w:val="auto"/>
        </w:rPr>
        <w:t>There can be no assurance that the non-U.S. partnerships that we have entered into for peramivir will result in any order for peramivir in those countries or that peramivir will be approved for any use or will achieve market approval in additional countries. There can be no assurance that galidesivir will be approved for use in any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spacing w:after="0" w:line="157" w:lineRule="exact"/>
        <w:rPr>
          <w:sz w:val="20"/>
          <w:szCs w:val="20"/>
          <w:color w:val="auto"/>
        </w:rPr>
      </w:pPr>
    </w:p>
    <w:p>
      <w:pPr>
        <w:ind w:left="240" w:right="660"/>
        <w:spacing w:after="0" w:line="277" w:lineRule="auto"/>
        <w:rPr>
          <w:sz w:val="20"/>
          <w:szCs w:val="20"/>
          <w:color w:val="auto"/>
        </w:rPr>
      </w:pPr>
      <w:r>
        <w:rPr>
          <w:rFonts w:ascii="Arial" w:cs="Arial" w:eastAsia="Arial" w:hAnsi="Arial"/>
          <w:sz w:val="18"/>
          <w:szCs w:val="18"/>
          <w:b w:val="1"/>
          <w:bCs w:val="1"/>
          <w:i w:val="1"/>
          <w:iCs w:val="1"/>
          <w:color w:val="auto"/>
        </w:rPr>
        <w:t>If we fail to reach milestones or to make annual minimum payments or otherwise breach our obligations under our license agreements, our licensors may terminate our agreements with them and seek additional remedies.</w:t>
      </w:r>
    </w:p>
    <w:p>
      <w:pPr>
        <w:spacing w:after="0" w:line="170"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or seek other available remedies. As a result, our development of the respective product candidate or commercialization of the product would cease.</w:t>
      </w:r>
    </w:p>
    <w:p>
      <w:pPr>
        <w:spacing w:after="0" w:line="188" w:lineRule="exact"/>
        <w:rPr>
          <w:sz w:val="20"/>
          <w:szCs w:val="20"/>
          <w:color w:val="auto"/>
        </w:rPr>
      </w:pPr>
    </w:p>
    <w:p>
      <w:pPr>
        <w:ind w:left="240" w:right="120"/>
        <w:spacing w:after="0" w:line="263" w:lineRule="auto"/>
        <w:rPr>
          <w:sz w:val="20"/>
          <w:szCs w:val="20"/>
          <w:color w:val="auto"/>
        </w:rPr>
      </w:pPr>
      <w:r>
        <w:rPr>
          <w:rFonts w:ascii="Arial" w:cs="Arial" w:eastAsia="Arial" w:hAnsi="Arial"/>
          <w:sz w:val="18"/>
          <w:szCs w:val="18"/>
          <w:b w:val="1"/>
          <w:bCs w:val="1"/>
          <w:i w:val="1"/>
          <w:iCs w:val="1"/>
          <w:color w:val="auto"/>
        </w:rPr>
        <w:t>Royalties and milestone payments from Shionogi under the Shionogi Agreement are required to be used by Royalty Sub to satisfy its obligations under its PhaRMA Notes, and generally will not be available to us for other purposes unless and until Royalty Sub has repaid in full its obligations under the PhaRMA Notes.</w:t>
      </w:r>
    </w:p>
    <w:p>
      <w:pPr>
        <w:spacing w:after="0" w:line="184" w:lineRule="exact"/>
        <w:rPr>
          <w:sz w:val="20"/>
          <w:szCs w:val="20"/>
          <w:color w:val="auto"/>
        </w:rPr>
      </w:pPr>
    </w:p>
    <w:p>
      <w:pPr>
        <w:ind w:right="40" w:firstLine="450"/>
        <w:spacing w:after="0" w:line="269" w:lineRule="auto"/>
        <w:rPr>
          <w:sz w:val="20"/>
          <w:szCs w:val="20"/>
          <w:color w:val="auto"/>
        </w:rPr>
      </w:pPr>
      <w:r>
        <w:rPr>
          <w:rFonts w:ascii="Arial" w:cs="Arial" w:eastAsia="Arial" w:hAnsi="Arial"/>
          <w:sz w:val="17"/>
          <w:szCs w:val="17"/>
          <w:color w:val="auto"/>
        </w:rPr>
        <w:t>In March 2011, our wholly-owned subsidiary, Royalty Sub, issued $30.0 million in aggregate principal amount of PhaRMA Notes. The PhaRMA Notes are secured principally by (i) certain royalty and milestone payments under the Shionogi Agreement, pursuant to which Shionogi licensed from us the rights to market peramivir in Japan and Taiwan and (ii) the pledge by us of our equity interest in Royalty Sub. Payments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As a result of the continuing event of default,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that might otherwise accrue to us following repayment of the PhaRMA Notes, we may incur legal costs and we might otherwise be adversely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right="20" w:firstLine="450"/>
        <w:spacing w:after="0" w:line="271" w:lineRule="auto"/>
        <w:rPr>
          <w:sz w:val="20"/>
          <w:szCs w:val="20"/>
          <w:color w:val="auto"/>
        </w:rPr>
      </w:pPr>
      <w:r>
        <w:rPr>
          <w:rFonts w:ascii="Arial" w:cs="Arial" w:eastAsia="Arial" w:hAnsi="Arial"/>
          <w:sz w:val="17"/>
          <w:szCs w:val="17"/>
          <w:color w:val="auto"/>
        </w:rPr>
        <w:t>The PhaRMA Notes had a final legal maturity date of December 1, 2020, at which time the outstanding principal amount of the PhaRMA Notes of $30.0 million, together with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spacing w:after="0" w:line="178" w:lineRule="exact"/>
        <w:rPr>
          <w:sz w:val="20"/>
          <w:szCs w:val="20"/>
          <w:color w:val="auto"/>
        </w:rPr>
      </w:pPr>
    </w:p>
    <w:p>
      <w:pPr>
        <w:ind w:left="240" w:right="20"/>
        <w:spacing w:after="0" w:line="311" w:lineRule="auto"/>
        <w:rPr>
          <w:sz w:val="20"/>
          <w:szCs w:val="20"/>
          <w:color w:val="auto"/>
        </w:rPr>
      </w:pPr>
      <w:r>
        <w:rPr>
          <w:rFonts w:ascii="Arial" w:cs="Arial" w:eastAsia="Arial" w:hAnsi="Arial"/>
          <w:sz w:val="16"/>
          <w:szCs w:val="16"/>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that might otherwise accrue to us following repayment of the PhaRMA Notes and we could otherwise be adversely affected.</w:t>
      </w:r>
    </w:p>
    <w:p>
      <w:pPr>
        <w:spacing w:after="0" w:line="149"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color w:val="auto"/>
        </w:rPr>
        <w:t>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that might otherwise accrue to us following repayment of the PhaRMA Notes, we may incur legal costs and we might otherwise be adversely affected. In addition, the PhaRMA Notes have a final legal maturity date of December 1, 2020, at which time the outstanding principal amount of the PhaRMA Notes, together with accrued and unpaid interest,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spacing w:after="0" w:line="179" w:lineRule="exact"/>
        <w:rPr>
          <w:sz w:val="20"/>
          <w:szCs w:val="20"/>
          <w:color w:val="auto"/>
        </w:rPr>
      </w:pPr>
    </w:p>
    <w:p>
      <w:pPr>
        <w:ind w:left="240" w:right="140"/>
        <w:spacing w:after="0" w:line="301" w:lineRule="auto"/>
        <w:rPr>
          <w:sz w:val="20"/>
          <w:szCs w:val="20"/>
          <w:color w:val="auto"/>
        </w:rPr>
      </w:pPr>
      <w:r>
        <w:rPr>
          <w:rFonts w:ascii="Arial" w:cs="Arial" w:eastAsia="Arial" w:hAnsi="Arial"/>
          <w:sz w:val="16"/>
          <w:szCs w:val="16"/>
          <w:b w:val="1"/>
          <w:bCs w:val="1"/>
          <w:i w:val="1"/>
          <w:iCs w:val="1"/>
          <w:color w:val="auto"/>
        </w:rPr>
        <w:t>We have incurred significant indebtedness, which could adversely affect our business. Additionally, our Credit Agreement contains conditions and restrictions that limit our flexibility in drawing on the additional funds thereunder and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57"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As of March 31, 2021, we had an outstanding principal balance under our Credit Agreement of $123.3 million, net of deferred financing costs and inclusive of the PIK Interest Payment. We may also draw up to another $75.0 million in aggregate principal amount under the Term B Loan and the Term C Loan (each as defined in the Credit Agreement) under the Credit Agreement if, among other conditions, the Company reaches defined revenue milestones and, with respect to a draw on the Term C Loan, the Term B Loan has been funded prior to or contemporaneously with the Term C Loan. Our indebtedness could have important consequences to our stockholders. For example, it:</w:t>
      </w:r>
    </w:p>
    <w:p>
      <w:pPr>
        <w:spacing w:after="0" w:line="176"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our vulnerability to adverse general economic or industry conditions;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limits our flexibility in planning for, or reacting to, changes in our business or the industry in which we operate;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makes us more vulnerable to increases in interest rates, as borrowings under our Credit Agreement are at variable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requires us to dedicate a portion of our cash flow from operations to interest payments, limiting the availability of cash for other purposes;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or refinancing in the future for working capital or other purposes;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places us at a competitive disadvantage compared to our competitors that have less indebtedness.</w:t>
      </w:r>
    </w:p>
    <w:p>
      <w:pPr>
        <w:spacing w:after="0" w:line="211" w:lineRule="exact"/>
        <w:rPr>
          <w:sz w:val="20"/>
          <w:szCs w:val="20"/>
          <w:color w:val="auto"/>
        </w:rPr>
      </w:pPr>
    </w:p>
    <w:p>
      <w:pPr>
        <w:ind w:right="40" w:firstLine="450"/>
        <w:spacing w:after="0" w:line="275" w:lineRule="auto"/>
        <w:rPr>
          <w:sz w:val="20"/>
          <w:szCs w:val="20"/>
          <w:color w:val="auto"/>
        </w:rPr>
      </w:pPr>
      <w:r>
        <w:rPr>
          <w:rFonts w:ascii="Arial" w:cs="Arial" w:eastAsia="Arial" w:hAnsi="Arial"/>
          <w:sz w:val="17"/>
          <w:szCs w:val="17"/>
          <w:color w:val="auto"/>
        </w:rPr>
        <w:t>Furthermore, our Credit Agreement contains various covenants that limit our ability to engage in specified types of transactions. Subject to certain exceptions, these covenants limit our ability to, among other things, grant certain types of liens on our assets; make certain investments; incur or assume certain debt, including accessing additional tranches of debt under the Credit Agreement;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Agreement also contains certain financial covenants, including a minimum liquidity covenant that requires us to maintain at all times,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applicable, at least $15.0 million of unrestricted cash and cash equivalents if only the Term A Loan (as defined in the Credit Agreement) has been drawn;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$20.0 million of unrestricted cash and cash equivalents if the Term B Loan has been drawn but the Term C Loan has not been drawn; and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million (or, in certain circumstances, $20.0 million) of unrestricted cash and cash equivalents if the Term C Loan has been drawn,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exceptions. In addition, if we draw upon the Term C Loan, we will be required to achieve certain minimum targets for consolidated net revenues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ORLADEYO sales in the 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4" w:name="page55"/>
    <w:bookmarkEnd w:id="54"/>
    <w:p>
      <w:pPr>
        <w:ind w:right="460" w:firstLine="450"/>
        <w:spacing w:after="0" w:line="342" w:lineRule="auto"/>
        <w:rPr>
          <w:sz w:val="20"/>
          <w:szCs w:val="20"/>
          <w:color w:val="auto"/>
        </w:rPr>
      </w:pPr>
      <w:r>
        <w:rPr>
          <w:rFonts w:ascii="Arial" w:cs="Arial" w:eastAsia="Arial" w:hAnsi="Arial"/>
          <w:sz w:val="16"/>
          <w:szCs w:val="16"/>
          <w:color w:val="auto"/>
        </w:rPr>
        <w:t>The covenants contained in the Credit Agreement could cause us to be unable to pursue business opportunities that we or our stockholders may consider beneficial without the lenders’ permission or without repaying all outstanding obligations under the Credit Agreement.</w:t>
      </w:r>
    </w:p>
    <w:p>
      <w:pPr>
        <w:spacing w:after="0" w:line="124" w:lineRule="exact"/>
        <w:rPr>
          <w:sz w:val="20"/>
          <w:szCs w:val="20"/>
          <w:color w:val="auto"/>
        </w:rPr>
      </w:pPr>
    </w:p>
    <w:p>
      <w:pPr>
        <w:ind w:right="40" w:firstLine="450"/>
        <w:spacing w:after="0" w:line="269" w:lineRule="auto"/>
        <w:rPr>
          <w:sz w:val="20"/>
          <w:szCs w:val="20"/>
          <w:color w:val="auto"/>
        </w:rPr>
      </w:pPr>
      <w:r>
        <w:rPr>
          <w:rFonts w:ascii="Arial" w:cs="Arial" w:eastAsia="Arial" w:hAnsi="Arial"/>
          <w:sz w:val="17"/>
          <w:szCs w:val="17"/>
          <w:color w:val="auto"/>
        </w:rPr>
        <w:t>A breach of any of these covenants could result in an event of default under the Credit Agreement. An event of default will also occur if, among other things, we fail to pay amounts due under the Credit Agreement, we fail to repay certain other indebtedness having an aggregate principal amount in excess of one percent of our borrowings under the Credit Agreement, a material adverse change in our business, assets, properties, liabilities, or condition occurs, or a material impairment of our ability to perform our obligations under the Credit Agreement occurs, we experience a change of control, certain negative regulatory events occur, including without limitation the loss of a required permit or a recall of a product, or we fail to make required payments under our Royalty Purchase Agreement with RPI. In the case of a continuing event of default under the Credit Agreement, the lenders under the Credit Agreement could elect to declare all amounts outstanding to be immediately due and payable, proceed against the collateral in which we granted to the lenders a security interest, or otherwise exercise the rights of a secured creditor. Amounts outstanding under the Credit Agreement are secured by a security interest in, subject to certain exceptions, substantially all of our assets. Because substantially all of our assets are pledged to secure the Credit Agreement obligations, our ability to incur additional secured indebtedness or to sell or dispose of assets to raise capital may be impaired, which could have an adverse effect on our financial flexibility.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International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Our business strategy includes international expansion, including the commercialization of products outside of the United States. We currently conduct clinical studies and regulatory activities and have hired, and expect to continue hiring, employees outside of the United States. Doing business internationally involves a number of risks, including but not limited to:</w:t>
      </w:r>
    </w:p>
    <w:p>
      <w:pPr>
        <w:spacing w:after="0" w:line="184" w:lineRule="exact"/>
        <w:rPr>
          <w:sz w:val="20"/>
          <w:szCs w:val="20"/>
          <w:color w:val="auto"/>
        </w:rPr>
      </w:pPr>
    </w:p>
    <w:p>
      <w:pPr>
        <w:ind w:left="980" w:right="180" w:hanging="324"/>
        <w:spacing w:after="0" w:line="274"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introduction of new health authority requirements and/or changes in health authority expectations;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by us or our partners to obtain and maintain regulatory approvals for the use of our products in various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complexities and difficulties in obtaining and maintaining protection for, and enforcing, our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9" w:lineRule="exact"/>
        <w:rPr>
          <w:rFonts w:ascii="Arial" w:cs="Arial" w:eastAsia="Arial" w:hAnsi="Arial"/>
          <w:sz w:val="18"/>
          <w:szCs w:val="18"/>
          <w:color w:val="auto"/>
        </w:rPr>
      </w:pPr>
    </w:p>
    <w:p>
      <w:pPr>
        <w:ind w:left="980" w:right="2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jc w:val="both"/>
        <w:ind w:left="980" w:right="6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and political and economic instability, including wars, terrorism, political unrest, results of certain elections and votes, actual or threatened public health emergencies and outbreak of disease (including for example, the recent coronavirus outbreak), boycotts, adoption or expansion of government trade restrictions, and other business restrictions;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9" w:lineRule="exact"/>
        <w:rPr>
          <w:rFonts w:ascii="Arial" w:cs="Arial" w:eastAsia="Arial" w:hAnsi="Arial"/>
          <w:sz w:val="18"/>
          <w:szCs w:val="18"/>
          <w:color w:val="auto"/>
        </w:rPr>
      </w:pPr>
    </w:p>
    <w:p>
      <w:pPr>
        <w:jc w:val="both"/>
        <w:ind w:left="980" w:right="2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commercial operations and activities that may fall within the purview of the U.S. Foreign Corrupt Practices Act, or FCPA, including its books and records provisions or anti-bribery provisions, or the U.K. Bribery Act and similar foreign laws and regulations; and</w:t>
      </w:r>
    </w:p>
    <w:p>
      <w:pPr>
        <w:spacing w:after="0" w:line="1" w:lineRule="exact"/>
        <w:rPr>
          <w:rFonts w:ascii="Arial" w:cs="Arial" w:eastAsia="Arial" w:hAnsi="Arial"/>
          <w:sz w:val="18"/>
          <w:szCs w:val="18"/>
          <w:color w:val="auto"/>
        </w:rPr>
      </w:pPr>
    </w:p>
    <w:p>
      <w:pPr>
        <w:ind w:left="980" w:right="240" w:hanging="324"/>
        <w:spacing w:after="0" w:line="26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85" w:lineRule="exact"/>
        <w:rPr>
          <w:sz w:val="20"/>
          <w:szCs w:val="20"/>
          <w:color w:val="auto"/>
        </w:rPr>
      </w:pPr>
    </w:p>
    <w:p>
      <w:pPr>
        <w:ind w:right="720" w:firstLine="450"/>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of operations and, consequently, our business and results of operations.</w:t>
      </w:r>
    </w:p>
    <w:p>
      <w:pPr>
        <w:spacing w:after="0" w:line="170"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Additionally, in some countries, such as Japan and the countries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ind w:left="240" w:right="24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European governmental regulations and other legal obligations related to privacy, data protection and information security could harm our business.</w:t>
      </w:r>
    </w:p>
    <w:p>
      <w:pPr>
        <w:spacing w:after="0" w:line="170"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EU member states, Switzerland and other countries have adopted data protection laws and regulations, which impose significant compliance obligations. For example, the General Data Protection Regulation (“GDPR”) imposes strict requirements on controllers and processors of personal data, including special protections for “special category data,” which includes health, biometric and genetic information of data subjects located in the EU. Further,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 to the United States or other regions that have not been deemed to offer “adequate” privacy protections.</w:t>
      </w:r>
    </w:p>
    <w:p>
      <w:pPr>
        <w:spacing w:after="0" w:line="181"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Failure to comply with the requirements of the GDPR and the related national data protection laws of the EU member states, which may deviate slightly from the GDPR, may result in significant fines of up to 4% of global revenues, or €20.0 million, whichever is greater, and in addition to such fines, our failure to comply with the requirements of GDPR may subject us to litigation and/or adverse publicity, which could have material adverse effects on our reputation and business. As a result of the implementation of the GDPR, we are required to put in place additional mechanisms to ensure compliance with the new data protection rules.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mandatory data breach notification throughout the EU, imposes additional obligations on us when we are contracting with service providers and requires us to adopt appropriate privacy governance including policies, procedures, training and data audit.</w:t>
      </w:r>
    </w:p>
    <w:p>
      <w:pPr>
        <w:spacing w:after="0" w:line="181"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We are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71"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We are also subject to evolving European privacy laws on electronic marketing and cookies. The EU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87" w:lineRule="exact"/>
        <w:rPr>
          <w:sz w:val="20"/>
          <w:szCs w:val="20"/>
          <w:color w:val="auto"/>
        </w:rPr>
      </w:pPr>
    </w:p>
    <w:p>
      <w:pPr>
        <w:ind w:left="240" w:right="320"/>
        <w:spacing w:after="0" w:line="381" w:lineRule="auto"/>
        <w:rPr>
          <w:sz w:val="20"/>
          <w:szCs w:val="20"/>
          <w:color w:val="auto"/>
        </w:rPr>
      </w:pPr>
      <w:r>
        <w:rPr>
          <w:rFonts w:ascii="Arial" w:cs="Arial" w:eastAsia="Arial" w:hAnsi="Arial"/>
          <w:sz w:val="15"/>
          <w:szCs w:val="15"/>
          <w:b w:val="1"/>
          <w:bCs w:val="1"/>
          <w:i w:val="1"/>
          <w:iCs w:val="1"/>
          <w:color w:val="auto"/>
        </w:rPr>
        <w:t>The United Kingdom</w:t>
      </w:r>
      <w:r>
        <w:rPr>
          <w:rFonts w:ascii="Arial" w:cs="Arial" w:eastAsia="Arial" w:hAnsi="Arial"/>
          <w:sz w:val="15"/>
          <w:szCs w:val="15"/>
          <w:color w:val="auto"/>
        </w:rPr>
        <w:t>’</w:t>
      </w:r>
      <w:r>
        <w:rPr>
          <w:rFonts w:ascii="Arial" w:cs="Arial" w:eastAsia="Arial" w:hAnsi="Arial"/>
          <w:sz w:val="15"/>
          <w:szCs w:val="15"/>
          <w:b w:val="1"/>
          <w:bCs w:val="1"/>
          <w:i w:val="1"/>
          <w:iCs w:val="1"/>
          <w:color w:val="auto"/>
        </w:rPr>
        <w:t>s decision to withdraw from the EU could result in increased regulatory and legal complexity, which may make it more difficult for us to do business in Europe and impose additional challenges in securing regulatory approval of our product candidates in Europe.</w:t>
      </w:r>
    </w:p>
    <w:p>
      <w:pPr>
        <w:spacing w:after="0" w:line="100" w:lineRule="exact"/>
        <w:rPr>
          <w:sz w:val="20"/>
          <w:szCs w:val="20"/>
          <w:color w:val="auto"/>
        </w:rPr>
      </w:pPr>
    </w:p>
    <w:p>
      <w:pPr>
        <w:ind w:right="40" w:firstLine="450"/>
        <w:spacing w:after="0" w:line="291" w:lineRule="auto"/>
        <w:rPr>
          <w:sz w:val="20"/>
          <w:szCs w:val="20"/>
          <w:color w:val="auto"/>
        </w:rPr>
      </w:pPr>
      <w:r>
        <w:rPr>
          <w:rFonts w:ascii="Arial" w:cs="Arial" w:eastAsia="Arial" w:hAnsi="Arial"/>
          <w:sz w:val="16"/>
          <w:szCs w:val="16"/>
          <w:color w:val="auto"/>
        </w:rPr>
        <w:t>The United Kingdom’s exit from the EU,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 and result in increased legal and regulatory complexities, as well as potential higher costs of conducting business in Europe. The long-term effects of Brexit will depend in part on how the current and future trade agreements between the United Kingdom and the EU take effect in practice. Changes in United Kingdom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66"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The cumulative effects of the disruption to the regulatory framework may add considerably to the development lead time to marketing authorization and commercialization of products in the EU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 and restrict our ability to generate revenues and achieve and sustain profitability.</w:t>
      </w:r>
    </w:p>
    <w:p>
      <w:pPr>
        <w:spacing w:after="0" w:line="192"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In addition, as a result of Brexit, other European countries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the EU will have and how such withdrawal will affect us, and the full extent to which our business could be adversely affected.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auto"/>
        </w:rPr>
        <w:t>Risks Relating to Technology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our facilities, or the facilities of our third-party vendors, incur damage or power is lost for a significant length of time, our business will suffer.</w:t>
      </w:r>
    </w:p>
    <w:p>
      <w:pPr>
        <w:spacing w:after="0" w:line="248"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49"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significant disruption in our information technology systems or a cybersecurity breach could adversely affect our business.</w:t>
      </w:r>
    </w:p>
    <w:p>
      <w:pPr>
        <w:spacing w:after="0" w:line="225" w:lineRule="exact"/>
        <w:rPr>
          <w:sz w:val="20"/>
          <w:szCs w:val="20"/>
          <w:color w:val="auto"/>
        </w:rPr>
      </w:pPr>
    </w:p>
    <w:p>
      <w:pPr>
        <w:ind w:right="80" w:firstLine="450"/>
        <w:spacing w:after="0" w:line="257" w:lineRule="auto"/>
        <w:rPr>
          <w:sz w:val="20"/>
          <w:szCs w:val="20"/>
          <w:color w:val="auto"/>
        </w:rPr>
      </w:pPr>
      <w:r>
        <w:rPr>
          <w:rFonts w:ascii="Arial" w:cs="Arial" w:eastAsia="Arial" w:hAnsi="Arial"/>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We currently store most of our preclinical research data, our clinical data and our manufacturing data at our facility. While we do store duplicate copies of most of our clinical data offsite and a significant portion of our data is included in regular backups of our systems, we could lose important data if our facility incurs damage, or if our vendor data systems fail, suffer damage or are destroyed.</w:t>
      </w:r>
    </w:p>
    <w:p>
      <w:pPr>
        <w:spacing w:after="0" w:line="188" w:lineRule="exact"/>
        <w:rPr>
          <w:sz w:val="20"/>
          <w:szCs w:val="20"/>
          <w:color w:val="auto"/>
        </w:rPr>
      </w:pPr>
    </w:p>
    <w:p>
      <w:pPr>
        <w:ind w:right="60" w:firstLine="450"/>
        <w:spacing w:after="0" w:line="289" w:lineRule="auto"/>
        <w:rPr>
          <w:sz w:val="20"/>
          <w:szCs w:val="20"/>
          <w:color w:val="auto"/>
        </w:rPr>
      </w:pPr>
      <w:r>
        <w:rPr>
          <w:rFonts w:ascii="Arial" w:cs="Arial" w:eastAsia="Arial" w:hAnsi="Arial"/>
          <w:sz w:val="16"/>
          <w:szCs w:val="16"/>
          <w:color w:val="auto"/>
        </w:rPr>
        <w:t>Like other companies in our industry, our networks and infrastructure may be vulnerable to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Investing in Our Common Stock</w:t>
      </w:r>
    </w:p>
    <w:p>
      <w:pPr>
        <w:spacing w:after="0" w:line="229"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70" w:lineRule="exact"/>
        <w:rPr>
          <w:sz w:val="20"/>
          <w:szCs w:val="20"/>
          <w:color w:val="auto"/>
        </w:rPr>
      </w:pPr>
    </w:p>
    <w:p>
      <w:pPr>
        <w:ind w:right="120" w:firstLine="450"/>
        <w:spacing w:after="0" w:line="263" w:lineRule="auto"/>
        <w:rPr>
          <w:sz w:val="20"/>
          <w:szCs w:val="20"/>
          <w:color w:val="auto"/>
        </w:rPr>
      </w:pPr>
      <w:r>
        <w:rPr>
          <w:rFonts w:ascii="Arial" w:cs="Arial" w:eastAsia="Arial" w:hAnsi="Arial"/>
          <w:sz w:val="18"/>
          <w:szCs w:val="18"/>
          <w:color w:val="auto"/>
        </w:rPr>
        <w:t>Several of our stockholders own greater than 5% of our outstanding common stock. Our top ten stockholders own close to 50% of BioCryst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84" w:lineRule="exact"/>
        <w:rPr>
          <w:sz w:val="20"/>
          <w:szCs w:val="20"/>
          <w:color w:val="auto"/>
        </w:rPr>
      </w:pPr>
    </w:p>
    <w:p>
      <w:pPr>
        <w:ind w:left="220" w:right="520"/>
        <w:spacing w:after="0" w:line="277" w:lineRule="auto"/>
        <w:rPr>
          <w:sz w:val="20"/>
          <w:szCs w:val="20"/>
          <w:color w:val="auto"/>
        </w:rPr>
      </w:pPr>
      <w:r>
        <w:rPr>
          <w:rFonts w:ascii="Arial" w:cs="Arial" w:eastAsia="Arial" w:hAnsi="Arial"/>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70"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March 31, 2021, the 52-week range of the market price of our stock was from $1.80 to $14.24 per share. The following factors, in addition to other risk factors described in this section, may have a significant impact on the market price of our common stock:</w:t>
      </w:r>
    </w:p>
    <w:p>
      <w:pPr>
        <w:spacing w:after="0" w:line="18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dilution through sales of our common stock or other derivative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status of new or existing licensing or collaborative agreements and government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relating to the status of our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and announcements regarding new and virulent strains of influenza;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partners achieving or failing to achieve development milestones;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regarding actual or potential medical results relating to products under development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regarding certain public health concerns for which we are or may be developing treatments;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concern as to the safety of pharmaceutical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developments in price control legislation;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 or members of our board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purchases or sales of substantial amounts of our stock by existing stockholders, including officers or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and other external factors or other disasters or crises;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Future sales and issuances of securities may dilute the ownership interests of our current stockholders and cause our stock price to decline.</w:t>
      </w:r>
    </w:p>
    <w:p>
      <w:pPr>
        <w:spacing w:after="0" w:line="24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Future sales of our common stock by us or our current stockholders into the public market could cause the market price of our stock to fall. As of April 30, 2021, there were 177,696,474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8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As of April 30, 2021, there were 25,622,000 stock options outstanding and 3,142,374 shares available for issuance under our Amended and Restated Stock Incentive Plan, 4,264,543 stock options outstanding and 128,582 shares available for issuance under our Amended and Restated Inducement Equity Incentive Plan and 2,679,554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and stock awards have been registered pursuant to registration statements on Form S-8.</w:t>
      </w:r>
    </w:p>
    <w:p>
      <w:pPr>
        <w:spacing w:after="0" w:line="192"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87" w:lineRule="exact"/>
        <w:rPr>
          <w:sz w:val="20"/>
          <w:szCs w:val="20"/>
          <w:color w:val="auto"/>
        </w:rPr>
      </w:pPr>
    </w:p>
    <w:p>
      <w:pPr>
        <w:ind w:right="40" w:firstLine="450"/>
        <w:spacing w:after="0" w:line="288" w:lineRule="auto"/>
        <w:rPr>
          <w:sz w:val="20"/>
          <w:szCs w:val="20"/>
          <w:color w:val="auto"/>
        </w:rPr>
      </w:pPr>
      <w:r>
        <w:rPr>
          <w:rFonts w:ascii="Arial" w:cs="Arial" w:eastAsia="Arial" w:hAnsi="Arial"/>
          <w:sz w:val="16"/>
          <w:szCs w:val="16"/>
          <w:color w:val="auto"/>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In addition, on June 1, 2020, we issued pre-funded warrants to purchase 3,511,111 shares of our common stock at a price of $4.49 per warrant, including pre-funded warrants acquired by certain of the Baker Entities to purchase 3,252,375 shares of our common stock. Each warrant has an exercise price of $0.01 per share. If the Baker Entities, by exercising their underwriting rights or otherwise, sell a large number of our shares, or the market perceives that the Baker Entities intend to sell a large number of our shares, this could adversely affect the market price of our common stock.</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anti-takeover provisions in our corporate charter documents that may result in outcomes with which you do not agree.</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87"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bylaws and of Delaware law applicable to us could delay or make more difficult a merger, tender offer or proxy contest involving us.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never paid dividends on our common stock and do not anticipate doing so in the foreseeable future.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never paid cash dividends on our stock. We currently intend to retain all future earnings, if any, for use in the operation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do not anticipate paying cash dividends on our common stock in the foreseeable future.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Arial" w:cs="Arial" w:eastAsia="Arial" w:hAnsi="Arial"/>
          <w:sz w:val="18"/>
          <w:szCs w:val="18"/>
          <w:color w:val="auto"/>
        </w:rPr>
        <w:t>’</w:t>
      </w:r>
      <w:r>
        <w:rPr>
          <w:rFonts w:ascii="Arial" w:cs="Arial" w:eastAsia="Arial" w:hAnsi="Arial"/>
          <w:sz w:val="18"/>
          <w:szCs w:val="18"/>
          <w:b w:val="1"/>
          <w:bCs w:val="1"/>
          <w:i w:val="1"/>
          <w:iCs w:val="1"/>
          <w:color w:val="auto"/>
        </w:rPr>
        <w:t>s ability to obtain a favorable judicial forum for such disputes with us or our directors, officers or employees.</w:t>
      </w:r>
    </w:p>
    <w:p>
      <w:pPr>
        <w:spacing w:after="0" w:line="184" w:lineRule="exact"/>
        <w:rPr>
          <w:sz w:val="20"/>
          <w:szCs w:val="20"/>
          <w:color w:val="auto"/>
        </w:rPr>
      </w:pPr>
    </w:p>
    <w:p>
      <w:pPr>
        <w:ind w:right="80" w:firstLine="450"/>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spacing w:after="0" w:line="165"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 Factors</w:t>
      </w:r>
    </w:p>
    <w:p>
      <w:pPr>
        <w:spacing w:after="0" w:line="225" w:lineRule="exact"/>
        <w:rPr>
          <w:sz w:val="20"/>
          <w:szCs w:val="20"/>
          <w:color w:val="auto"/>
        </w:rPr>
      </w:pPr>
    </w:p>
    <w:p>
      <w:pPr>
        <w:ind w:left="240" w:right="220"/>
        <w:spacing w:after="0" w:line="381" w:lineRule="auto"/>
        <w:rPr>
          <w:sz w:val="20"/>
          <w:szCs w:val="20"/>
          <w:color w:val="auto"/>
        </w:rPr>
      </w:pPr>
      <w:r>
        <w:rPr>
          <w:rFonts w:ascii="Arial" w:cs="Arial" w:eastAsia="Arial" w:hAnsi="Arial"/>
          <w:sz w:val="15"/>
          <w:szCs w:val="15"/>
          <w:b w:val="1"/>
          <w:bCs w:val="1"/>
          <w:i w:val="1"/>
          <w:iCs w:val="1"/>
          <w:color w:val="auto"/>
        </w:rPr>
        <w:t>Natural disasters, epidemic or pandemic disease outbreaks, trade wars, political unrest or other events could disrupt our business or operations or those of our development partners, manufacturers, regulators or other third parties with whom we conduct business now or in the future.</w:t>
      </w:r>
    </w:p>
    <w:p>
      <w:pPr>
        <w:spacing w:after="0" w:line="100" w:lineRule="exact"/>
        <w:rPr>
          <w:sz w:val="20"/>
          <w:szCs w:val="20"/>
          <w:color w:val="auto"/>
        </w:rPr>
      </w:pPr>
    </w:p>
    <w:p>
      <w:pPr>
        <w:ind w:right="120" w:firstLine="540"/>
        <w:spacing w:after="0" w:line="288" w:lineRule="auto"/>
        <w:rPr>
          <w:sz w:val="20"/>
          <w:szCs w:val="20"/>
          <w:color w:val="auto"/>
        </w:rPr>
      </w:pPr>
      <w:r>
        <w:rPr>
          <w:rFonts w:ascii="Arial" w:cs="Arial" w:eastAsia="Arial" w:hAnsi="Arial"/>
          <w:sz w:val="16"/>
          <w:szCs w:val="16"/>
          <w:color w:val="auto"/>
        </w:rPr>
        <w:t>A wide variety of events beyond our control, including natural disasters, epidemic or pandemic disease outbreaks (such as the ongoing COVID-19 pandemic), trade wars, political unrest or other events could disrupt our business or operations or those of our development partners (such as Torii), manufacturers, regulatory authorities, or other third parties with whom we conduct business. These events may cause businesses and government agencies to be shut down, supply chains to be interrupted, slowed, or rendered inoperable, and individuals to become ill, quarantined, or otherwise unable to work and/or travel due to health reasons or governmental restrictions. If our operations or those of third parties with whom we have business are impaired or curtailed as a result of these events, the development and commercialization of our products and product candidates could be impaired or halted, which could have a material adverse impact on our business. See “Risk Factors—Risks Relating to Our Business—Risks Relating to COVID-19 Our business, operations, clinical development or commercialization plans and timelines, and access to capital could be adversely affected by the effects of the COVID-19 pandemic on us or on third parties with whom we conduct business, including without limitation our development partners, manufacturers, clinical research organizations (“CROs”), and others, as well as on the regulatory and government agencies with whom we work.”</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legal proceedings, which could result in losses or unexpected expenditure of time and resources.</w:t>
      </w:r>
    </w:p>
    <w:p>
      <w:pPr>
        <w:spacing w:after="0" w:line="225"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From time to time, we may be involved in disputes, called upon to initiate legal proceedings or to defend ourselves in such legal proceedings relating to our business. Due to the inherent uncertainties in legal proceedings,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 Any current or future dispute resolution or legal proceeding, regardless of the merits of any such proceeding, could result in substantial costs and a diversion of management’s attention and resources that are needed to successfully run our business.</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 coverage is increasingly more costly and difficult to obtain or maintain.</w:t>
      </w:r>
    </w:p>
    <w:p>
      <w:pPr>
        <w:spacing w:after="0" w:line="225"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92" w:lineRule="exact"/>
        <w:rPr>
          <w:sz w:val="20"/>
          <w:szCs w:val="20"/>
          <w:color w:val="auto"/>
        </w:rPr>
      </w:pPr>
    </w:p>
    <w:p>
      <w:pPr>
        <w:ind w:left="240" w:right="200"/>
        <w:spacing w:after="0" w:line="308" w:lineRule="auto"/>
        <w:rPr>
          <w:sz w:val="20"/>
          <w:szCs w:val="20"/>
          <w:color w:val="auto"/>
        </w:rPr>
      </w:pPr>
      <w:r>
        <w:rPr>
          <w:rFonts w:ascii="Arial" w:cs="Arial" w:eastAsia="Arial" w:hAnsi="Arial"/>
          <w:sz w:val="17"/>
          <w:szCs w:val="17"/>
          <w:b w:val="1"/>
          <w:bCs w:val="1"/>
          <w:i w:val="1"/>
          <w:iCs w:val="1"/>
          <w:color w:val="auto"/>
        </w:rPr>
        <w:t>If we fail to retain our existing key personnel or fail to attract and retain additional key personnel, the development of our product candidates and commercialization of our products and the related expansion of our business will be delayed or stopped.</w:t>
      </w:r>
    </w:p>
    <w:p>
      <w:pPr>
        <w:spacing w:after="0" w:line="146" w:lineRule="exact"/>
        <w:rPr>
          <w:sz w:val="20"/>
          <w:szCs w:val="20"/>
          <w:color w:val="auto"/>
        </w:rPr>
      </w:pPr>
    </w:p>
    <w:p>
      <w:pPr>
        <w:ind w:right="180" w:firstLine="450"/>
        <w:spacing w:after="0" w:line="257" w:lineRule="auto"/>
        <w:rPr>
          <w:sz w:val="20"/>
          <w:szCs w:val="20"/>
          <w:color w:val="auto"/>
        </w:rPr>
      </w:pPr>
      <w:r>
        <w:rPr>
          <w:rFonts w:ascii="Arial" w:cs="Arial" w:eastAsia="Arial" w:hAnsi="Arial"/>
          <w:sz w:val="18"/>
          <w:szCs w:val="18"/>
          <w:color w:val="auto"/>
        </w:rPr>
        <w:t>We are highly dependent upon our senior management and scientific team, the unexpected loss of whose services might impede the achievement of our development and commercial objectives. This risk has been heightened in the current environment as a result of the ongoing COVID-19 pandemic. Competition for key personnel with the experience that we require is intense and is expected to continue to increase. Our inability to attract and retain the required number of skilled and experienced management, commercial, operational and scientific personnel will harm our business because we rely upon these personnel for many critical functions of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22"/>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Third Restated Certificate of Incorporation of Registrant. Incorporated by reference to Exhibit 3.1 to the Company’s Form 8-K filed</w:t>
              </w:r>
            </w:hyperlink>
          </w:p>
        </w:tc>
        <w:tc>
          <w:tcPr>
            <w:tcW w:w="76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68">
              <w:r>
                <w:rPr>
                  <w:rFonts w:ascii="Arial" w:cs="Arial" w:eastAsia="Arial" w:hAnsi="Arial"/>
                  <w:sz w:val="18"/>
                  <w:szCs w:val="18"/>
                  <w:color w:val="0000EE"/>
                  <w:w w:val="88"/>
                </w:rPr>
                <w:t>December 22, 2006.</w:t>
              </w:r>
            </w:hyperlink>
          </w:p>
        </w:tc>
        <w:tc>
          <w:tcPr>
            <w:tcW w:w="8800" w:type="dxa"/>
            <w:vAlign w:val="bottom"/>
            <w:gridSpan w:val="20"/>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20" w:type="dxa"/>
            <w:vAlign w:val="bottom"/>
            <w:tcBorders>
              <w:bottom w:val="single" w:sz="8" w:color="0000EE"/>
            </w:tcBorders>
            <w:gridSpan w:val="16"/>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Certificate of Amendment to the Third Restated Certificate of Incorporation of Registrant. Incorporated by reference to Exhibit 3.1 to</w:t>
              </w:r>
            </w:hyperlink>
          </w:p>
        </w:tc>
        <w:tc>
          <w:tcPr>
            <w:tcW w:w="64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the Company’s Form 8-K filed July 24, 2007.</w:t>
              </w:r>
            </w:hyperlink>
          </w:p>
        </w:tc>
      </w:tr>
      <w:tr>
        <w:trPr>
          <w:trHeight w:val="20"/>
        </w:trPr>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1"/>
          </w:tcPr>
          <w:p>
            <w:pPr>
              <w:spacing w:after="0"/>
              <w:rPr>
                <w:rFonts w:ascii="Arial" w:cs="Arial" w:eastAsia="Arial" w:hAnsi="Arial"/>
                <w:sz w:val="18"/>
                <w:szCs w:val="18"/>
                <w:color w:val="0000EE"/>
                <w:w w:val="97"/>
              </w:rPr>
            </w:pPr>
            <w:hyperlink r:id="rId70">
              <w:r>
                <w:rPr>
                  <w:rFonts w:ascii="Arial" w:cs="Arial" w:eastAsia="Arial" w:hAnsi="Arial"/>
                  <w:sz w:val="18"/>
                  <w:szCs w:val="18"/>
                  <w:color w:val="0000EE"/>
                  <w:w w:val="97"/>
                </w:rPr>
                <w:t>Certificate of Increase of Authorized Number of Shares of Series B Junior Participating Preferred Stock. Incorporated by reference to</w:t>
              </w:r>
            </w:hyperlink>
          </w:p>
        </w:tc>
      </w:tr>
      <w:tr>
        <w:trPr>
          <w:trHeight w:val="196"/>
        </w:trPr>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Exhibit 3.1 to the Company’s Form 8-K filed November 4, 2008.</w:t>
              </w:r>
            </w:hyperlink>
          </w:p>
        </w:tc>
        <w:tc>
          <w:tcPr>
            <w:tcW w:w="660" w:type="dxa"/>
            <w:vAlign w:val="bottom"/>
            <w:gridSpan w:val="6"/>
          </w:tcPr>
          <w:p>
            <w:pPr>
              <w:spacing w:after="0"/>
              <w:rPr>
                <w:sz w:val="17"/>
                <w:szCs w:val="17"/>
                <w:color w:val="auto"/>
              </w:rPr>
            </w:pPr>
          </w:p>
        </w:tc>
      </w:tr>
      <w:tr>
        <w:trPr>
          <w:trHeight w:val="20"/>
        </w:trPr>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20" w:type="dxa"/>
            <w:vAlign w:val="bottom"/>
            <w:tcBorders>
              <w:bottom w:val="single" w:sz="8" w:color="0000EE"/>
            </w:tcBorders>
            <w:gridSpan w:val="16"/>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Certificate of Amendment to the Third Restated Certificate of Incorporation of Registrant. Incorporated by reference to Exhibit 3.1 to</w:t>
              </w:r>
            </w:hyperlink>
          </w:p>
        </w:tc>
        <w:tc>
          <w:tcPr>
            <w:tcW w:w="64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the Company’s Form 8-K filed May 7, 2014.</w:t>
              </w:r>
            </w:hyperlink>
          </w:p>
        </w:tc>
      </w:tr>
      <w:tr>
        <w:trPr>
          <w:trHeight w:val="20"/>
        </w:trPr>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1"/>
          </w:tcPr>
          <w:p>
            <w:pPr>
              <w:spacing w:after="0"/>
              <w:rPr>
                <w:rFonts w:ascii="Arial" w:cs="Arial" w:eastAsia="Arial" w:hAnsi="Arial"/>
                <w:sz w:val="18"/>
                <w:szCs w:val="18"/>
                <w:color w:val="0000EE"/>
                <w:w w:val="97"/>
              </w:rPr>
            </w:pPr>
            <w:hyperlink r:id="rId72">
              <w:r>
                <w:rPr>
                  <w:rFonts w:ascii="Arial" w:cs="Arial" w:eastAsia="Arial" w:hAnsi="Arial"/>
                  <w:sz w:val="18"/>
                  <w:szCs w:val="18"/>
                  <w:color w:val="0000EE"/>
                  <w:w w:val="97"/>
                </w:rPr>
                <w:t>Certificate of Increase of Authorized Number of Shares of Series B Junior Participating Preferred Stock. Incorporated by reference to</w:t>
              </w:r>
            </w:hyperlink>
          </w:p>
        </w:tc>
      </w:tr>
      <w:tr>
        <w:trPr>
          <w:trHeight w:val="196"/>
        </w:trPr>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Exhibit 3.2 to the Company’s Form 8-K filed May 7, 2014.</w:t>
              </w:r>
            </w:hyperlink>
          </w:p>
        </w:tc>
        <w:tc>
          <w:tcPr>
            <w:tcW w:w="5340" w:type="dxa"/>
            <w:vAlign w:val="bottom"/>
            <w:tcBorders>
              <w:top w:val="single" w:sz="8" w:color="0000EE"/>
            </w:tcBorders>
            <w:gridSpan w:val="8"/>
          </w:tcPr>
          <w:p>
            <w:pPr>
              <w:spacing w:after="0"/>
              <w:rPr>
                <w:sz w:val="17"/>
                <w:szCs w:val="17"/>
                <w:color w:val="auto"/>
              </w:rPr>
            </w:pPr>
          </w:p>
        </w:tc>
        <w:tc>
          <w:tcPr>
            <w:tcW w:w="660" w:type="dxa"/>
            <w:vAlign w:val="bottom"/>
            <w:gridSpan w:val="6"/>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80" w:type="dxa"/>
            <w:vAlign w:val="bottom"/>
            <w:tcBorders>
              <w:bottom w:val="single" w:sz="8" w:color="0000EE"/>
            </w:tcBorders>
            <w:gridSpan w:val="19"/>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Certificate of Elimination of the Series B Junior Participating Preferred Stock. Incorporated by reference to Exhibit 3.1 to the Company’s</w:t>
              </w:r>
            </w:hyperlink>
          </w:p>
        </w:tc>
        <w:tc>
          <w:tcPr>
            <w:tcW w:w="38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Form 8-K filed May 13, 2020.</w:t>
              </w:r>
            </w:hyperlink>
          </w:p>
        </w:tc>
      </w:tr>
      <w:tr>
        <w:trPr>
          <w:trHeight w:val="20"/>
        </w:trPr>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7</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0" w:type="dxa"/>
            <w:vAlign w:val="bottom"/>
            <w:tcBorders>
              <w:bottom w:val="single" w:sz="8" w:color="0000EE"/>
            </w:tcBorders>
            <w:gridSpan w:val="20"/>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Certificate of Amendment to the Third Restated Certificate of Incorporation. Incorporated by reference to Exhibit 3.2 to the Company’s Form</w:t>
              </w:r>
            </w:hyperlink>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8-K filed May 13, 2020.</w:t>
              </w:r>
            </w:hyperlink>
          </w:p>
        </w:tc>
      </w:tr>
      <w:tr>
        <w:trPr>
          <w:trHeight w:val="20"/>
        </w:trPr>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412"/>
        </w:trPr>
        <w:tc>
          <w:tcPr>
            <w:tcW w:w="460" w:type="dxa"/>
            <w:vAlign w:val="bottom"/>
            <w:gridSpan w:val="3"/>
          </w:tcPr>
          <w:p>
            <w:pPr>
              <w:ind w:left="20"/>
              <w:spacing w:after="0"/>
              <w:rPr>
                <w:rFonts w:ascii="Arial" w:cs="Arial" w:eastAsia="Arial" w:hAnsi="Arial"/>
                <w:sz w:val="18"/>
                <w:szCs w:val="18"/>
                <w:color w:val="0000EE"/>
              </w:rPr>
            </w:pPr>
            <w:hyperlink r:id="rId75">
              <w:r>
                <w:rPr>
                  <w:rFonts w:ascii="Arial" w:cs="Arial" w:eastAsia="Arial" w:hAnsi="Arial"/>
                  <w:sz w:val="18"/>
                  <w:szCs w:val="18"/>
                  <w:color w:val="0000EE"/>
                </w:rPr>
                <w:t>3.</w:t>
              </w:r>
              <w:r>
                <w:rPr>
                  <w:rFonts w:ascii="Arial" w:cs="Arial" w:eastAsia="Arial" w:hAnsi="Arial"/>
                  <w:sz w:val="18"/>
                  <w:szCs w:val="18"/>
                  <w:u w:val="single" w:color="auto"/>
                  <w:color w:val="0000EE"/>
                </w:rPr>
                <w:t>8</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1"/>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Amended and Restated Bylaws of Registrant effective October 29, 2008. Incorporated by reference to Exhibit 3.2 to the Company’s Form 8-K</w:t>
              </w:r>
            </w:hyperlink>
          </w:p>
        </w:tc>
      </w:tr>
      <w:tr>
        <w:trPr>
          <w:trHeight w:val="196"/>
        </w:trPr>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filed November 4, 2008.</w:t>
              </w:r>
            </w:hyperlink>
          </w:p>
        </w:tc>
      </w:tr>
      <w:tr>
        <w:trPr>
          <w:trHeight w:val="20"/>
        </w:trPr>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9</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80" w:type="dxa"/>
            <w:vAlign w:val="bottom"/>
            <w:tcBorders>
              <w:bottom w:val="single" w:sz="8" w:color="0000EE"/>
            </w:tcBorders>
            <w:gridSpan w:val="17"/>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Amendment to Amended and Restated By-Laws of BioCryst Pharmaceuticals, Inc., dated January 21, 2018. Incorporated by reference</w:t>
              </w:r>
            </w:hyperlink>
          </w:p>
        </w:tc>
        <w:tc>
          <w:tcPr>
            <w:tcW w:w="58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to Exhibit 3.1 to the Company’s Form 8-K filed January 22, 2018.</w:t>
              </w:r>
            </w:hyperlink>
          </w:p>
        </w:tc>
        <w:tc>
          <w:tcPr>
            <w:tcW w:w="5500" w:type="dxa"/>
            <w:vAlign w:val="bottom"/>
            <w:gridSpan w:val="12"/>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440" w:type="dxa"/>
            <w:vAlign w:val="bottom"/>
            <w:gridSpan w:val="2"/>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Employment Letter Agreement between BioCryst Pharmaceuticals, Inc. and Dr. Helen M. Thackray, dated February 18, 2021.</w:t>
              </w:r>
            </w:hyperlink>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92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Form of Notice of Grant of Restricted Stock Unit Award and Restricted Stock Unit Agreement under the BioCryst Pharmaceuticals, Inc.</w:t>
              </w:r>
            </w:hyperlink>
          </w:p>
        </w:tc>
        <w:tc>
          <w:tcPr>
            <w:tcW w:w="44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Stock Incentive Plan.</w:t>
              </w:r>
            </w:hyperlink>
          </w:p>
        </w:tc>
        <w:tc>
          <w:tcPr>
            <w:tcW w:w="8720" w:type="dxa"/>
            <w:vAlign w:val="bottom"/>
            <w:gridSpan w:val="19"/>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440" w:type="dxa"/>
            <w:vAlign w:val="bottom"/>
            <w:gridSpan w:val="2"/>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(31.</w:t>
              </w:r>
              <w:r>
                <w:rPr>
                  <w:rFonts w:ascii="Arial" w:cs="Arial" w:eastAsia="Arial" w:hAnsi="Arial"/>
                  <w:sz w:val="18"/>
                  <w:szCs w:val="18"/>
                  <w:u w:val="single" w:color="auto"/>
                  <w:color w:val="0000EE"/>
                  <w:w w:val="89"/>
                </w:rPr>
                <w:t>1)</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Certification of the Chief Executive Officer Pursuant to Section 302 of the Sarbanes-Oxley Act of 2002.</w:t>
              </w:r>
            </w:hyperlink>
          </w:p>
        </w:tc>
      </w:tr>
      <w:tr>
        <w:trPr>
          <w:trHeight w:val="412"/>
        </w:trPr>
        <w:tc>
          <w:tcPr>
            <w:tcW w:w="20" w:type="dxa"/>
            <w:vAlign w:val="bottom"/>
          </w:tcPr>
          <w:p>
            <w:pPr>
              <w:spacing w:after="0"/>
              <w:rPr>
                <w:sz w:val="24"/>
                <w:szCs w:val="24"/>
                <w:color w:val="auto"/>
              </w:rPr>
            </w:pPr>
          </w:p>
        </w:tc>
        <w:tc>
          <w:tcPr>
            <w:tcW w:w="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(31.</w:t>
              </w:r>
              <w:r>
                <w:rPr>
                  <w:rFonts w:ascii="Arial" w:cs="Arial" w:eastAsia="Arial" w:hAnsi="Arial"/>
                  <w:sz w:val="18"/>
                  <w:szCs w:val="18"/>
                  <w:u w:val="single" w:color="auto"/>
                  <w:color w:val="0000EE"/>
                  <w:w w:val="89"/>
                </w:rPr>
                <w:t>2)</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of the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760" w:type="dxa"/>
            <w:vAlign w:val="bottom"/>
            <w:gridSpan w:val="10"/>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(32.</w:t>
              </w:r>
              <w:r>
                <w:rPr>
                  <w:rFonts w:ascii="Arial" w:cs="Arial" w:eastAsia="Arial" w:hAnsi="Arial"/>
                  <w:sz w:val="18"/>
                  <w:szCs w:val="18"/>
                  <w:u w:val="single" w:color="auto"/>
                  <w:color w:val="0000EE"/>
                  <w:w w:val="89"/>
                </w:rPr>
                <w:t>1)</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Certification pursuant to 18 U.S.C. Section 1350, as adopted pursuant to Section 906 of the Sarbanes-Oxley Act of 2002.</w:t>
              </w:r>
            </w:hyperlink>
          </w:p>
        </w:tc>
        <w:tc>
          <w:tcPr>
            <w:tcW w:w="1540" w:type="dxa"/>
            <w:vAlign w:val="bottom"/>
            <w:gridSpan w:val="9"/>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(32.</w:t>
              </w:r>
              <w:r>
                <w:rPr>
                  <w:rFonts w:ascii="Arial" w:cs="Arial" w:eastAsia="Arial" w:hAnsi="Arial"/>
                  <w:sz w:val="18"/>
                  <w:szCs w:val="18"/>
                  <w:u w:val="single" w:color="auto"/>
                  <w:color w:val="0000EE"/>
                  <w:w w:val="89"/>
                </w:rPr>
                <w:t>2)</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Certification pursuant to 18 U.S.C. Section 1350, as adopted pursuant to Section 906 of the Sarbanes-Oxley Act of 2002.</w:t>
              </w:r>
            </w:hyperlink>
          </w:p>
        </w:tc>
        <w:tc>
          <w:tcPr>
            <w:tcW w:w="1540" w:type="dxa"/>
            <w:vAlign w:val="bottom"/>
            <w:gridSpan w:val="9"/>
          </w:tcPr>
          <w:p>
            <w:pPr>
              <w:spacing w:after="0"/>
              <w:rPr>
                <w:sz w:val="24"/>
                <w:szCs w:val="24"/>
                <w:color w:val="auto"/>
              </w:rPr>
            </w:pPr>
          </w:p>
        </w:tc>
      </w:tr>
    </w:tbl>
    <w:p>
      <w:pPr>
        <w:spacing w:after="0" w:line="229" w:lineRule="exact"/>
        <w:rPr>
          <w:sz w:val="20"/>
          <w:szCs w:val="20"/>
          <w:color w:val="auto"/>
        </w:rPr>
      </w:pPr>
    </w:p>
    <w:p>
      <w:pPr>
        <w:ind w:left="1000" w:right="100" w:hanging="972"/>
        <w:spacing w:after="0" w:line="311"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BioCryst Pharmaceuticals, Inc. for the three months ended March 31, 2021, formatted in Inline XBRL: (i) Consolidated Balance Sheets, (ii) Consolidated Statements of Comprehensive Loss, (iii) Consolidated Statements of Cash Flows, and (iv) Notes to Consolidated Financial Statements, tagged as blocks of text and including detailed tags.</w:t>
      </w:r>
    </w:p>
    <w:p>
      <w:pPr>
        <w:spacing w:after="0" w:line="149" w:lineRule="exact"/>
        <w:rPr>
          <w:sz w:val="20"/>
          <w:szCs w:val="20"/>
          <w:color w:val="auto"/>
        </w:rPr>
      </w:pPr>
    </w:p>
    <w:p>
      <w:pPr>
        <w:ind w:left="1000" w:right="660" w:hanging="972"/>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this Quarterly Report on Form 10-Q for the quarter ended March 31, 2021 is formatted in Inline XBRL (contained in Exhibit 101).</w:t>
      </w:r>
    </w:p>
    <w:p>
      <w:pPr>
        <w:spacing w:after="0" w:line="170"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Filed or furnished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60" w:name="page61"/>
    <w:bookmarkEnd w:id="60"/>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7th day of May, 2021.</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BIOCRYST PHARMACEUTICALS, INC.</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24942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Jon P. Stonehouse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Anthony Doyle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24942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L. Jones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Director, Finance and Principal Accounting</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0340"/>
          </w:cols>
          <w:pgMar w:left="320" w:top="580" w:right="1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Helen Thackray,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7200 Pyle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MD 20817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Dr. Thackray:</w:t>
      </w:r>
    </w:p>
    <w:p>
      <w:pPr>
        <w:spacing w:after="0" w:line="225"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On behalf of BioCryst Pharmaceuticals, Inc., a Delaware corporation (the “Company”), we are pleased to offer you the position of Chief Research &amp; Development Officer. You will report directly to Jon Stonehouse, President &amp; CEO. We, along with the other members of the Company’s Board of Directors (the “Board”), and the Company’s management team, are all very impressed with you and what you will bring to the Company. We believe that with your background, you will make significant contributions to the success of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letter agreement (the “Agreement”) will serve to confirm our agreement with respect to the terms and conditions of your employment.</w:t>
      </w:r>
    </w:p>
    <w:p>
      <w:pPr>
        <w:spacing w:after="0" w:line="233"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 of Employment.</w:t>
      </w:r>
    </w:p>
    <w:p>
      <w:pPr>
        <w:spacing w:after="0" w:line="229" w:lineRule="exact"/>
        <w:rPr>
          <w:rFonts w:ascii="Arial" w:cs="Arial" w:eastAsia="Arial" w:hAnsi="Arial"/>
          <w:sz w:val="18"/>
          <w:szCs w:val="18"/>
          <w:b w:val="1"/>
          <w:bCs w:val="1"/>
          <w:color w:val="auto"/>
        </w:rPr>
      </w:pPr>
    </w:p>
    <w:p>
      <w:pPr>
        <w:ind w:left="660" w:right="280" w:hanging="328"/>
        <w:spacing w:after="0" w:line="25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Company hereby employs Helen Thackray (“Employee”) as Chief Research &amp; Development Officer as of the Effective Date (defined below). Employee shall commence employment remotely and remain working remotely unless or until business needs change. If business needs arise during the duration of your employment that are mutually agreed upon to require your presence in BioCryst’s corporate headquarters, the company will provide executive relocation assistance in accordance with BioCryst’s relocation policy.</w:t>
      </w:r>
    </w:p>
    <w:p>
      <w:pPr>
        <w:spacing w:after="0" w:line="187" w:lineRule="exact"/>
        <w:rPr>
          <w:rFonts w:ascii="Arial" w:cs="Arial" w:eastAsia="Arial" w:hAnsi="Arial"/>
          <w:sz w:val="18"/>
          <w:szCs w:val="18"/>
          <w:color w:val="auto"/>
        </w:rPr>
      </w:pPr>
    </w:p>
    <w:p>
      <w:pPr>
        <w:ind w:left="660" w:right="140" w:hanging="328"/>
        <w:spacing w:after="0" w:line="25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Employee shall devote substantially full-time attention to the business and affairs of the Company and its affiliates. Employee may (i) serve on corporate, civic, charitable or non-profit boards or committees, subject in all cases to the prior approval of the Board and other applicable written policies of the Company and its affiliates as in effect from time to time, and (ii) manage personal and family investments, participate in industry organizations and deliver lectures at educational institutions or events, so long as no such service or activity interferes, individually or in the aggregate, with the performance of Employee’s responsibilities hereunder.</w:t>
      </w:r>
    </w:p>
    <w:p>
      <w:pPr>
        <w:spacing w:after="0" w:line="187" w:lineRule="exact"/>
        <w:rPr>
          <w:rFonts w:ascii="Arial" w:cs="Arial" w:eastAsia="Arial" w:hAnsi="Arial"/>
          <w:sz w:val="18"/>
          <w:szCs w:val="18"/>
          <w:color w:val="auto"/>
        </w:rPr>
      </w:pPr>
    </w:p>
    <w:p>
      <w:pPr>
        <w:ind w:left="660" w:right="200" w:hanging="328"/>
        <w:spacing w:after="0" w:line="301" w:lineRule="auto"/>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term of employment of Employee under this Agreement shall begin no later than March 22, 2021 (such start date, the “Effective Date”) and terminate on the second anniversary of the Effective Date unless earlier terminated in accordance with the provisions of Section 4. In the event Employee is retained by the Company as Chief Research &amp; Development Officer past the second anniversary of the Effective Date, the terms of Employee’s employment shall continue to be governed by this Agreement unless otherwise provided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312" w:hanging="312"/>
        <w:spacing w:after="0"/>
        <w:tabs>
          <w:tab w:leader="none" w:pos="31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Basic Full-Time Compensation and Benefits.</w:t>
      </w:r>
    </w:p>
    <w:p>
      <w:pPr>
        <w:spacing w:after="0" w:line="229" w:lineRule="exact"/>
        <w:rPr>
          <w:rFonts w:ascii="Arial" w:cs="Arial" w:eastAsia="Arial" w:hAnsi="Arial"/>
          <w:sz w:val="18"/>
          <w:szCs w:val="18"/>
          <w:b w:val="1"/>
          <w:bCs w:val="1"/>
          <w:color w:val="auto"/>
        </w:rPr>
      </w:pPr>
    </w:p>
    <w:p>
      <w:pPr>
        <w:ind w:left="652" w:right="80" w:hanging="328"/>
        <w:spacing w:after="0" w:line="279" w:lineRule="auto"/>
        <w:tabs>
          <w:tab w:leader="none" w:pos="652" w:val="left"/>
        </w:tabs>
        <w:numPr>
          <w:ilvl w:val="1"/>
          <w:numId w:val="36"/>
        </w:numPr>
        <w:rPr>
          <w:rFonts w:ascii="Arial" w:cs="Arial" w:eastAsia="Arial" w:hAnsi="Arial"/>
          <w:sz w:val="17"/>
          <w:szCs w:val="17"/>
          <w:color w:val="auto"/>
        </w:rPr>
      </w:pPr>
      <w:r>
        <w:rPr>
          <w:rFonts w:ascii="Arial" w:cs="Arial" w:eastAsia="Arial" w:hAnsi="Arial"/>
          <w:sz w:val="17"/>
          <w:szCs w:val="17"/>
          <w:color w:val="auto"/>
        </w:rPr>
        <w:t>Commencing as of the Effective Date, as basic compensation for services rendered under this Agreement, Employee shall be entitled to receive from the Company a salary of $44,166 per month ($530,000 per annum) (the “Base Salary”), payable in accordance with the Company’s standard payroll practices as in effect from time to time during the term of this Agreement. The Base Salary will be reviewed annually by the Board or a committee thereof and may be raised at the discretion of the Board or such committee.</w:t>
      </w:r>
    </w:p>
    <w:p>
      <w:pPr>
        <w:spacing w:after="0" w:line="171" w:lineRule="exact"/>
        <w:rPr>
          <w:rFonts w:ascii="Arial" w:cs="Arial" w:eastAsia="Arial" w:hAnsi="Arial"/>
          <w:sz w:val="17"/>
          <w:szCs w:val="17"/>
          <w:color w:val="auto"/>
        </w:rPr>
      </w:pPr>
    </w:p>
    <w:p>
      <w:pPr>
        <w:ind w:left="652" w:right="20"/>
        <w:spacing w:after="0" w:line="277" w:lineRule="auto"/>
        <w:rPr>
          <w:rFonts w:ascii="Arial" w:cs="Arial" w:eastAsia="Arial" w:hAnsi="Arial"/>
          <w:sz w:val="17"/>
          <w:szCs w:val="17"/>
          <w:color w:val="auto"/>
        </w:rPr>
      </w:pPr>
      <w:r>
        <w:rPr>
          <w:rFonts w:ascii="Arial" w:cs="Arial" w:eastAsia="Arial" w:hAnsi="Arial"/>
          <w:sz w:val="18"/>
          <w:szCs w:val="18"/>
          <w:color w:val="auto"/>
        </w:rPr>
        <w:t>In addition to the Base Salary provided above, Employee shall be provided with a $210,000 bonus (“Signing Bonus”) payable six months after the Effective Date of this Agreement.</w:t>
      </w:r>
    </w:p>
    <w:p>
      <w:pPr>
        <w:spacing w:after="0" w:line="170" w:lineRule="exact"/>
        <w:rPr>
          <w:rFonts w:ascii="Arial" w:cs="Arial" w:eastAsia="Arial" w:hAnsi="Arial"/>
          <w:sz w:val="17"/>
          <w:szCs w:val="17"/>
          <w:color w:val="auto"/>
        </w:rPr>
      </w:pPr>
    </w:p>
    <w:p>
      <w:pPr>
        <w:ind w:left="652" w:right="20" w:hanging="328"/>
        <w:spacing w:after="0" w:line="290" w:lineRule="auto"/>
        <w:tabs>
          <w:tab w:leader="none" w:pos="652" w:val="left"/>
        </w:tabs>
        <w:numPr>
          <w:ilvl w:val="1"/>
          <w:numId w:val="36"/>
        </w:numPr>
        <w:rPr>
          <w:rFonts w:ascii="Arial" w:cs="Arial" w:eastAsia="Arial" w:hAnsi="Arial"/>
          <w:sz w:val="16"/>
          <w:szCs w:val="16"/>
          <w:color w:val="auto"/>
        </w:rPr>
      </w:pPr>
      <w:r>
        <w:rPr>
          <w:rFonts w:ascii="Arial" w:cs="Arial" w:eastAsia="Arial" w:hAnsi="Arial"/>
          <w:sz w:val="16"/>
          <w:szCs w:val="16"/>
          <w:color w:val="auto"/>
        </w:rPr>
        <w:t>Employee shall be eligible to earn a cash bonus, payable as soon as reasonably practicable in the calendar year following each calendar year during the term of this Agreement, based on the Company’s and/or Employee’s achievement of performance related goals proposed by management and approved by the Board or a committee thereof for the Company’s applicable fiscal year (the “Incentive Compensation”). The Incentive Compensation actually earned, if any, shall be determined in the sole discretion of the Board or a committee thereof and shall be based on a target amount equal to fifty percent (50%) of the Base Salary earned by Employee during such fiscal year (the “Target Amount”), which shall not be pro-rated for the first fiscal year of the term of this Agreement. The Board or a committee thereof may, in its discretion, approve an Incentive Compensation payment in excess of the Target Amount if the performance goals have been exceeded. Employee must be employed through April 1 of the next succeeding fiscal year in order to receive the Incentive Compensation payment for each fiscal year.</w:t>
      </w:r>
    </w:p>
    <w:p>
      <w:pPr>
        <w:spacing w:after="0" w:line="165" w:lineRule="exact"/>
        <w:rPr>
          <w:rFonts w:ascii="Arial" w:cs="Arial" w:eastAsia="Arial" w:hAnsi="Arial"/>
          <w:sz w:val="16"/>
          <w:szCs w:val="16"/>
          <w:color w:val="auto"/>
        </w:rPr>
      </w:pPr>
    </w:p>
    <w:p>
      <w:pPr>
        <w:ind w:left="652" w:right="100" w:hanging="328"/>
        <w:spacing w:after="0" w:line="263" w:lineRule="auto"/>
        <w:tabs>
          <w:tab w:leader="none" w:pos="652" w:val="left"/>
        </w:tabs>
        <w:numPr>
          <w:ilvl w:val="1"/>
          <w:numId w:val="36"/>
        </w:numPr>
        <w:rPr>
          <w:rFonts w:ascii="Arial" w:cs="Arial" w:eastAsia="Arial" w:hAnsi="Arial"/>
          <w:sz w:val="18"/>
          <w:szCs w:val="18"/>
          <w:color w:val="auto"/>
        </w:rPr>
      </w:pPr>
      <w:r>
        <w:rPr>
          <w:rFonts w:ascii="Arial" w:cs="Arial" w:eastAsia="Arial" w:hAnsi="Arial"/>
          <w:sz w:val="18"/>
          <w:szCs w:val="18"/>
          <w:color w:val="auto"/>
        </w:rPr>
        <w:t>Employee shall be entitled to receive such other benefits and perquisites provided to similarly situated executive officers of the Company, subject to modification or termination at any time, which benefits may include, without limitation, reasonable paid time off (PTO), medical, dental and vision benefits, life insurance, and participation in profit sharing or retirement plans.</w:t>
      </w:r>
    </w:p>
    <w:p>
      <w:pPr>
        <w:spacing w:after="0" w:line="179" w:lineRule="exact"/>
        <w:rPr>
          <w:rFonts w:ascii="Arial" w:cs="Arial" w:eastAsia="Arial" w:hAnsi="Arial"/>
          <w:sz w:val="18"/>
          <w:szCs w:val="18"/>
          <w:color w:val="auto"/>
        </w:rPr>
      </w:pPr>
    </w:p>
    <w:p>
      <w:pPr>
        <w:ind w:left="312" w:hanging="312"/>
        <w:spacing w:after="0"/>
        <w:tabs>
          <w:tab w:leader="none" w:pos="31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Based Equity Awards.</w:t>
      </w:r>
    </w:p>
    <w:p>
      <w:pPr>
        <w:spacing w:after="0" w:line="229" w:lineRule="exact"/>
        <w:rPr>
          <w:rFonts w:ascii="Arial" w:cs="Arial" w:eastAsia="Arial" w:hAnsi="Arial"/>
          <w:sz w:val="18"/>
          <w:szCs w:val="18"/>
          <w:b w:val="1"/>
          <w:bCs w:val="1"/>
          <w:color w:val="auto"/>
        </w:rPr>
      </w:pPr>
    </w:p>
    <w:p>
      <w:pPr>
        <w:ind w:left="652" w:hanging="328"/>
        <w:spacing w:after="0" w:line="254" w:lineRule="auto"/>
        <w:tabs>
          <w:tab w:leader="none" w:pos="65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shall grant to Employee (i) an option to purchase 400,000 shares of the Company’s common stock (“Common Stock”), with an exercise price equal to the fair market value of the Common Stock on the date of the grant (the “Initial Option”); and (ii) restricted stock units for 100,000 shares of Common Stock (the “Initial RSUs” and together with the Initial Option, the “Initial Equity Grants”). The grant date of the Initial Equity Grants shall be the last day of the month that the Employee begins employment under this Agreement. The Initial Equity Grants shall be granted under and subject to the terms of the Company’s Inducement Equity Incentive Plan, effective as of July 17, 2020, or the Company’s Stock Incentive Plan, effective as of March 19, 2020, as applicable and as the same may be amended and restated from time to time, and subject to the terms of one or more award agreements between Employee and the Company, which Employee will be required to execute as a condition of the grant.</w:t>
      </w:r>
    </w:p>
    <w:p>
      <w:pPr>
        <w:spacing w:after="0" w:line="1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63" w:name="page64"/>
    <w:bookmarkEnd w:id="63"/>
    <w:p>
      <w:pPr>
        <w:jc w:val="both"/>
        <w:ind w:left="652" w:right="740" w:hanging="328"/>
        <w:spacing w:after="0" w:line="263" w:lineRule="auto"/>
        <w:tabs>
          <w:tab w:leader="none" w:pos="6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Initial Option shall vest and become exercisable, contingent on Employee’s continued provision of services to the Company on each respective vesting date, over a period of four (4) years, vesting with respect to 100,000 shares of Common Stock on each of the first four anniversaries of the grant date until fully vested.</w:t>
      </w:r>
    </w:p>
    <w:p>
      <w:pPr>
        <w:spacing w:after="0" w:line="183" w:lineRule="exact"/>
        <w:rPr>
          <w:rFonts w:ascii="Arial" w:cs="Arial" w:eastAsia="Arial" w:hAnsi="Arial"/>
          <w:sz w:val="18"/>
          <w:szCs w:val="18"/>
          <w:color w:val="auto"/>
        </w:rPr>
      </w:pPr>
    </w:p>
    <w:p>
      <w:pPr>
        <w:ind w:left="652" w:right="220" w:hanging="328"/>
        <w:spacing w:after="0" w:line="263" w:lineRule="auto"/>
        <w:tabs>
          <w:tab w:leader="none" w:pos="6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Initial RSUs shall vest, contingent on Employee’s continued provision of services to the Company on each respective vesting date, over a period of four (4) years, vesting with respect to 25,000 shares of Common Stock on each of the first four (4) anniversaries of the grant date until fully vested.</w:t>
      </w:r>
    </w:p>
    <w:p>
      <w:pPr>
        <w:spacing w:after="0" w:line="183" w:lineRule="exact"/>
        <w:rPr>
          <w:rFonts w:ascii="Arial" w:cs="Arial" w:eastAsia="Arial" w:hAnsi="Arial"/>
          <w:sz w:val="18"/>
          <w:szCs w:val="18"/>
          <w:color w:val="auto"/>
        </w:rPr>
      </w:pPr>
    </w:p>
    <w:p>
      <w:pPr>
        <w:jc w:val="both"/>
        <w:ind w:left="652" w:right="280" w:hanging="328"/>
        <w:spacing w:after="0" w:line="259" w:lineRule="auto"/>
        <w:tabs>
          <w:tab w:leader="none" w:pos="6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During the term of this Agreement, Employee shall be eligible to receive equity-based compensation as determined in the sole discretion of the Board or a committee thereof, which may be subject to the achievement of certain performance targets set by the Board or such committee. All such equity-based awards shall be subject to the terms and conditions set forth in the Company’s Stock Incentive Plan as in effect from time to time and award agreements issued thereunder.</w:t>
      </w:r>
    </w:p>
    <w:p>
      <w:pPr>
        <w:spacing w:after="0" w:line="182" w:lineRule="exact"/>
        <w:rPr>
          <w:rFonts w:ascii="Arial" w:cs="Arial" w:eastAsia="Arial" w:hAnsi="Arial"/>
          <w:sz w:val="18"/>
          <w:szCs w:val="18"/>
          <w:color w:val="auto"/>
        </w:rPr>
      </w:pPr>
    </w:p>
    <w:p>
      <w:pPr>
        <w:ind w:left="312" w:hanging="312"/>
        <w:spacing w:after="0"/>
        <w:tabs>
          <w:tab w:leader="none" w:pos="31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b w:val="1"/>
          <w:bCs w:val="1"/>
          <w:color w:val="auto"/>
        </w:rPr>
      </w:pPr>
    </w:p>
    <w:p>
      <w:pPr>
        <w:ind w:left="652" w:hanging="328"/>
        <w:spacing w:after="0" w:line="289" w:lineRule="auto"/>
        <w:tabs>
          <w:tab w:leader="none" w:pos="652"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Employee’s employment is terminated by the Company for Cause or by Employee other than pursuant to a Constructive Termination, or due to the expiration of the stated term of this Agreement or Employee’s death or Disability, the Company shall pay Employee (i) any accrued and unpaid Base Salary, payable on the next payroll date; (ii) reimbursement for any and all monies advanced or expenses incurred in connection with Employee’s employment for reasonable and necessary expenses incurred by Employee on behalf of the Company for the period ending on the termination date, which amount shall be reimbursed within thirty (30) days of the Company’s receipt of proper documentation from Employee; (iii) any compensation that Employee had previously deferred (including any interest earned or credited thereon), in accordance with the terms and conditions of the applicable deferred compensation plans or arrangements then in effect, to the extent vested as of Employee’s termination date, paid pursuant to the terms of such plans or arrangements; and (iv) any vested amount or benefit payable under any benefit plan or program in accordance with the terms thereof (the foregoing items in this Section 4(a), the “Accrued Obligations”).</w:t>
      </w:r>
    </w:p>
    <w:p>
      <w:pPr>
        <w:spacing w:after="0" w:line="166" w:lineRule="exact"/>
        <w:rPr>
          <w:sz w:val="20"/>
          <w:szCs w:val="20"/>
          <w:color w:val="auto"/>
        </w:rPr>
      </w:pPr>
    </w:p>
    <w:p>
      <w:pPr>
        <w:ind w:left="652" w:right="20"/>
        <w:spacing w:after="0" w:line="286" w:lineRule="auto"/>
        <w:rPr>
          <w:sz w:val="20"/>
          <w:szCs w:val="20"/>
          <w:color w:val="auto"/>
        </w:rPr>
      </w:pPr>
      <w:r>
        <w:rPr>
          <w:rFonts w:ascii="Arial" w:cs="Arial" w:eastAsia="Arial" w:hAnsi="Arial"/>
          <w:sz w:val="16"/>
          <w:szCs w:val="16"/>
          <w:color w:val="auto"/>
        </w:rPr>
        <w:t>For all purposes under this Agreement, a termination for “Cause” shall mean a determination by the Board that Employee’s employment be terminated for any of the following reasons: (i) failure or refusal to comply in any material respect with lawful policies, standards or regulations of the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w:t>
      </w:r>
    </w:p>
    <w:p>
      <w:pPr>
        <w:spacing w:after="0" w:line="1" w:lineRule="exact"/>
        <w:rPr>
          <w:sz w:val="20"/>
          <w:szCs w:val="20"/>
          <w:color w:val="auto"/>
        </w:rPr>
      </w:pPr>
    </w:p>
    <w:p>
      <w:pPr>
        <w:ind w:left="652" w:right="60" w:hanging="4"/>
        <w:spacing w:after="0" w:line="302" w:lineRule="auto"/>
        <w:tabs>
          <w:tab w:leader="none" w:pos="907"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breach in any material respect of the terms of any confidentiality, invention assignment or proprietary information agreement with the Company or with a former employer, (vi) failure to satisfactorily perform Employee’s duties after having received written notice of such failure and at least thirty (30) days to cure such failure, or (vii) misconduct or gross negligence in connection with the performance of Employee’s duties.</w:t>
      </w:r>
    </w:p>
    <w:p>
      <w:pPr>
        <w:spacing w:after="0" w:line="1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64" w:name="page65"/>
    <w:bookmarkEnd w:id="64"/>
    <w:p>
      <w:pPr>
        <w:ind w:left="328" w:right="260"/>
        <w:spacing w:after="0" w:line="342" w:lineRule="auto"/>
        <w:rPr>
          <w:sz w:val="20"/>
          <w:szCs w:val="20"/>
          <w:color w:val="auto"/>
        </w:rPr>
      </w:pPr>
      <w:r>
        <w:rPr>
          <w:rFonts w:ascii="Arial" w:cs="Arial" w:eastAsia="Arial" w:hAnsi="Arial"/>
          <w:sz w:val="16"/>
          <w:szCs w:val="16"/>
          <w:color w:val="auto"/>
        </w:rPr>
        <w:t>For all purposes under this Agreement, “Disability” shall mean the inability of Employee to perform Employee’s duties hereunder by reason of physical or mental incapacity for ninety (90) days, whether consecutive or not, during any consecutive twelve (12) month period.</w:t>
      </w:r>
    </w:p>
    <w:p>
      <w:pPr>
        <w:spacing w:after="0" w:line="124" w:lineRule="exact"/>
        <w:rPr>
          <w:sz w:val="20"/>
          <w:szCs w:val="20"/>
          <w:color w:val="auto"/>
        </w:rPr>
      </w:pPr>
    </w:p>
    <w:p>
      <w:pPr>
        <w:ind w:left="328" w:hanging="328"/>
        <w:spacing w:after="0" w:line="269" w:lineRule="auto"/>
        <w:tabs>
          <w:tab w:leader="none" w:pos="3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Employee’s employment is terminated by the Company without Cause, or by Employee pursuant to a Constructive Termination, then Employee will receive any Accrued Obligations and, subject to Section 4(c), Employee will receive the following: (i) continuation of Base Salary for one (1) year following the effective termination date, payable in accordance with the regular payroll practices of the Company; (ii) payment of one times Employee’s annual target Incentive Compensation in effect for the fiscal year in which Employee’s termination date occurs, payable in equal installments over the regularly scheduled payroll periods of the Company for the one year following the effective date of termination; and (iii) if Employee elects to continue health insurance coverage under the Consolidated Omnibus Budget Reconciliation Act of 1985, as amended (“COBRA”), following termination of employment, the Company shall pay the monthly premium under COBRA on the same basis as active employees until the earlier of (x) 12 months following the effective termination date, or (y) the date upon which Employee commences employment with an entity other than the Company. Employee will notify the Company in writing within five (5) days of Employee’s receipt of an offer of employment with any entity other than the Company, and will accordingly identify the date upon which Employee will commence employment in such writing (clauses (i) through (iii), “Severance”).</w:t>
      </w:r>
    </w:p>
    <w:p>
      <w:pPr>
        <w:spacing w:after="0" w:line="181" w:lineRule="exact"/>
        <w:rPr>
          <w:rFonts w:ascii="Arial" w:cs="Arial" w:eastAsia="Arial" w:hAnsi="Arial"/>
          <w:sz w:val="17"/>
          <w:szCs w:val="17"/>
          <w:color w:val="auto"/>
        </w:rPr>
      </w:pPr>
    </w:p>
    <w:p>
      <w:pPr>
        <w:ind w:left="328"/>
        <w:spacing w:after="0" w:line="267" w:lineRule="auto"/>
        <w:rPr>
          <w:rFonts w:ascii="Arial" w:cs="Arial" w:eastAsia="Arial" w:hAnsi="Arial"/>
          <w:sz w:val="17"/>
          <w:szCs w:val="17"/>
          <w:color w:val="auto"/>
        </w:rPr>
      </w:pPr>
      <w:r>
        <w:rPr>
          <w:rFonts w:ascii="Arial" w:cs="Arial" w:eastAsia="Arial" w:hAnsi="Arial"/>
          <w:sz w:val="17"/>
          <w:szCs w:val="17"/>
          <w:color w:val="auto"/>
        </w:rPr>
        <w:t>For all purposes under this Agreement, “Change of Control” shall mean: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fifty percent (50%) or more of the combined voting power of the surviving entity or the ultimate parent thereof outstanding immediately after such merger or consolidation and (B) immediately following which the individuals who comprise the Board immediately prior thereto constitute fifty percent (50%) or more of the board of directors of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(within the meaning of Rule 13d-3 of the Securities Exchange Act of 1934, as amended (the “1934 Act”)),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of the Company’s outstanding securities pursuant to a tender or exchange offer made directly to the Company’s stockholders; or (iv) a change in the composition of the Board over a period of twelve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spacing w:after="0" w:line="18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4" w:right="359" w:bottom="1440" w:gutter="0" w:footer="0" w:header="0"/>
        </w:sectPr>
      </w:pPr>
    </w:p>
    <w:bookmarkStart w:id="65" w:name="page66"/>
    <w:bookmarkEnd w:id="65"/>
    <w:p>
      <w:pPr>
        <w:ind w:left="660" w:right="140"/>
        <w:spacing w:after="0" w:line="291" w:lineRule="auto"/>
        <w:rPr>
          <w:sz w:val="20"/>
          <w:szCs w:val="20"/>
          <w:color w:val="auto"/>
        </w:rPr>
      </w:pPr>
      <w:r>
        <w:rPr>
          <w:rFonts w:ascii="Arial" w:cs="Arial" w:eastAsia="Arial" w:hAnsi="Arial"/>
          <w:sz w:val="16"/>
          <w:szCs w:val="16"/>
          <w:color w:val="auto"/>
        </w:rPr>
        <w:t>For all purposes under this Agreement, “Constructive Termination” shall mean a resignation of employment within 30 days of the occurrence of any of the following events which occurs within 6 months following a Change of Control: (i) a material reduction in Employee’s responsibilities;</w:t>
      </w:r>
    </w:p>
    <w:p>
      <w:pPr>
        <w:ind w:left="660" w:right="280"/>
        <w:spacing w:after="0" w:line="255" w:lineRule="auto"/>
        <w:rPr>
          <w:sz w:val="20"/>
          <w:szCs w:val="20"/>
          <w:color w:val="auto"/>
        </w:rPr>
      </w:pPr>
      <w:r>
        <w:rPr>
          <w:rFonts w:ascii="Arial" w:cs="Arial" w:eastAsia="Arial" w:hAnsi="Arial"/>
          <w:sz w:val="18"/>
          <w:szCs w:val="18"/>
          <w:color w:val="auto"/>
        </w:rPr>
        <w:t>(ii) a material reduction in Employee’s Base Salary, unless such reduction is comparable in percentage to, and is part of, a reduction in the base salary of all executive officers of the Company; or (iii) a relocation of Employee’s principal office to a location more than 50 miles from the location of Employee’s principal office immediately preceding a Change of Control.</w:t>
      </w:r>
    </w:p>
    <w:p>
      <w:pPr>
        <w:spacing w:after="0" w:line="189" w:lineRule="exact"/>
        <w:rPr>
          <w:sz w:val="20"/>
          <w:szCs w:val="20"/>
          <w:color w:val="auto"/>
        </w:rPr>
      </w:pPr>
    </w:p>
    <w:p>
      <w:pPr>
        <w:ind w:left="660" w:hanging="328"/>
        <w:spacing w:after="0" w:line="272"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Company’s obligation to provide Severance is conditioned upon Employee returning to the Company all of its property and confidential information that is in Employee’s possession and Employee’s execution and non-revocation of an enforceable release of claims (the “Release”). If Employee chooses not to execute the Release, revokes Employee’s execution of the Release, or fails to comply with the terms of the Release, then the Company shall have no obligation to provide Severance and such Severance amount is subject to recoupment by the Company. The Release shall be provided to Employee no later than seven (7) days following Employee’s separation from service and Employee must execute it within the time period specified in the Release (which shall not be longer than forty-five (45) days from the date of receipt). The Release shall not be effective until any applicable revocation period has expired.</w:t>
      </w:r>
    </w:p>
    <w:p>
      <w:pPr>
        <w:spacing w:after="0" w:line="173" w:lineRule="exact"/>
        <w:rPr>
          <w:rFonts w:ascii="Arial" w:cs="Arial" w:eastAsia="Arial" w:hAnsi="Arial"/>
          <w:sz w:val="17"/>
          <w:szCs w:val="17"/>
          <w:color w:val="auto"/>
        </w:rPr>
      </w:pPr>
    </w:p>
    <w:p>
      <w:pPr>
        <w:ind w:left="320" w:hanging="312"/>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 Proprietary Information and Inventions.</w:t>
      </w:r>
    </w:p>
    <w:p>
      <w:pPr>
        <w:spacing w:after="0" w:line="229" w:lineRule="exact"/>
        <w:rPr>
          <w:rFonts w:ascii="Arial" w:cs="Arial" w:eastAsia="Arial" w:hAnsi="Arial"/>
          <w:sz w:val="18"/>
          <w:szCs w:val="18"/>
          <w:b w:val="1"/>
          <w:bCs w:val="1"/>
          <w:color w:val="auto"/>
        </w:rPr>
      </w:pPr>
    </w:p>
    <w:p>
      <w:pPr>
        <w:ind w:left="660" w:right="600" w:hanging="328"/>
        <w:spacing w:after="0" w:line="311"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Proprietary Information and Inventions Agreement; Non-Competition and Non-Solicitation Agreement</w:t>
      </w:r>
      <w:r>
        <w:rPr>
          <w:rFonts w:ascii="Arial" w:cs="Arial" w:eastAsia="Arial" w:hAnsi="Arial"/>
          <w:sz w:val="16"/>
          <w:szCs w:val="16"/>
          <w:color w:val="auto"/>
        </w:rPr>
        <w:t>. As a condition precedent to the employment of Employee by the Company, Employee shall execute (i) the Company’s Proprietary Information and Inventions Agreement, attached hereto as Exhibit A, and (ii) the Company’s Non-Competition and Non-Solicitation Agreement, attached hereto as Exhibit B.</w:t>
      </w:r>
    </w:p>
    <w:p>
      <w:pPr>
        <w:spacing w:after="0" w:line="148" w:lineRule="exact"/>
        <w:rPr>
          <w:rFonts w:ascii="Arial" w:cs="Arial" w:eastAsia="Arial" w:hAnsi="Arial"/>
          <w:sz w:val="16"/>
          <w:szCs w:val="16"/>
          <w:color w:val="auto"/>
        </w:rPr>
      </w:pPr>
    </w:p>
    <w:p>
      <w:pPr>
        <w:ind w:left="660" w:right="100" w:hanging="328"/>
        <w:spacing w:after="0" w:line="25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Employee acknowledges and recognizes that a violation of the Proprietary Information and Inventions Agreement or the Non-Competition and Non-Solicitation Agreement by Employee may cause irreparable and substantial damage and harm to the Company or its affiliates, could constitute a failure of consideration, and that money damages will not provide a full remedy for the Company for such violations. Employee agrees that in the event of Employee’s breach of the Proprietary Information and Inventions Agreement or the Non-Competition and Non-Solicitation Agreement, the Company will be entitled, if it so elects, to institute and prosecute proceedings at law or in equity to obtain damages with respect to such breach, to enforce the specific performance of such agreement(s) by Employee, and to enjoin Employee from engaging in any activity in violation hereof.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ind w:left="320" w:hanging="312"/>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left="660" w:right="100" w:hanging="328"/>
        <w:spacing w:after="0" w:line="301" w:lineRule="auto"/>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exhibits hereto, constitutes the entire agreement between the parties relating to the employment of Employee by the Company and there are no terms relating to such employment other than those contained in this Agreement. No modification or variation hereof shall be deemed valid unless in writing and signed by the parties hereto. No waiver by either party of any provision or condition of this Agreement shall be deemed a waiver of similar or dissimilar provisions or conditions at any time.</w:t>
      </w:r>
    </w:p>
    <w:p>
      <w:pPr>
        <w:spacing w:after="0" w:line="157" w:lineRule="exact"/>
        <w:rPr>
          <w:rFonts w:ascii="Arial" w:cs="Arial" w:eastAsia="Arial" w:hAnsi="Arial"/>
          <w:sz w:val="16"/>
          <w:szCs w:val="16"/>
          <w:color w:val="auto"/>
        </w:rPr>
      </w:pPr>
    </w:p>
    <w:p>
      <w:pPr>
        <w:ind w:left="660" w:right="320" w:hanging="328"/>
        <w:spacing w:after="0" w:line="263"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may not be assigned without prior written consent of the parties hereto. To the extent allowable pursuant to this Agreement, this Agreement shall be binding upon and shall inure to the benefit of each of the parties hereto and their respective executors, administrators, personal representatives, heirs, successors and assigns.</w:t>
      </w:r>
    </w:p>
    <w:p>
      <w:pPr>
        <w:spacing w:after="0" w:line="183" w:lineRule="exact"/>
        <w:rPr>
          <w:rFonts w:ascii="Arial" w:cs="Arial" w:eastAsia="Arial" w:hAnsi="Arial"/>
          <w:sz w:val="18"/>
          <w:szCs w:val="18"/>
          <w:color w:val="auto"/>
        </w:rPr>
      </w:pPr>
    </w:p>
    <w:p>
      <w:pPr>
        <w:ind w:left="660" w:right="160" w:hanging="328"/>
        <w:spacing w:after="0" w:line="308" w:lineRule="auto"/>
        <w:tabs>
          <w:tab w:leader="none" w:pos="660"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or other communication given or rendered hereunder by any party hereto shall be in writing and delivered personally or sent by registered or certified mail, postage prepaid, at the respective addresses of the parties hereto as set forth below.</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section headings contained herein are inserted only as a matter of convenience and reference and in no way define, limit or describe the scope of this Agreement or the intent of any provision hereof.</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All amounts to be paid to Employee hereunder are in the nature of compensation for Employee’s employment by the Company, and shall be subject to withholding, income, occupation and payroll taxes and other charges applicable to such compensation.</w:t>
      </w:r>
    </w:p>
    <w:p>
      <w:pPr>
        <w:spacing w:after="0" w:line="146" w:lineRule="exact"/>
        <w:rPr>
          <w:rFonts w:ascii="Arial" w:cs="Arial" w:eastAsia="Arial" w:hAnsi="Arial"/>
          <w:sz w:val="17"/>
          <w:szCs w:val="17"/>
          <w:color w:val="auto"/>
        </w:rPr>
      </w:pPr>
    </w:p>
    <w:p>
      <w:pPr>
        <w:ind w:left="660" w:right="20" w:hanging="328"/>
        <w:spacing w:after="0" w:line="285" w:lineRule="auto"/>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parties intend for the payments and benefits under this Agreement to be exempt from Section 409A of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the Company shall reasonably confer with Employee in order to modify or amend this Agreement to comply with Section 409A of the Code and to do so in a manner to best preserve the economic benefit of this Agreement. Notwithstanding anything contained herein to the contrary, (i) in the event (A) any payments described in Section 4 would be “deferred compensation” subject to Section 409A of the Internal Revenue Code of 1986, as amended (the “Code”); and (B) Employee is a “specified employee” (as defined in Code Section 409A(2)(B)(i)), such payments shall, to the extent required by Code Section 409A, be delayed for the minimum period and in the minimum manner necessary to avoid the imposition of the tax required by Section 409A of the Code; (ii) each amount to be paid or benefit to be provided under this Agreement shall be construed as a separately identified payment for purposes of Section 409A of the Code; (iii) any payments that are due within the “short term deferral period” as defined in Section 409A of the Code shall not be treated as deferred compensation unless applicable law requires otherwise; and (iv) amounts reimbursable to Employee under this Agreement shall be paid to Employee on or before the last day of the year following the year in which the expense was incurred and the amount of expenses eligible for reimbursement (and in-kind benefits provided to Employee) during any one (1) year may not affect amounts reimbursable or provided in any subsequent year. Notwithstanding anything in this Agreement to the contrary, in the event any payments hereunder could occur in one of two calendar years as a result of being dependent upon the Release becoming nonrevocable, then, to the extent required to avoid the imposition of taxes or penalties under Section 409A of the Code, such payments shall commence on the first regularly scheduled payroll date of the Company, following the date the Release becomes nonrevocable, that occurs in the second of such two calendar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ind w:left="328" w:hanging="328"/>
        <w:spacing w:after="0" w:line="285" w:lineRule="auto"/>
        <w:tabs>
          <w:tab w:leader="none" w:pos="32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Golden Parachute Provisions</w:t>
      </w:r>
      <w:r>
        <w:rPr>
          <w:rFonts w:ascii="Arial" w:cs="Arial" w:eastAsia="Arial" w:hAnsi="Arial"/>
          <w:sz w:val="16"/>
          <w:szCs w:val="16"/>
          <w:color w:val="auto"/>
        </w:rPr>
        <w:t>. If it is determined that any payment or benefit provided by the Company to or for the benefit of Employee, whether paid or payable or distributed or distributable pursuant to the terms of this Agreement or otherwise, including, by example and not by way of limitation, acceleration by the Company or otherwise of the date of vesting or payment under any plan, program, arrangement or agreement of the Company would be subject to the excise tax imposed by Internal Revenue Code section 4999 or any interest or penalties with respect to such excise tax (such excise tax together with any such interest and penalties, shall be referred to as the “Excise Tax”), then the Company shall first make a calculation under which such payments or benefits provided to Employee are reduced to the extent necessary so that no portion thereof shall be subject to the Excise Tax (the “4999 Limit”). The Company shall then compare (i) Employee’s Net After-Tax Benefit (as defined below) assuming application of the 4999 Limit with (ii) Employee’s Net After-Tax Benefit without application of the 4999 Limit. Employee shall be entitled to the greater of (i) or (ii). “Net After-Tax Benefit” shall mean the sum of (x) all payments that Employee receives or is entitled to receive that are contingent on a change in the ownership or effective control of the Company or in the ownership of a substantial portion of the assets of the Company within the meaning of Internal Revenue Code section 280G(b)(2), less (y) the amount of federal, state, local, employment, and Excise Tax (if any) imposed with respect to such payments. Any reduction pursuant to this Section 6(g)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“Parachute Payment Ratio” shall mean a fraction the numerator of which is the value of the applicable “parachute payment” for purposes of Internal Revenue Code Section 280G and the denominator of which is the actual present value of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584" w:right="379" w:bottom="1440" w:gutter="0" w:footer="0" w:header="0"/>
        </w:sectPr>
      </w:pPr>
    </w:p>
    <w:bookmarkStart w:id="68" w:name="page69"/>
    <w:bookmarkEnd w:id="68"/>
    <w:p>
      <w:pPr>
        <w:ind w:left="328" w:hanging="328"/>
        <w:spacing w:after="0" w:line="277"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and shall be governed by and construed in accordance with the laws of the State of North Carolina without respect to its conflicts of law principles.</w:t>
      </w:r>
    </w:p>
    <w:p>
      <w:pPr>
        <w:spacing w:after="0" w:line="170" w:lineRule="exact"/>
        <w:rPr>
          <w:sz w:val="20"/>
          <w:szCs w:val="20"/>
          <w:color w:val="auto"/>
        </w:rPr>
      </w:pPr>
    </w:p>
    <w:p>
      <w:pPr>
        <w:jc w:val="center"/>
        <w:ind w:right="-147"/>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8"/>
          </w:cols>
          <w:pgMar w:left="652" w:top="584" w:right="819" w:bottom="1440" w:gutter="0" w:footer="0" w:header="0"/>
        </w:sectPr>
      </w:pPr>
    </w:p>
    <w:bookmarkStart w:id="69" w:name="page70"/>
    <w:bookmarkEnd w:id="69"/>
    <w:p>
      <w:pPr>
        <w:ind w:right="80" w:firstLine="450"/>
        <w:spacing w:after="0" w:line="277" w:lineRule="auto"/>
        <w:rPr>
          <w:sz w:val="20"/>
          <w:szCs w:val="20"/>
          <w:color w:val="auto"/>
        </w:rPr>
      </w:pPr>
      <w:r>
        <w:rPr>
          <w:rFonts w:ascii="Arial" w:cs="Arial" w:eastAsia="Arial" w:hAnsi="Arial"/>
          <w:sz w:val="18"/>
          <w:szCs w:val="18"/>
          <w:color w:val="auto"/>
        </w:rPr>
        <w:t>If the foregoing correctly sets forth our understanding, please signify your acceptance of such terms by executing this Agreement, thereby signifying your assent, as indicated below.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BIOCRYST PHARMACEUTICALS,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Stonehouse</w:t>
            </w:r>
          </w:p>
        </w:tc>
      </w:tr>
      <w:tr>
        <w:trPr>
          <w:trHeight w:val="195"/>
        </w:trPr>
        <w:tc>
          <w:tcPr>
            <w:tcW w:w="122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Jon Stonehouse</w:t>
            </w:r>
          </w:p>
        </w:tc>
      </w:tr>
      <w:tr>
        <w:trPr>
          <w:trHeight w:val="230"/>
        </w:trPr>
        <w:tc>
          <w:tcPr>
            <w:tcW w:w="12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Cc:</w:t>
            </w:r>
          </w:p>
        </w:tc>
        <w:tc>
          <w:tcPr>
            <w:tcW w:w="4380" w:type="dxa"/>
            <w:vAlign w:val="bottom"/>
          </w:tcPr>
          <w:p>
            <w:pPr>
              <w:spacing w:after="0"/>
              <w:rPr>
                <w:sz w:val="20"/>
                <w:szCs w:val="20"/>
                <w:color w:val="auto"/>
              </w:rPr>
            </w:pPr>
            <w:r>
              <w:rPr>
                <w:rFonts w:ascii="Arial" w:cs="Arial" w:eastAsia="Arial" w:hAnsi="Arial"/>
                <w:sz w:val="18"/>
                <w:szCs w:val="18"/>
                <w:color w:val="auto"/>
              </w:rPr>
              <w:t>Stephanie Angelini</w:t>
            </w:r>
          </w:p>
        </w:tc>
      </w:tr>
      <w:tr>
        <w:trPr>
          <w:trHeight w:val="230"/>
        </w:trPr>
        <w:tc>
          <w:tcPr>
            <w:tcW w:w="12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Senior Vice President Human Resources</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Sign:</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 Thackray</w:t>
            </w:r>
          </w:p>
        </w:tc>
      </w:tr>
      <w:tr>
        <w:trPr>
          <w:trHeight w:val="224"/>
        </w:trPr>
        <w:tc>
          <w:tcPr>
            <w:tcW w:w="11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Helen Thackray, MD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EMPLOYEE’S PROPRIETARY INFORMATION AND INVENTIONS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 Helen Thackray, recognize that BioCryst Pharmaceuticals, Inc., a Delaware corporation (the “Company” and together with its subsidiaries, including existing and future subsidiaries, the “Company Group”), is engaged in a continuous program of research, development, and production respecting its business, present and future, including fields generally related to its business.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understand that:</w:t>
      </w:r>
    </w:p>
    <w:p>
      <w:pPr>
        <w:spacing w:after="0" w:line="225" w:lineRule="exact"/>
        <w:rPr>
          <w:sz w:val="20"/>
          <w:szCs w:val="20"/>
          <w:color w:val="auto"/>
        </w:rPr>
      </w:pPr>
    </w:p>
    <w:p>
      <w:pPr>
        <w:jc w:val="both"/>
        <w:ind w:left="660" w:right="2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part of my employment by a member of the Company Group, I will faithfully and diligently serve and endeavor to further and safeguard the interests of the Company Group, and I recognize that I am expected to make new contributions and inventions of value to the Company Group;</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My employment creates a relationship of confidence and trust between me and the Company Group with respect to any information:</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applicable to the business of the Company Group; or</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applicable to the business of any client or customer of the Company Group,</w:t>
      </w:r>
    </w:p>
    <w:p>
      <w:pPr>
        <w:spacing w:after="0" w:line="22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in each case which may be made known to me by any member of the Company Group or by any client or customer thereof or learned by me during the period of my employment.</w:t>
      </w:r>
    </w:p>
    <w:p>
      <w:pPr>
        <w:spacing w:after="0" w:line="170" w:lineRule="exact"/>
        <w:rPr>
          <w:sz w:val="20"/>
          <w:szCs w:val="20"/>
          <w:color w:val="auto"/>
        </w:rPr>
      </w:pPr>
    </w:p>
    <w:p>
      <w:pPr>
        <w:ind w:left="660" w:hanging="328"/>
        <w:spacing w:after="0" w:line="255"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Group possesses and will continue to possess information that has been created, discovered or developed by, or assigned, disclosed or otherwise become known to, it (including without limitation information created, discovered, developed, disclosed or made known by me during the period of or arising out of my employment by any member of the Company Group), which information is not generally known to the public. All of the aforementioned information is hereinafter called “Proprietary Information.” By way of illustration, but not limitation, Proprietary Information includes trade secrets, processes, formulas, data and know-how, improvements, inventions, techniques, marketing plans, financial information, strategies, forecasts, and customer lists.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consideration of my employment or continued employment, as the case may be, by any member of the Company Group and the compensation received by me from any member of the Company Group from time to time, I hereby agree as follows:</w:t>
      </w:r>
    </w:p>
    <w:p>
      <w:pPr>
        <w:spacing w:after="0" w:line="170" w:lineRule="exact"/>
        <w:rPr>
          <w:sz w:val="20"/>
          <w:szCs w:val="20"/>
          <w:color w:val="auto"/>
        </w:rPr>
      </w:pPr>
    </w:p>
    <w:p>
      <w:pPr>
        <w:ind w:left="380" w:hanging="318"/>
        <w:spacing w:after="0" w:line="291" w:lineRule="auto"/>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Proprietary Information shall be the sole property of the Company, and the Company shall be the sole owner of all rights, title and interest in connection therewith. I hereby assign to the Company any and all rights I may have or acquire in such Proprietary Information. At all times, both during my employment by any member of the Company Group and after termination, I will keep in confidence and trust all Proprietary Information, and I will not use or disclose any Proprietary Information or anything relating to it without the prior written consent of the Company, except as may be necessary in the ordinary course of performing my duties as an employee of the Company Group. In the event I am required to disclose Proprietary Information pursuant to applicable law or court order, I shall, whenever legally permissible, promptly disclose such request to the Company, and cooperate with the Company to seek a protective order and to otherwise limit such disclosure from becoming public.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left="320" w:right="80" w:hanging="318"/>
        <w:spacing w:after="0" w:line="286" w:lineRule="auto"/>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or any other agreement that I have with the Company or its affiliates to the contrary, I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am I required to notify the Company regarding any such reporting, disclosure or cooperation with the government. Pursuant to 18 U.S.C.</w:t>
      </w:r>
    </w:p>
    <w:p>
      <w:pPr>
        <w:spacing w:after="0" w:line="1" w:lineRule="exact"/>
        <w:rPr>
          <w:rFonts w:ascii="Arial" w:cs="Arial" w:eastAsia="Arial" w:hAnsi="Arial"/>
          <w:sz w:val="16"/>
          <w:szCs w:val="16"/>
          <w:color w:val="auto"/>
        </w:rPr>
      </w:pPr>
    </w:p>
    <w:p>
      <w:pPr>
        <w:ind w:left="320" w:right="60"/>
        <w:spacing w:after="0" w:line="281" w:lineRule="auto"/>
        <w:rPr>
          <w:rFonts w:ascii="Arial" w:cs="Arial" w:eastAsia="Arial" w:hAnsi="Arial"/>
          <w:sz w:val="16"/>
          <w:szCs w:val="16"/>
          <w:color w:val="auto"/>
        </w:rPr>
      </w:pPr>
      <w:r>
        <w:rPr>
          <w:rFonts w:ascii="Arial" w:cs="Arial" w:eastAsia="Arial" w:hAnsi="Arial"/>
          <w:sz w:val="16"/>
          <w:szCs w:val="16"/>
          <w:color w:val="auto"/>
        </w:rPr>
        <w:t>§ 1833(b), I understand that I will not be held criminally or civilly liable under any federal or state trade secret law for the disclosure of a trade secret of the Company or its affiliates that (i) is made (A) in confidence to a federal, state, or local government official, either directly or indirectly, or to my attorney and (B) solely for the purpose of reporting or investigating a suspected violation of law; or (ii) is made in a complaint or other document that is filed under seal in a lawsuit or other proceeding. I understand that if I file a lawsuit for retaliation by any member of the Company Group for reporting a suspected violation of law, I may disclose the trade secret to my attorney and use the trade secret information in the court proceeding if I</w:t>
      </w:r>
    </w:p>
    <w:p>
      <w:pPr>
        <w:spacing w:after="0" w:line="2" w:lineRule="exact"/>
        <w:rPr>
          <w:rFonts w:ascii="Arial" w:cs="Arial" w:eastAsia="Arial" w:hAnsi="Arial"/>
          <w:sz w:val="16"/>
          <w:szCs w:val="16"/>
          <w:color w:val="auto"/>
        </w:rPr>
      </w:pPr>
    </w:p>
    <w:p>
      <w:pPr>
        <w:jc w:val="both"/>
        <w:ind w:left="320" w:right="220"/>
        <w:spacing w:after="0" w:line="255" w:lineRule="auto"/>
        <w:rPr>
          <w:rFonts w:ascii="Arial" w:cs="Arial" w:eastAsia="Arial" w:hAnsi="Arial"/>
          <w:sz w:val="16"/>
          <w:szCs w:val="16"/>
          <w:color w:val="auto"/>
        </w:rPr>
      </w:pPr>
      <w:r>
        <w:rPr>
          <w:rFonts w:ascii="Arial" w:cs="Arial" w:eastAsia="Arial" w:hAnsi="Arial"/>
          <w:sz w:val="18"/>
          <w:szCs w:val="18"/>
          <w:color w:val="auto"/>
        </w:rPr>
        <w:t>(x) file any document containing the trade secret under seal, and (y) do not disclose the trade secret, except pursuant to court order. Nothing in this Agreement, or any other agreement that I have with the Company or its affiliates, is intended to conflict with 18 U.S.C. § 1833(b) or create liability for disclosures of trade secrets that are expressly allowed by such section.</w:t>
      </w:r>
    </w:p>
    <w:p>
      <w:pPr>
        <w:spacing w:after="0" w:line="189" w:lineRule="exact"/>
        <w:rPr>
          <w:rFonts w:ascii="Arial" w:cs="Arial" w:eastAsia="Arial" w:hAnsi="Arial"/>
          <w:sz w:val="16"/>
          <w:szCs w:val="16"/>
          <w:color w:val="auto"/>
        </w:rPr>
      </w:pPr>
    </w:p>
    <w:p>
      <w:pPr>
        <w:ind w:left="320" w:right="40" w:hanging="318"/>
        <w:spacing w:after="0" w:line="257"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agree that, during the period of my employment by any member of the Company Group , I will not, without the Company’s express prior written consent, engage in any employment or consulting other than for the Company Group. In the event of the termination of my employment by me or by the Company Group for any reason or at any time upon the Company’s request, I will promptly deliver to the Company all documents and data of any nature pertaining to my work with the Company Group and I will not take with me any documents or data containing or pertaining to any Proprietary Information.</w:t>
      </w:r>
    </w:p>
    <w:p>
      <w:pPr>
        <w:spacing w:after="0" w:line="187" w:lineRule="exact"/>
        <w:rPr>
          <w:rFonts w:ascii="Arial" w:cs="Arial" w:eastAsia="Arial" w:hAnsi="Arial"/>
          <w:sz w:val="18"/>
          <w:szCs w:val="18"/>
          <w:color w:val="auto"/>
        </w:rPr>
      </w:pPr>
    </w:p>
    <w:p>
      <w:pPr>
        <w:ind w:left="320" w:hanging="318"/>
        <w:spacing w:after="0" w:line="289" w:lineRule="auto"/>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will promptly and fully disclose to the Company, or any persons designated by it, all improvements, inventions, formulas, processes, techniques, know-how, and data, whether or not patentable, copyrightable, or otherwise protectible as intellectual property, made or conceived or reduced to practice by me, either alone or jointly with others, during the period of my employment by any member of the Company Group which are related to or useful in the business of the Company Group, or result from the performance of my duties as an employee of any member of the Company Group or result from use of assets or premises owned, leased, or contracted for by any member of the Company Group (all said improvements, inventions, formulas, processes, techniques, know-how, and data shall be collectively hereinafter called “Inventions”). I agree to keep complete, accurate, and authentic accounts, notes, data, and records of all Inventions in the manner and form requested by the Company, which accounts, notes, data, and records shall be and remain the sole property of the Company. I agree to surrender the same promptly to the Company upon its request or, in the absence of such a request, upon the termination of my employment by the Company Group.</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80" w:top="584" w:right="359" w:bottom="1440" w:gutter="0" w:footer="0" w:header="0"/>
        </w:sectPr>
      </w:pPr>
    </w:p>
    <w:bookmarkStart w:id="72" w:name="page73"/>
    <w:bookmarkEnd w:id="72"/>
    <w:p>
      <w:pPr>
        <w:ind w:left="320" w:hanging="318"/>
        <w:spacing w:after="0" w:line="269"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agree that all Inventions are and shall be the sole property of the Company, and that the Company shall be the sole owner of all intellectual property and other rights in connection therewith, and by reason of my being employed by the Company Group, to the extent permitted by law, all of the Inventions consisting of copyrightable subject matter is “work made for hire” as defined in the Copyright Act of 1976 (17 U.S.C. § 101). To the extent that any Invention is not a “work made for hire,” I hereby assign to the Company for no additional consideration any and all rights I may have or acquire in or to such Inventions, including the right to sue, counterclaim, and recover for all past, present, and future infringement, misappropriation, or dilution thereof, and all rights corresponding thereto throughout the world. I further agree as to all such Inventions to assist the Company in every proper way (but at the Company’s expense) to apply for, obtain, maintain and from time to time enforce such intellectual property rights, including patents and extensions and continuations of said patents, on said Inventions in any and all countries, and to that end I will execute all documents for use in applying for, obtaining and maintaining such intellectual property enforcing same, as the Company may desire, together with any further assignments thereof to the Company or persons designated by it. The foregoing obligation to assist the Company shall continue beyond the termination of my employment, but the Company shall compensate me at a reasonable rate after such termination for time actually spent by me at the Company’s request on such assistance.</w:t>
      </w:r>
    </w:p>
    <w:p>
      <w:pPr>
        <w:spacing w:after="0" w:line="178" w:lineRule="exact"/>
        <w:rPr>
          <w:rFonts w:ascii="Arial" w:cs="Arial" w:eastAsia="Arial" w:hAnsi="Arial"/>
          <w:sz w:val="17"/>
          <w:szCs w:val="17"/>
          <w:color w:val="auto"/>
        </w:rPr>
      </w:pPr>
    </w:p>
    <w:p>
      <w:pPr>
        <w:ind w:left="320" w:right="20" w:hanging="318"/>
        <w:spacing w:after="0" w:line="279"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a matter of record I attach hereto a complete list of all inventions or improvements relevant to the subject matter of my employment by the Company Group which have been conceived, made, or reduced to practice by me, alone or jointly with others, prior to my engagement by the Company Group which I desire to remove from the operation of this Agreement. I covenant that such list is complete. If no such list is attached to this Agreement, I represent that I have no such inventions and improvements at the time of signing this Agreement.</w:t>
      </w:r>
    </w:p>
    <w:p>
      <w:pPr>
        <w:spacing w:after="0" w:line="171" w:lineRule="exact"/>
        <w:rPr>
          <w:rFonts w:ascii="Arial" w:cs="Arial" w:eastAsia="Arial" w:hAnsi="Arial"/>
          <w:sz w:val="17"/>
          <w:szCs w:val="17"/>
          <w:color w:val="auto"/>
        </w:rPr>
      </w:pPr>
    </w:p>
    <w:p>
      <w:pPr>
        <w:jc w:val="both"/>
        <w:ind w:left="320" w:right="260" w:hanging="318"/>
        <w:spacing w:after="0" w:line="311"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represent that my performance of all of the terms of this Agreement and as an employee of the Company Group does not and will not breach any agreement to keep in confidence proprietary information of any third party acquired by me in confidence or in trust prior to my employment by the Company Group. I have not entered into, and I agree that I will not enter into, any agreement either written or oral, in conflict herewith.</w:t>
      </w:r>
    </w:p>
    <w:p>
      <w:pPr>
        <w:spacing w:after="0" w:line="148" w:lineRule="exact"/>
        <w:rPr>
          <w:rFonts w:ascii="Arial" w:cs="Arial" w:eastAsia="Arial" w:hAnsi="Arial"/>
          <w:sz w:val="16"/>
          <w:szCs w:val="16"/>
          <w:color w:val="auto"/>
        </w:rPr>
      </w:pPr>
    </w:p>
    <w:p>
      <w:pPr>
        <w:ind w:left="320" w:right="20" w:hanging="318"/>
        <w:spacing w:after="0" w:line="271"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understand that, as part of the consideration of the offer of employment extended to me by the Company or of my continued employment by the Company Group, as the case may be, I will not bring, have not brought, with me to the Company Group and I will not use, have not used, in the performance of my responsibilities at the Company Group, materials or documents of a former employer, unless I have obtained written authorization from the former employer for their possession and use. Accordingly, this is to advise the Company that the only materials that I will bring to the Company Group or use in my employment are identified on the attached sheet and, as to each such item, I represent that I have obtained, prior to the effective date of my employment with the Company, written authorization for their possession and use in my employment with the Company Group. I also understand that, in my employment with the Company Group, I am not to breach any obligation of confidentiality that I have to former employers, and I agree that I shall fulfill all such obligations during my employment with the Company Group.</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80" w:top="584" w:right="359" w:bottom="1440" w:gutter="0" w:footer="0" w:header="0"/>
        </w:sectPr>
      </w:pPr>
    </w:p>
    <w:bookmarkStart w:id="73" w:name="page74"/>
    <w:bookmarkEnd w:id="73"/>
    <w:p>
      <w:pPr>
        <w:ind w:left="320" w:right="100" w:hanging="318"/>
        <w:spacing w:after="0" w:line="277"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shall be effective as of the first day of my employment by the Company. I understand and agree that this Agreement is not a contract of employment.</w:t>
      </w:r>
    </w:p>
    <w:p>
      <w:pPr>
        <w:spacing w:after="0" w:line="170" w:lineRule="exact"/>
        <w:rPr>
          <w:rFonts w:ascii="Arial" w:cs="Arial" w:eastAsia="Arial" w:hAnsi="Arial"/>
          <w:sz w:val="18"/>
          <w:szCs w:val="18"/>
          <w:color w:val="auto"/>
        </w:rPr>
      </w:pPr>
    </w:p>
    <w:p>
      <w:pPr>
        <w:ind w:left="320" w:hanging="318"/>
        <w:spacing w:after="0" w:line="277"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shall be binding upon me, my heirs, executors, assigns, administrators, and other legal representatives and shall inure to the benefit of the Company, its successors and assigns.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80" w:top="584" w:right="359" w:bottom="1440" w:gutter="0" w:footer="0" w:header="0"/>
        </w:sectPr>
      </w:pPr>
    </w:p>
    <w:bookmarkStart w:id="74" w:name="page75"/>
    <w:bookmarkEnd w:id="74"/>
    <w:p>
      <w:pPr>
        <w:ind w:firstLine="162"/>
        <w:spacing w:after="0" w:line="277" w:lineRule="auto"/>
        <w:rPr>
          <w:sz w:val="20"/>
          <w:szCs w:val="20"/>
          <w:color w:val="auto"/>
        </w:rPr>
      </w:pPr>
      <w:r>
        <w:rPr>
          <w:rFonts w:ascii="Arial" w:cs="Arial" w:eastAsia="Arial" w:hAnsi="Arial"/>
          <w:sz w:val="18"/>
          <w:szCs w:val="18"/>
          <w:color w:val="auto"/>
        </w:rPr>
        <w:t>IN WITNESS WHEREOF, the Company has caused this Proprietary Information and Inventions Agreement to be executed by its duly authorized officer and Employee has executed the same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BIOCRYST PHARMACEUTICALS, INC.</w:t>
            </w:r>
          </w:p>
        </w:tc>
        <w:tc>
          <w:tcPr>
            <w:tcW w:w="4700" w:type="dxa"/>
            <w:vAlign w:val="bottom"/>
          </w:tcPr>
          <w:p>
            <w:pPr>
              <w:ind w:left="1540"/>
              <w:spacing w:after="0"/>
              <w:rPr>
                <w:sz w:val="20"/>
                <w:szCs w:val="20"/>
                <w:color w:val="auto"/>
              </w:rPr>
            </w:pPr>
            <w:r>
              <w:rPr>
                <w:rFonts w:ascii="Arial" w:cs="Arial" w:eastAsia="Arial" w:hAnsi="Arial"/>
                <w:sz w:val="18"/>
                <w:szCs w:val="18"/>
                <w:color w:val="auto"/>
              </w:rPr>
              <w:t>EMPLOYEE</w:t>
            </w:r>
          </w:p>
        </w:tc>
      </w:tr>
      <w:tr>
        <w:trPr>
          <w:trHeight w:val="85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Pr>
          <w:p>
            <w:pPr>
              <w:ind w:left="100"/>
              <w:spacing w:after="0"/>
              <w:rPr>
                <w:sz w:val="20"/>
                <w:szCs w:val="20"/>
                <w:color w:val="auto"/>
              </w:rPr>
            </w:pPr>
            <w:r>
              <w:rPr>
                <w:rFonts w:ascii="Arial" w:cs="Arial" w:eastAsia="Arial" w:hAnsi="Arial"/>
                <w:sz w:val="18"/>
                <w:szCs w:val="18"/>
                <w:color w:val="auto"/>
              </w:rPr>
              <w:t>___________________________________</w:t>
            </w:r>
          </w:p>
        </w:tc>
        <w:tc>
          <w:tcPr>
            <w:tcW w:w="4700" w:type="dxa"/>
            <w:vAlign w:val="bottom"/>
          </w:tcPr>
          <w:p>
            <w:pPr>
              <w:ind w:left="1540"/>
              <w:spacing w:after="0"/>
              <w:rPr>
                <w:sz w:val="20"/>
                <w:szCs w:val="20"/>
                <w:color w:val="auto"/>
              </w:rPr>
            </w:pPr>
            <w:r>
              <w:rPr>
                <w:rFonts w:ascii="Arial" w:cs="Arial" w:eastAsia="Arial" w:hAnsi="Arial"/>
                <w:sz w:val="18"/>
                <w:szCs w:val="18"/>
                <w:color w:val="auto"/>
                <w:w w:val="89"/>
              </w:rPr>
              <w:t>___________________________________</w:t>
            </w:r>
          </w:p>
        </w:tc>
      </w:tr>
      <w:tr>
        <w:trPr>
          <w:trHeight w:val="216"/>
        </w:trPr>
        <w:tc>
          <w:tcPr>
            <w:tcW w:w="5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Jon Stonehouse</w:t>
            </w:r>
          </w:p>
        </w:tc>
        <w:tc>
          <w:tcPr>
            <w:tcW w:w="4700" w:type="dxa"/>
            <w:vAlign w:val="bottom"/>
          </w:tcPr>
          <w:p>
            <w:pPr>
              <w:ind w:left="1540"/>
              <w:spacing w:after="0"/>
              <w:rPr>
                <w:sz w:val="20"/>
                <w:szCs w:val="20"/>
                <w:color w:val="auto"/>
              </w:rPr>
            </w:pPr>
            <w:r>
              <w:rPr>
                <w:rFonts w:ascii="Arial" w:cs="Arial" w:eastAsia="Arial" w:hAnsi="Arial"/>
                <w:sz w:val="18"/>
                <w:szCs w:val="18"/>
                <w:color w:val="auto"/>
              </w:rPr>
              <w:t>Helen Thackray, MD</w:t>
            </w:r>
          </w:p>
        </w:tc>
      </w:tr>
      <w:tr>
        <w:trPr>
          <w:trHeight w:val="230"/>
        </w:trPr>
        <w:tc>
          <w:tcPr>
            <w:tcW w:w="520" w:type="dxa"/>
            <w:vAlign w:val="bottom"/>
          </w:tcPr>
          <w:p>
            <w:pPr>
              <w:spacing w:after="0"/>
              <w:rPr>
                <w:sz w:val="20"/>
                <w:szCs w:val="20"/>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700" w:type="dxa"/>
            <w:vAlign w:val="bottom"/>
          </w:tcPr>
          <w:p>
            <w:pPr>
              <w:spacing w:after="0"/>
              <w:rPr>
                <w:sz w:val="20"/>
                <w:szCs w:val="20"/>
                <w:color w:val="auto"/>
              </w:rPr>
            </w:pP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420" w:type="dxa"/>
            <w:vAlign w:val="bottom"/>
          </w:tcPr>
          <w:p>
            <w:pPr>
              <w:ind w:left="100"/>
              <w:spacing w:after="0"/>
              <w:rPr>
                <w:sz w:val="20"/>
                <w:szCs w:val="20"/>
                <w:color w:val="auto"/>
              </w:rPr>
            </w:pPr>
            <w:r>
              <w:rPr>
                <w:rFonts w:ascii="Arial" w:cs="Arial" w:eastAsia="Arial" w:hAnsi="Arial"/>
                <w:sz w:val="18"/>
                <w:szCs w:val="18"/>
                <w:color w:val="auto"/>
              </w:rPr>
              <w:t>___________________________________</w:t>
            </w:r>
          </w:p>
        </w:tc>
        <w:tc>
          <w:tcPr>
            <w:tcW w:w="4700" w:type="dxa"/>
            <w:vAlign w:val="bottom"/>
          </w:tcPr>
          <w:p>
            <w:pPr>
              <w:ind w:left="1160"/>
              <w:spacing w:after="0"/>
              <w:rPr>
                <w:sz w:val="20"/>
                <w:szCs w:val="20"/>
                <w:color w:val="auto"/>
              </w:rPr>
            </w:pPr>
            <w:r>
              <w:rPr>
                <w:rFonts w:ascii="Arial" w:cs="Arial" w:eastAsia="Arial" w:hAnsi="Arial"/>
                <w:sz w:val="18"/>
                <w:szCs w:val="18"/>
                <w:color w:val="auto"/>
                <w:w w:val="89"/>
              </w:rPr>
              <w:t>Date:___________________________________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BioCryst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4505 Emperor Blvd.,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Durham, NC 27703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 Helen Thackray, propose to bring to my BioCryst employment the following tangible materials and previously unpublished documents, which materials and documents may be used in my BioCryst employment:</w:t>
      </w:r>
    </w:p>
    <w:p>
      <w:pPr>
        <w:spacing w:after="0" w:line="386" w:lineRule="exact"/>
        <w:rPr>
          <w:sz w:val="20"/>
          <w:szCs w:val="20"/>
          <w:color w:val="auto"/>
        </w:rPr>
      </w:pPr>
    </w:p>
    <w:p>
      <w:pPr>
        <w:spacing w:after="0"/>
        <w:tabs>
          <w:tab w:leader="none" w:pos="3660" w:val="left"/>
          <w:tab w:leader="none" w:pos="7100" w:val="left"/>
        </w:tabs>
        <w:rPr>
          <w:sz w:val="20"/>
          <w:szCs w:val="20"/>
          <w:color w:val="auto"/>
        </w:rPr>
      </w:pPr>
      <w:r>
        <w:rPr>
          <w:rFonts w:ascii="Arial" w:cs="Arial" w:eastAsia="Arial" w:hAnsi="Arial"/>
          <w:sz w:val="18"/>
          <w:szCs w:val="18"/>
          <w:color w:val="auto"/>
        </w:rPr>
        <w:t>___ No materials</w:t>
      </w:r>
      <w:r>
        <w:rPr>
          <w:sz w:val="20"/>
          <w:szCs w:val="20"/>
          <w:color w:val="auto"/>
        </w:rPr>
        <w:tab/>
      </w:r>
      <w:r>
        <w:rPr>
          <w:rFonts w:ascii="Arial" w:cs="Arial" w:eastAsia="Arial" w:hAnsi="Arial"/>
          <w:sz w:val="18"/>
          <w:szCs w:val="18"/>
          <w:color w:val="auto"/>
        </w:rPr>
        <w:t>___ See below</w:t>
      </w:r>
      <w:r>
        <w:rPr>
          <w:sz w:val="20"/>
          <w:szCs w:val="20"/>
          <w:color w:val="auto"/>
        </w:rPr>
        <w:tab/>
      </w:r>
      <w:r>
        <w:rPr>
          <w:rFonts w:ascii="Arial" w:cs="Arial" w:eastAsia="Arial" w:hAnsi="Arial"/>
          <w:sz w:val="16"/>
          <w:szCs w:val="16"/>
          <w:color w:val="auto"/>
        </w:rPr>
        <w:t>___ Additional sheets attached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signature below by a representative of my current or former employer confirms that my continued possession and use of these materials is authorized.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COMPANY:</w:t>
            </w:r>
          </w:p>
        </w:tc>
        <w:tc>
          <w:tcPr>
            <w:tcW w:w="4480" w:type="dxa"/>
            <w:vAlign w:val="bottom"/>
          </w:tcPr>
          <w:p>
            <w:pPr>
              <w:jc w:val="right"/>
              <w:ind w:right="1010"/>
              <w:spacing w:after="0"/>
              <w:rPr>
                <w:sz w:val="20"/>
                <w:szCs w:val="20"/>
                <w:color w:val="auto"/>
              </w:rPr>
            </w:pPr>
            <w:r>
              <w:rPr>
                <w:rFonts w:ascii="Arial" w:cs="Arial" w:eastAsia="Arial" w:hAnsi="Arial"/>
                <w:sz w:val="18"/>
                <w:szCs w:val="18"/>
                <w:color w:val="auto"/>
                <w:w w:val="95"/>
              </w:rPr>
              <w:t>___________________________________</w:t>
            </w:r>
          </w:p>
        </w:tc>
        <w:tc>
          <w:tcPr>
            <w:tcW w:w="5620" w:type="dxa"/>
            <w:vAlign w:val="bottom"/>
          </w:tcPr>
          <w:p>
            <w:pPr>
              <w:ind w:left="1120"/>
              <w:spacing w:after="0"/>
              <w:rPr>
                <w:sz w:val="20"/>
                <w:szCs w:val="20"/>
                <w:color w:val="auto"/>
              </w:rPr>
            </w:pPr>
            <w:r>
              <w:rPr>
                <w:rFonts w:ascii="Arial" w:cs="Arial" w:eastAsia="Arial" w:hAnsi="Arial"/>
                <w:sz w:val="18"/>
                <w:szCs w:val="18"/>
                <w:color w:val="auto"/>
              </w:rPr>
              <w:t>EMPLOYEE</w:t>
            </w:r>
          </w:p>
        </w:tc>
      </w:tr>
      <w:tr>
        <w:trPr>
          <w:trHeight w:val="850"/>
        </w:trPr>
        <w:tc>
          <w:tcPr>
            <w:tcW w:w="1140" w:type="dxa"/>
            <w:vAlign w:val="bottom"/>
          </w:tcPr>
          <w:p>
            <w:pPr>
              <w:spacing w:after="0"/>
              <w:rPr>
                <w:sz w:val="24"/>
                <w:szCs w:val="24"/>
                <w:color w:val="auto"/>
              </w:rPr>
            </w:pPr>
          </w:p>
        </w:tc>
        <w:tc>
          <w:tcPr>
            <w:tcW w:w="4480" w:type="dxa"/>
            <w:vAlign w:val="bottom"/>
          </w:tcPr>
          <w:p>
            <w:pPr>
              <w:jc w:val="right"/>
              <w:ind w:right="1010"/>
              <w:spacing w:after="0"/>
              <w:rPr>
                <w:sz w:val="20"/>
                <w:szCs w:val="20"/>
                <w:color w:val="auto"/>
              </w:rPr>
            </w:pPr>
            <w:r>
              <w:rPr>
                <w:rFonts w:ascii="Arial" w:cs="Arial" w:eastAsia="Arial" w:hAnsi="Arial"/>
                <w:sz w:val="18"/>
                <w:szCs w:val="18"/>
                <w:color w:val="auto"/>
                <w:w w:val="95"/>
              </w:rPr>
              <w:t>___________________________________</w:t>
            </w:r>
          </w:p>
        </w:tc>
        <w:tc>
          <w:tcPr>
            <w:tcW w:w="5620" w:type="dxa"/>
            <w:vAlign w:val="bottom"/>
          </w:tcPr>
          <w:p>
            <w:pPr>
              <w:ind w:left="1120"/>
              <w:spacing w:after="0"/>
              <w:rPr>
                <w:sz w:val="20"/>
                <w:szCs w:val="20"/>
                <w:color w:val="auto"/>
              </w:rPr>
            </w:pPr>
            <w:r>
              <w:rPr>
                <w:rFonts w:ascii="Arial" w:cs="Arial" w:eastAsia="Arial" w:hAnsi="Arial"/>
                <w:sz w:val="18"/>
                <w:szCs w:val="18"/>
                <w:color w:val="auto"/>
              </w:rPr>
              <w:t>___________________________________</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jc w:val="right"/>
              <w:ind w:right="1010"/>
              <w:spacing w:after="0"/>
              <w:rPr>
                <w:sz w:val="20"/>
                <w:szCs w:val="20"/>
                <w:color w:val="auto"/>
              </w:rPr>
            </w:pPr>
            <w:r>
              <w:rPr>
                <w:rFonts w:ascii="Arial" w:cs="Arial" w:eastAsia="Arial" w:hAnsi="Arial"/>
                <w:sz w:val="18"/>
                <w:szCs w:val="18"/>
                <w:color w:val="auto"/>
                <w:w w:val="95"/>
              </w:rPr>
              <w:t>___________________________________</w:t>
            </w:r>
          </w:p>
        </w:tc>
        <w:tc>
          <w:tcPr>
            <w:tcW w:w="5620" w:type="dxa"/>
            <w:vAlign w:val="bottom"/>
          </w:tcPr>
          <w:p>
            <w:pPr>
              <w:ind w:left="1120"/>
              <w:spacing w:after="0"/>
              <w:rPr>
                <w:sz w:val="20"/>
                <w:szCs w:val="20"/>
                <w:color w:val="auto"/>
              </w:rPr>
            </w:pPr>
            <w:r>
              <w:rPr>
                <w:rFonts w:ascii="Arial" w:cs="Arial" w:eastAsia="Arial" w:hAnsi="Arial"/>
                <w:sz w:val="18"/>
                <w:szCs w:val="18"/>
                <w:color w:val="auto"/>
              </w:rPr>
              <w:t>Helen Thackray, MD</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Its:</w:t>
            </w:r>
          </w:p>
        </w:tc>
        <w:tc>
          <w:tcPr>
            <w:tcW w:w="4480" w:type="dxa"/>
            <w:vAlign w:val="bottom"/>
          </w:tcPr>
          <w:p>
            <w:pPr>
              <w:jc w:val="right"/>
              <w:ind w:right="1010"/>
              <w:spacing w:after="0"/>
              <w:rPr>
                <w:sz w:val="20"/>
                <w:szCs w:val="20"/>
                <w:color w:val="auto"/>
              </w:rPr>
            </w:pPr>
            <w:r>
              <w:rPr>
                <w:rFonts w:ascii="Arial" w:cs="Arial" w:eastAsia="Arial" w:hAnsi="Arial"/>
                <w:sz w:val="18"/>
                <w:szCs w:val="18"/>
                <w:color w:val="auto"/>
                <w:w w:val="95"/>
              </w:rPr>
              <w:t>___________________________________</w:t>
            </w:r>
          </w:p>
        </w:tc>
        <w:tc>
          <w:tcPr>
            <w:tcW w:w="5620" w:type="dxa"/>
            <w:vAlign w:val="bottom"/>
          </w:tcPr>
          <w:p>
            <w:pPr>
              <w:spacing w:after="0"/>
              <w:rPr>
                <w:sz w:val="20"/>
                <w:szCs w:val="20"/>
                <w:color w:val="auto"/>
              </w:rPr>
            </w:pPr>
          </w:p>
        </w:tc>
      </w:tr>
      <w:tr>
        <w:trPr>
          <w:trHeight w:val="1654"/>
        </w:trPr>
        <w:tc>
          <w:tcPr>
            <w:tcW w:w="1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(Non-Competition and Non-Solicitation Agreement)</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This Non-Competition and Non-Solicitation Agreement (the “Agreement”) is made and entered into this ____ day of _________, 20__ (the “Effective</w:t>
      </w:r>
    </w:p>
    <w:p>
      <w:pPr>
        <w:spacing w:after="0" w:line="46"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Date”) by and between BioCryst Pharmaceuticals, Inc., (the “Company”) and Helen Thackray (the “Employee”). The Company and Employee are sometimes referred to in this Agreement individually as a “Party” and collectively as “Parties.”</w:t>
      </w:r>
    </w:p>
    <w:p>
      <w:pPr>
        <w:spacing w:after="0" w:line="181" w:lineRule="exact"/>
        <w:rPr>
          <w:sz w:val="20"/>
          <w:szCs w:val="20"/>
          <w:color w:val="auto"/>
        </w:rPr>
      </w:pPr>
    </w:p>
    <w:p>
      <w:pPr>
        <w:ind w:right="100" w:firstLine="162"/>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commencing employment with the Company pursuant to an Employment Agreement entered into between Employee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“Employment Agreement”) and is simultaneously entering into an Employee’s Proprietary Information and Inventions Agreement (the “PIIA”) with the Company; and</w:t>
      </w:r>
    </w:p>
    <w:p>
      <w:pPr>
        <w:spacing w:after="0" w:line="176" w:lineRule="exact"/>
        <w:rPr>
          <w:sz w:val="20"/>
          <w:szCs w:val="20"/>
          <w:color w:val="auto"/>
        </w:rPr>
      </w:pPr>
    </w:p>
    <w:p>
      <w:pPr>
        <w:ind w:right="40" w:firstLine="162"/>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consideration for Employee’s promises and obligations set forth herein, the Company is offering Employee severance pay as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Employment Agreement to which Employee was not previously entitled.</w:t>
      </w:r>
    </w:p>
    <w:p>
      <w:pPr>
        <w:spacing w:after="0" w:line="162" w:lineRule="exact"/>
        <w:rPr>
          <w:sz w:val="20"/>
          <w:szCs w:val="20"/>
          <w:color w:val="auto"/>
        </w:rPr>
      </w:pPr>
    </w:p>
    <w:p>
      <w:pPr>
        <w:ind w:right="280" w:firstLine="162"/>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obligations set forth below and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the Parties acknowledge, the Company and Employee agree as follows:</w:t>
      </w:r>
    </w:p>
    <w:p>
      <w:pPr>
        <w:spacing w:after="0" w:line="162" w:lineRule="exact"/>
        <w:rPr>
          <w:sz w:val="20"/>
          <w:szCs w:val="20"/>
          <w:color w:val="auto"/>
        </w:rPr>
      </w:pPr>
    </w:p>
    <w:p>
      <w:pPr>
        <w:ind w:firstLine="656"/>
        <w:spacing w:after="0" w:line="268" w:lineRule="auto"/>
        <w:tabs>
          <w:tab w:leader="none" w:pos="963"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COMPANY BUSINESS AND PROTECTABLE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acknowledges that: (i) by virtue of Employee’s position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Employee will have access to Proprietary Information, as that term is defined in the PIIA, which information has not become publicly available (“Confidential Information”); (ii) the Company together with its subsidiaries (including existing and future subsidiaries, the “Company Group”) is currently engaged primarily, but not exclusively, in the business of the discovery, development and commercialization of medicines and programs for rare diseases (the “Business”); (iii) during the course of Employee’s employment, the Company Group’s Business may expand or change, in which case, such expansions or changes shall correspondingly expand or (if abandoned) contract the definition of “Business” and Employee’s obligations under this Agreement; (iv) due to the nature of the Business, Confidential Information developed by the Company Group in furtherance of the treatment for a particular rare disease would have commercial value to any other entity pursuing the development of medicines for the same disease regardless of the location of that entity, and the use of that information by such an entity would have a negative commercial impact on the Company Group; (v) the Company Group has clients, customers and collaborative partners throughout the United States and the world and the specific location of a competing business is not necessarily relevant to the capacity of that business to compete with the Company Group; and (vi) the provisions of this Agreement are reasonably necessary to protect the Company Group’s legitimate business interests, are reasonable as to time, territory and scope of activities which are restricted, do not interfere with public policy or public interest and are described with sufficient accuracy and definiteness to enable Employee to understand the scope of the restrictions imposed upon Employee.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both"/>
        <w:ind w:left="-40" w:right="60" w:firstLine="656"/>
        <w:spacing w:after="0" w:line="266" w:lineRule="auto"/>
        <w:tabs>
          <w:tab w:leader="none" w:pos="923"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COMPETITIVE BUSINESS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the period of Employee’s employment with the Company Group</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a period of time ending on the date occurring one year after the date such Employee is no longer employed by any member of the Company Group (irrespective of the circumstances of such termination), Employee will not:</w:t>
      </w:r>
    </w:p>
    <w:p>
      <w:pPr>
        <w:spacing w:after="0" w:line="179" w:lineRule="exact"/>
        <w:rPr>
          <w:rFonts w:ascii="Arial" w:cs="Arial" w:eastAsia="Arial" w:hAnsi="Arial"/>
          <w:sz w:val="18"/>
          <w:szCs w:val="18"/>
          <w:b w:val="1"/>
          <w:bCs w:val="1"/>
          <w:color w:val="auto"/>
        </w:rPr>
      </w:pPr>
    </w:p>
    <w:p>
      <w:pPr>
        <w:ind w:left="620" w:right="240" w:firstLine="644"/>
        <w:spacing w:after="0" w:line="308" w:lineRule="auto"/>
        <w:tabs>
          <w:tab w:leader="none" w:pos="1648" w:val="left"/>
        </w:tabs>
        <w:numPr>
          <w:ilvl w:val="1"/>
          <w:numId w:val="53"/>
        </w:numPr>
        <w:rPr>
          <w:rFonts w:ascii="Arial" w:cs="Arial" w:eastAsia="Arial" w:hAnsi="Arial"/>
          <w:sz w:val="17"/>
          <w:szCs w:val="17"/>
          <w:color w:val="auto"/>
        </w:rPr>
      </w:pPr>
      <w:r>
        <w:rPr>
          <w:rFonts w:ascii="Arial" w:cs="Arial" w:eastAsia="Arial" w:hAnsi="Arial"/>
          <w:sz w:val="17"/>
          <w:szCs w:val="17"/>
          <w:color w:val="auto"/>
        </w:rPr>
        <w:t>on Employee’s own or another’s behalf, whether as an officer, director, manager, stockholder, partner, member, associate, owner, employee, consultant, or otherwise do any of the following or provide material assistance to any other party or entity to do so:</w:t>
      </w:r>
    </w:p>
    <w:p>
      <w:pPr>
        <w:spacing w:after="0" w:line="146" w:lineRule="exact"/>
        <w:rPr>
          <w:rFonts w:ascii="Arial" w:cs="Arial" w:eastAsia="Arial" w:hAnsi="Arial"/>
          <w:sz w:val="17"/>
          <w:szCs w:val="17"/>
          <w:color w:val="auto"/>
        </w:rPr>
      </w:pPr>
    </w:p>
    <w:p>
      <w:pPr>
        <w:ind w:left="1260" w:right="140" w:firstLine="652"/>
        <w:spacing w:after="0" w:line="263" w:lineRule="auto"/>
        <w:tabs>
          <w:tab w:leader="none" w:pos="2258" w:val="left"/>
        </w:tabs>
        <w:numPr>
          <w:ilvl w:val="2"/>
          <w:numId w:val="53"/>
        </w:numPr>
        <w:rPr>
          <w:rFonts w:ascii="Arial" w:cs="Arial" w:eastAsia="Arial" w:hAnsi="Arial"/>
          <w:sz w:val="18"/>
          <w:szCs w:val="18"/>
          <w:color w:val="auto"/>
        </w:rPr>
      </w:pPr>
      <w:r>
        <w:rPr>
          <w:rFonts w:ascii="Arial" w:cs="Arial" w:eastAsia="Arial" w:hAnsi="Arial"/>
          <w:sz w:val="18"/>
          <w:szCs w:val="18"/>
          <w:color w:val="auto"/>
        </w:rPr>
        <w:t>engage in the Business with respect to medicines or programs with which Employee was materially involved on behalf of the Company Group during Employee’s employment or with respect to which Employee obtained Confidential Information during Employee’s employment;</w:t>
      </w:r>
    </w:p>
    <w:p>
      <w:pPr>
        <w:spacing w:after="0" w:line="183" w:lineRule="exact"/>
        <w:rPr>
          <w:rFonts w:ascii="Arial" w:cs="Arial" w:eastAsia="Arial" w:hAnsi="Arial"/>
          <w:sz w:val="18"/>
          <w:szCs w:val="18"/>
          <w:color w:val="auto"/>
        </w:rPr>
      </w:pPr>
    </w:p>
    <w:p>
      <w:pPr>
        <w:ind w:left="1260" w:right="40" w:firstLine="652"/>
        <w:spacing w:after="0" w:line="272" w:lineRule="auto"/>
        <w:tabs>
          <w:tab w:leader="none" w:pos="2308" w:val="left"/>
        </w:tabs>
        <w:numPr>
          <w:ilvl w:val="2"/>
          <w:numId w:val="53"/>
        </w:numPr>
        <w:rPr>
          <w:rFonts w:ascii="Arial" w:cs="Arial" w:eastAsia="Arial" w:hAnsi="Arial"/>
          <w:sz w:val="17"/>
          <w:szCs w:val="17"/>
          <w:color w:val="auto"/>
        </w:rPr>
      </w:pPr>
      <w:r>
        <w:rPr>
          <w:rFonts w:ascii="Arial" w:cs="Arial" w:eastAsia="Arial" w:hAnsi="Arial"/>
          <w:sz w:val="17"/>
          <w:szCs w:val="17"/>
          <w:color w:val="auto"/>
        </w:rPr>
        <w:t>solicit or do business which is the same, similar to or otherwise in competition with the Business, from or with persons or entities: (a) who are clients, customers or collaborative partners of the Company Group; (b) with whom or which Employee or someone for whom Employee was responsible solicited, negotiated, contracted, serviced or had material contact with on the Company Group’s behalf; (c) with respect to whom or which Employee obtained Confidential Information during and as a consequence of Employee’s employment by the Company Group; or (d) who were clients, customers or collaborative partners of the Company at any time during the last year of Employee’s employment with the Company Group; nor shall Employee request, induce, or solicit such persons or entities to curtail or cancel their business with the Company Group;</w:t>
      </w:r>
    </w:p>
    <w:p>
      <w:pPr>
        <w:spacing w:after="0" w:line="177" w:lineRule="exact"/>
        <w:rPr>
          <w:rFonts w:ascii="Arial" w:cs="Arial" w:eastAsia="Arial" w:hAnsi="Arial"/>
          <w:sz w:val="17"/>
          <w:szCs w:val="17"/>
          <w:color w:val="auto"/>
        </w:rPr>
      </w:pPr>
    </w:p>
    <w:p>
      <w:pPr>
        <w:ind w:left="1260" w:firstLine="652"/>
        <w:spacing w:after="0" w:line="273" w:lineRule="auto"/>
        <w:tabs>
          <w:tab w:leader="none" w:pos="2358" w:val="left"/>
        </w:tabs>
        <w:numPr>
          <w:ilvl w:val="2"/>
          <w:numId w:val="53"/>
        </w:numPr>
        <w:rPr>
          <w:rFonts w:ascii="Arial" w:cs="Arial" w:eastAsia="Arial" w:hAnsi="Arial"/>
          <w:sz w:val="17"/>
          <w:szCs w:val="17"/>
          <w:color w:val="auto"/>
        </w:rPr>
      </w:pPr>
      <w:r>
        <w:rPr>
          <w:rFonts w:ascii="Arial" w:cs="Arial" w:eastAsia="Arial" w:hAnsi="Arial"/>
          <w:sz w:val="17"/>
          <w:szCs w:val="17"/>
          <w:color w:val="auto"/>
        </w:rPr>
        <w:t>offer employment to, hire or otherwise solicit for employment any employee or other person who had been employed or retained by the Company Group during the last year of Employee’s employment with the Company Group and with whom Employee had material contacts during the course of Employee’s employment; nor shall Employee request, induce, or solicit any employee or independent contractor of the Company Group who had been employed or retained by the Company Group during the last year of Employee’s employment with the Company Group and with whom Employee had material contacts during the course of Employee’s employment to terminate his or her employment or independent contractor relationship with the Company Group; or</w:t>
      </w:r>
    </w:p>
    <w:p>
      <w:pPr>
        <w:spacing w:after="0" w:line="177" w:lineRule="exact"/>
        <w:rPr>
          <w:rFonts w:ascii="Arial" w:cs="Arial" w:eastAsia="Arial" w:hAnsi="Arial"/>
          <w:sz w:val="17"/>
          <w:szCs w:val="17"/>
          <w:color w:val="auto"/>
        </w:rPr>
      </w:pPr>
    </w:p>
    <w:p>
      <w:pPr>
        <w:ind w:left="620" w:right="420" w:firstLine="644"/>
        <w:spacing w:after="0" w:line="277" w:lineRule="auto"/>
        <w:tabs>
          <w:tab w:leader="none" w:pos="16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take any action, which is materially detrimental, or otherwise intended to be adverse to the Company Group’s goodwill, name, business relations, prospects and operations.</w:t>
      </w:r>
    </w:p>
    <w:p>
      <w:pPr>
        <w:spacing w:after="0" w:line="170" w:lineRule="exact"/>
        <w:rPr>
          <w:rFonts w:ascii="Arial" w:cs="Arial" w:eastAsia="Arial" w:hAnsi="Arial"/>
          <w:sz w:val="18"/>
          <w:szCs w:val="18"/>
          <w:color w:val="auto"/>
        </w:rPr>
      </w:pPr>
    </w:p>
    <w:p>
      <w:pPr>
        <w:ind w:left="620" w:right="160" w:firstLine="644"/>
        <w:spacing w:after="0" w:line="272" w:lineRule="auto"/>
        <w:tabs>
          <w:tab w:leader="none" w:pos="1644"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restrictions set forth in Section 2(a)(i) apply to the following separate and distinct geographical areas: (i) the world; (ii) North America (iii) Europe; (iv) the United States; (v) the United Kingdom; (vi) the State of North Carolina; (vii) the State of Alabama; (viii) within a 60-mile radius of any location of the Company Group in which Employee had an office or performed material services during Employee’s employment with the Company Group; (ix) any city, metropolitan area, county, state or country in which Employee’s substantial services were provided, or for which Employee had substantial responsibility, or in which Employee worked on Company Group projects, while employed by the Company Group; (x) any city, metropolitan area, county, state or country in which the Company Group is located or does or, during Employee’s employment with the Company Group, did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80" w:right="379" w:bottom="1440" w:gutter="0" w:footer="0" w:header="0"/>
        </w:sectPr>
      </w:pPr>
    </w:p>
    <w:bookmarkStart w:id="78" w:name="page79"/>
    <w:bookmarkEnd w:id="78"/>
    <w:p>
      <w:pPr>
        <w:ind w:left="600" w:right="20" w:firstLine="644"/>
        <w:spacing w:after="0" w:line="263" w:lineRule="auto"/>
        <w:tabs>
          <w:tab w:leader="none" w:pos="163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restrictions set forth in Section 2(a)(i) apply only to prohibit Employee from engaging in activities that are materially similar to the activities in which Employee engaged on behalf of the Company Group or with respect to which Employee would reasonably be expected to use Confidential Information.</w:t>
      </w:r>
    </w:p>
    <w:p>
      <w:pPr>
        <w:spacing w:after="0" w:line="183" w:lineRule="exact"/>
        <w:rPr>
          <w:rFonts w:ascii="Arial" w:cs="Arial" w:eastAsia="Arial" w:hAnsi="Arial"/>
          <w:sz w:val="18"/>
          <w:szCs w:val="18"/>
          <w:color w:val="auto"/>
        </w:rPr>
      </w:pPr>
    </w:p>
    <w:p>
      <w:pPr>
        <w:ind w:left="600" w:right="340" w:firstLine="644"/>
        <w:spacing w:after="0" w:line="263" w:lineRule="auto"/>
        <w:tabs>
          <w:tab w:leader="none" w:pos="16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Notwithstanding the foregoing, Employee’s ownership, directly or indirectly, of not more than one percent of the issued and outstanding stock of a corporation the shares of which are regularly traded on a national securities exchange or in the over-the-counter market shall not violate Sections 2(a)-(b).</w:t>
      </w:r>
    </w:p>
    <w:p>
      <w:pPr>
        <w:spacing w:after="0" w:line="179" w:lineRule="exact"/>
        <w:rPr>
          <w:rFonts w:ascii="Arial" w:cs="Arial" w:eastAsia="Arial" w:hAnsi="Arial"/>
          <w:sz w:val="18"/>
          <w:szCs w:val="18"/>
          <w:color w:val="auto"/>
        </w:rPr>
      </w:pPr>
    </w:p>
    <w:p>
      <w:pPr>
        <w:ind w:left="-60" w:firstLine="656"/>
        <w:spacing w:after="0" w:line="277" w:lineRule="auto"/>
        <w:tabs>
          <w:tab w:leader="none" w:pos="903"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acknowledges that Employee’s failure to abide by this Agreement would cause irreparable harm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Group for which legal remedies would be inadequate. Therefore, in addition to any legal or other relief to which the Company Group may be entitled by virtue of Employee’s failure to abide by these provisions; the Company Group, or any member thereof, may seek equitable relief, including, but not limited to, preliminary and permanent injunctive relief, for Employee’s actual or threatened failure to abide by these provisions, and Employee will indemnify the Company Group for all expenses including attorneys’ fees in seeking to enforce these provisions.</w:t>
      </w:r>
    </w:p>
    <w:p>
      <w:pPr>
        <w:spacing w:after="0" w:line="167" w:lineRule="exact"/>
        <w:rPr>
          <w:rFonts w:ascii="Arial" w:cs="Arial" w:eastAsia="Arial" w:hAnsi="Arial"/>
          <w:sz w:val="17"/>
          <w:szCs w:val="17"/>
          <w:b w:val="1"/>
          <w:bCs w:val="1"/>
          <w:color w:val="auto"/>
        </w:rPr>
      </w:pPr>
    </w:p>
    <w:p>
      <w:pPr>
        <w:ind w:left="-60" w:firstLine="656"/>
        <w:spacing w:after="0" w:line="282" w:lineRule="auto"/>
        <w:tabs>
          <w:tab w:leader="none" w:pos="903"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TOLLING.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during which Employee must refrain from the activities set forth in Sections 2(a)-(b) shall be tolled during any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Employee fails to abide by these provisions.</w:t>
      </w:r>
    </w:p>
    <w:p>
      <w:pPr>
        <w:spacing w:after="0" w:line="161" w:lineRule="exact"/>
        <w:rPr>
          <w:rFonts w:ascii="Arial" w:cs="Arial" w:eastAsia="Arial" w:hAnsi="Arial"/>
          <w:sz w:val="18"/>
          <w:szCs w:val="18"/>
          <w:b w:val="1"/>
          <w:bCs w:val="1"/>
          <w:color w:val="auto"/>
        </w:rPr>
      </w:pPr>
    </w:p>
    <w:p>
      <w:pPr>
        <w:jc w:val="both"/>
        <w:ind w:left="-60" w:right="240" w:firstLine="656"/>
        <w:spacing w:after="0" w:line="289" w:lineRule="auto"/>
        <w:tabs>
          <w:tab w:leader="none" w:pos="903"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VIOLATION BY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Employee alleges and proves a violation by the Company Group of any obligation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Group to Employee by agreement or operation of law, such violation shall not excuse Employee from Employee’s obligations pursuant to this Agreement, but rather Employee shall be entitled to remedies available for the specific violation alleged and proven.</w:t>
      </w:r>
    </w:p>
    <w:p>
      <w:pPr>
        <w:spacing w:after="0" w:line="157" w:lineRule="exact"/>
        <w:rPr>
          <w:rFonts w:ascii="Arial" w:cs="Arial" w:eastAsia="Arial" w:hAnsi="Arial"/>
          <w:sz w:val="17"/>
          <w:szCs w:val="17"/>
          <w:b w:val="1"/>
          <w:bCs w:val="1"/>
          <w:color w:val="auto"/>
        </w:rPr>
      </w:pPr>
    </w:p>
    <w:p>
      <w:pPr>
        <w:ind w:left="-60" w:right="60" w:firstLine="656"/>
        <w:spacing w:after="0" w:line="282" w:lineRule="auto"/>
        <w:tabs>
          <w:tab w:leader="none" w:pos="903"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terminate, revoke, or diminish Employee’s obligations or the Company Group’s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remedies under law or pursuant to the PIIA, relating to trade secrets or proprietary information.</w:t>
      </w:r>
    </w:p>
    <w:p>
      <w:pPr>
        <w:spacing w:after="0" w:line="161" w:lineRule="exact"/>
        <w:rPr>
          <w:rFonts w:ascii="Arial" w:cs="Arial" w:eastAsia="Arial" w:hAnsi="Arial"/>
          <w:sz w:val="18"/>
          <w:szCs w:val="18"/>
          <w:b w:val="1"/>
          <w:bCs w:val="1"/>
          <w:color w:val="auto"/>
        </w:rPr>
      </w:pPr>
    </w:p>
    <w:p>
      <w:pPr>
        <w:jc w:val="both"/>
        <w:ind w:left="-60" w:right="80" w:firstLine="656"/>
        <w:spacing w:after="0" w:line="261" w:lineRule="auto"/>
        <w:tabs>
          <w:tab w:leader="none" w:pos="903"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PIIA, together constitute the exclusive and complete agreement between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this subject matter and supersedes any other right of the Employee to severance under any plan, arrangement or agreement of the Company. No change or modification of this Agreement shall be valid or binding upon the Parties unless such change or modification is in writing and is signed by the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584" w:right="379" w:bottom="1440" w:gutter="0" w:footer="0" w:header="0"/>
        </w:sectPr>
      </w:pPr>
    </w:p>
    <w:bookmarkStart w:id="79" w:name="page80"/>
    <w:bookmarkEnd w:id="79"/>
    <w:p>
      <w:pPr>
        <w:ind w:left="-20" w:right="680" w:firstLine="656"/>
        <w:spacing w:after="0" w:line="282" w:lineRule="auto"/>
        <w:tabs>
          <w:tab w:leader="none" w:pos="94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or Employee’s waiver of any breach of a provision of this Agreement shall not waive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breach by the other Party.</w:t>
      </w:r>
    </w:p>
    <w:p>
      <w:pPr>
        <w:spacing w:after="0" w:line="161" w:lineRule="exact"/>
        <w:rPr>
          <w:rFonts w:ascii="Arial" w:cs="Arial" w:eastAsia="Arial" w:hAnsi="Arial"/>
          <w:sz w:val="18"/>
          <w:szCs w:val="18"/>
          <w:b w:val="1"/>
          <w:bCs w:val="1"/>
          <w:color w:val="auto"/>
        </w:rPr>
      </w:pPr>
    </w:p>
    <w:p>
      <w:pPr>
        <w:jc w:val="both"/>
        <w:ind w:left="-20" w:right="220" w:firstLine="656"/>
        <w:spacing w:after="0" w:line="261" w:lineRule="auto"/>
        <w:tabs>
          <w:tab w:leader="none" w:pos="94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 court of competent jurisdiction holds that any provision or sub-part thereof contained in this Agreement is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illegal, or unenforceable, that invalidity, illegality, or unenforceability shall not affect any other provision in this Agreement. Additionally, if any of the provisions of this Agreement are held unenforceable by a court of competent jurisdiction, then the Parties desire that such provision, clause, or phrase be “blue-penciled” or rewritten by the court to the extent necessary to render it enforceable.</w:t>
      </w:r>
    </w:p>
    <w:p>
      <w:pPr>
        <w:spacing w:after="0" w:line="179" w:lineRule="exact"/>
        <w:rPr>
          <w:rFonts w:ascii="Arial" w:cs="Arial" w:eastAsia="Arial" w:hAnsi="Arial"/>
          <w:sz w:val="18"/>
          <w:szCs w:val="18"/>
          <w:b w:val="1"/>
          <w:bCs w:val="1"/>
          <w:color w:val="auto"/>
        </w:rPr>
      </w:pPr>
    </w:p>
    <w:p>
      <w:pPr>
        <w:jc w:val="both"/>
        <w:ind w:left="-20" w:firstLine="656"/>
        <w:spacing w:after="0" w:line="266" w:lineRule="auto"/>
        <w:tabs>
          <w:tab w:leader="none" w:pos="98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 BOUND.</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provisions, covenants and agreements contained in this Agreement shall apply to, be binding upon and inure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benefit of the Company’s successors and assigns, and Employee’s heirs, executors, administrators, and other legal representatives. Employee may not assign this Agreement.</w:t>
      </w:r>
    </w:p>
    <w:p>
      <w:pPr>
        <w:spacing w:after="0" w:line="175" w:lineRule="exact"/>
        <w:rPr>
          <w:rFonts w:ascii="Arial" w:cs="Arial" w:eastAsia="Arial" w:hAnsi="Arial"/>
          <w:sz w:val="18"/>
          <w:szCs w:val="18"/>
          <w:b w:val="1"/>
          <w:bCs w:val="1"/>
          <w:color w:val="auto"/>
        </w:rPr>
      </w:pPr>
    </w:p>
    <w:p>
      <w:pPr>
        <w:jc w:val="both"/>
        <w:ind w:left="-20" w:right="340" w:firstLine="656"/>
        <w:spacing w:after="0" w:line="281" w:lineRule="auto"/>
        <w:tabs>
          <w:tab w:leader="none" w:pos="978"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acknowledges that Employee’s breach of this Agreement would cause the Company irreparable harm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damages would be difficult, if not impossible, to ascertain and legal remedies would be inadequate. Therefore, in addition to any legal or other relief to which the Company may be entitled by virtue of Employee’s breach or threatened breach of this Agreement, the Company may seek equitable relief, including but not limited to preliminary and permanent injunctive relief and all other available remedies.</w:t>
      </w:r>
    </w:p>
    <w:p>
      <w:pPr>
        <w:spacing w:after="0" w:line="164" w:lineRule="exact"/>
        <w:rPr>
          <w:rFonts w:ascii="Arial" w:cs="Arial" w:eastAsia="Arial" w:hAnsi="Arial"/>
          <w:sz w:val="17"/>
          <w:szCs w:val="17"/>
          <w:b w:val="1"/>
          <w:bCs w:val="1"/>
          <w:color w:val="auto"/>
        </w:rPr>
      </w:pPr>
    </w:p>
    <w:p>
      <w:pPr>
        <w:ind w:left="-20" w:right="40" w:firstLine="656"/>
        <w:spacing w:after="0" w:line="255" w:lineRule="auto"/>
        <w:tabs>
          <w:tab w:leader="none" w:pos="98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employment relationship created by it shall be interpreted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laws of the State of North Carolina, including its statutes of limitations, without giving effect to any conflict-of-laws rule that would result in the application of the laws of a different jurisdiction. The Parties consent to exclusive jurisdiction in North Carolina for the purpose of any litigation relating to this Agreement and agree that any litigation by or involving them relating to this Agreement shall be conducted in the state courts of North Carolina or the appropriate federal district court located in North Carolina. Employee consents to the exercise of personal jurisdiction in any state or federal court located in North Carolina and waives any objection based upon personal jurisdiction or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with respect to any action commenced in such courts.</w:t>
      </w:r>
    </w:p>
    <w:p>
      <w:pPr>
        <w:spacing w:after="0" w:line="188" w:lineRule="exact"/>
        <w:rPr>
          <w:rFonts w:ascii="Arial" w:cs="Arial" w:eastAsia="Arial" w:hAnsi="Arial"/>
          <w:sz w:val="18"/>
          <w:szCs w:val="18"/>
          <w:b w:val="1"/>
          <w:bCs w:val="1"/>
          <w:color w:val="auto"/>
        </w:rPr>
      </w:pPr>
    </w:p>
    <w:p>
      <w:pPr>
        <w:ind w:left="-20" w:right="440" w:firstLine="656"/>
        <w:spacing w:after="0" w:line="282" w:lineRule="auto"/>
        <w:tabs>
          <w:tab w:leader="none" w:pos="98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an original, with the same effect as if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affixed thereto were upon the same instrument.</w:t>
      </w:r>
    </w:p>
    <w:p>
      <w:pPr>
        <w:spacing w:after="0" w:line="161" w:lineRule="exact"/>
        <w:rPr>
          <w:rFonts w:ascii="Arial" w:cs="Arial" w:eastAsia="Arial" w:hAnsi="Arial"/>
          <w:sz w:val="18"/>
          <w:szCs w:val="18"/>
          <w:b w:val="1"/>
          <w:bCs w:val="1"/>
          <w:color w:val="auto"/>
        </w:rPr>
      </w:pPr>
    </w:p>
    <w:p>
      <w:pPr>
        <w:ind w:left="-20" w:right="360" w:firstLine="656"/>
        <w:spacing w:after="0" w:line="282" w:lineRule="auto"/>
        <w:tabs>
          <w:tab w:leader="none" w:pos="98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ACKNOWLEDGMENT.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understands and agrees that this Agreement is not a contract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term.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0" w:right="359" w:bottom="1440" w:gutter="0" w:footer="0" w:header="0"/>
        </w:sectPr>
      </w:pPr>
    </w:p>
    <w:bookmarkStart w:id="80" w:name="page81"/>
    <w:bookmarkEnd w:id="80"/>
    <w:p>
      <w:pPr>
        <w:ind w:firstLine="162"/>
        <w:spacing w:after="0" w:line="277" w:lineRule="auto"/>
        <w:rPr>
          <w:sz w:val="20"/>
          <w:szCs w:val="20"/>
          <w:color w:val="auto"/>
        </w:rPr>
      </w:pPr>
      <w:r>
        <w:rPr>
          <w:rFonts w:ascii="Arial" w:cs="Arial" w:eastAsia="Arial" w:hAnsi="Arial"/>
          <w:sz w:val="18"/>
          <w:szCs w:val="18"/>
          <w:color w:val="auto"/>
        </w:rPr>
        <w:t>IN WITNESS WHEREOF, the Company has caused this Non-Competition and Non-Solicitation Agreement to be executed by its duly authorized officer and Employee has executed the same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BIOCRYST PHARMACEUTICALS, INC.</w:t>
            </w:r>
          </w:p>
        </w:tc>
        <w:tc>
          <w:tcPr>
            <w:tcW w:w="4820" w:type="dxa"/>
            <w:vAlign w:val="bottom"/>
          </w:tcPr>
          <w:p>
            <w:pPr>
              <w:ind w:left="1400"/>
              <w:spacing w:after="0"/>
              <w:rPr>
                <w:sz w:val="20"/>
                <w:szCs w:val="20"/>
                <w:color w:val="auto"/>
              </w:rPr>
            </w:pPr>
            <w:r>
              <w:rPr>
                <w:rFonts w:ascii="Arial" w:cs="Arial" w:eastAsia="Arial" w:hAnsi="Arial"/>
                <w:sz w:val="18"/>
                <w:szCs w:val="18"/>
                <w:color w:val="auto"/>
              </w:rPr>
              <w:t>EMPLOYEE</w:t>
            </w:r>
          </w:p>
        </w:tc>
      </w:tr>
      <w:tr>
        <w:trPr>
          <w:trHeight w:val="85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100"/>
              <w:spacing w:after="0"/>
              <w:rPr>
                <w:sz w:val="20"/>
                <w:szCs w:val="20"/>
                <w:color w:val="auto"/>
              </w:rPr>
            </w:pPr>
            <w:r>
              <w:rPr>
                <w:rFonts w:ascii="Arial" w:cs="Arial" w:eastAsia="Arial" w:hAnsi="Arial"/>
                <w:sz w:val="18"/>
                <w:szCs w:val="18"/>
                <w:color w:val="auto"/>
              </w:rPr>
              <w:t>______________________________________</w:t>
            </w:r>
          </w:p>
        </w:tc>
        <w:tc>
          <w:tcPr>
            <w:tcW w:w="4820" w:type="dxa"/>
            <w:vAlign w:val="bottom"/>
          </w:tcPr>
          <w:p>
            <w:pPr>
              <w:ind w:left="1400"/>
              <w:spacing w:after="0"/>
              <w:rPr>
                <w:sz w:val="20"/>
                <w:szCs w:val="20"/>
                <w:color w:val="auto"/>
              </w:rPr>
            </w:pPr>
            <w:r>
              <w:rPr>
                <w:rFonts w:ascii="Arial" w:cs="Arial" w:eastAsia="Arial" w:hAnsi="Arial"/>
                <w:sz w:val="18"/>
                <w:szCs w:val="18"/>
                <w:color w:val="auto"/>
                <w:w w:val="89"/>
              </w:rPr>
              <w:t>______________________________________</w:t>
            </w:r>
          </w:p>
        </w:tc>
      </w:tr>
      <w:tr>
        <w:trPr>
          <w:trHeight w:val="216"/>
        </w:trPr>
        <w:tc>
          <w:tcPr>
            <w:tcW w:w="50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Jon Stonehouse</w:t>
            </w:r>
          </w:p>
        </w:tc>
        <w:tc>
          <w:tcPr>
            <w:tcW w:w="4820" w:type="dxa"/>
            <w:vAlign w:val="bottom"/>
          </w:tcPr>
          <w:p>
            <w:pPr>
              <w:ind w:left="1400"/>
              <w:spacing w:after="0"/>
              <w:rPr>
                <w:sz w:val="20"/>
                <w:szCs w:val="20"/>
                <w:color w:val="auto"/>
              </w:rPr>
            </w:pPr>
            <w:r>
              <w:rPr>
                <w:rFonts w:ascii="Arial" w:cs="Arial" w:eastAsia="Arial" w:hAnsi="Arial"/>
                <w:sz w:val="18"/>
                <w:szCs w:val="18"/>
                <w:color w:val="auto"/>
              </w:rPr>
              <w:t>Helen Thackray, MD</w:t>
            </w:r>
          </w:p>
        </w:tc>
      </w:tr>
      <w:tr>
        <w:trPr>
          <w:trHeight w:val="230"/>
        </w:trPr>
        <w:tc>
          <w:tcPr>
            <w:tcW w:w="500" w:type="dxa"/>
            <w:vAlign w:val="bottom"/>
          </w:tcPr>
          <w:p>
            <w:pPr>
              <w:spacing w:after="0"/>
              <w:rPr>
                <w:sz w:val="20"/>
                <w:szCs w:val="20"/>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820" w:type="dxa"/>
            <w:vAlign w:val="bottom"/>
          </w:tcPr>
          <w:p>
            <w:pPr>
              <w:spacing w:after="0"/>
              <w:rPr>
                <w:sz w:val="20"/>
                <w:szCs w:val="20"/>
                <w:color w:val="auto"/>
              </w:rPr>
            </w:pPr>
          </w:p>
        </w:tc>
      </w:tr>
      <w:tr>
        <w:trPr>
          <w:trHeight w:val="64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100"/>
              <w:spacing w:after="0"/>
              <w:rPr>
                <w:sz w:val="20"/>
                <w:szCs w:val="20"/>
                <w:color w:val="auto"/>
              </w:rPr>
            </w:pPr>
            <w:r>
              <w:rPr>
                <w:rFonts w:ascii="Arial" w:cs="Arial" w:eastAsia="Arial" w:hAnsi="Arial"/>
                <w:sz w:val="18"/>
                <w:szCs w:val="18"/>
                <w:color w:val="auto"/>
              </w:rPr>
              <w:t>______________________________________</w:t>
            </w:r>
          </w:p>
        </w:tc>
        <w:tc>
          <w:tcPr>
            <w:tcW w:w="4820" w:type="dxa"/>
            <w:vAlign w:val="bottom"/>
          </w:tcPr>
          <w:p>
            <w:pPr>
              <w:ind w:left="1020"/>
              <w:spacing w:after="0"/>
              <w:rPr>
                <w:sz w:val="20"/>
                <w:szCs w:val="20"/>
                <w:color w:val="auto"/>
              </w:rPr>
            </w:pPr>
            <w:r>
              <w:rPr>
                <w:rFonts w:ascii="Arial" w:cs="Arial" w:eastAsia="Arial" w:hAnsi="Arial"/>
                <w:sz w:val="18"/>
                <w:szCs w:val="18"/>
                <w:color w:val="auto"/>
                <w:w w:val="89"/>
              </w:rPr>
              <w:t>Date:______________________________________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81" w:name="page82"/>
    <w:bookmarkEnd w:id="81"/>
    <w:p>
      <w:pPr>
        <w:ind w:left="1032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RESTRICTED STOCK UNIT AWARD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Notice is hereby given that BioCryst Pharmaceuticals, Inc. (the “Company”) has selected you to receive an award of restricted stock units with respect to the Company’s Common Stock (such award referred to herein as the “RSUs” or “Award”) as described below and granted pursuant to the BioCryst Pharmaceuticals, Inc. Stock Incentive Plan (the “Plan”) and the accompanying </w:t>
      </w:r>
      <w:r>
        <w:rPr>
          <w:rFonts w:ascii="Arial" w:cs="Arial" w:eastAsia="Arial" w:hAnsi="Arial"/>
          <w:sz w:val="17"/>
          <w:szCs w:val="17"/>
          <w:u w:val="single" w:color="auto"/>
          <w:color w:val="auto"/>
        </w:rPr>
        <w:t>Restricted Stock Unit Agreement</w:t>
      </w:r>
      <w:r>
        <w:rPr>
          <w:rFonts w:ascii="Arial" w:cs="Arial" w:eastAsia="Arial" w:hAnsi="Arial"/>
          <w:sz w:val="17"/>
          <w:szCs w:val="17"/>
          <w:color w:val="auto"/>
        </w:rPr>
        <w:t xml:space="preserve"> (the “Agreement”):</w:t>
      </w:r>
    </w:p>
    <w:p>
      <w:pPr>
        <w:spacing w:after="0" w:line="381"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Name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14605</wp:posOffset>
            </wp:positionV>
            <wp:extent cx="34290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Number of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14605</wp:posOffset>
            </wp:positionV>
            <wp:extent cx="34290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14605</wp:posOffset>
            </wp:positionV>
            <wp:extent cx="34290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14605</wp:posOffset>
            </wp:positionV>
            <wp:extent cx="34290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Recipient understands that the Award is granted subject to and in accordance with the express terms and conditions of the Plan and agrees to be bound by and conform to the terms and conditions of the Plan, the Plan Prospectus, this Notice of Restricted Stock Unit Award, and the accompanying Agreement. Recipient acknowledges that, notwithstanding anything to the contrary in any employment or other agreement between Recipient and the Company, the vesting of the RSUs shall not accelerate upon a Change in Control (or any equivalent term as set forth in any applicable written employment agreement); rather, vesting shall accelerate only to the extent provided in the Plan. Recipient acknowledges that copies of the Plan, the Plan Prospectus, and the Agreement have been made available to Recipient.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Nothing in this Notice of Restricted Stock Unit Award, the accompanying Agreement, or the Plan shall confer upon the Recipient the right to continue in the service or employment of the Company for any period of specific duration or otherwise restrict in any way the rights of the Company or the Recipient, which rights are hereby expressly reserved by each, to terminate Recipient’s service or employment at any time for any reason whatsoever, with or without cause.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my signature below, I hereby acknowledge receipt of the Award granted to me on the Grant Date specified above and issued to me pursuant to the terms and conditions of the Plan and the attached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Agreed and Accepted:</w:t>
            </w:r>
          </w:p>
        </w:tc>
        <w:tc>
          <w:tcPr>
            <w:tcW w:w="6780" w:type="dxa"/>
            <w:vAlign w:val="bottom"/>
          </w:tcPr>
          <w:p>
            <w:pPr>
              <w:ind w:left="1480"/>
              <w:spacing w:after="0"/>
              <w:rPr>
                <w:sz w:val="20"/>
                <w:szCs w:val="20"/>
                <w:color w:val="auto"/>
              </w:rPr>
            </w:pPr>
            <w:r>
              <w:rPr>
                <w:rFonts w:ascii="Arial" w:cs="Arial" w:eastAsia="Arial" w:hAnsi="Arial"/>
                <w:sz w:val="18"/>
                <w:szCs w:val="18"/>
                <w:b w:val="1"/>
                <w:bCs w:val="1"/>
                <w:color w:val="auto"/>
              </w:rPr>
              <w:t>BIOCRYST PHARMACEUTICALS, INC.</w:t>
            </w:r>
          </w:p>
        </w:tc>
        <w:tc>
          <w:tcPr>
            <w:tcW w:w="0" w:type="dxa"/>
            <w:vAlign w:val="bottom"/>
          </w:tcPr>
          <w:p>
            <w:pPr>
              <w:spacing w:after="0"/>
              <w:rPr>
                <w:sz w:val="1"/>
                <w:szCs w:val="1"/>
                <w:color w:val="auto"/>
              </w:rPr>
            </w:pPr>
          </w:p>
        </w:tc>
      </w:tr>
      <w:tr>
        <w:trPr>
          <w:trHeight w:val="418"/>
        </w:trPr>
        <w:tc>
          <w:tcPr>
            <w:tcW w:w="4460" w:type="dxa"/>
            <w:vAlign w:val="bottom"/>
          </w:tcPr>
          <w:p>
            <w:pPr>
              <w:spacing w:after="0"/>
              <w:rPr>
                <w:sz w:val="20"/>
                <w:szCs w:val="20"/>
                <w:color w:val="auto"/>
              </w:rPr>
            </w:pPr>
            <w:r>
              <w:rPr>
                <w:rFonts w:ascii="Arial" w:cs="Arial" w:eastAsia="Arial" w:hAnsi="Arial"/>
                <w:sz w:val="18"/>
                <w:szCs w:val="18"/>
                <w:color w:val="auto"/>
              </w:rPr>
              <w:t>By: _____________________________</w:t>
            </w:r>
          </w:p>
        </w:tc>
        <w:tc>
          <w:tcPr>
            <w:tcW w:w="6780" w:type="dxa"/>
            <w:vAlign w:val="bottom"/>
          </w:tcPr>
          <w:p>
            <w:pPr>
              <w:ind w:left="1480"/>
              <w:spacing w:after="0"/>
              <w:rPr>
                <w:sz w:val="20"/>
                <w:szCs w:val="20"/>
                <w:color w:val="auto"/>
              </w:rPr>
            </w:pPr>
            <w:r>
              <w:rPr>
                <w:rFonts w:ascii="Arial" w:cs="Arial" w:eastAsia="Arial" w:hAnsi="Arial"/>
                <w:sz w:val="18"/>
                <w:szCs w:val="18"/>
                <w:color w:val="auto"/>
              </w:rPr>
              <w:t>____________________________________</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Recipient: ________________________</w:t>
            </w:r>
          </w:p>
        </w:tc>
        <w:tc>
          <w:tcPr>
            <w:tcW w:w="6780" w:type="dxa"/>
            <w:vAlign w:val="bottom"/>
          </w:tcPr>
          <w:p>
            <w:pPr>
              <w:ind w:left="1480"/>
              <w:spacing w:after="0"/>
              <w:rPr>
                <w:sz w:val="20"/>
                <w:szCs w:val="20"/>
                <w:color w:val="auto"/>
              </w:rPr>
            </w:pPr>
            <w:r>
              <w:rPr>
                <w:rFonts w:ascii="Arial" w:cs="Arial" w:eastAsia="Arial" w:hAnsi="Arial"/>
                <w:sz w:val="18"/>
                <w:szCs w:val="18"/>
                <w:color w:val="auto"/>
              </w:rPr>
              <w:t>Jon P. Stonehouse</w:t>
            </w:r>
          </w:p>
        </w:tc>
        <w:tc>
          <w:tcPr>
            <w:tcW w:w="0" w:type="dxa"/>
            <w:vAlign w:val="bottom"/>
          </w:tcPr>
          <w:p>
            <w:pPr>
              <w:spacing w:after="0"/>
              <w:rPr>
                <w:sz w:val="1"/>
                <w:szCs w:val="1"/>
                <w:color w:val="auto"/>
              </w:rPr>
            </w:pPr>
          </w:p>
        </w:tc>
      </w:tr>
      <w:tr>
        <w:trPr>
          <w:trHeight w:val="230"/>
        </w:trPr>
        <w:tc>
          <w:tcPr>
            <w:tcW w:w="4460" w:type="dxa"/>
            <w:vAlign w:val="bottom"/>
            <w:vMerge w:val="restart"/>
          </w:tcPr>
          <w:p>
            <w:pPr>
              <w:spacing w:after="0"/>
              <w:rPr>
                <w:sz w:val="20"/>
                <w:szCs w:val="20"/>
                <w:color w:val="auto"/>
              </w:rPr>
            </w:pPr>
            <w:r>
              <w:rPr>
                <w:rFonts w:ascii="Arial" w:cs="Arial" w:eastAsia="Arial" w:hAnsi="Arial"/>
                <w:sz w:val="18"/>
                <w:szCs w:val="18"/>
                <w:color w:val="auto"/>
              </w:rPr>
              <w:t>Dated: ___________________________</w:t>
            </w:r>
          </w:p>
        </w:tc>
        <w:tc>
          <w:tcPr>
            <w:tcW w:w="6780" w:type="dxa"/>
            <w:vAlign w:val="bottom"/>
          </w:tcPr>
          <w:p>
            <w:pPr>
              <w:ind w:left="148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4460" w:type="dxa"/>
            <w:vAlign w:val="bottom"/>
            <w:vMerge w:val="continue"/>
          </w:tcPr>
          <w:p>
            <w:pPr>
              <w:spacing w:after="0"/>
              <w:rPr>
                <w:sz w:val="18"/>
                <w:szCs w:val="18"/>
                <w:color w:val="auto"/>
              </w:rPr>
            </w:pPr>
          </w:p>
        </w:tc>
        <w:tc>
          <w:tcPr>
            <w:tcW w:w="6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44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8"/>
          <w:szCs w:val="18"/>
          <w:b w:val="1"/>
          <w:bCs w:val="1"/>
          <w:color w:val="auto"/>
        </w:rPr>
        <w:t>BIOCRYST PHARMACEUTICALS,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right="100" w:firstLine="656"/>
        <w:spacing w:after="0" w:line="311"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Board of Directors (the “Board”) of BioCryst Pharmaceuticals, Inc. (the “Company”) has adopted the Company’s Stock Incentive Plan (the “Plan”) for the purpose of attracting and retaining the services of its employees (including officers and directors), non-employee Board members and consultants and other independent contractors who contribute to the financial success of the Company or its parent or subsidiary corporations.</w:t>
      </w:r>
    </w:p>
    <w:p>
      <w:pPr>
        <w:spacing w:after="0" w:line="148" w:lineRule="exact"/>
        <w:rPr>
          <w:rFonts w:ascii="Arial" w:cs="Arial" w:eastAsia="Arial" w:hAnsi="Arial"/>
          <w:sz w:val="16"/>
          <w:szCs w:val="16"/>
          <w:color w:val="auto"/>
        </w:rPr>
      </w:pPr>
    </w:p>
    <w:p>
      <w:pPr>
        <w:ind w:right="200" w:firstLine="656"/>
        <w:spacing w:after="0" w:line="263" w:lineRule="auto"/>
        <w:tabs>
          <w:tab w:leader="none" w:pos="9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Recipient is an individual who has rendered and is to render valuable services to the Company or its parent or subsidiary corporations, and this Agreement is executed pursuant to, and is intended to carry out the purposes of, the Plan in connection with the Company’s grant of the Restricted Stock Unit Award to Recipient.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hereby agreed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terms and conditions of the Award of restricted stock units with respect to Common Stock of the Company (the “RSUs”) made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Recipient, as set forth in the accompanying </w:t>
      </w:r>
      <w:r>
        <w:rPr>
          <w:rFonts w:ascii="Arial" w:cs="Arial" w:eastAsia="Arial" w:hAnsi="Arial"/>
          <w:sz w:val="18"/>
          <w:szCs w:val="18"/>
          <w:u w:val="single" w:color="auto"/>
          <w:color w:val="auto"/>
        </w:rPr>
        <w:t>Notice of Restricted Stock Unit Award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Award Notice</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are as follows:</w:t>
      </w:r>
    </w:p>
    <w:p>
      <w:pPr>
        <w:spacing w:after="0" w:line="211"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Issuance of RSUs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4"/>
        <w:spacing w:after="0" w:line="259" w:lineRule="auto"/>
        <w:tabs>
          <w:tab w:leader="none" w:pos="16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RSUs are hereby granted and issued to the Recipient, effective as of the Grant Date set forth in the accompanying Award Notice, in consideration of the employment services rendered and to be rendered by the Recipient to the Company in accordance with Article Three of the Plan. Each RSU represents the right to receive one share of Common Stock, subject to the terms and conditions hereof. This Award is made subject to and awarded upon the terms and conditions set forth in this Agreement and the Plan.</w:t>
      </w:r>
    </w:p>
    <w:p>
      <w:pPr>
        <w:spacing w:after="0" w:line="186" w:lineRule="exact"/>
        <w:rPr>
          <w:rFonts w:ascii="Arial" w:cs="Arial" w:eastAsia="Arial" w:hAnsi="Arial"/>
          <w:sz w:val="18"/>
          <w:szCs w:val="18"/>
          <w:color w:val="auto"/>
        </w:rPr>
      </w:pPr>
    </w:p>
    <w:p>
      <w:pPr>
        <w:ind w:firstLine="1304"/>
        <w:spacing w:after="0" w:line="259" w:lineRule="auto"/>
        <w:tabs>
          <w:tab w:leader="none" w:pos="1676" w:val="left"/>
        </w:tabs>
        <w:numPr>
          <w:ilvl w:val="1"/>
          <w:numId w:val="58"/>
        </w:numPr>
        <w:rPr>
          <w:rFonts w:ascii="Arial" w:cs="Arial" w:eastAsia="Arial" w:hAnsi="Arial"/>
          <w:sz w:val="18"/>
          <w:szCs w:val="18"/>
          <w:color w:val="auto"/>
        </w:rPr>
      </w:pPr>
      <w:r>
        <w:rPr>
          <w:rFonts w:ascii="Arial" w:cs="Arial" w:eastAsia="Arial" w:hAnsi="Arial"/>
          <w:sz w:val="18"/>
          <w:szCs w:val="18"/>
          <w:color w:val="auto"/>
        </w:rPr>
        <w:t>As promptly as practicable following the vesting of the RSUs pursuant to Section 2 (and in all events no later than March 15 of the year following the year of vesting (unless earlier delivery is required by Section 409A of the Code or delivery is deferred pursuant to a nonqualified deferred compensation plan in accordance with the requirements of Section 409A of the Code)), the Company shall issue, in the name of the Recipient, the number of shares of Common Stock that have vested.</w:t>
      </w:r>
    </w:p>
    <w:p>
      <w:pPr>
        <w:spacing w:after="0" w:line="186" w:lineRule="exact"/>
        <w:rPr>
          <w:rFonts w:ascii="Arial" w:cs="Arial" w:eastAsia="Arial" w:hAnsi="Arial"/>
          <w:sz w:val="18"/>
          <w:szCs w:val="18"/>
          <w:color w:val="auto"/>
        </w:rPr>
      </w:pPr>
    </w:p>
    <w:p>
      <w:pPr>
        <w:ind w:right="340" w:firstLine="1304"/>
        <w:spacing w:after="0" w:line="277" w:lineRule="auto"/>
        <w:tabs>
          <w:tab w:leader="none" w:pos="16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Recipient agrees that the RSUs shall be subject to the forfeiture provisions set forth in Section 3 of this Agreement and the restrictions on transfer set forth in Section 4 of this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General Vesting Terms; Lapsing of 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63" w:lineRule="auto"/>
        <w:tabs>
          <w:tab w:leader="none" w:pos="1675"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Subject to Recipient’s continuous employment with or service to the Company from the Grant Date through each applicable Vesting Date, the RSUs shall vest and no longer be subject to forfeiture with respect to twenty-five percent (25%) of the RSUs on each of the first four (4) anniversaries of the Grant Date (each such anniversary a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83" w:name="page84"/>
    <w:bookmarkEnd w:id="83"/>
    <w:p>
      <w:pPr>
        <w:ind w:left="1700" w:hanging="396"/>
        <w:spacing w:after="0"/>
        <w:tabs>
          <w:tab w:leader="none" w:pos="170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If a Change in Control occurs, Article III, Section 2 of the Plan shall govern the treatment of the RSUs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connection therewith.</w:t>
      </w:r>
    </w:p>
    <w:p>
      <w:pPr>
        <w:spacing w:after="0" w:line="210" w:lineRule="exact"/>
        <w:rPr>
          <w:rFonts w:ascii="Arial" w:cs="Arial" w:eastAsia="Arial" w:hAnsi="Arial"/>
          <w:sz w:val="17"/>
          <w:szCs w:val="17"/>
          <w:color w:val="auto"/>
        </w:rPr>
      </w:pPr>
    </w:p>
    <w:p>
      <w:pPr>
        <w:ind w:right="20" w:firstLine="1304"/>
        <w:spacing w:after="0" w:line="287" w:lineRule="auto"/>
        <w:tabs>
          <w:tab w:leader="none" w:pos="1675"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Continuous Employment and Service</w:t>
      </w:r>
      <w:r>
        <w:rPr>
          <w:rFonts w:ascii="Arial" w:cs="Arial" w:eastAsia="Arial" w:hAnsi="Arial"/>
          <w:sz w:val="16"/>
          <w:szCs w:val="16"/>
          <w:color w:val="auto"/>
        </w:rPr>
        <w:t>. For purposes of this Agreement, Recipient shall be deemed to remain in continuous service with the Company for so long as the Recipient continues to render periodic services to the Company or any parent or subsidiary corporation, whether as an employee, a non-employee member of the Company’s Board of Directors or an independent consultant or advisor. The Recipient shall be deemed to be an “employee” and to continue in the Company’s employ for so long as Recipient remains in the employ of the Company or one or more of its parent or subsidiary corporations subject to the control and direction of the employer entity as to both the work to be performed and the manner and method of performance. For purposes of this Agreement, a corporation shall be considered to be a subsidiary corporation of the Company if it is a member of an unbroken chain of corporations beginning with the Company, provided each such corporation in the chain (other than the last corporation) owns, at the time of determination, stock possessing 50% or more of the total combined voting power of all classes of stock in one of the other corporations in such chain. Similarly, for purposes of this Agreement, a corporation shall be considered to be a parent corporation of the Company if it is a member of an unbroken chain ending with the Company, provided each such corporation in the chain (other than the Company) owns, at the time of determination, stock possessing 50% or more of the total combined voting power of all classes of stock in one of the other corporations in such chain.</w:t>
      </w:r>
    </w:p>
    <w:p>
      <w:pPr>
        <w:spacing w:after="0" w:line="171" w:lineRule="exact"/>
        <w:rPr>
          <w:rFonts w:ascii="Arial" w:cs="Arial" w:eastAsia="Arial" w:hAnsi="Arial"/>
          <w:sz w:val="16"/>
          <w:szCs w:val="16"/>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Forfeiture of Unvested RSUs Upon Employment Termination</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the event that the Recipient ceases to be continuously employed by or continuously in service to the Company for any reason or no reason, with or without cause, except as otherwise expressly provided in Section 2 above, all of the RSUs that are unvested as of the time of such employment termination shall be forfeited immediately and automatically to the Company and no shares of Common Stock shall be issued with respect thereto, without the payment of any consideration to the Recipient, effective as of such termination of employment or separation from service. The Recipient shall have no further rights with respect to any RSUs that are so forfeited. If the Recipient is employed by a subsidiary of the Company, any references in this Agreement to employment with the Company shall instead be deemed to refer to employment with such subsidiary.</w:t>
      </w:r>
    </w:p>
    <w:p>
      <w:pPr>
        <w:spacing w:after="0" w:line="178"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Recipient shall not sell, assign, transfer, pledge, hypothecate or otherwise dispose of, by operation of law or otherwise (collectively “transfer”) any RSUs, or any interest therein (but may transfer Common Stock after its issuance pursuant to Section 1(b) above). Notwithstanding the foregoing to the extent permitted by applicable law, the RSUs may be assigned in whole or part during the Recipient’s lifetime pursuant to a domestic relations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RSUs shall in all cases remain subject to this Agreement (including, without limitation, the forfeiture provisions set forth in Section 3 and the restrictions on transfer set forth in this Section 4) and such permitted transferee shall, as a condition to such transfer, deliver to the Company a written instrument confirming that such transferee shall be bound by all of the terms and conditions of this Agreement. The Company shall not be required: (i) to transfer on its books any of the RSUs (or issue shares of Common Stock with respect thereto) which have been transferred in violation of any of the provisions of this Agreement or (ii) to treat as owner of such RSUs any transferee to whom such RSUs have been transferred in violation of any of the provisions of this Agreement.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 xml:space="preserve">The Recipient shall have no rights as a shareholder with respect to the RSUs until such times as shares of Common Stock are issued in settlement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dividends and distributions with respect to the shares of Common Stock underlying the RSUs are paid in cash or shares, or consist of a dividend or distribution to holders of Common Stock other than an ordinary cash dividend, the shares, cash or other property will be credited to a notional account on behalf of the Recipient subject to the same restrictions on transferability and forfeitability as the related RSUs.</w:t>
      </w:r>
    </w:p>
    <w:p>
      <w:pPr>
        <w:spacing w:after="0" w:line="157"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57" w:lineRule="auto"/>
        <w:tabs>
          <w:tab w:leader="none" w:pos="167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The Recipient acknowledges that Recipient is responsible for obtaining the advice of the Recipient’s own tax advisors with respect to the acquisition and vesting of the RSUs and that Recipient is relying solely on such advisors and not on any statements or representations of the Company or any of its agents with respect to the tax consequences relating to the RSUs. The Recipient understands that the Recipient (and not the Company) shall be responsible for any and all of Recipient’s tax liabilities that may arise in connection with the acquisition, vesting and/or settlement of the RSUs.</w:t>
      </w:r>
    </w:p>
    <w:p>
      <w:pPr>
        <w:spacing w:after="0" w:line="187" w:lineRule="exact"/>
        <w:rPr>
          <w:rFonts w:ascii="Arial" w:cs="Arial" w:eastAsia="Arial" w:hAnsi="Arial"/>
          <w:sz w:val="18"/>
          <w:szCs w:val="18"/>
          <w:color w:val="auto"/>
        </w:rPr>
      </w:pPr>
    </w:p>
    <w:p>
      <w:pPr>
        <w:ind w:right="60" w:firstLine="1304"/>
        <w:spacing w:after="0" w:line="289" w:lineRule="auto"/>
        <w:tabs>
          <w:tab w:leader="none" w:pos="1686"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Unless the Plan Administrator expressly authorizes otherwise, the Recipient shall satisfy all tax withholding obligations arising in connection with the vesting of RSUs by automatically having withheld or otherwise transferring to the Company, effective as of each Vesting Date, such number of shares of Common Stock underlying the RSUs that vest on such Vesting Date as have a fair market value (calculated in accordance with the Plan) equal to the amount of the applicable tax withholding obligations in connection with the vesting and settlement of such RSUs. The Recipient further acknowledges and agrees that the Company has the right to deduct from payments of any kind otherwise due to the Recipient any other federal, state, local or other taxes of any kind required by law to be withheld with respect to the vesting and settlement of the RSUs in the event the withholding of shares of Common Stock authorized above is insufficient to satisfy all tax withholding obligations. If requested by the Plan Administrator, the Recipient agrees to satisfy such tax withholding obligations by making a cash payment to the Company on the date of vesting of the RSUs, in such amount as the Company determines is necessary to satisfy its withholding obligations in connection with the vesting and settlement of such RSUs.</w:t>
      </w:r>
    </w:p>
    <w:p>
      <w:pPr>
        <w:spacing w:after="0" w:line="166" w:lineRule="exact"/>
        <w:rPr>
          <w:rFonts w:ascii="Arial" w:cs="Arial" w:eastAsia="Arial" w:hAnsi="Arial"/>
          <w:sz w:val="16"/>
          <w:szCs w:val="16"/>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4"/>
        <w:spacing w:after="0" w:line="259" w:lineRule="auto"/>
        <w:tabs>
          <w:tab w:leader="none" w:pos="167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Authority of the Plan Administrator</w:t>
      </w:r>
      <w:r>
        <w:rPr>
          <w:rFonts w:ascii="Arial" w:cs="Arial" w:eastAsia="Arial" w:hAnsi="Arial"/>
          <w:sz w:val="18"/>
          <w:szCs w:val="18"/>
          <w:color w:val="auto"/>
        </w:rPr>
        <w:t>. In making any decisions or taking any actions with respect to the matters covered by this Agreement, the Plan Administrator shall have full authority and discretion, and shall be subject to all of the protections provided for in the Plan. All decisions and actions by the Plan Administrator with respect to this Agreement shall be made in the Plan Administrator’s sole discretion and shall be final and binding on all.</w:t>
      </w:r>
    </w:p>
    <w:p>
      <w:pPr>
        <w:spacing w:after="0" w:line="186" w:lineRule="exact"/>
        <w:rPr>
          <w:rFonts w:ascii="Arial" w:cs="Arial" w:eastAsia="Arial" w:hAnsi="Arial"/>
          <w:sz w:val="18"/>
          <w:szCs w:val="18"/>
          <w:color w:val="auto"/>
        </w:rPr>
      </w:pPr>
    </w:p>
    <w:p>
      <w:pPr>
        <w:ind w:right="120" w:firstLine="1304"/>
        <w:spacing w:after="0" w:line="254" w:lineRule="auto"/>
        <w:tabs>
          <w:tab w:leader="none" w:pos="168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No Employment or Service Contract</w:t>
      </w:r>
      <w:r>
        <w:rPr>
          <w:rFonts w:ascii="Arial" w:cs="Arial" w:eastAsia="Arial" w:hAnsi="Arial"/>
          <w:sz w:val="18"/>
          <w:szCs w:val="18"/>
          <w:color w:val="auto"/>
        </w:rPr>
        <w:t>. The Recipient acknowledges and agrees that, notwithstanding the fact that vesting and settlement of the RSUs is contingent upon Recipient’s continued employment with, or service to, the Company, this Agreement does not constitute an express or implied promise of continued employment or service and nothing herein or in the Plan shall confer upon the Recipient any rights to continue in the employment or service of the Company (or any parent or subsidiary corporation of the Company employing or retaining Recipient) for any period of time or interfere with or otherwise restrict in any way the rights of the Company (or any parent or subsidiary corporation of the Company employing or retaining Recipient) or Recipient, which rights are hereby expressly reserved by each, to terminate Recipient’s service or employment at any time for any reason whatsoever, with or without cause.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5" w:name="page86"/>
    <w:bookmarkEnd w:id="85"/>
    <w:p>
      <w:pPr>
        <w:ind w:left="-20" w:right="20" w:firstLine="1304"/>
        <w:spacing w:after="0" w:line="275" w:lineRule="auto"/>
        <w:tabs>
          <w:tab w:leader="none" w:pos="165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to be given or delivered to the Company under the terms of this Agreement shall be in writing and addressed to the Company in care of the Corporate Secretary at its principal corporate offices. Any notice required to be given or delivered to Recipient shall be in writing and addressed to the Recipient at the address indicated below Recipient’s signature line of the Award Notice or such address as Recipient may provide for the Company to keep on file as updated from time to time. All notices shall be deemed to have been given or delivered upon personal delivery or upon deposit in the U. S. Mail, postage prepaid and properly addressed to the party to be notified.</w:t>
      </w:r>
    </w:p>
    <w:p>
      <w:pPr>
        <w:spacing w:after="0" w:line="176" w:lineRule="exact"/>
        <w:rPr>
          <w:rFonts w:ascii="Arial" w:cs="Arial" w:eastAsia="Arial" w:hAnsi="Arial"/>
          <w:sz w:val="17"/>
          <w:szCs w:val="17"/>
          <w:color w:val="auto"/>
        </w:rPr>
      </w:pPr>
    </w:p>
    <w:p>
      <w:pPr>
        <w:ind w:left="-20" w:firstLine="1304"/>
        <w:spacing w:after="0" w:line="254" w:lineRule="auto"/>
        <w:tabs>
          <w:tab w:leader="none" w:pos="166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Construction; Amendment</w:t>
      </w:r>
      <w:r>
        <w:rPr>
          <w:rFonts w:ascii="Arial" w:cs="Arial" w:eastAsia="Arial" w:hAnsi="Arial"/>
          <w:sz w:val="18"/>
          <w:szCs w:val="18"/>
          <w:color w:val="auto"/>
        </w:rPr>
        <w:t>. The Recipient acknowledges that Recipient has read this Agreement, has received and read the Plan, and understands the terms and conditions of this Agreement and the Plan. This Agreement and the RSUs evidenced hereby are made and granted pursuant to the Plan and are in all respects limited by and subject to the express terms and provisions of the Plan. All decisions of the Plan Administrator with respect to any question or issue arising under the Plan or this Agreement shall be conclusive and binding on all persons having or claiming an interest in the RSUs. This Agreement may only be amended by a writing executed by the parties hereto expressly providing for amendment of this Agreement except that the Plan Administrator may unilaterally make amendments that do not adversely affect Recipient’s rights hereunder, provided timely notice of such amendments is provided to Recipient.</w:t>
      </w:r>
    </w:p>
    <w:p>
      <w:pPr>
        <w:spacing w:after="0" w:line="194" w:lineRule="exact"/>
        <w:rPr>
          <w:rFonts w:ascii="Arial" w:cs="Arial" w:eastAsia="Arial" w:hAnsi="Arial"/>
          <w:sz w:val="18"/>
          <w:szCs w:val="18"/>
          <w:color w:val="auto"/>
        </w:rPr>
      </w:pPr>
    </w:p>
    <w:p>
      <w:pPr>
        <w:jc w:val="both"/>
        <w:ind w:left="-20" w:right="240" w:firstLine="1304"/>
        <w:spacing w:after="0" w:line="263" w:lineRule="auto"/>
        <w:tabs>
          <w:tab w:leader="none" w:pos="165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to the extent otherwise expressly provided herein, the provisions of this Agreement shall inure to the benefit of, and be binding upon, the successors, administrators, heirs, legal representatives and assigns of Recipient and the successors and assigns of the Company.</w:t>
      </w:r>
    </w:p>
    <w:p>
      <w:pPr>
        <w:spacing w:after="0" w:line="183" w:lineRule="exact"/>
        <w:rPr>
          <w:rFonts w:ascii="Arial" w:cs="Arial" w:eastAsia="Arial" w:hAnsi="Arial"/>
          <w:sz w:val="18"/>
          <w:szCs w:val="18"/>
          <w:color w:val="auto"/>
        </w:rPr>
      </w:pPr>
    </w:p>
    <w:p>
      <w:pPr>
        <w:ind w:left="-20" w:right="220" w:firstLine="1304"/>
        <w:spacing w:after="0" w:line="254" w:lineRule="auto"/>
        <w:tabs>
          <w:tab w:leader="none" w:pos="163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Liability of the Company</w:t>
      </w:r>
      <w:r>
        <w:rPr>
          <w:rFonts w:ascii="Arial" w:cs="Arial" w:eastAsia="Arial" w:hAnsi="Arial"/>
          <w:sz w:val="18"/>
          <w:szCs w:val="18"/>
          <w:color w:val="auto"/>
        </w:rPr>
        <w:t>. If the RSUs exceed, as of the Grant Date, the number of shares of Common Stock which may without shareholder approval be issued under the Plan, then this Award shall be void with respect to such excess shares unless shareholder approval of an amendment sufficiently increasing the number of shares of Common Stock issuable under the Plan is obtained in accordance with the provisions of this Plan and all applicable laws. The inability of the Company to obtain approval from any regulatory body having authority deemed by the Company to be necessary to the lawful issuance and sale of any Common Stock pursuant to this Agreement shall relieve the Company of any liability with respect to the non-issuance or sale of the Common Stock as to which such approval shall not have been obtained. The Company, however, shall use its best efforts to obtain all such approvals.</w:t>
      </w:r>
    </w:p>
    <w:p>
      <w:pPr>
        <w:spacing w:after="0" w:line="194" w:lineRule="exact"/>
        <w:rPr>
          <w:rFonts w:ascii="Arial" w:cs="Arial" w:eastAsia="Arial" w:hAnsi="Arial"/>
          <w:sz w:val="18"/>
          <w:szCs w:val="18"/>
          <w:color w:val="auto"/>
        </w:rPr>
      </w:pPr>
    </w:p>
    <w:p>
      <w:pPr>
        <w:ind w:left="-20" w:right="180" w:firstLine="1304"/>
        <w:spacing w:after="0" w:line="257" w:lineRule="auto"/>
        <w:tabs>
          <w:tab w:leader="none" w:pos="166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The award of RSUs hereunder and the settlement thereof is subject to compliance by the Company and Recipient with all applicable requirements of law relating thereto and all applicable regulations of any stock exchange or over-the-counter market on which such shares may be listed or traded at the time of such exercise and issuance. In connection with the settlement of RSUs, Recipient shall execute and deliver to the Company such representations in writing as may be requested by the Company in order for it to comply with the applicable requirements of federal and state securities laws.</w:t>
      </w:r>
    </w:p>
    <w:p>
      <w:pPr>
        <w:spacing w:after="0" w:line="187" w:lineRule="exact"/>
        <w:rPr>
          <w:rFonts w:ascii="Arial" w:cs="Arial" w:eastAsia="Arial" w:hAnsi="Arial"/>
          <w:sz w:val="18"/>
          <w:szCs w:val="18"/>
          <w:color w:val="auto"/>
        </w:rPr>
      </w:pPr>
    </w:p>
    <w:p>
      <w:pPr>
        <w:ind w:left="-20" w:right="60" w:firstLine="1304"/>
        <w:spacing w:after="0" w:line="277" w:lineRule="auto"/>
        <w:tabs>
          <w:tab w:leader="none" w:pos="166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Capitalized Terms/Conflict</w:t>
      </w:r>
      <w:r>
        <w:rPr>
          <w:rFonts w:ascii="Arial" w:cs="Arial" w:eastAsia="Arial" w:hAnsi="Arial"/>
          <w:sz w:val="18"/>
          <w:szCs w:val="18"/>
          <w:color w:val="auto"/>
        </w:rPr>
        <w:t>. Capitalized terms not specifically defined herein have the meaning specified in the Plan. In the event of a conflict between the terms and conditions of this Agreement and the Plan, the Plan controls.</w:t>
      </w:r>
    </w:p>
    <w:p>
      <w:pPr>
        <w:spacing w:after="0" w:line="170" w:lineRule="exact"/>
        <w:rPr>
          <w:rFonts w:ascii="Arial" w:cs="Arial" w:eastAsia="Arial" w:hAnsi="Arial"/>
          <w:sz w:val="18"/>
          <w:szCs w:val="18"/>
          <w:color w:val="auto"/>
        </w:rPr>
      </w:pPr>
    </w:p>
    <w:p>
      <w:pPr>
        <w:ind w:left="-20" w:right="80" w:firstLine="1304"/>
        <w:spacing w:after="0" w:line="263" w:lineRule="auto"/>
        <w:tabs>
          <w:tab w:leader="none" w:pos="162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Recipient hereby consents to the delivery of information (including, without limitation, information required to be delivered to Recipient pursuant to applicable securities laws) regarding the Company and its subsidiaries and affiliates, the Plan, and the RSUs via Company web site or other electronic delivery.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86" w:name="page87"/>
    <w:bookmarkEnd w:id="86"/>
    <w:p>
      <w:pPr>
        <w:ind w:left="-160" w:right="300" w:firstLine="1304"/>
        <w:spacing w:after="0" w:line="277" w:lineRule="auto"/>
        <w:tabs>
          <w:tab w:leader="none" w:pos="148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preceding the text of the sections hereof are inserted solely for convenience of reference, and shall not constitute a part of this Agreement, nor shall they affect its meaning, construction or effect.</w:t>
      </w:r>
    </w:p>
    <w:p>
      <w:pPr>
        <w:spacing w:after="0" w:line="170" w:lineRule="exact"/>
        <w:rPr>
          <w:rFonts w:ascii="Arial" w:cs="Arial" w:eastAsia="Arial" w:hAnsi="Arial"/>
          <w:sz w:val="18"/>
          <w:szCs w:val="18"/>
          <w:color w:val="auto"/>
        </w:rPr>
      </w:pPr>
    </w:p>
    <w:p>
      <w:pPr>
        <w:ind w:left="-160" w:firstLine="1304"/>
        <w:spacing w:after="0" w:line="277" w:lineRule="auto"/>
        <w:tabs>
          <w:tab w:leader="none" w:pos="152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interpretation, performance, and enforcement of this Agreement shall be governed by the internal laws of the State of Delaware without regard to that state’s conflict-of-laws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584" w:right="49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Jon P. Stonehouse, certify that:</w:t>
      </w:r>
    </w:p>
    <w:p>
      <w:pPr>
        <w:spacing w:after="0" w:line="211" w:lineRule="exact"/>
        <w:rPr>
          <w:sz w:val="20"/>
          <w:szCs w:val="20"/>
          <w:color w:val="auto"/>
        </w:rPr>
      </w:pPr>
    </w:p>
    <w:p>
      <w:pPr>
        <w:ind w:left="1160" w:hanging="315"/>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BioCryst Pharmaceuticals, Inc.;</w:t>
      </w:r>
    </w:p>
    <w:p>
      <w:pPr>
        <w:spacing w:after="0" w:line="225" w:lineRule="exact"/>
        <w:rPr>
          <w:rFonts w:ascii="Arial" w:cs="Arial" w:eastAsia="Arial" w:hAnsi="Arial"/>
          <w:sz w:val="18"/>
          <w:szCs w:val="18"/>
          <w:color w:val="auto"/>
        </w:rPr>
      </w:pPr>
    </w:p>
    <w:p>
      <w:pPr>
        <w:ind w:left="1160" w:right="80" w:hanging="315"/>
        <w:spacing w:after="0" w:line="263"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160" w:right="360" w:hanging="315"/>
        <w:spacing w:after="0" w:line="342" w:lineRule="auto"/>
        <w:tabs>
          <w:tab w:leader="none" w:pos="1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160" w:right="240" w:hanging="315"/>
        <w:spacing w:after="0" w:line="291" w:lineRule="auto"/>
        <w:tabs>
          <w:tab w:leader="none" w:pos="1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700" w:right="160" w:hanging="329"/>
        <w:spacing w:after="0" w:line="286" w:lineRule="auto"/>
        <w:tabs>
          <w:tab w:leader="none" w:pos="17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80" w:right="60" w:hanging="322"/>
        <w:spacing w:after="0" w:line="263" w:lineRule="auto"/>
        <w:tabs>
          <w:tab w:leader="none" w:pos="16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700" w:right="140" w:hanging="329"/>
        <w:spacing w:after="0" w:line="263" w:lineRule="auto"/>
        <w:tabs>
          <w:tab w:leader="none" w:pos="17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680" w:right="260" w:hanging="322"/>
        <w:spacing w:after="0" w:line="286" w:lineRule="auto"/>
        <w:tabs>
          <w:tab w:leader="none" w:pos="16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160" w:right="280" w:hanging="315"/>
        <w:spacing w:after="0" w:line="263"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700" w:right="120" w:hanging="329"/>
        <w:spacing w:after="0" w:line="342" w:lineRule="auto"/>
        <w:tabs>
          <w:tab w:leader="none" w:pos="17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80" w:right="400" w:hanging="322"/>
        <w:spacing w:after="0" w:line="277" w:lineRule="auto"/>
        <w:tabs>
          <w:tab w:leader="none" w:pos="16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7, 2021</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P. Stonehouse</w:t>
            </w:r>
          </w:p>
        </w:tc>
      </w:tr>
      <w:tr>
        <w:trPr>
          <w:trHeight w:val="195"/>
        </w:trPr>
        <w:tc>
          <w:tcPr>
            <w:tcW w:w="67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Jon P. Stonehouse</w:t>
            </w:r>
          </w:p>
        </w:tc>
      </w:tr>
      <w:tr>
        <w:trPr>
          <w:trHeight w:val="230"/>
        </w:trPr>
        <w:tc>
          <w:tcPr>
            <w:tcW w:w="67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Anthony Doyle, certify that:</w:t>
      </w:r>
    </w:p>
    <w:p>
      <w:pPr>
        <w:spacing w:after="0" w:line="211" w:lineRule="exact"/>
        <w:rPr>
          <w:sz w:val="20"/>
          <w:szCs w:val="20"/>
          <w:color w:val="auto"/>
        </w:rPr>
      </w:pPr>
    </w:p>
    <w:p>
      <w:pPr>
        <w:ind w:left="1160" w:hanging="315"/>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BioCryst Pharmaceuticals, Inc.;</w:t>
      </w:r>
    </w:p>
    <w:p>
      <w:pPr>
        <w:spacing w:after="0" w:line="225" w:lineRule="exact"/>
        <w:rPr>
          <w:rFonts w:ascii="Arial" w:cs="Arial" w:eastAsia="Arial" w:hAnsi="Arial"/>
          <w:sz w:val="18"/>
          <w:szCs w:val="18"/>
          <w:color w:val="auto"/>
        </w:rPr>
      </w:pPr>
    </w:p>
    <w:p>
      <w:pPr>
        <w:ind w:left="1160" w:right="80" w:hanging="315"/>
        <w:spacing w:after="0" w:line="263"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160" w:right="360" w:hanging="315"/>
        <w:spacing w:after="0" w:line="342" w:lineRule="auto"/>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160" w:right="240" w:hanging="315"/>
        <w:spacing w:after="0" w:line="291" w:lineRule="auto"/>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700" w:right="160" w:hanging="329"/>
        <w:spacing w:after="0" w:line="286" w:lineRule="auto"/>
        <w:tabs>
          <w:tab w:leader="none" w:pos="1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80" w:right="60" w:hanging="322"/>
        <w:spacing w:after="0" w:line="263" w:lineRule="auto"/>
        <w:tabs>
          <w:tab w:leader="none" w:pos="16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700" w:right="140" w:hanging="329"/>
        <w:spacing w:after="0" w:line="263" w:lineRule="auto"/>
        <w:tabs>
          <w:tab w:leader="none" w:pos="17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680" w:right="260" w:hanging="322"/>
        <w:spacing w:after="0" w:line="286" w:lineRule="auto"/>
        <w:tabs>
          <w:tab w:leader="none" w:pos="16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160" w:right="280" w:hanging="315"/>
        <w:spacing w:after="0" w:line="263"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700" w:right="120" w:hanging="329"/>
        <w:spacing w:after="0" w:line="342" w:lineRule="auto"/>
        <w:tabs>
          <w:tab w:leader="none" w:pos="17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80" w:right="400" w:hanging="322"/>
        <w:spacing w:after="0" w:line="277" w:lineRule="auto"/>
        <w:tabs>
          <w:tab w:leader="none" w:pos="16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7, 2021</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Doyle</w:t>
            </w:r>
          </w:p>
        </w:tc>
      </w:tr>
      <w:tr>
        <w:trPr>
          <w:trHeight w:val="195"/>
        </w:trPr>
        <w:tc>
          <w:tcPr>
            <w:tcW w:w="67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Anthony Doyle</w:t>
            </w:r>
          </w:p>
        </w:tc>
      </w:tr>
      <w:tr>
        <w:trPr>
          <w:trHeight w:val="230"/>
        </w:trPr>
        <w:tc>
          <w:tcPr>
            <w:tcW w:w="67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160" w:right="100"/>
        <w:spacing w:after="0" w:line="311" w:lineRule="auto"/>
        <w:rPr>
          <w:sz w:val="20"/>
          <w:szCs w:val="20"/>
          <w:color w:val="auto"/>
        </w:rPr>
      </w:pPr>
      <w:r>
        <w:rPr>
          <w:rFonts w:ascii="Arial" w:cs="Arial" w:eastAsia="Arial" w:hAnsi="Arial"/>
          <w:sz w:val="16"/>
          <w:szCs w:val="16"/>
          <w:color w:val="auto"/>
        </w:rPr>
        <w:t>In connection with the Quarterly Report of BioCryst Pharmaceuticals, Inc. (the “Company”) on Form 10-Q for the period ended March 31, 2021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49" w:lineRule="exact"/>
        <w:rPr>
          <w:sz w:val="20"/>
          <w:szCs w:val="20"/>
          <w:color w:val="auto"/>
        </w:rPr>
      </w:pPr>
    </w:p>
    <w:p>
      <w:pPr>
        <w:ind w:left="1160" w:hanging="315"/>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315"/>
        <w:spacing w:after="0" w:line="277" w:lineRule="auto"/>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3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 P. Stonehouse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160" w:right="100"/>
        <w:spacing w:after="0" w:line="286" w:lineRule="auto"/>
        <w:rPr>
          <w:sz w:val="20"/>
          <w:szCs w:val="20"/>
          <w:color w:val="auto"/>
        </w:rPr>
      </w:pPr>
      <w:r>
        <w:rPr>
          <w:rFonts w:ascii="Arial" w:cs="Arial" w:eastAsia="Arial" w:hAnsi="Arial"/>
          <w:sz w:val="17"/>
          <w:szCs w:val="17"/>
          <w:color w:val="auto"/>
        </w:rPr>
        <w:t>In connection with the Quarterly Report of BioCryst Pharmaceuticals, Inc. (the “Company”) on Form 10-Q for the period ended March 31, 2021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1160" w:hanging="315"/>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315"/>
        <w:spacing w:after="0" w:line="277"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3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Anthony Doyle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lowerRoman"/>
      <w:start w:val="3"/>
    </w:lvl>
  </w:abstractNum>
  <w:abstractNum w:abstractNumId="7">
    <w:nsid w:val="2463B9EA"/>
    <w:multiLevelType w:val="hybridMultilevel"/>
    <w:lvl w:ilvl="0">
      <w:lvlJc w:val="left"/>
      <w:lvlText w:val="(%1)"/>
      <w:numFmt w:val="lowerRoman"/>
      <w:start w:val="3"/>
    </w:lvl>
  </w:abstractNum>
  <w:abstractNum w:abstractNumId="8">
    <w:nsid w:val="5E884ADC"/>
    <w:multiLevelType w:val="hybridMultilevel"/>
    <w:lvl w:ilvl="0">
      <w:lvlJc w:val="left"/>
      <w:lvlText w:val="%1"/>
      <w:numFmt w:val="upperLetter"/>
      <w:start w:val="6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decimal"/>
      <w:start w:val="101"/>
    </w:lvl>
  </w:abstractNum>
  <w:abstractNum w:abstractNumId="33">
    <w:nsid w:val="79A1DEAA"/>
    <w:multiLevelType w:val="hybridMultilevel"/>
    <w:lvl w:ilvl="0">
      <w:lvlJc w:val="left"/>
      <w:lvlText w:val="(%1)"/>
      <w:numFmt w:val="decimal"/>
      <w:start w:val="104"/>
    </w:lvl>
  </w:abstractNum>
  <w:abstractNum w:abstractNumId="34">
    <w:nsid w:val="75C6C33A"/>
    <w:multiLevelType w:val="hybridMultilevel"/>
    <w:lvl w:ilvl="0">
      <w:lvlJc w:val="left"/>
      <w:lvlText w:val="%1."/>
      <w:numFmt w:val="decimal"/>
      <w:start w:val="1"/>
    </w:lvl>
    <w:lvl w:ilvl="1">
      <w:lvlJc w:val="left"/>
      <w:lvlText w:val="(%2)"/>
      <w:numFmt w:val="lowerLetter"/>
      <w:start w:val="1"/>
    </w:lvl>
  </w:abstractNum>
  <w:abstractNum w:abstractNumId="35">
    <w:nsid w:val="12E685FB"/>
    <w:multiLevelType w:val="hybridMultilevel"/>
    <w:lvl w:ilvl="0">
      <w:lvlJc w:val="left"/>
      <w:lvlText w:val="%1."/>
      <w:numFmt w:val="decimal"/>
      <w:start w:val="2"/>
    </w:lvl>
    <w:lvl w:ilvl="1">
      <w:lvlJc w:val="left"/>
      <w:lvlText w:val="(%2)"/>
      <w:numFmt w:val="lowerLetter"/>
      <w:start w:val="1"/>
    </w:lvl>
  </w:abstractNum>
  <w:abstractNum w:abstractNumId="36">
    <w:nsid w:val="70C6A529"/>
    <w:multiLevelType w:val="hybridMultilevel"/>
    <w:lvl w:ilvl="0">
      <w:lvlJc w:val="left"/>
      <w:lvlText w:val="%1"/>
      <w:numFmt w:val="decimal"/>
      <w:start w:val="1"/>
    </w:lvl>
    <w:lvl w:ilvl="1">
      <w:lvlJc w:val="left"/>
      <w:lvlText w:val="(%2)"/>
      <w:numFmt w:val="lowerLetter"/>
      <w:start w:val="2"/>
    </w:lvl>
  </w:abstractNum>
  <w:abstractNum w:abstractNumId="37">
    <w:nsid w:val="520EEDD1"/>
    <w:multiLevelType w:val="hybridMultilevel"/>
    <w:lvl w:ilvl="0">
      <w:lvlJc w:val="left"/>
      <w:lvlText w:val="%1."/>
      <w:numFmt w:val="decimal"/>
      <w:start w:val="4"/>
    </w:lvl>
    <w:lvl w:ilvl="1">
      <w:lvlJc w:val="left"/>
      <w:lvlText w:val="(%2)"/>
      <w:numFmt w:val="lowerLetter"/>
      <w:start w:val="1"/>
    </w:lvl>
  </w:abstractNum>
  <w:abstractNum w:abstractNumId="38">
    <w:nsid w:val="374A3FE6"/>
    <w:multiLevelType w:val="hybridMultilevel"/>
    <w:lvl w:ilvl="0">
      <w:lvlJc w:val="left"/>
      <w:lvlText w:val="(%1)"/>
      <w:numFmt w:val="lowerRoman"/>
      <w:start w:val="5"/>
    </w:lvl>
  </w:abstractNum>
  <w:abstractNum w:abstractNumId="39">
    <w:nsid w:val="4F4EF005"/>
    <w:multiLevelType w:val="hybridMultilevel"/>
    <w:lvl w:ilvl="0">
      <w:lvlJc w:val="left"/>
      <w:lvlText w:val="(%1)"/>
      <w:numFmt w:val="lowerLetter"/>
      <w:start w:val="2"/>
    </w:lvl>
  </w:abstractNum>
  <w:abstractNum w:abstractNumId="40">
    <w:nsid w:val="23F9C13C"/>
    <w:multiLevelType w:val="hybridMultilevel"/>
    <w:lvl w:ilvl="0">
      <w:lvlJc w:val="left"/>
      <w:lvlText w:val="%1"/>
      <w:numFmt w:val="decimal"/>
      <w:start w:val="1"/>
    </w:lvl>
    <w:lvl w:ilvl="1">
      <w:lvlJc w:val="left"/>
      <w:lvlText w:val="(%2)"/>
      <w:numFmt w:val="lowerLetter"/>
      <w:start w:val="3"/>
    </w:lvl>
  </w:abstractNum>
  <w:abstractNum w:abstractNumId="41">
    <w:nsid w:val="649BB77C"/>
    <w:multiLevelType w:val="hybridMultilevel"/>
    <w:lvl w:ilvl="0">
      <w:lvlJc w:val="left"/>
      <w:lvlText w:val="%1."/>
      <w:numFmt w:val="decimal"/>
      <w:start w:val="5"/>
    </w:lvl>
    <w:lvl w:ilvl="1">
      <w:lvlJc w:val="left"/>
      <w:lvlText w:val="(%2)"/>
      <w:numFmt w:val="lowerLetter"/>
      <w:start w:val="1"/>
    </w:lvl>
  </w:abstractNum>
  <w:abstractNum w:abstractNumId="42">
    <w:nsid w:val="275AC794"/>
    <w:multiLevelType w:val="hybridMultilevel"/>
    <w:lvl w:ilvl="0">
      <w:lvlJc w:val="left"/>
      <w:lvlText w:val="%1."/>
      <w:numFmt w:val="decimal"/>
      <w:start w:val="6"/>
    </w:lvl>
    <w:lvl w:ilvl="1">
      <w:lvlJc w:val="left"/>
      <w:lvlText w:val="(%2)"/>
      <w:numFmt w:val="lowerLetter"/>
      <w:start w:val="1"/>
    </w:lvl>
  </w:abstractNum>
  <w:abstractNum w:abstractNumId="43">
    <w:nsid w:val="39386575"/>
    <w:multiLevelType w:val="hybridMultilevel"/>
    <w:lvl w:ilvl="0">
      <w:lvlJc w:val="left"/>
      <w:lvlText w:val="(%1)"/>
      <w:numFmt w:val="lowerLetter"/>
      <w:start w:val="7"/>
    </w:lvl>
  </w:abstractNum>
  <w:abstractNum w:abstractNumId="44">
    <w:nsid w:val="1CF10FD8"/>
    <w:multiLevelType w:val="hybridMultilevel"/>
    <w:lvl w:ilvl="0">
      <w:lvlJc w:val="left"/>
      <w:lvlText w:val="(%1)"/>
      <w:numFmt w:val="lowerLetter"/>
      <w:start w:val="8"/>
    </w:lvl>
  </w:abstractNum>
  <w:abstractNum w:abstractNumId="45">
    <w:nsid w:val="180115BE"/>
    <w:multiLevelType w:val="hybridMultilevel"/>
    <w:lvl w:ilvl="0">
      <w:lvlJc w:val="left"/>
      <w:lvlText w:val="%1."/>
      <w:numFmt w:val="upperLetter"/>
      <w:start w:val="1"/>
    </w:lvl>
    <w:lvl w:ilvl="1">
      <w:lvlJc w:val="left"/>
      <w:lvlText w:val="%2."/>
      <w:numFmt w:val="lowerRoman"/>
      <w:start w:val="1"/>
    </w:lvl>
  </w:abstractNum>
  <w:abstractNum w:abstractNumId="46">
    <w:nsid w:val="235BA861"/>
    <w:multiLevelType w:val="hybridMultilevel"/>
    <w:lvl w:ilvl="0">
      <w:lvlJc w:val="left"/>
      <w:lvlText w:val="%1."/>
      <w:numFmt w:val="upperLetter"/>
      <w:start w:val="3"/>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2"/>
    </w:lvl>
  </w:abstractNum>
  <w:abstractNum w:abstractNumId="49">
    <w:nsid w:val="15B5AF5C"/>
    <w:multiLevelType w:val="hybridMultilevel"/>
    <w:lvl w:ilvl="0">
      <w:lvlJc w:val="left"/>
      <w:lvlText w:val="%1."/>
      <w:numFmt w:val="decimal"/>
      <w:start w:val="5"/>
    </w:lvl>
  </w:abstractNum>
  <w:abstractNum w:abstractNumId="50">
    <w:nsid w:val="741226BB"/>
    <w:multiLevelType w:val="hybridMultilevel"/>
    <w:lvl w:ilvl="0">
      <w:lvlJc w:val="left"/>
      <w:lvlText w:val="%1."/>
      <w:numFmt w:val="decimal"/>
      <w:start w:val="9"/>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3">
    <w:nsid w:val="3F6AB60F"/>
    <w:multiLevelType w:val="hybridMultilevel"/>
    <w:lvl w:ilvl="0">
      <w:lvlJc w:val="left"/>
      <w:lvlText w:val="%1"/>
      <w:numFmt w:val="decimal"/>
      <w:start w:val="1"/>
    </w:lvl>
    <w:lvl w:ilvl="1">
      <w:lvlJc w:val="left"/>
      <w:lvlText w:val="(%2)"/>
      <w:numFmt w:val="lowerLetter"/>
      <w:start w:val="4"/>
    </w:lvl>
  </w:abstractNum>
  <w:abstractNum w:abstractNumId="54">
    <w:nsid w:val="61574095"/>
    <w:multiLevelType w:val="hybridMultilevel"/>
    <w:lvl w:ilvl="0">
      <w:lvlJc w:val="left"/>
      <w:lvlText w:val="%1."/>
      <w:numFmt w:val="decimal"/>
      <w:start w:val="3"/>
    </w:lvl>
    <w:lvl w:ilvl="1">
      <w:lvlJc w:val="left"/>
      <w:lvlText w:val="%2"/>
      <w:numFmt w:val="lowerLetter"/>
      <w:start w:val="1"/>
    </w:lvl>
  </w:abstractNum>
  <w:abstractNum w:abstractNumId="55">
    <w:nsid w:val="7E0C57B1"/>
    <w:multiLevelType w:val="hybridMultilevel"/>
    <w:lvl w:ilvl="0">
      <w:lvlJc w:val="left"/>
      <w:lvlText w:val="%1."/>
      <w:numFmt w:val="decimal"/>
      <w:start w:val="8"/>
    </w:lvl>
  </w:abstractNum>
  <w:abstractNum w:abstractNumId="56">
    <w:nsid w:val="77AE35EB"/>
    <w:multiLevelType w:val="hybridMultilevel"/>
    <w:lvl w:ilvl="0">
      <w:lvlJc w:val="left"/>
      <w:lvlText w:val="%1."/>
      <w:numFmt w:val="upperLetter"/>
      <w:start w:val="1"/>
    </w:lvl>
  </w:abstractNum>
  <w:abstractNum w:abstractNumId="57">
    <w:nsid w:val="579BE4F1"/>
    <w:multiLevelType w:val="hybridMultilevel"/>
    <w:lvl w:ilvl="0">
      <w:lvlJc w:val="left"/>
      <w:lvlText w:val="%1."/>
      <w:numFmt w:val="decimal"/>
      <w:start w:val="1"/>
    </w:lvl>
    <w:lvl w:ilvl="1">
      <w:lvlJc w:val="left"/>
      <w:lvlText w:val="(%2)"/>
      <w:numFmt w:val="lowerLetter"/>
      <w:start w:val="1"/>
    </w:lvl>
  </w:abstractNum>
  <w:abstractNum w:abstractNumId="58">
    <w:nsid w:val="310C50B3"/>
    <w:multiLevelType w:val="hybridMultilevel"/>
    <w:lvl w:ilvl="0">
      <w:lvlJc w:val="left"/>
      <w:lvlText w:val="%1"/>
      <w:numFmt w:val="decimal"/>
      <w:start w:val="1"/>
    </w:lvl>
    <w:lvl w:ilvl="1">
      <w:lvlJc w:val="left"/>
      <w:lvlText w:val="(%2)"/>
      <w:numFmt w:val="lowerLetter"/>
      <w:start w:val="2"/>
    </w:lvl>
  </w:abstractNum>
  <w:abstractNum w:abstractNumId="59">
    <w:nsid w:val="5FF87E05"/>
    <w:multiLevelType w:val="hybridMultilevel"/>
    <w:lvl w:ilvl="0">
      <w:lvlJc w:val="left"/>
      <w:lvlText w:val="%1."/>
      <w:numFmt w:val="decimal"/>
      <w:start w:val="3"/>
    </w:lvl>
    <w:lvl w:ilvl="1">
      <w:lvlJc w:val="left"/>
      <w:lvlText w:val="%2"/>
      <w:numFmt w:val="lowerLetter"/>
      <w:start w:val="1"/>
    </w:lvl>
  </w:abstractNum>
  <w:abstractNum w:abstractNumId="60">
    <w:nsid w:val="2F305DEF"/>
    <w:multiLevelType w:val="hybridMultilevel"/>
    <w:lvl w:ilvl="0">
      <w:lvlJc w:val="left"/>
      <w:lvlText w:val="%1."/>
      <w:numFmt w:val="decimal"/>
      <w:start w:val="4"/>
    </w:lvl>
  </w:abstractNum>
  <w:abstractNum w:abstractNumId="61">
    <w:nsid w:val="25A70BF7"/>
    <w:multiLevelType w:val="hybridMultilevel"/>
    <w:lvl w:ilvl="0">
      <w:lvlJc w:val="left"/>
      <w:lvlText w:val="%1."/>
      <w:numFmt w:val="decimal"/>
      <w:start w:val="5"/>
    </w:lvl>
  </w:abstractNum>
  <w:abstractNum w:abstractNumId="62">
    <w:nsid w:val="1DBABF00"/>
    <w:multiLevelType w:val="hybridMultilevel"/>
    <w:lvl w:ilvl="0">
      <w:lvlJc w:val="left"/>
      <w:lvlText w:val="%1."/>
      <w:numFmt w:val="decimal"/>
      <w:start w:val="6"/>
    </w:lvl>
    <w:lvl w:ilvl="1">
      <w:lvlJc w:val="left"/>
      <w:lvlText w:val="(%2)"/>
      <w:numFmt w:val="lowerLetter"/>
      <w:start w:val="1"/>
    </w:lvl>
  </w:abstractNum>
  <w:abstractNum w:abstractNumId="63">
    <w:nsid w:val="4AD084E9"/>
    <w:multiLevelType w:val="hybridMultilevel"/>
    <w:lvl w:ilvl="0">
      <w:lvlJc w:val="left"/>
      <w:lvlText w:val="(%1)"/>
      <w:numFmt w:val="lowerLetter"/>
      <w:start w:val="3"/>
    </w:lvl>
  </w:abstractNum>
  <w:abstractNum w:abstractNumId="64">
    <w:nsid w:val="1F48EAA1"/>
    <w:multiLevelType w:val="hybridMultilevel"/>
    <w:lvl w:ilvl="0">
      <w:lvlJc w:val="left"/>
      <w:lvlText w:val="(%1)"/>
      <w:numFmt w:val="lowerLetter"/>
      <w:start w:val="10"/>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68" Type="http://schemas.openxmlformats.org/officeDocument/2006/relationships/hyperlink" Target="http://www.sec.gov/Archives/edgar/data/882796/000103570406000836/d42297exv3w1.htm" TargetMode="External"/><Relationship Id="rId69" Type="http://schemas.openxmlformats.org/officeDocument/2006/relationships/hyperlink" Target="http://www.sec.gov/Archives/edgar/data/882796/000136231007001386/c70813exv3w1.htm" TargetMode="External"/><Relationship Id="rId70" Type="http://schemas.openxmlformats.org/officeDocument/2006/relationships/hyperlink" Target="http://www.sec.gov/Archives/edgar/data/882796/000136231008006580/c76716exv3w1.htm" TargetMode="External"/><Relationship Id="rId71" Type="http://schemas.openxmlformats.org/officeDocument/2006/relationships/hyperlink" Target="http://www.sec.gov/Archives/edgar/data/882796/000119312514186707/d722313dex31.htm" TargetMode="External"/><Relationship Id="rId72" Type="http://schemas.openxmlformats.org/officeDocument/2006/relationships/hyperlink" Target="http://www.sec.gov/Archives/edgar/data/882796/000119312514186707/d722313dex32.htm" TargetMode="External"/><Relationship Id="rId73" Type="http://schemas.openxmlformats.org/officeDocument/2006/relationships/hyperlink" Target="http://www.sec.gov/Archives/edgar/data/882796/000117184320003680/exh_31.htm" TargetMode="External"/><Relationship Id="rId74" Type="http://schemas.openxmlformats.org/officeDocument/2006/relationships/hyperlink" Target="http://www.sec.gov/Archives/edgar/data/882796/000117184320003680/exh_32.htm" TargetMode="External"/><Relationship Id="rId75" Type="http://schemas.openxmlformats.org/officeDocument/2006/relationships/hyperlink" Target="http://www.sec.gov/Archives/edgar/data/882796/000136231008006580/c76716exv3w2.htm" TargetMode="External"/><Relationship Id="rId76" Type="http://schemas.openxmlformats.org/officeDocument/2006/relationships/hyperlink" Target="http://www.sec.gov/Archives/edgar/data/882796/000110465918003194/a18-3548_1ex3d1.htm#Exhibit3_1_0841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2021-05-07T15:48:51Z</dcterms:created>
  <dcterms:modified xsi:type="dcterms:W3CDTF">2021-05-07T15:48:51Z</dcterms:modified>
</cp:coreProperties>
</file>